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03/28/2018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vMerge w:val="restart"/>
          </w:tcPr>
          <w:p>
            <w:pPr>
              <w:ind w:left="320"/>
              <w:spacing w:after="0"/>
              <w:rPr>
                <w:sz w:val="20"/>
                <w:szCs w:val="20"/>
                <w:color w:val="auto"/>
              </w:rPr>
            </w:pPr>
            <w:r>
              <w:rPr>
                <w:rFonts w:ascii="Arial" w:cs="Arial" w:eastAsia="Arial" w:hAnsi="Arial"/>
                <w:sz w:val="18"/>
                <w:szCs w:val="18"/>
                <w:color w:val="0000FF"/>
                <w:w w:val="88"/>
              </w:rPr>
              <w:t>03/28/2018</w:t>
            </w:r>
          </w:p>
        </w:tc>
        <w:tc>
          <w:tcPr>
            <w:tcW w:w="840" w:type="dxa"/>
            <w:vAlign w:val="bottom"/>
          </w:tcPr>
          <w:p>
            <w:pPr>
              <w:spacing w:after="0"/>
              <w:rPr>
                <w:sz w:val="18"/>
                <w:szCs w:val="18"/>
                <w:color w:val="auto"/>
              </w:rPr>
            </w:pPr>
          </w:p>
        </w:tc>
        <w:tc>
          <w:tcPr>
            <w:tcW w:w="820" w:type="dxa"/>
            <w:vAlign w:val="bottom"/>
            <w:vMerge w:val="restart"/>
          </w:tcPr>
          <w:p>
            <w:pPr>
              <w:ind w:left="540"/>
              <w:spacing w:after="0"/>
              <w:rPr>
                <w:sz w:val="20"/>
                <w:szCs w:val="20"/>
                <w:color w:val="auto"/>
              </w:rPr>
            </w:pPr>
            <w:r>
              <w:rPr>
                <w:rFonts w:ascii="Arial" w:cs="Arial" w:eastAsia="Arial" w:hAnsi="Arial"/>
                <w:sz w:val="27"/>
                <w:szCs w:val="27"/>
                <w:color w:val="0000FF"/>
                <w:w w:val="90"/>
                <w:vertAlign w:val="subscript"/>
              </w:rPr>
              <w:t>J</w:t>
            </w:r>
            <w:r>
              <w:rPr>
                <w:rFonts w:ascii="Arial" w:cs="Arial" w:eastAsia="Arial" w:hAnsi="Arial"/>
                <w:sz w:val="11"/>
                <w:szCs w:val="11"/>
                <w:color w:val="008000"/>
                <w:w w:val="90"/>
              </w:rPr>
              <w:t>(10)</w:t>
            </w:r>
          </w:p>
        </w:tc>
        <w:tc>
          <w:tcPr>
            <w:tcW w:w="1400" w:type="dxa"/>
            <w:vAlign w:val="bottom"/>
            <w:vMerge w:val="restart"/>
          </w:tcPr>
          <w:p>
            <w:pPr>
              <w:jc w:val="center"/>
              <w:ind w:left="186"/>
              <w:spacing w:after="0"/>
              <w:rPr>
                <w:sz w:val="20"/>
                <w:szCs w:val="20"/>
                <w:color w:val="auto"/>
              </w:rPr>
            </w:pPr>
            <w:r>
              <w:rPr>
                <w:rFonts w:ascii="Arial" w:cs="Arial" w:eastAsia="Arial" w:hAnsi="Arial"/>
                <w:sz w:val="18"/>
                <w:szCs w:val="18"/>
                <w:color w:val="0000FF"/>
                <w:w w:val="84"/>
              </w:rPr>
              <w:t>2,915</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D</w:t>
            </w:r>
          </w:p>
        </w:tc>
        <w:tc>
          <w:tcPr>
            <w:tcW w:w="1080" w:type="dxa"/>
            <w:vAlign w:val="bottom"/>
            <w:vMerge w:val="restart"/>
          </w:tcPr>
          <w:p>
            <w:pPr>
              <w:jc w:val="center"/>
              <w:ind w:left="34"/>
              <w:spacing w:after="0"/>
              <w:rPr>
                <w:sz w:val="20"/>
                <w:szCs w:val="20"/>
                <w:color w:val="auto"/>
              </w:rPr>
            </w:pPr>
            <w:r>
              <w:rPr>
                <w:rFonts w:ascii="Arial" w:cs="Arial" w:eastAsia="Arial" w:hAnsi="Arial"/>
                <w:sz w:val="11"/>
                <w:szCs w:val="11"/>
                <w:color w:val="008000"/>
                <w:w w:val="91"/>
              </w:rPr>
              <w:t>(10)</w:t>
            </w:r>
          </w:p>
        </w:tc>
        <w:tc>
          <w:tcPr>
            <w:tcW w:w="1540" w:type="dxa"/>
            <w:vAlign w:val="bottom"/>
            <w:gridSpan w:val="2"/>
            <w:vMerge w:val="restart"/>
          </w:tcPr>
          <w:p>
            <w:pPr>
              <w:jc w:val="center"/>
              <w:ind w:right="399"/>
              <w:spacing w:after="0"/>
              <w:rPr>
                <w:sz w:val="20"/>
                <w:szCs w:val="20"/>
                <w:color w:val="auto"/>
              </w:rPr>
            </w:pPr>
            <w:r>
              <w:rPr>
                <w:rFonts w:ascii="Arial" w:cs="Arial" w:eastAsia="Arial" w:hAnsi="Arial"/>
                <w:sz w:val="18"/>
                <w:szCs w:val="18"/>
                <w:color w:val="0000FF"/>
                <w:w w:val="88"/>
              </w:rPr>
              <w:t>11,041,316</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rPr>
              <w:t>(3)(4)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vMerge w:val="restart"/>
          </w:tcPr>
          <w:p>
            <w:pPr>
              <w:ind w:left="320"/>
              <w:spacing w:after="0"/>
              <w:rPr>
                <w:sz w:val="20"/>
                <w:szCs w:val="20"/>
                <w:color w:val="auto"/>
              </w:rPr>
            </w:pPr>
            <w:r>
              <w:rPr>
                <w:rFonts w:ascii="Arial" w:cs="Arial" w:eastAsia="Arial" w:hAnsi="Arial"/>
                <w:sz w:val="18"/>
                <w:szCs w:val="18"/>
                <w:color w:val="0000FF"/>
                <w:w w:val="88"/>
              </w:rPr>
              <w:t>04/02/2018</w:t>
            </w:r>
          </w:p>
        </w:tc>
        <w:tc>
          <w:tcPr>
            <w:tcW w:w="840" w:type="dxa"/>
            <w:vAlign w:val="bottom"/>
          </w:tcPr>
          <w:p>
            <w:pPr>
              <w:spacing w:after="0"/>
              <w:rPr>
                <w:sz w:val="18"/>
                <w:szCs w:val="18"/>
                <w:color w:val="auto"/>
              </w:rPr>
            </w:pPr>
          </w:p>
        </w:tc>
        <w:tc>
          <w:tcPr>
            <w:tcW w:w="820" w:type="dxa"/>
            <w:vAlign w:val="bottom"/>
            <w:vMerge w:val="restart"/>
          </w:tcPr>
          <w:p>
            <w:pPr>
              <w:ind w:left="640"/>
              <w:spacing w:after="0"/>
              <w:rPr>
                <w:sz w:val="20"/>
                <w:szCs w:val="20"/>
                <w:color w:val="auto"/>
              </w:rPr>
            </w:pPr>
            <w:r>
              <w:rPr>
                <w:rFonts w:ascii="Arial" w:cs="Arial" w:eastAsia="Arial" w:hAnsi="Arial"/>
                <w:sz w:val="14"/>
                <w:szCs w:val="14"/>
                <w:color w:val="0000FF"/>
              </w:rPr>
              <w:t>P</w:t>
            </w:r>
          </w:p>
        </w:tc>
        <w:tc>
          <w:tcPr>
            <w:tcW w:w="1400" w:type="dxa"/>
            <w:vAlign w:val="bottom"/>
            <w:vMerge w:val="restart"/>
          </w:tcPr>
          <w:p>
            <w:pPr>
              <w:jc w:val="center"/>
              <w:ind w:left="186"/>
              <w:spacing w:after="0"/>
              <w:rPr>
                <w:sz w:val="20"/>
                <w:szCs w:val="20"/>
                <w:color w:val="auto"/>
              </w:rPr>
            </w:pPr>
            <w:r>
              <w:rPr>
                <w:rFonts w:ascii="Arial" w:cs="Arial" w:eastAsia="Arial" w:hAnsi="Arial"/>
                <w:sz w:val="18"/>
                <w:szCs w:val="18"/>
                <w:color w:val="0000FF"/>
                <w:w w:val="86"/>
              </w:rPr>
              <w:t>540</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1080" w:type="dxa"/>
            <w:vAlign w:val="bottom"/>
            <w:vMerge w:val="restart"/>
          </w:tcPr>
          <w:p>
            <w:pPr>
              <w:jc w:val="center"/>
              <w:ind w:left="34"/>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5.67</w:t>
            </w:r>
          </w:p>
        </w:tc>
        <w:tc>
          <w:tcPr>
            <w:tcW w:w="1540" w:type="dxa"/>
            <w:vAlign w:val="bottom"/>
            <w:gridSpan w:val="2"/>
            <w:vMerge w:val="restart"/>
          </w:tcPr>
          <w:p>
            <w:pPr>
              <w:jc w:val="center"/>
              <w:ind w:right="399"/>
              <w:spacing w:after="0"/>
              <w:rPr>
                <w:sz w:val="20"/>
                <w:szCs w:val="20"/>
                <w:color w:val="auto"/>
              </w:rPr>
            </w:pPr>
            <w:r>
              <w:rPr>
                <w:rFonts w:ascii="Arial" w:cs="Arial" w:eastAsia="Arial" w:hAnsi="Arial"/>
                <w:sz w:val="18"/>
                <w:szCs w:val="18"/>
                <w:color w:val="0000FF"/>
                <w:w w:val="88"/>
              </w:rPr>
              <w:t>11,041,856</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rPr>
              <w:t>(3)(4)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vMerge w:val="restart"/>
          </w:tcPr>
          <w:p>
            <w:pPr>
              <w:ind w:left="320"/>
              <w:spacing w:after="0"/>
              <w:rPr>
                <w:sz w:val="20"/>
                <w:szCs w:val="20"/>
                <w:color w:val="auto"/>
              </w:rPr>
            </w:pPr>
            <w:r>
              <w:rPr>
                <w:rFonts w:ascii="Arial" w:cs="Arial" w:eastAsia="Arial" w:hAnsi="Arial"/>
                <w:sz w:val="18"/>
                <w:szCs w:val="18"/>
                <w:color w:val="0000FF"/>
                <w:w w:val="88"/>
              </w:rPr>
              <w:t>04/02/2018</w:t>
            </w:r>
          </w:p>
        </w:tc>
        <w:tc>
          <w:tcPr>
            <w:tcW w:w="840" w:type="dxa"/>
            <w:vAlign w:val="bottom"/>
          </w:tcPr>
          <w:p>
            <w:pPr>
              <w:spacing w:after="0"/>
              <w:rPr>
                <w:sz w:val="18"/>
                <w:szCs w:val="18"/>
                <w:color w:val="auto"/>
              </w:rPr>
            </w:pPr>
          </w:p>
        </w:tc>
        <w:tc>
          <w:tcPr>
            <w:tcW w:w="820" w:type="dxa"/>
            <w:vAlign w:val="bottom"/>
            <w:vMerge w:val="restart"/>
          </w:tcPr>
          <w:p>
            <w:pPr>
              <w:ind w:left="640"/>
              <w:spacing w:after="0"/>
              <w:rPr>
                <w:sz w:val="20"/>
                <w:szCs w:val="20"/>
                <w:color w:val="auto"/>
              </w:rPr>
            </w:pPr>
            <w:r>
              <w:rPr>
                <w:rFonts w:ascii="Arial" w:cs="Arial" w:eastAsia="Arial" w:hAnsi="Arial"/>
                <w:sz w:val="14"/>
                <w:szCs w:val="14"/>
                <w:color w:val="0000FF"/>
              </w:rPr>
              <w:t>P</w:t>
            </w:r>
          </w:p>
        </w:tc>
        <w:tc>
          <w:tcPr>
            <w:tcW w:w="1400" w:type="dxa"/>
            <w:vAlign w:val="bottom"/>
            <w:vMerge w:val="restart"/>
          </w:tcPr>
          <w:p>
            <w:pPr>
              <w:jc w:val="center"/>
              <w:ind w:left="186"/>
              <w:spacing w:after="0"/>
              <w:rPr>
                <w:sz w:val="20"/>
                <w:szCs w:val="20"/>
                <w:color w:val="auto"/>
              </w:rPr>
            </w:pPr>
            <w:r>
              <w:rPr>
                <w:rFonts w:ascii="Arial" w:cs="Arial" w:eastAsia="Arial" w:hAnsi="Arial"/>
                <w:sz w:val="18"/>
                <w:szCs w:val="18"/>
                <w:color w:val="0000FF"/>
                <w:w w:val="84"/>
              </w:rPr>
              <w:t>6,700</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1080" w:type="dxa"/>
            <w:vAlign w:val="bottom"/>
            <w:vMerge w:val="restart"/>
          </w:tcPr>
          <w:p>
            <w:pPr>
              <w:jc w:val="center"/>
              <w:ind w:left="54"/>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5.7365</w:t>
            </w:r>
            <w:r>
              <w:rPr>
                <w:rFonts w:ascii="Arial" w:cs="Arial" w:eastAsia="Arial" w:hAnsi="Arial"/>
                <w:sz w:val="22"/>
                <w:szCs w:val="22"/>
                <w:color w:val="008000"/>
                <w:w w:val="83"/>
                <w:vertAlign w:val="superscript"/>
              </w:rPr>
              <w:t>(11)</w:t>
            </w:r>
          </w:p>
        </w:tc>
        <w:tc>
          <w:tcPr>
            <w:tcW w:w="1540" w:type="dxa"/>
            <w:vAlign w:val="bottom"/>
            <w:gridSpan w:val="2"/>
            <w:vMerge w:val="restart"/>
          </w:tcPr>
          <w:p>
            <w:pPr>
              <w:jc w:val="center"/>
              <w:ind w:right="399"/>
              <w:spacing w:after="0"/>
              <w:rPr>
                <w:sz w:val="20"/>
                <w:szCs w:val="20"/>
                <w:color w:val="auto"/>
              </w:rPr>
            </w:pPr>
            <w:r>
              <w:rPr>
                <w:rFonts w:ascii="Arial" w:cs="Arial" w:eastAsia="Arial" w:hAnsi="Arial"/>
                <w:sz w:val="18"/>
                <w:szCs w:val="18"/>
                <w:color w:val="0000FF"/>
                <w:w w:val="88"/>
              </w:rPr>
              <w:t>11,048,556</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rPr>
              <w:t>(3)(4)</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center"/>
              <w:ind w:left="221"/>
              <w:spacing w:after="0"/>
              <w:rPr>
                <w:sz w:val="20"/>
                <w:szCs w:val="20"/>
                <w:color w:val="auto"/>
              </w:rPr>
            </w:pPr>
            <w:r>
              <w:rPr>
                <w:rFonts w:ascii="Arial" w:cs="Arial" w:eastAsia="Arial" w:hAnsi="Arial"/>
                <w:sz w:val="18"/>
                <w:szCs w:val="18"/>
                <w:color w:val="0000FF"/>
                <w:w w:val="87"/>
              </w:rPr>
              <w:t>89,363</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Master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83"/>
              </w:rPr>
              <w:t>Ltd.</w:t>
            </w:r>
            <w:r>
              <w:rPr>
                <w:rFonts w:ascii="Arial" w:cs="Arial" w:eastAsia="Arial" w:hAnsi="Arial"/>
                <w:sz w:val="22"/>
                <w:szCs w:val="22"/>
                <w:color w:val="008000"/>
                <w:w w:val="83"/>
                <w:vertAlign w:val="superscript"/>
              </w:rPr>
              <w:t>(6)</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0000FF"/>
              </w:rPr>
              <w:t>By:</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1,275,129</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center"/>
              <w:ind w:left="221"/>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vMerge w:val="restart"/>
          </w:tcPr>
          <w:p>
            <w:pPr>
              <w:jc w:val="center"/>
              <w:ind w:left="221"/>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rPr>
              <w:t>(8)</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center"/>
              <w:ind w:left="221"/>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8"/>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6"/>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3"/>
              </w:rPr>
              <w:t>Form:</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0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0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051560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7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2.</w:t>
            </w:r>
          </w:p>
        </w:tc>
        <w:tc>
          <w:tcPr>
            <w:tcW w:w="520" w:type="dxa"/>
            <w:vAlign w:val="bottom"/>
          </w:tcPr>
          <w:p>
            <w:pPr>
              <w:spacing w:after="0"/>
              <w:rPr>
                <w:sz w:val="10"/>
                <w:szCs w:val="10"/>
                <w:color w:val="auto"/>
              </w:rPr>
            </w:pPr>
          </w:p>
        </w:tc>
        <w:tc>
          <w:tcPr>
            <w:tcW w:w="1200" w:type="dxa"/>
            <w:vAlign w:val="bottom"/>
            <w:gridSpan w:val="3"/>
          </w:tcPr>
          <w:p>
            <w:pPr>
              <w:ind w:left="100"/>
              <w:spacing w:after="0" w:line="121"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line="121" w:lineRule="exact"/>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4Code.</w:t>
            </w:r>
          </w:p>
        </w:tc>
        <w:tc>
          <w:tcPr>
            <w:tcW w:w="340" w:type="dxa"/>
            <w:vAlign w:val="bottom"/>
            <w:gridSpan w:val="3"/>
          </w:tcPr>
          <w:p>
            <w:pPr>
              <w:ind w:left="20"/>
              <w:spacing w:after="0" w:line="121"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5(A).Number(D)</w:t>
            </w:r>
          </w:p>
        </w:tc>
        <w:tc>
          <w:tcPr>
            <w:tcW w:w="158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w w:val="73"/>
              </w:rPr>
              <w:t>6Exercisable.DateExercisableDate and</w:t>
            </w:r>
          </w:p>
        </w:tc>
        <w:tc>
          <w:tcPr>
            <w:tcW w:w="1100" w:type="dxa"/>
            <w:vAlign w:val="bottom"/>
          </w:tcPr>
          <w:p>
            <w:pPr>
              <w:ind w:left="60"/>
              <w:spacing w:after="0" w:line="121" w:lineRule="exact"/>
              <w:rPr>
                <w:sz w:val="20"/>
                <w:szCs w:val="20"/>
                <w:color w:val="auto"/>
              </w:rPr>
            </w:pPr>
            <w:r>
              <w:rPr>
                <w:rFonts w:ascii="Arial" w:cs="Arial" w:eastAsia="Arial" w:hAnsi="Arial"/>
                <w:sz w:val="12"/>
                <w:szCs w:val="12"/>
                <w:b w:val="1"/>
                <w:bCs w:val="1"/>
                <w:color w:val="auto"/>
                <w:w w:val="82"/>
              </w:rPr>
              <w:t>7Title.Title andShares</w:t>
            </w:r>
          </w:p>
        </w:tc>
        <w:tc>
          <w:tcPr>
            <w:tcW w:w="7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1"/>
              </w:rPr>
              <w:t>Transaction</w:t>
            </w:r>
          </w:p>
        </w:tc>
        <w:tc>
          <w:tcPr>
            <w:tcW w:w="1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tcPr>
          <w:p>
            <w:pPr>
              <w:ind w:left="100"/>
              <w:spacing w:after="0" w:line="12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2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40" w:type="dxa"/>
            <w:vAlign w:val="bottom"/>
            <w:gridSpan w:val="7"/>
          </w:tcPr>
          <w:p>
            <w:pPr>
              <w:ind w:left="60"/>
              <w:spacing w:after="0" w:line="81"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800" w:type="dxa"/>
            <w:vAlign w:val="bottom"/>
            <w:gridSpan w:val="2"/>
          </w:tcPr>
          <w:p>
            <w:pPr>
              <w:ind w:left="80"/>
              <w:spacing w:after="0" w:line="54" w:lineRule="exact"/>
              <w:rPr>
                <w:sz w:val="20"/>
                <w:szCs w:val="20"/>
                <w:color w:val="auto"/>
              </w:rPr>
            </w:pPr>
            <w:r>
              <w:rPr>
                <w:rFonts w:ascii="Arial" w:cs="Arial" w:eastAsia="Arial" w:hAnsi="Arial"/>
                <w:sz w:val="6"/>
                <w:szCs w:val="6"/>
                <w:b w:val="1"/>
                <w:bCs w:val="1"/>
                <w:color w:val="auto"/>
              </w:rPr>
              <w:t>Price of</w:t>
            </w: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gridSpan w:val="8"/>
          </w:tcPr>
          <w:p>
            <w:pPr>
              <w:spacing w:after="0"/>
              <w:rPr>
                <w:sz w:val="20"/>
                <w:szCs w:val="20"/>
                <w:color w:val="auto"/>
              </w:rPr>
            </w:pPr>
            <w:r>
              <w:rPr>
                <w:rFonts w:ascii="Arial" w:cs="Arial" w:eastAsia="Arial" w:hAnsi="Arial"/>
                <w:sz w:val="2"/>
                <w:szCs w:val="2"/>
                <w:color w:val="0000EE"/>
              </w:rPr>
              <w:t>LEVIN CAPITAL STRATEGIES, L.P.</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gridSpan w:val="2"/>
          </w:tcPr>
          <w:p>
            <w:pPr>
              <w:ind w:left="8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ind w:left="80"/>
              <w:spacing w:after="0" w:line="10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04"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0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1" w:lineRule="exact"/>
              <w:rPr>
                <w:sz w:val="20"/>
                <w:szCs w:val="20"/>
                <w:color w:val="auto"/>
              </w:rPr>
            </w:pPr>
            <w:r>
              <w:rPr>
                <w:rFonts w:ascii="Arial" w:cs="Arial" w:eastAsia="Arial" w:hAnsi="Arial"/>
                <w:sz w:val="14"/>
                <w:szCs w:val="14"/>
                <w:color w:val="auto"/>
              </w:rPr>
              <w:t>(Last)</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(First)</w:t>
            </w:r>
          </w:p>
        </w:tc>
        <w:tc>
          <w:tcPr>
            <w:tcW w:w="280" w:type="dxa"/>
            <w:vAlign w:val="bottom"/>
          </w:tcPr>
          <w:p>
            <w:pPr>
              <w:spacing w:after="0"/>
              <w:rPr>
                <w:sz w:val="13"/>
                <w:szCs w:val="13"/>
                <w:color w:val="auto"/>
              </w:rPr>
            </w:pPr>
          </w:p>
        </w:tc>
        <w:tc>
          <w:tcPr>
            <w:tcW w:w="820" w:type="dxa"/>
            <w:vAlign w:val="bottom"/>
          </w:tcPr>
          <w:p>
            <w:pPr>
              <w:spacing w:after="0" w:line="151" w:lineRule="exact"/>
              <w:rPr>
                <w:sz w:val="20"/>
                <w:szCs w:val="20"/>
                <w:color w:val="auto"/>
              </w:rPr>
            </w:pPr>
            <w:r>
              <w:rPr>
                <w:rFonts w:ascii="Arial" w:cs="Arial" w:eastAsia="Arial" w:hAnsi="Arial"/>
                <w:sz w:val="14"/>
                <w:szCs w:val="14"/>
                <w:color w:val="auto"/>
              </w:rPr>
              <w:t>(Middle)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6"/>
            <w:vMerge w:val="restart"/>
          </w:tcPr>
          <w:p>
            <w:pPr>
              <w:spacing w:after="0"/>
              <w:rPr>
                <w:sz w:val="20"/>
                <w:szCs w:val="20"/>
                <w:color w:val="auto"/>
              </w:rPr>
            </w:pPr>
            <w:r>
              <w:rPr>
                <w:rFonts w:ascii="Arial" w:cs="Arial" w:eastAsia="Arial" w:hAnsi="Arial"/>
                <w:sz w:val="18"/>
                <w:szCs w:val="18"/>
                <w:color w:val="0000FF"/>
                <w:highlight w:val="white"/>
              </w:rPr>
              <w:t>595 MADISON AVENUE</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640" w:type="dxa"/>
            <w:vAlign w:val="bottom"/>
            <w:gridSpan w:val="6"/>
            <w:vMerge w:val="continue"/>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8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640" w:type="dxa"/>
            <w:vAlign w:val="bottom"/>
            <w:gridSpan w:val="6"/>
            <w:vMerge w:val="continue"/>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highlight w:val="white"/>
              </w:rPr>
              <w:t>17TH FLOOR</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7"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spacing w:after="0" w:line="178" w:lineRule="exact"/>
              <w:rPr>
                <w:sz w:val="20"/>
                <w:szCs w:val="20"/>
                <w:color w:val="auto"/>
              </w:rPr>
            </w:pPr>
            <w:r>
              <w:rPr>
                <w:rFonts w:ascii="Arial" w:cs="Arial" w:eastAsia="Arial" w:hAnsi="Arial"/>
                <w:sz w:val="18"/>
                <w:szCs w:val="18"/>
                <w:color w:val="0000FF"/>
                <w:highlight w:val="white"/>
              </w:rPr>
              <w:t>NEW YORK</w:t>
            </w:r>
          </w:p>
        </w:tc>
        <w:tc>
          <w:tcPr>
            <w:tcW w:w="1200" w:type="dxa"/>
            <w:vAlign w:val="bottom"/>
            <w:gridSpan w:val="3"/>
          </w:tcPr>
          <w:p>
            <w:pPr>
              <w:ind w:left="20"/>
              <w:spacing w:after="0" w:line="178" w:lineRule="exact"/>
              <w:rPr>
                <w:sz w:val="20"/>
                <w:szCs w:val="20"/>
                <w:color w:val="auto"/>
              </w:rPr>
            </w:pPr>
            <w:r>
              <w:rPr>
                <w:rFonts w:ascii="Arial" w:cs="Arial" w:eastAsia="Arial" w:hAnsi="Arial"/>
                <w:sz w:val="18"/>
                <w:szCs w:val="18"/>
                <w:color w:val="0000FF"/>
                <w:highlight w:val="white"/>
              </w:rPr>
              <w:t>NY</w:t>
            </w:r>
          </w:p>
        </w:tc>
        <w:tc>
          <w:tcPr>
            <w:tcW w:w="1100" w:type="dxa"/>
            <w:vAlign w:val="bottom"/>
            <w:gridSpan w:val="2"/>
          </w:tcPr>
          <w:p>
            <w:pPr>
              <w:ind w:left="280"/>
              <w:spacing w:after="0" w:line="178" w:lineRule="exact"/>
              <w:rPr>
                <w:sz w:val="20"/>
                <w:szCs w:val="20"/>
                <w:color w:val="auto"/>
              </w:rPr>
            </w:pPr>
            <w:r>
              <w:rPr>
                <w:rFonts w:ascii="Arial" w:cs="Arial" w:eastAsia="Arial" w:hAnsi="Arial"/>
                <w:sz w:val="18"/>
                <w:szCs w:val="18"/>
                <w:color w:val="0000FF"/>
              </w:rPr>
              <w:t>10022</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vMerge w:val="continue"/>
          </w:tcPr>
          <w:p>
            <w:pPr>
              <w:spacing w:after="0"/>
              <w:rPr>
                <w:sz w:val="14"/>
                <w:szCs w:val="14"/>
                <w:color w:val="auto"/>
              </w:rPr>
            </w:pPr>
          </w:p>
        </w:tc>
        <w:tc>
          <w:tcPr>
            <w:tcW w:w="340" w:type="dxa"/>
            <w:vAlign w:val="bottom"/>
            <w:tcBorders>
              <w:bottom w:val="single" w:sz="8" w:color="808080"/>
            </w:tcBorders>
            <w:gridSpan w:val="3"/>
            <w:vMerge w:val="continue"/>
          </w:tcPr>
          <w:p>
            <w:pPr>
              <w:spacing w:after="0"/>
              <w:rPr>
                <w:sz w:val="14"/>
                <w:szCs w:val="14"/>
                <w:color w:val="auto"/>
              </w:rPr>
            </w:pPr>
          </w:p>
        </w:tc>
        <w:tc>
          <w:tcPr>
            <w:tcW w:w="780" w:type="dxa"/>
            <w:vAlign w:val="bottom"/>
            <w:tcBorders>
              <w:bottom w:val="single" w:sz="8" w:color="808080"/>
            </w:tcBorders>
            <w:vMerge w:val="continue"/>
          </w:tcPr>
          <w:p>
            <w:pPr>
              <w:spacing w:after="0"/>
              <w:rPr>
                <w:sz w:val="14"/>
                <w:szCs w:val="14"/>
                <w:color w:val="auto"/>
              </w:rPr>
            </w:pPr>
          </w:p>
        </w:tc>
        <w:tc>
          <w:tcPr>
            <w:tcW w:w="82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520" w:type="dxa"/>
            <w:vAlign w:val="bottom"/>
            <w:tcBorders>
              <w:bottom w:val="single" w:sz="8" w:color="9A9A9A"/>
            </w:tcBorders>
          </w:tcPr>
          <w:p>
            <w:pPr>
              <w:spacing w:after="0"/>
              <w:rPr>
                <w:sz w:val="2"/>
                <w:szCs w:val="2"/>
                <w:color w:val="auto"/>
              </w:rPr>
            </w:pPr>
          </w:p>
        </w:tc>
        <w:tc>
          <w:tcPr>
            <w:tcW w:w="800" w:type="dxa"/>
            <w:vAlign w:val="bottom"/>
            <w:tcBorders>
              <w:bottom w:val="single" w:sz="8" w:color="9A9A9A"/>
            </w:tcBorders>
          </w:tcPr>
          <w:p>
            <w:pPr>
              <w:spacing w:after="0"/>
              <w:rPr>
                <w:sz w:val="2"/>
                <w:szCs w:val="2"/>
                <w:color w:val="auto"/>
              </w:rPr>
            </w:pPr>
          </w:p>
        </w:tc>
        <w:tc>
          <w:tcPr>
            <w:tcW w:w="38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Levin Capital Strategies GP,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00" w:type="dxa"/>
            <w:vAlign w:val="bottom"/>
            <w:gridSpan w:val="2"/>
          </w:tcPr>
          <w:p>
            <w:pPr>
              <w:ind w:left="280"/>
              <w:spacing w:after="0"/>
              <w:rPr>
                <w:sz w:val="20"/>
                <w:szCs w:val="20"/>
                <w:color w:val="auto"/>
              </w:rPr>
            </w:pPr>
            <w:r>
              <w:rPr>
                <w:rFonts w:ascii="Arial" w:cs="Arial" w:eastAsia="Arial" w:hAnsi="Arial"/>
                <w:sz w:val="18"/>
                <w:szCs w:val="18"/>
                <w:color w:val="0000FF"/>
              </w:rPr>
              <w:t>10022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Borders>
              <w:bottom w:val="single" w:sz="8" w:color="0000EE"/>
            </w:tcBorders>
            <w:gridSpan w:val="9"/>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Bi-Directional Disequilibrium Master Fund, Ltd.</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00" w:type="dxa"/>
            <w:vAlign w:val="bottom"/>
            <w:gridSpan w:val="2"/>
          </w:tcPr>
          <w:p>
            <w:pPr>
              <w:ind w:left="280"/>
              <w:spacing w:after="0"/>
              <w:rPr>
                <w:sz w:val="20"/>
                <w:szCs w:val="20"/>
                <w:color w:val="auto"/>
              </w:rPr>
            </w:pPr>
            <w:r>
              <w:rPr>
                <w:rFonts w:ascii="Arial" w:cs="Arial" w:eastAsia="Arial" w:hAnsi="Arial"/>
                <w:sz w:val="18"/>
                <w:szCs w:val="18"/>
                <w:color w:val="0000FF"/>
              </w:rPr>
              <w:t>10022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LCS, LLC</w:t>
              </w:r>
            </w:hyperlink>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00" w:type="dxa"/>
            <w:vAlign w:val="bottom"/>
            <w:gridSpan w:val="2"/>
          </w:tcPr>
          <w:p>
            <w:pPr>
              <w:ind w:left="280"/>
              <w:spacing w:after="0"/>
              <w:rPr>
                <w:sz w:val="20"/>
                <w:szCs w:val="20"/>
                <w:color w:val="auto"/>
              </w:rPr>
            </w:pPr>
            <w:r>
              <w:rPr>
                <w:rFonts w:ascii="Arial" w:cs="Arial" w:eastAsia="Arial" w:hAnsi="Arial"/>
                <w:sz w:val="18"/>
                <w:szCs w:val="18"/>
                <w:color w:val="0000FF"/>
              </w:rPr>
              <w:t>10022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6"/>
          </w:tcPr>
          <w:p>
            <w:pPr>
              <w:spacing w:after="0" w:line="224" w:lineRule="exact"/>
              <w:rPr>
                <w:rFonts w:ascii="Arial" w:cs="Arial" w:eastAsia="Arial" w:hAnsi="Arial"/>
                <w:sz w:val="22"/>
                <w:szCs w:val="22"/>
                <w:color w:val="0000EE"/>
                <w:w w:val="90"/>
              </w:rPr>
            </w:pPr>
            <w:hyperlink r:id="rId18">
              <w:r>
                <w:rPr>
                  <w:rFonts w:ascii="Arial" w:cs="Arial" w:eastAsia="Arial" w:hAnsi="Arial"/>
                  <w:sz w:val="22"/>
                  <w:szCs w:val="22"/>
                  <w:color w:val="0000EE"/>
                  <w:w w:val="90"/>
                </w:rPr>
                <w:t>Levcap Alternative Fund, L.P.</w:t>
              </w:r>
            </w:hyperlink>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17TH FLOOR</w:t>
            </w: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00" w:type="dxa"/>
            <w:vAlign w:val="bottom"/>
            <w:gridSpan w:val="2"/>
          </w:tcPr>
          <w:p>
            <w:pPr>
              <w:ind w:left="280"/>
              <w:spacing w:after="0"/>
              <w:rPr>
                <w:sz w:val="20"/>
                <w:szCs w:val="20"/>
                <w:color w:val="auto"/>
              </w:rPr>
            </w:pPr>
            <w:r>
              <w:rPr>
                <w:rFonts w:ascii="Arial" w:cs="Arial" w:eastAsia="Arial" w:hAnsi="Arial"/>
                <w:sz w:val="18"/>
                <w:szCs w:val="18"/>
                <w:color w:val="0000FF"/>
              </w:rPr>
              <w:t>10022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LCS Event Partners, LLC</w:t>
              </w:r>
            </w:hyperlink>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64" w:right="239" w:bottom="0" w:gutter="0" w:footer="0" w:header="0"/>
        </w:sectPr>
      </w:pPr>
    </w:p>
    <w:p>
      <w:pPr>
        <w:ind w:left="120"/>
        <w:spacing w:after="0"/>
        <w:rPr>
          <w:sz w:val="20"/>
          <w:szCs w:val="20"/>
          <w:color w:val="auto"/>
        </w:rPr>
      </w:pPr>
      <w:r>
        <w:rPr>
          <w:rFonts w:ascii="Arial" w:cs="Arial" w:eastAsia="Arial" w:hAnsi="Arial"/>
          <w:sz w:val="16"/>
          <w:szCs w:val="16"/>
          <w:color w:val="0000FF"/>
        </w:rPr>
        <w:t>595 MADISON AVENUE</w:t>
      </w:r>
    </w:p>
    <w:p>
      <w:pPr>
        <w:sectPr>
          <w:pgSz w:w="11900" w:h="16838" w:orient="portrait"/>
          <w:cols w:equalWidth="0" w:num="1">
            <w:col w:w="11420"/>
          </w:cols>
          <w:pgMar w:left="240" w:top="64" w:right="239"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639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924175" cy="6393180"/>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Safinia Partners,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80" w:type="dxa"/>
            <w:vAlign w:val="bottom"/>
            <w:gridSpan w:val="2"/>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LCS L/S, LLC</w:t>
              </w:r>
            </w:hyperlink>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(Last)</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60" w:type="dxa"/>
            <w:vAlign w:val="bottom"/>
            <w:gridSpan w:val="3"/>
          </w:tcPr>
          <w:p>
            <w:pPr>
              <w:ind w:left="8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(City)</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20" w:right="22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Master Fund, Ltd. ("BDD")(formerly known as Levin Capital Trilogy Master Fund, Ltd.), LCS, LLC ("LCSL"),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LCSL,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10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LCSL,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jc w:val="both"/>
        <w:ind w:left="20" w:right="2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LCSL, as the general partner of the domestic feeder fund which owns a controlling interest in BDD, may be deemed to share voting and dispositive power over the 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28, 2018, one of the Managed Accounts that held 2,915 shares closed. Accordingly, as of March 28, 2018, LCS ceased to serve as the investment manager for such Managed Account and as such, relinquished all voting and dispositive power over the shares held in the Managed Account.</w:t>
      </w:r>
    </w:p>
    <w:p>
      <w:pPr>
        <w:ind w:left="20" w:right="2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$5.675 to $5.75.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11.</w:t>
      </w:r>
    </w:p>
    <w:p>
      <w:pPr>
        <w:spacing w:after="0" w:line="9"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8"/>
              </w:rPr>
              <w:t>Levin Capital Strategies, L.P.;</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000" w:type="dxa"/>
            <w:vAlign w:val="bottom"/>
            <w:gridSpan w:val="2"/>
          </w:tcPr>
          <w:p>
            <w:pPr>
              <w:spacing w:after="0" w:line="196" w:lineRule="exact"/>
              <w:rPr>
                <w:sz w:val="20"/>
                <w:szCs w:val="20"/>
                <w:color w:val="auto"/>
              </w:rPr>
            </w:pPr>
            <w:r>
              <w:rPr>
                <w:rFonts w:ascii="Arial" w:cs="Arial" w:eastAsia="Arial" w:hAnsi="Arial"/>
                <w:sz w:val="18"/>
                <w:szCs w:val="18"/>
                <w:color w:val="0000FF"/>
                <w:w w:val="91"/>
              </w:rPr>
              <w:t>By: /s/ John A. Levin, Chief</w:t>
            </w:r>
          </w:p>
        </w:tc>
        <w:tc>
          <w:tcPr>
            <w:tcW w:w="200" w:type="dxa"/>
            <w:vAlign w:val="bottom"/>
            <w:gridSpan w:val="2"/>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97"/>
              </w:rPr>
              <w:t>04/04/2018</w:t>
            </w:r>
          </w:p>
        </w:tc>
      </w:tr>
      <w:tr>
        <w:trPr>
          <w:trHeight w:val="196"/>
        </w:trPr>
        <w:tc>
          <w:tcPr>
            <w:tcW w:w="1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91"/>
              </w:rPr>
              <w:t>Executive Officer</w:t>
            </w:r>
          </w:p>
        </w:tc>
        <w:tc>
          <w:tcPr>
            <w:tcW w:w="740" w:type="dxa"/>
            <w:vAlign w:val="bottom"/>
            <w:tcBorders>
              <w:top w:val="single" w:sz="8" w:color="auto"/>
            </w:tcBorders>
          </w:tcPr>
          <w:p>
            <w:pPr>
              <w:spacing w:after="0"/>
              <w:rPr>
                <w:sz w:val="17"/>
                <w:szCs w:val="17"/>
                <w:color w:val="auto"/>
              </w:rPr>
            </w:pPr>
          </w:p>
        </w:tc>
        <w:tc>
          <w:tcPr>
            <w:tcW w:w="2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50"/>
        </w:trPr>
        <w:tc>
          <w:tcPr>
            <w:tcW w:w="2000" w:type="dxa"/>
            <w:vAlign w:val="bottom"/>
            <w:gridSpan w:val="2"/>
          </w:tcPr>
          <w:p>
            <w:pPr>
              <w:spacing w:after="0"/>
              <w:rPr>
                <w:sz w:val="20"/>
                <w:szCs w:val="20"/>
                <w:color w:val="auto"/>
              </w:rPr>
            </w:pPr>
            <w:r>
              <w:rPr>
                <w:rFonts w:ascii="Arial" w:cs="Arial" w:eastAsia="Arial" w:hAnsi="Arial"/>
                <w:sz w:val="18"/>
                <w:szCs w:val="18"/>
                <w:color w:val="0000FF"/>
                <w:w w:val="87"/>
              </w:rPr>
              <w:t>Levin Capital Strategies GP,</w:t>
            </w:r>
          </w:p>
        </w:tc>
        <w:tc>
          <w:tcPr>
            <w:tcW w:w="200" w:type="dxa"/>
            <w:vAlign w:val="bottom"/>
            <w:gridSpan w:val="2"/>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0000FF"/>
                <w:w w:val="97"/>
              </w:rPr>
              <w:t>04/04/2018</w:t>
            </w:r>
          </w:p>
        </w:tc>
      </w:tr>
      <w:tr>
        <w:trPr>
          <w:trHeight w:val="20"/>
        </w:trPr>
        <w:tc>
          <w:tcPr>
            <w:tcW w:w="1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40"/>
          </w:cols>
          <w:pgMar w:left="260" w:top="131" w:right="299" w:bottom="0" w:gutter="0" w:footer="0" w:header="0"/>
        </w:sectPr>
      </w:pPr>
    </w:p>
    <w:bookmarkStart w:id="3" w:name="page4"/>
    <w:bookmarkEnd w:id="3"/>
    <w:p>
      <w:pPr>
        <w:ind w:left="6820"/>
        <w:spacing w:after="0"/>
        <w:rPr>
          <w:sz w:val="20"/>
          <w:szCs w:val="20"/>
          <w:color w:val="auto"/>
        </w:rPr>
      </w:pPr>
      <w:r>
        <w:rPr>
          <w:rFonts w:ascii="Arial" w:cs="Arial" w:eastAsia="Arial" w:hAnsi="Arial"/>
          <w:sz w:val="18"/>
          <w:szCs w:val="18"/>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43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407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468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ind w:left="6820"/>
        <w:spacing w:after="0" w:line="217" w:lineRule="auto"/>
        <w:tabs>
          <w:tab w:leader="none" w:pos="9100" w:val="left"/>
        </w:tabs>
        <w:rPr>
          <w:sz w:val="20"/>
          <w:szCs w:val="20"/>
          <w:color w:val="auto"/>
        </w:rPr>
      </w:pPr>
      <w:r>
        <w:rPr>
          <w:rFonts w:ascii="Arial" w:cs="Arial" w:eastAsia="Arial" w:hAnsi="Arial"/>
          <w:sz w:val="18"/>
          <w:szCs w:val="18"/>
          <w:color w:val="0000FF"/>
        </w:rPr>
        <w:t>Master Fund, Ltd.; By: LCS,</w:t>
      </w:r>
      <w:r>
        <w:rPr>
          <w:sz w:val="20"/>
          <w:szCs w:val="20"/>
          <w:color w:val="auto"/>
        </w:rPr>
        <w:tab/>
      </w:r>
      <w:r>
        <w:rPr>
          <w:rFonts w:ascii="Arial" w:cs="Arial" w:eastAsia="Arial" w:hAnsi="Arial"/>
          <w:sz w:val="23"/>
          <w:szCs w:val="23"/>
          <w:color w:val="0000FF"/>
          <w:vertAlign w:val="subscript"/>
        </w:rPr>
        <w:t>04/04/2018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-28575</wp:posOffset>
            </wp:positionV>
            <wp:extent cx="1285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LLC; 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254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5412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ectPr>
          <w:pgSz w:w="11900" w:h="16838" w:orient="portrait"/>
          <w:cols w:equalWidth="0" w:num="1">
            <w:col w:w="10320"/>
          </w:cols>
          <w:pgMar w:left="280" w:top="131" w:right="129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LCS,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988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57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0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7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34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677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51"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0000FF"/>
        </w:rPr>
        <w:t>04/04/2018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04/04/2018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04/04/2018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04/04/2018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04/04/2018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04/04/2018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688304" TargetMode="External"/><Relationship Id="rId18" Type="http://schemas.openxmlformats.org/officeDocument/2006/relationships/hyperlink" Target="http://www.sec.gov/cgi-bin/browse-edgar?action=getcompany&amp;CIK=0001474048" TargetMode="External"/><Relationship Id="rId19" Type="http://schemas.openxmlformats.org/officeDocument/2006/relationships/hyperlink" Target="http://www.sec.gov/cgi-bin/browse-edgar?action=getcompany&amp;CIK=0001688302" TargetMode="External"/><Relationship Id="rId21" Type="http://schemas.openxmlformats.org/officeDocument/2006/relationships/hyperlink" Target="http://www.sec.gov/cgi-bin/browse-edgar?action=getcompany&amp;CIK=0001539456" TargetMode="External"/><Relationship Id="rId22"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2019-12-23T16:25:50Z</dcterms:created>
  <dcterms:modified xsi:type="dcterms:W3CDTF">2019-12-23T16:25:50Z</dcterms:modified>
</cp:coreProperties>
</file>