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Date of Report (Date of earliest event Reported): January 14, 2020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724"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340"/>
          </w:cols>
          <w:pgMar w:left="240" w:top="724" w:right="2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460" w:firstLine="292"/>
        <w:spacing w:after="0" w:line="501" w:lineRule="auto"/>
        <w:tabs>
          <w:tab w:leader="none" w:pos="479"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bl>
    <w:p>
      <w:pPr>
        <w:spacing w:after="0" w:line="20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 w:firstLine="389"/>
        <w:spacing w:after="0" w:line="277" w:lineRule="auto"/>
        <w:rPr>
          <w:sz w:val="20"/>
          <w:szCs w:val="20"/>
          <w:color w:val="auto"/>
        </w:rPr>
      </w:pPr>
      <w:r>
        <w:rPr>
          <w:rFonts w:ascii="Arial" w:cs="Arial" w:eastAsia="Arial" w:hAnsi="Arial"/>
          <w:sz w:val="18"/>
          <w:szCs w:val="18"/>
          <w:color w:val="auto"/>
        </w:rPr>
        <w:t>On January 14, 2020, Fluidigm Corporation issued a press release announcing preliminary financial results for the fourth quarter and full year ended December 31, 2019. A copy of the press release is furnished herewith as Exhibit 99.1.</w:t>
      </w:r>
    </w:p>
    <w:p>
      <w:pPr>
        <w:spacing w:after="0" w:line="170" w:lineRule="exact"/>
        <w:rPr>
          <w:sz w:val="20"/>
          <w:szCs w:val="20"/>
          <w:color w:val="auto"/>
        </w:rPr>
      </w:pPr>
    </w:p>
    <w:p>
      <w:pPr>
        <w:ind w:firstLine="389"/>
        <w:spacing w:after="0" w:line="259" w:lineRule="auto"/>
        <w:rPr>
          <w:sz w:val="20"/>
          <w:szCs w:val="20"/>
          <w:color w:val="auto"/>
        </w:rPr>
      </w:pPr>
      <w:r>
        <w:rPr>
          <w:rFonts w:ascii="Arial" w:cs="Arial" w:eastAsia="Arial" w:hAnsi="Arial"/>
          <w:sz w:val="18"/>
          <w:szCs w:val="18"/>
          <w:color w:val="auto"/>
        </w:rPr>
        <w:t>The foregoing information in this Current Report on Form 8-K, including exhibit 99.1 attached hereto, is being “furnished” and shall not be deemed “filed” for purposes of Section 18 of the Securities Exchange Act of 1934, as amended, and shall not be incorporated by reference in any filing under the Securities Exchange Act of 1934, as amended, or the Securities Act of 1933, as amended, except as expressly set forth by specific reference in such future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 No. Description</w:t>
      </w:r>
    </w:p>
    <w:p>
      <w:pPr>
        <w:spacing w:after="0" w:line="317" w:lineRule="exact"/>
        <w:rPr>
          <w:sz w:val="20"/>
          <w:szCs w:val="20"/>
          <w:color w:val="auto"/>
        </w:rPr>
      </w:pPr>
    </w:p>
    <w:p>
      <w:pPr>
        <w:ind w:left="20"/>
        <w:spacing w:after="0"/>
        <w:tabs>
          <w:tab w:leader="none" w:pos="10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hyperlink w:anchor="page4">
        <w:r>
          <w:rPr>
            <w:rFonts w:ascii="Arial" w:cs="Arial" w:eastAsia="Arial" w:hAnsi="Arial"/>
            <w:sz w:val="16"/>
            <w:szCs w:val="16"/>
            <w:u w:val="single" w:color="auto"/>
            <w:color w:val="0000EE"/>
          </w:rPr>
          <w:t>Fluidigm Corporation Press Release dated January 14, 2020</w:t>
        </w:r>
      </w:hyperlink>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21" w:right="5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920" w:type="dxa"/>
            <w:vAlign w:val="bottom"/>
            <w:gridSpan w:val="3"/>
          </w:tcPr>
          <w:p>
            <w:pPr>
              <w:ind w:left="192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January 14, 2020</w:t>
            </w:r>
          </w:p>
        </w:tc>
        <w:tc>
          <w:tcPr>
            <w:tcW w:w="3920" w:type="dxa"/>
            <w:vAlign w:val="bottom"/>
            <w:gridSpan w:val="3"/>
          </w:tcPr>
          <w:p>
            <w:pPr>
              <w:ind w:left="1920"/>
              <w:spacing w:after="0"/>
              <w:rPr>
                <w:sz w:val="20"/>
                <w:szCs w:val="20"/>
                <w:color w:val="auto"/>
              </w:rPr>
            </w:pPr>
            <w:r>
              <w:rPr>
                <w:rFonts w:ascii="Arial" w:cs="Arial" w:eastAsia="Arial" w:hAnsi="Arial"/>
                <w:sz w:val="18"/>
                <w:szCs w:val="18"/>
                <w:color w:val="auto"/>
              </w:rPr>
              <w:t>By: /s/ Vikram Jog</w:t>
            </w:r>
          </w:p>
        </w:tc>
      </w:tr>
      <w:tr>
        <w:trPr>
          <w:trHeight w:val="222"/>
        </w:trPr>
        <w:tc>
          <w:tcPr>
            <w:tcW w:w="3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28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20"/>
          </w:cols>
          <w:pgMar w:left="240" w:top="337" w:right="439" w:bottom="1440" w:gutter="0" w:footer="0" w:header="0"/>
        </w:sectPr>
      </w:pPr>
    </w:p>
    <w:bookmarkStart w:id="3" w:name="page4"/>
    <w:bookmarkEnd w:id="3"/>
    <w:p>
      <w:pPr>
        <w:ind w:left="10060"/>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25"/>
          <w:szCs w:val="25"/>
          <w:b w:val="1"/>
          <w:bCs w:val="1"/>
          <w:color w:val="auto"/>
        </w:rPr>
        <w:t>Fluidigm Provides Preliminary Financial Results for Fourth Quarter and Fiscal Year 2019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Fourth quarter preliminary revenue of $32.0-32.4 million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Fiscal year preliminary revenue of $116.7-117.2 million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Mass cytometry revenue increased approximately 23 percent for the full fiscal year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SOUTH SAN FRANCISCO, Calif., Jan. 14, 2020 (GLOBE NEWSWIRE) -- Fluidigm Corporation (NASDAQ: FLDM) today provided preliminary financial highlights for the fourth quarter ended December 31,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Preliminary Financial Highlights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1"/>
          <w:szCs w:val="21"/>
          <w:color w:val="auto"/>
        </w:rPr>
        <w:t>Fourth quarter revenue of $32.0-$32.4 million, at the upper end of the company’s guidance range of $29-$32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Mass cytometry fourth quarter annualized consumables pull-through of approximately $72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37" w:lineRule="auto"/>
        <w:rPr>
          <w:sz w:val="20"/>
          <w:szCs w:val="20"/>
          <w:color w:val="auto"/>
        </w:rPr>
      </w:pPr>
      <w:r>
        <w:rPr>
          <w:rFonts w:ascii="Arial" w:cs="Arial" w:eastAsia="Arial" w:hAnsi="Arial"/>
          <w:sz w:val="22"/>
          <w:szCs w:val="22"/>
          <w:color w:val="auto"/>
        </w:rPr>
        <w:t>Fourth quarter cash outflow of approximately $4.1 million. Cash and cash equivalents, short-term investments, and restricted cash as of December 31, 2019 of approximately $60.7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Preliminary 2020 Annual Revenue Guidance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Total fiscal year 2020 revenue expected to grow 8 percent to 11 percent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and Full Year 2019 Earnings Release Scheduled for February 10, 2020</w:t>
      </w:r>
    </w:p>
    <w:p>
      <w:pPr>
        <w:spacing w:after="0" w:line="14" w:lineRule="exact"/>
        <w:rPr>
          <w:sz w:val="20"/>
          <w:szCs w:val="20"/>
          <w:color w:val="auto"/>
        </w:rPr>
      </w:pPr>
    </w:p>
    <w:p>
      <w:pPr>
        <w:jc w:val="both"/>
        <w:ind w:right="220"/>
        <w:spacing w:after="0" w:line="287" w:lineRule="auto"/>
        <w:rPr>
          <w:sz w:val="20"/>
          <w:szCs w:val="20"/>
          <w:color w:val="auto"/>
        </w:rPr>
      </w:pPr>
      <w:r>
        <w:rPr>
          <w:rFonts w:ascii="Arial" w:cs="Arial" w:eastAsia="Arial" w:hAnsi="Arial"/>
          <w:sz w:val="19"/>
          <w:szCs w:val="19"/>
          <w:color w:val="auto"/>
        </w:rPr>
        <w:t>Fluidigm plans to report financial results for the fourth quarter and full year ended December 31, 2019 on Monday, February 10, 2020 after the close of the market. On the same day, at 2:00 p.m. PT/5:00 p.m. ET, Fluidigm will host a conference call to discuss its financial results and operational progress and provide details around its 2020 annual guidance.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auto"/>
        </w:rPr>
        <w:t>Individuals interested in listening to the conference call may do so by dialing the following:</w:t>
      </w:r>
    </w:p>
    <w:p>
      <w:pPr>
        <w:spacing w:after="0" w:line="20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US domestic callers: (877) 556-5248</w:t>
      </w:r>
    </w:p>
    <w:p>
      <w:pPr>
        <w:ind w:left="4180"/>
        <w:spacing w:after="0" w:line="238" w:lineRule="auto"/>
        <w:rPr>
          <w:sz w:val="20"/>
          <w:szCs w:val="20"/>
          <w:color w:val="auto"/>
        </w:rPr>
      </w:pPr>
      <w:r>
        <w:rPr>
          <w:rFonts w:ascii="Arial" w:cs="Arial" w:eastAsia="Arial" w:hAnsi="Arial"/>
          <w:sz w:val="22"/>
          <w:szCs w:val="22"/>
          <w:color w:val="auto"/>
        </w:rPr>
        <w:t>Outside US callers: (720) 545-0029</w:t>
      </w:r>
    </w:p>
    <w:p>
      <w:pPr>
        <w:ind w:left="3900"/>
        <w:spacing w:after="0"/>
        <w:rPr>
          <w:sz w:val="20"/>
          <w:szCs w:val="20"/>
          <w:color w:val="auto"/>
        </w:rPr>
      </w:pPr>
      <w:r>
        <w:rPr>
          <w:rFonts w:ascii="Arial" w:cs="Arial" w:eastAsia="Arial" w:hAnsi="Arial"/>
          <w:sz w:val="22"/>
          <w:szCs w:val="22"/>
          <w:color w:val="auto"/>
        </w:rPr>
        <w:t>Please reference Conference ID: 9226027</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 live webcast of the conference call will be available online from the Investor Relations page of the Company’s website at </w:t>
      </w:r>
      <w:r>
        <w:rPr>
          <w:rFonts w:ascii="Arial" w:cs="Arial" w:eastAsia="Arial" w:hAnsi="Arial"/>
          <w:sz w:val="19"/>
          <w:szCs w:val="19"/>
          <w:u w:val="single" w:color="auto"/>
          <w:color w:val="auto"/>
        </w:rPr>
        <w:t>Events</w:t>
      </w:r>
    </w:p>
    <w:p>
      <w:pPr>
        <w:spacing w:after="0" w:line="43" w:lineRule="exact"/>
        <w:rPr>
          <w:sz w:val="20"/>
          <w:szCs w:val="20"/>
          <w:color w:val="auto"/>
        </w:rPr>
      </w:pPr>
    </w:p>
    <w:p>
      <w:pPr>
        <w:ind w:left="240" w:hanging="232"/>
        <w:spacing w:after="0"/>
        <w:tabs>
          <w:tab w:leader="none" w:pos="240" w:val="left"/>
        </w:tabs>
        <w:numPr>
          <w:ilvl w:val="0"/>
          <w:numId w:val="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Presentations</w:t>
      </w:r>
      <w:r>
        <w:rPr>
          <w:rFonts w:ascii="Arial" w:cs="Arial" w:eastAsia="Arial" w:hAnsi="Arial"/>
          <w:sz w:val="22"/>
          <w:szCs w:val="22"/>
          <w:color w:val="auto"/>
        </w:rPr>
        <w:t>. The link will not be active until 1:45 p.m. PT/4:45 p.m. ET on February 10, 2020.</w:t>
      </w:r>
    </w:p>
    <w:p>
      <w:pPr>
        <w:spacing w:after="0" w:line="188" w:lineRule="exact"/>
        <w:rPr>
          <w:sz w:val="20"/>
          <w:szCs w:val="20"/>
          <w:color w:val="auto"/>
        </w:rPr>
      </w:pPr>
    </w:p>
    <w:p>
      <w:pPr>
        <w:ind w:right="440"/>
        <w:spacing w:after="0"/>
        <w:rPr>
          <w:sz w:val="20"/>
          <w:szCs w:val="20"/>
          <w:color w:val="auto"/>
        </w:rPr>
      </w:pPr>
      <w:r>
        <w:rPr>
          <w:rFonts w:ascii="Arial" w:cs="Arial" w:eastAsia="Arial" w:hAnsi="Arial"/>
          <w:sz w:val="22"/>
          <w:szCs w:val="22"/>
          <w:color w:val="auto"/>
        </w:rPr>
        <w:t xml:space="preserve">After the live webcast, the call will be archived on Fluidigm’s Investor Relations page at </w:t>
      </w:r>
      <w:r>
        <w:rPr>
          <w:rFonts w:ascii="Arial" w:cs="Arial" w:eastAsia="Arial" w:hAnsi="Arial"/>
          <w:sz w:val="22"/>
          <w:szCs w:val="22"/>
          <w:u w:val="single" w:color="auto"/>
          <w:color w:val="auto"/>
        </w:rPr>
        <w:t>investors.fluidigm.com</w:t>
      </w:r>
      <w:r>
        <w:rPr>
          <w:rFonts w:ascii="Arial" w:cs="Arial" w:eastAsia="Arial" w:hAnsi="Arial"/>
          <w:sz w:val="22"/>
          <w:szCs w:val="22"/>
          <w:color w:val="auto"/>
        </w:rPr>
        <w:t>. In addition, a telephone replay of the teleconference will be available approximately 90 minutes after the end of the call. The replay dial-in numbers are:</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US domestic callers: (855) 859-2056</w:t>
      </w:r>
    </w:p>
    <w:p>
      <w:pPr>
        <w:jc w:val="center"/>
        <w:ind w:right="60"/>
        <w:spacing w:after="0" w:line="238" w:lineRule="auto"/>
        <w:rPr>
          <w:sz w:val="20"/>
          <w:szCs w:val="20"/>
          <w:color w:val="auto"/>
        </w:rPr>
      </w:pPr>
      <w:r>
        <w:rPr>
          <w:rFonts w:ascii="Arial" w:cs="Arial" w:eastAsia="Arial" w:hAnsi="Arial"/>
          <w:sz w:val="22"/>
          <w:szCs w:val="22"/>
          <w:color w:val="auto"/>
        </w:rPr>
        <w:t>Outside US: (404) 537-3406</w:t>
      </w:r>
    </w:p>
    <w:p>
      <w:pPr>
        <w:jc w:val="center"/>
        <w:spacing w:after="0"/>
        <w:rPr>
          <w:sz w:val="20"/>
          <w:szCs w:val="20"/>
          <w:color w:val="auto"/>
        </w:rPr>
      </w:pPr>
      <w:r>
        <w:rPr>
          <w:rFonts w:ascii="Arial" w:cs="Arial" w:eastAsia="Arial" w:hAnsi="Arial"/>
          <w:sz w:val="22"/>
          <w:szCs w:val="22"/>
          <w:color w:val="auto"/>
        </w:rPr>
        <w:t>Please reference Conference ID: 9226027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telephone replay will be available until February 17.</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ind w:right="60"/>
        <w:spacing w:after="0" w:line="244" w:lineRule="exact"/>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annual revenue guidance for 2020.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are subject to numerous risks and uncertainties that could cause actual results to differ materially from currently anticipated results, including but not limited to challenges inherent in developing, manufacturing, launching, marketing, and selling new products; risks relating to reliance on sales of capital equipment for a significant proportion of revenues in each quarter; potential product performance and quality issues; the possible loss of key employees, customers, or suppliers; intellectual property risks; competition; uncertainties in contractual relationships; risks relating to company research and development, sales, marketing, and distribution plans and capabilities; reductions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and uncertainties and other information affecting Fluidigm's business and operating results is contained in its Annual Report on Form 10-K for the year ended</w:t>
      </w:r>
    </w:p>
    <w:p>
      <w:pPr>
        <w:sectPr>
          <w:pgSz w:w="11900" w:h="16838" w:orient="portrait"/>
          <w:cols w:equalWidth="0" w:num="1">
            <w:col w:w="11420"/>
          </w:cols>
          <w:pgMar w:left="240" w:top="112" w:right="239" w:bottom="0" w:gutter="0" w:footer="0" w:header="0"/>
        </w:sectPr>
      </w:pPr>
    </w:p>
    <w:bookmarkStart w:id="4" w:name="page5"/>
    <w:bookmarkEnd w:id="4"/>
    <w:p>
      <w:pPr>
        <w:jc w:val="both"/>
        <w:spacing w:after="0" w:line="241" w:lineRule="auto"/>
        <w:rPr>
          <w:sz w:val="20"/>
          <w:szCs w:val="20"/>
          <w:color w:val="auto"/>
        </w:rPr>
      </w:pPr>
      <w:r>
        <w:rPr>
          <w:rFonts w:ascii="Arial" w:cs="Arial" w:eastAsia="Arial" w:hAnsi="Arial"/>
          <w:sz w:val="22"/>
          <w:szCs w:val="22"/>
          <w:color w:val="auto"/>
        </w:rPr>
        <w:t>December 31, 2018, and in its other filings with the Securities and Exchange Commission. These forward-looking statements speak only as of the date hereof. Fluidigm disclaims any obligation to update these forward-looking statements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Fluidigm (NASDAQ:FLDM) is an industry-leading biotechnology tools provider with a vision to improve life through comprehensive health insight. We focus on the most pressing needs in translational and clinical research, including cancer, immunology, and immunotherapy. Using proprietary CyTOF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and plant and animal research laboratories worldwide. Together with them, we strive to increase the quality of life for all. For more information, visit fluidigm.com</w:t>
      </w:r>
      <w:r>
        <w:rPr>
          <w:rFonts w:ascii="Arial" w:cs="Arial" w:eastAsia="Arial" w:hAnsi="Arial"/>
          <w:sz w:val="22"/>
          <w:szCs w:val="22"/>
          <w:u w:val="single" w:color="auto"/>
          <w:color w:val="auto"/>
        </w:rPr>
        <w:t>.</w:t>
      </w:r>
    </w:p>
    <w:p>
      <w:pPr>
        <w:spacing w:after="0" w:line="215"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Fluidigm, and the Fluidigm logo are trademarks and/or registered trademarks of Fluidigm Corporation in the United States and/or other countries. Fluidigm products are provided for Research Use Only. Not for use in diagnostic procedures.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Agnes Lee</w:t>
      </w:r>
    </w:p>
    <w:p>
      <w:pPr>
        <w:spacing w:after="0" w:line="238" w:lineRule="auto"/>
        <w:rPr>
          <w:sz w:val="20"/>
          <w:szCs w:val="20"/>
          <w:color w:val="auto"/>
        </w:rPr>
      </w:pPr>
      <w:r>
        <w:rPr>
          <w:rFonts w:ascii="Arial" w:cs="Arial" w:eastAsia="Arial" w:hAnsi="Arial"/>
          <w:sz w:val="22"/>
          <w:szCs w:val="22"/>
          <w:color w:val="auto"/>
        </w:rPr>
        <w:t>Vice President, Investor Relations</w:t>
      </w:r>
    </w:p>
    <w:p>
      <w:pPr>
        <w:spacing w:after="0" w:line="230" w:lineRule="auto"/>
        <w:rPr>
          <w:sz w:val="20"/>
          <w:szCs w:val="20"/>
          <w:color w:val="auto"/>
        </w:rPr>
      </w:pPr>
      <w:r>
        <w:rPr>
          <w:rFonts w:ascii="Arial" w:cs="Arial" w:eastAsia="Arial" w:hAnsi="Arial"/>
          <w:sz w:val="22"/>
          <w:szCs w:val="22"/>
          <w:color w:val="auto"/>
        </w:rPr>
        <w:t>Fluidigm Corporation</w:t>
      </w:r>
    </w:p>
    <w:p>
      <w:pPr>
        <w:spacing w:after="0" w:line="231" w:lineRule="auto"/>
        <w:rPr>
          <w:sz w:val="20"/>
          <w:szCs w:val="20"/>
          <w:color w:val="auto"/>
        </w:rPr>
      </w:pPr>
      <w:r>
        <w:rPr>
          <w:rFonts w:ascii="Arial" w:cs="Arial" w:eastAsia="Arial" w:hAnsi="Arial"/>
          <w:sz w:val="22"/>
          <w:szCs w:val="22"/>
          <w:color w:val="auto"/>
        </w:rPr>
        <w:t>650 416 7423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agnes.lee@fluidigm.com</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2020-01-14T07:36:47Z</dcterms:created>
  <dcterms:modified xsi:type="dcterms:W3CDTF">2020-01-14T07:36:47Z</dcterms:modified>
</cp:coreProperties>
</file>