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As filed with the Securities and Exchange Commission on March 8, 2017</w:t>
      </w:r>
    </w:p>
    <w:p>
      <w:pPr>
        <w:spacing w:after="0" w:line="27" w:lineRule="exact"/>
        <w:rPr>
          <w:sz w:val="24"/>
          <w:szCs w:val="24"/>
          <w:color w:val="auto"/>
        </w:rPr>
      </w:pPr>
    </w:p>
    <w:p>
      <w:pPr>
        <w:ind w:left="924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S-3</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REGISTRATION STATEMENT</w:t>
      </w:r>
    </w:p>
    <w:p>
      <w:pPr>
        <w:jc w:val="center"/>
        <w:ind w:right="-39"/>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FLUIDIGM CORPORATION</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960" w:type="dxa"/>
        <w:tblCellMar>
          <w:top w:w="0" w:type="dxa"/>
          <w:left w:w="0" w:type="dxa"/>
          <w:bottom w:w="0" w:type="dxa"/>
          <w:right w:w="0" w:type="dxa"/>
        </w:tblCellMar>
      </w:tblPr>
      <w:tr>
        <w:trPr>
          <w:trHeight w:val="212"/>
        </w:trPr>
        <w:tc>
          <w:tcPr>
            <w:tcW w:w="3920" w:type="dxa"/>
            <w:vAlign w:val="bottom"/>
          </w:tcPr>
          <w:p>
            <w:pPr>
              <w:jc w:val="center"/>
              <w:ind w:right="1982"/>
              <w:spacing w:after="0"/>
              <w:rPr>
                <w:sz w:val="20"/>
                <w:szCs w:val="20"/>
                <w:color w:val="auto"/>
              </w:rPr>
            </w:pPr>
            <w:r>
              <w:rPr>
                <w:rFonts w:ascii="Arial" w:cs="Arial" w:eastAsia="Arial" w:hAnsi="Arial"/>
                <w:sz w:val="18"/>
                <w:szCs w:val="18"/>
                <w:b w:val="1"/>
                <w:bCs w:val="1"/>
                <w:color w:val="auto"/>
                <w:w w:val="93"/>
              </w:rPr>
              <w:t>Delaware</w:t>
            </w:r>
          </w:p>
        </w:tc>
        <w:tc>
          <w:tcPr>
            <w:tcW w:w="3480" w:type="dxa"/>
            <w:vAlign w:val="bottom"/>
          </w:tcPr>
          <w:p>
            <w:pPr>
              <w:jc w:val="center"/>
              <w:ind w:left="1982"/>
              <w:spacing w:after="0"/>
              <w:rPr>
                <w:sz w:val="20"/>
                <w:szCs w:val="20"/>
                <w:color w:val="auto"/>
              </w:rPr>
            </w:pPr>
            <w:r>
              <w:rPr>
                <w:rFonts w:ascii="Arial" w:cs="Arial" w:eastAsia="Arial" w:hAnsi="Arial"/>
                <w:sz w:val="18"/>
                <w:szCs w:val="18"/>
                <w:b w:val="1"/>
                <w:bCs w:val="1"/>
                <w:color w:val="auto"/>
                <w:w w:val="89"/>
              </w:rPr>
              <w:t>77-0513190</w:t>
            </w:r>
          </w:p>
        </w:tc>
      </w:tr>
      <w:tr>
        <w:trPr>
          <w:trHeight w:val="149"/>
        </w:trPr>
        <w:tc>
          <w:tcPr>
            <w:tcW w:w="3920" w:type="dxa"/>
            <w:vAlign w:val="bottom"/>
          </w:tcPr>
          <w:p>
            <w:pPr>
              <w:jc w:val="center"/>
              <w:ind w:right="196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480" w:type="dxa"/>
            <w:vAlign w:val="bottom"/>
          </w:tcPr>
          <w:p>
            <w:pPr>
              <w:jc w:val="center"/>
              <w:ind w:left="200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920" w:type="dxa"/>
            <w:vAlign w:val="bottom"/>
          </w:tcPr>
          <w:p>
            <w:pPr>
              <w:jc w:val="center"/>
              <w:ind w:right="1962"/>
              <w:spacing w:after="0"/>
              <w:rPr>
                <w:sz w:val="20"/>
                <w:szCs w:val="20"/>
                <w:color w:val="auto"/>
              </w:rPr>
            </w:pPr>
            <w:r>
              <w:rPr>
                <w:rFonts w:ascii="Arial" w:cs="Arial" w:eastAsia="Arial" w:hAnsi="Arial"/>
                <w:sz w:val="14"/>
                <w:szCs w:val="14"/>
                <w:b w:val="1"/>
                <w:bCs w:val="1"/>
                <w:color w:val="auto"/>
                <w:w w:val="94"/>
              </w:rPr>
              <w:t>incorporation or organization)</w:t>
            </w:r>
          </w:p>
        </w:tc>
        <w:tc>
          <w:tcPr>
            <w:tcW w:w="3480" w:type="dxa"/>
            <w:vAlign w:val="bottom"/>
          </w:tcPr>
          <w:p>
            <w:pPr>
              <w:jc w:val="center"/>
              <w:ind w:left="1982"/>
              <w:spacing w:after="0"/>
              <w:rPr>
                <w:sz w:val="20"/>
                <w:szCs w:val="20"/>
                <w:color w:val="auto"/>
              </w:rPr>
            </w:pPr>
            <w:r>
              <w:rPr>
                <w:rFonts w:ascii="Arial" w:cs="Arial" w:eastAsia="Arial" w:hAnsi="Arial"/>
                <w:sz w:val="14"/>
                <w:szCs w:val="14"/>
                <w:b w:val="1"/>
                <w:bCs w:val="1"/>
                <w:color w:val="auto"/>
                <w:w w:val="95"/>
              </w:rPr>
              <w:t>Identification Number)</w:t>
            </w:r>
          </w:p>
        </w:tc>
      </w:tr>
    </w:tbl>
    <w:p>
      <w:pPr>
        <w:spacing w:after="0" w:line="19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7000 Shoreline Court, Suite 100</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South San Francisco, CA 94080</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(650) 266-6000</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Stephen Christopher Linthwaite</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7000 Shoreline Court, Suite 100</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South San Francisco, CA 94080</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(650) 266-6000</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tbl>
      <w:tblPr>
        <w:tblLayout w:type="fixed"/>
        <w:tblInd w:w="134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p>
        </w:tc>
        <w:tc>
          <w:tcPr>
            <w:tcW w:w="5080" w:type="dxa"/>
            <w:vAlign w:val="bottom"/>
          </w:tcPr>
          <w:p>
            <w:pPr>
              <w:ind w:left="440"/>
              <w:spacing w:after="0"/>
              <w:rPr>
                <w:sz w:val="20"/>
                <w:szCs w:val="20"/>
                <w:color w:val="auto"/>
              </w:rPr>
            </w:pPr>
            <w:r>
              <w:rPr>
                <w:rFonts w:ascii="Arial" w:cs="Arial" w:eastAsia="Arial" w:hAnsi="Arial"/>
                <w:sz w:val="18"/>
                <w:szCs w:val="18"/>
                <w:b w:val="1"/>
                <w:bCs w:val="1"/>
                <w:i w:val="1"/>
                <w:iCs w:val="1"/>
                <w:color w:val="auto"/>
              </w:rPr>
              <w:t>Copies to:</w:t>
            </w:r>
          </w:p>
        </w:tc>
      </w:tr>
      <w:tr>
        <w:trPr>
          <w:trHeight w:val="441"/>
        </w:trPr>
        <w:tc>
          <w:tcPr>
            <w:tcW w:w="3560" w:type="dxa"/>
            <w:vAlign w:val="bottom"/>
          </w:tcPr>
          <w:p>
            <w:pPr>
              <w:jc w:val="center"/>
              <w:ind w:right="370"/>
              <w:spacing w:after="0"/>
              <w:rPr>
                <w:sz w:val="20"/>
                <w:szCs w:val="20"/>
                <w:color w:val="auto"/>
              </w:rPr>
            </w:pPr>
            <w:r>
              <w:rPr>
                <w:rFonts w:ascii="Arial" w:cs="Arial" w:eastAsia="Arial" w:hAnsi="Arial"/>
                <w:sz w:val="18"/>
                <w:szCs w:val="18"/>
                <w:b w:val="1"/>
                <w:bCs w:val="1"/>
                <w:color w:val="auto"/>
                <w:w w:val="90"/>
              </w:rPr>
              <w:t>Nicholas Khadder</w:t>
            </w:r>
          </w:p>
        </w:tc>
        <w:tc>
          <w:tcPr>
            <w:tcW w:w="5080" w:type="dxa"/>
            <w:vAlign w:val="bottom"/>
          </w:tcPr>
          <w:p>
            <w:pPr>
              <w:jc w:val="center"/>
              <w:ind w:left="2330"/>
              <w:spacing w:after="0"/>
              <w:rPr>
                <w:sz w:val="20"/>
                <w:szCs w:val="20"/>
                <w:color w:val="auto"/>
              </w:rPr>
            </w:pPr>
            <w:r>
              <w:rPr>
                <w:rFonts w:ascii="Arial" w:cs="Arial" w:eastAsia="Arial" w:hAnsi="Arial"/>
                <w:sz w:val="18"/>
                <w:szCs w:val="18"/>
                <w:b w:val="1"/>
                <w:bCs w:val="1"/>
                <w:color w:val="auto"/>
                <w:w w:val="92"/>
              </w:rPr>
              <w:t>Robert F. Kornegay</w:t>
            </w:r>
          </w:p>
        </w:tc>
      </w:tr>
      <w:tr>
        <w:trPr>
          <w:trHeight w:val="216"/>
        </w:trPr>
        <w:tc>
          <w:tcPr>
            <w:tcW w:w="3560" w:type="dxa"/>
            <w:vAlign w:val="bottom"/>
          </w:tcPr>
          <w:p>
            <w:pPr>
              <w:jc w:val="center"/>
              <w:ind w:right="370"/>
              <w:spacing w:after="0"/>
              <w:rPr>
                <w:sz w:val="20"/>
                <w:szCs w:val="20"/>
                <w:color w:val="auto"/>
              </w:rPr>
            </w:pPr>
            <w:r>
              <w:rPr>
                <w:rFonts w:ascii="Arial" w:cs="Arial" w:eastAsia="Arial" w:hAnsi="Arial"/>
                <w:sz w:val="18"/>
                <w:szCs w:val="18"/>
                <w:b w:val="1"/>
                <w:bCs w:val="1"/>
                <w:color w:val="auto"/>
                <w:w w:val="89"/>
              </w:rPr>
              <w:t>Senior Vice President, General Counsel,</w:t>
            </w:r>
          </w:p>
        </w:tc>
        <w:tc>
          <w:tcPr>
            <w:tcW w:w="5080" w:type="dxa"/>
            <w:vAlign w:val="bottom"/>
          </w:tcPr>
          <w:p>
            <w:pPr>
              <w:jc w:val="center"/>
              <w:ind w:left="2330"/>
              <w:spacing w:after="0"/>
              <w:rPr>
                <w:sz w:val="20"/>
                <w:szCs w:val="20"/>
                <w:color w:val="auto"/>
              </w:rPr>
            </w:pPr>
            <w:r>
              <w:rPr>
                <w:rFonts w:ascii="Arial" w:cs="Arial" w:eastAsia="Arial" w:hAnsi="Arial"/>
                <w:sz w:val="18"/>
                <w:szCs w:val="18"/>
                <w:b w:val="1"/>
                <w:bCs w:val="1"/>
                <w:color w:val="auto"/>
                <w:w w:val="91"/>
              </w:rPr>
              <w:t>Wilson Sonsini Goodrich &amp; Rosati</w:t>
            </w:r>
          </w:p>
        </w:tc>
      </w:tr>
      <w:tr>
        <w:trPr>
          <w:trHeight w:val="216"/>
        </w:trPr>
        <w:tc>
          <w:tcPr>
            <w:tcW w:w="3560" w:type="dxa"/>
            <w:vAlign w:val="bottom"/>
          </w:tcPr>
          <w:p>
            <w:pPr>
              <w:jc w:val="center"/>
              <w:ind w:right="370"/>
              <w:spacing w:after="0"/>
              <w:rPr>
                <w:sz w:val="20"/>
                <w:szCs w:val="20"/>
                <w:color w:val="auto"/>
              </w:rPr>
            </w:pPr>
            <w:r>
              <w:rPr>
                <w:rFonts w:ascii="Arial" w:cs="Arial" w:eastAsia="Arial" w:hAnsi="Arial"/>
                <w:sz w:val="18"/>
                <w:szCs w:val="18"/>
                <w:b w:val="1"/>
                <w:bCs w:val="1"/>
                <w:color w:val="auto"/>
                <w:w w:val="91"/>
              </w:rPr>
              <w:t>Chief Compliance Officer and Secretary</w:t>
            </w:r>
          </w:p>
        </w:tc>
        <w:tc>
          <w:tcPr>
            <w:tcW w:w="5080" w:type="dxa"/>
            <w:vAlign w:val="bottom"/>
          </w:tcPr>
          <w:p>
            <w:pPr>
              <w:jc w:val="center"/>
              <w:ind w:left="2330"/>
              <w:spacing w:after="0"/>
              <w:rPr>
                <w:sz w:val="20"/>
                <w:szCs w:val="20"/>
                <w:color w:val="auto"/>
              </w:rPr>
            </w:pPr>
            <w:r>
              <w:rPr>
                <w:rFonts w:ascii="Arial" w:cs="Arial" w:eastAsia="Arial" w:hAnsi="Arial"/>
                <w:sz w:val="18"/>
                <w:szCs w:val="18"/>
                <w:b w:val="1"/>
                <w:bCs w:val="1"/>
                <w:color w:val="auto"/>
                <w:w w:val="89"/>
              </w:rPr>
              <w:t>Professional Corporation</w:t>
            </w:r>
          </w:p>
        </w:tc>
      </w:tr>
      <w:tr>
        <w:trPr>
          <w:trHeight w:val="216"/>
        </w:trPr>
        <w:tc>
          <w:tcPr>
            <w:tcW w:w="3560" w:type="dxa"/>
            <w:vAlign w:val="bottom"/>
          </w:tcPr>
          <w:p>
            <w:pPr>
              <w:jc w:val="center"/>
              <w:ind w:right="370"/>
              <w:spacing w:after="0"/>
              <w:rPr>
                <w:sz w:val="20"/>
                <w:szCs w:val="20"/>
                <w:color w:val="auto"/>
              </w:rPr>
            </w:pPr>
            <w:r>
              <w:rPr>
                <w:rFonts w:ascii="Arial" w:cs="Arial" w:eastAsia="Arial" w:hAnsi="Arial"/>
                <w:sz w:val="18"/>
                <w:szCs w:val="18"/>
                <w:b w:val="1"/>
                <w:bCs w:val="1"/>
                <w:color w:val="auto"/>
                <w:w w:val="89"/>
              </w:rPr>
              <w:t>7000 Shoreline Court, Suite 100</w:t>
            </w:r>
          </w:p>
        </w:tc>
        <w:tc>
          <w:tcPr>
            <w:tcW w:w="5080" w:type="dxa"/>
            <w:vAlign w:val="bottom"/>
          </w:tcPr>
          <w:p>
            <w:pPr>
              <w:jc w:val="center"/>
              <w:ind w:left="2330"/>
              <w:spacing w:after="0"/>
              <w:rPr>
                <w:sz w:val="20"/>
                <w:szCs w:val="20"/>
                <w:color w:val="auto"/>
              </w:rPr>
            </w:pPr>
            <w:r>
              <w:rPr>
                <w:rFonts w:ascii="Arial" w:cs="Arial" w:eastAsia="Arial" w:hAnsi="Arial"/>
                <w:sz w:val="18"/>
                <w:szCs w:val="18"/>
                <w:b w:val="1"/>
                <w:bCs w:val="1"/>
                <w:color w:val="auto"/>
                <w:w w:val="91"/>
              </w:rPr>
              <w:t>650 Page Mill Road</w:t>
            </w:r>
          </w:p>
        </w:tc>
      </w:tr>
      <w:tr>
        <w:trPr>
          <w:trHeight w:val="216"/>
        </w:trPr>
        <w:tc>
          <w:tcPr>
            <w:tcW w:w="3560" w:type="dxa"/>
            <w:vAlign w:val="bottom"/>
          </w:tcPr>
          <w:p>
            <w:pPr>
              <w:jc w:val="center"/>
              <w:ind w:right="370"/>
              <w:spacing w:after="0"/>
              <w:rPr>
                <w:sz w:val="20"/>
                <w:szCs w:val="20"/>
                <w:color w:val="auto"/>
              </w:rPr>
            </w:pPr>
            <w:r>
              <w:rPr>
                <w:rFonts w:ascii="Arial" w:cs="Arial" w:eastAsia="Arial" w:hAnsi="Arial"/>
                <w:sz w:val="18"/>
                <w:szCs w:val="18"/>
                <w:b w:val="1"/>
                <w:bCs w:val="1"/>
                <w:color w:val="auto"/>
                <w:w w:val="89"/>
              </w:rPr>
              <w:t>South San Francisco, CA 94080</w:t>
            </w:r>
          </w:p>
        </w:tc>
        <w:tc>
          <w:tcPr>
            <w:tcW w:w="5080" w:type="dxa"/>
            <w:vAlign w:val="bottom"/>
          </w:tcPr>
          <w:p>
            <w:pPr>
              <w:jc w:val="center"/>
              <w:ind w:left="2350"/>
              <w:spacing w:after="0"/>
              <w:rPr>
                <w:sz w:val="20"/>
                <w:szCs w:val="20"/>
                <w:color w:val="auto"/>
              </w:rPr>
            </w:pPr>
            <w:r>
              <w:rPr>
                <w:rFonts w:ascii="Arial" w:cs="Arial" w:eastAsia="Arial" w:hAnsi="Arial"/>
                <w:sz w:val="18"/>
                <w:szCs w:val="18"/>
                <w:b w:val="1"/>
                <w:bCs w:val="1"/>
                <w:color w:val="auto"/>
                <w:w w:val="92"/>
              </w:rPr>
              <w:t>Palo Alto, CA 94304</w:t>
            </w:r>
          </w:p>
        </w:tc>
      </w:tr>
      <w:tr>
        <w:trPr>
          <w:trHeight w:val="234"/>
        </w:trPr>
        <w:tc>
          <w:tcPr>
            <w:tcW w:w="3560" w:type="dxa"/>
            <w:vAlign w:val="bottom"/>
          </w:tcPr>
          <w:p>
            <w:pPr>
              <w:jc w:val="center"/>
              <w:ind w:right="370"/>
              <w:spacing w:after="0"/>
              <w:rPr>
                <w:sz w:val="20"/>
                <w:szCs w:val="20"/>
                <w:color w:val="auto"/>
              </w:rPr>
            </w:pPr>
            <w:r>
              <w:rPr>
                <w:rFonts w:ascii="Arial" w:cs="Arial" w:eastAsia="Arial" w:hAnsi="Arial"/>
                <w:sz w:val="18"/>
                <w:szCs w:val="18"/>
                <w:b w:val="1"/>
                <w:bCs w:val="1"/>
                <w:color w:val="auto"/>
                <w:w w:val="90"/>
              </w:rPr>
              <w:t>Telephone: (650) 266-6000</w:t>
            </w:r>
          </w:p>
        </w:tc>
        <w:tc>
          <w:tcPr>
            <w:tcW w:w="5080" w:type="dxa"/>
            <w:vAlign w:val="bottom"/>
          </w:tcPr>
          <w:p>
            <w:pPr>
              <w:jc w:val="center"/>
              <w:ind w:left="2330"/>
              <w:spacing w:after="0"/>
              <w:rPr>
                <w:sz w:val="20"/>
                <w:szCs w:val="20"/>
                <w:color w:val="auto"/>
              </w:rPr>
            </w:pPr>
            <w:r>
              <w:rPr>
                <w:rFonts w:ascii="Arial" w:cs="Arial" w:eastAsia="Arial" w:hAnsi="Arial"/>
                <w:sz w:val="18"/>
                <w:szCs w:val="18"/>
                <w:b w:val="1"/>
                <w:bCs w:val="1"/>
                <w:color w:val="auto"/>
                <w:w w:val="92"/>
              </w:rPr>
              <w:t>(650) 493-9300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222885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2" w:lineRule="exact"/>
        <w:rPr>
          <w:sz w:val="24"/>
          <w:szCs w:val="24"/>
          <w:color w:val="auto"/>
        </w:rPr>
      </w:pPr>
    </w:p>
    <w:p>
      <w:pPr>
        <w:ind w:left="460"/>
        <w:spacing w:after="0"/>
        <w:rPr>
          <w:sz w:val="20"/>
          <w:szCs w:val="20"/>
          <w:color w:val="auto"/>
        </w:rPr>
      </w:pPr>
      <w:r>
        <w:rPr>
          <w:rFonts w:ascii="Arial" w:cs="Arial" w:eastAsia="Arial" w:hAnsi="Arial"/>
          <w:sz w:val="16"/>
          <w:szCs w:val="16"/>
          <w:b w:val="1"/>
          <w:bCs w:val="1"/>
          <w:color w:val="auto"/>
        </w:rPr>
        <w:t>Approximate date of commencement of proposed sale to the public: From time to time after the effective date of this registration statement.</w:t>
      </w:r>
    </w:p>
    <w:p>
      <w:pPr>
        <w:spacing w:after="0" w:line="252" w:lineRule="exact"/>
        <w:rPr>
          <w:sz w:val="24"/>
          <w:szCs w:val="24"/>
          <w:color w:val="auto"/>
        </w:rPr>
      </w:pPr>
    </w:p>
    <w:p>
      <w:pPr>
        <w:ind w:right="300" w:firstLine="456"/>
        <w:spacing w:after="0" w:line="233" w:lineRule="exact"/>
        <w:rPr>
          <w:sz w:val="20"/>
          <w:szCs w:val="20"/>
          <w:color w:val="auto"/>
        </w:rPr>
      </w:pPr>
      <w:r>
        <w:rPr>
          <w:rFonts w:ascii="Arial" w:cs="Arial" w:eastAsia="Arial" w:hAnsi="Arial"/>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ind w:firstLine="456"/>
        <w:spacing w:after="0" w:line="233"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ind w:firstLine="456"/>
        <w:spacing w:after="0" w:line="233"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4"/>
          <w:szCs w:val="24"/>
          <w:color w:val="auto"/>
        </w:rPr>
      </w:pPr>
    </w:p>
    <w:p>
      <w:pPr>
        <w:ind w:right="220" w:firstLine="456"/>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4"/>
          <w:szCs w:val="24"/>
          <w:color w:val="auto"/>
        </w:rPr>
      </w:pPr>
    </w:p>
    <w:p>
      <w:pPr>
        <w:ind w:right="400" w:firstLine="456"/>
        <w:spacing w:after="0" w:line="233"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ind w:right="120" w:firstLine="456"/>
        <w:spacing w:after="0" w:line="233"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ectPr>
          <w:pgSz w:w="11900" w:h="16838" w:orient="portrait"/>
          <w:cols w:equalWidth="0" w:num="1">
            <w:col w:w="11380"/>
          </w:cols>
          <w:pgMar w:left="240" w:top="230" w:right="279" w:bottom="0" w:gutter="0" w:footer="0" w:header="0"/>
        </w:sectPr>
      </w:pPr>
    </w:p>
    <w:bookmarkStart w:id="1" w:name="page2"/>
    <w:bookmarkEnd w:id="1"/>
    <w:p>
      <w:pPr>
        <w:ind w:left="4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See the definitions of “large accelerated filer,” “accelerated filer” and “smaller reporting company” in Rule 12b-2 of the Exchange Act. (Check one):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660" w:type="dxa"/>
            <w:vAlign w:val="bottom"/>
            <w:gridSpan w:val="3"/>
          </w:tcPr>
          <w:p>
            <w:pPr>
              <w:spacing w:after="0"/>
              <w:rPr>
                <w:sz w:val="20"/>
                <w:szCs w:val="20"/>
                <w:color w:val="auto"/>
              </w:rPr>
            </w:pPr>
            <w:r>
              <w:rPr>
                <w:rFonts w:ascii="Arial" w:cs="Arial" w:eastAsia="Arial" w:hAnsi="Arial"/>
                <w:sz w:val="18"/>
                <w:szCs w:val="18"/>
                <w:color w:val="auto"/>
                <w:w w:val="92"/>
              </w:rPr>
              <w:t>Large accelerated filer</w:t>
            </w:r>
          </w:p>
        </w:tc>
        <w:tc>
          <w:tcPr>
            <w:tcW w:w="238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20" w:type="dxa"/>
            <w:vAlign w:val="bottom"/>
            <w:gridSpan w:val="2"/>
          </w:tcPr>
          <w:p>
            <w:pPr>
              <w:ind w:left="600"/>
              <w:spacing w:after="0"/>
              <w:rPr>
                <w:sz w:val="20"/>
                <w:szCs w:val="20"/>
                <w:color w:val="auto"/>
              </w:rPr>
            </w:pPr>
            <w:r>
              <w:rPr>
                <w:rFonts w:ascii="Arial" w:cs="Arial" w:eastAsia="Arial" w:hAnsi="Arial"/>
                <w:sz w:val="18"/>
                <w:szCs w:val="18"/>
                <w:color w:val="auto"/>
                <w:w w:val="92"/>
              </w:rPr>
              <w:t>Accelerated filer</w:t>
            </w:r>
          </w:p>
        </w:tc>
        <w:tc>
          <w:tcPr>
            <w:tcW w:w="1160" w:type="dxa"/>
            <w:vAlign w:val="bottom"/>
          </w:tcPr>
          <w:p>
            <w:pPr>
              <w:spacing w:after="0"/>
              <w:rPr>
                <w:sz w:val="24"/>
                <w:szCs w:val="24"/>
                <w:color w:val="auto"/>
              </w:rPr>
            </w:pPr>
          </w:p>
        </w:tc>
        <w:tc>
          <w:tcPr>
            <w:tcW w:w="180" w:type="dxa"/>
            <w:vAlign w:val="bottom"/>
          </w:tcPr>
          <w:p>
            <w:pPr>
              <w:ind w:left="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24"/>
        </w:trPr>
        <w:tc>
          <w:tcPr>
            <w:tcW w:w="1660" w:type="dxa"/>
            <w:vAlign w:val="bottom"/>
            <w:gridSpan w:val="3"/>
          </w:tcPr>
          <w:p>
            <w:pPr>
              <w:spacing w:after="0"/>
              <w:rPr>
                <w:sz w:val="20"/>
                <w:szCs w:val="20"/>
                <w:color w:val="auto"/>
              </w:rPr>
            </w:pPr>
            <w:r>
              <w:rPr>
                <w:rFonts w:ascii="Arial" w:cs="Arial" w:eastAsia="Arial" w:hAnsi="Arial"/>
                <w:sz w:val="18"/>
                <w:szCs w:val="18"/>
                <w:color w:val="auto"/>
                <w:w w:val="98"/>
              </w:rPr>
              <w:t>Non-accelerated filer</w:t>
            </w:r>
          </w:p>
        </w:tc>
        <w:tc>
          <w:tcPr>
            <w:tcW w:w="5240" w:type="dxa"/>
            <w:vAlign w:val="bottom"/>
            <w:gridSpan w:val="5"/>
          </w:tcPr>
          <w:p>
            <w:pPr>
              <w:ind w:left="2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1360" w:type="dxa"/>
            <w:vAlign w:val="bottom"/>
          </w:tcPr>
          <w:p>
            <w:pPr>
              <w:spacing w:after="0"/>
              <w:rPr>
                <w:sz w:val="24"/>
                <w:szCs w:val="24"/>
                <w:color w:val="auto"/>
              </w:rPr>
            </w:pPr>
          </w:p>
        </w:tc>
        <w:tc>
          <w:tcPr>
            <w:tcW w:w="2980" w:type="dxa"/>
            <w:vAlign w:val="bottom"/>
            <w:gridSpan w:val="3"/>
          </w:tcPr>
          <w:p>
            <w:pPr>
              <w:ind w:left="600"/>
              <w:spacing w:after="0"/>
              <w:rPr>
                <w:sz w:val="20"/>
                <w:szCs w:val="20"/>
                <w:color w:val="auto"/>
              </w:rPr>
            </w:pPr>
            <w:r>
              <w:rPr>
                <w:rFonts w:ascii="Arial" w:cs="Arial" w:eastAsia="Arial" w:hAnsi="Arial"/>
                <w:sz w:val="18"/>
                <w:szCs w:val="18"/>
                <w:color w:val="auto"/>
              </w:rPr>
              <w:t>Smaller reporting company</w:t>
            </w:r>
          </w:p>
        </w:tc>
        <w:tc>
          <w:tcPr>
            <w:tcW w:w="180" w:type="dxa"/>
            <w:vAlign w:val="bottom"/>
          </w:tcPr>
          <w:p>
            <w:pPr>
              <w:ind w:left="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4220" w:type="dxa"/>
            <w:vAlign w:val="bottom"/>
            <w:gridSpan w:val="5"/>
          </w:tcPr>
          <w:p>
            <w:pPr>
              <w:ind w:left="60"/>
              <w:spacing w:after="0"/>
              <w:rPr>
                <w:sz w:val="20"/>
                <w:szCs w:val="20"/>
                <w:color w:val="auto"/>
              </w:rPr>
            </w:pPr>
            <w:r>
              <w:rPr>
                <w:rFonts w:ascii="Arial" w:cs="Arial" w:eastAsia="Arial" w:hAnsi="Arial"/>
                <w:sz w:val="18"/>
                <w:szCs w:val="18"/>
                <w:color w:val="auto"/>
              </w:rPr>
              <w:t>CALCULATION OF REGISTRATION FEE</w:t>
            </w: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23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3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Borders>
              <w:right w:val="single" w:sz="8" w:color="auto"/>
            </w:tcBorders>
          </w:tcPr>
          <w:p>
            <w:pPr>
              <w:spacing w:after="0"/>
              <w:rPr>
                <w:sz w:val="9"/>
                <w:szCs w:val="9"/>
                <w:color w:val="auto"/>
              </w:rPr>
            </w:pP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9"/>
                <w:szCs w:val="9"/>
                <w:color w:val="auto"/>
              </w:rPr>
            </w:pPr>
          </w:p>
        </w:tc>
        <w:tc>
          <w:tcPr>
            <w:tcW w:w="1360" w:type="dxa"/>
            <w:vAlign w:val="bottom"/>
            <w:tcBorders>
              <w:right w:val="single" w:sz="8" w:color="auto"/>
            </w:tcBorders>
          </w:tcPr>
          <w:p>
            <w:pPr>
              <w:jc w:val="center"/>
              <w:ind w:right="71"/>
              <w:spacing w:after="0" w:line="106" w:lineRule="exact"/>
              <w:rPr>
                <w:sz w:val="20"/>
                <w:szCs w:val="20"/>
                <w:color w:val="auto"/>
              </w:rPr>
            </w:pPr>
            <w:r>
              <w:rPr>
                <w:rFonts w:ascii="Arial" w:cs="Arial" w:eastAsia="Arial" w:hAnsi="Arial"/>
                <w:sz w:val="12"/>
                <w:szCs w:val="12"/>
                <w:b w:val="1"/>
                <w:bCs w:val="1"/>
                <w:color w:val="auto"/>
              </w:rPr>
              <w:t>Proposed</w:t>
            </w:r>
          </w:p>
        </w:tc>
        <w:tc>
          <w:tcPr>
            <w:tcW w:w="1600" w:type="dxa"/>
            <w:vAlign w:val="bottom"/>
            <w:tcBorders>
              <w:right w:val="single" w:sz="8" w:color="auto"/>
            </w:tcBorders>
          </w:tcPr>
          <w:p>
            <w:pPr>
              <w:jc w:val="center"/>
              <w:ind w:left="24"/>
              <w:spacing w:after="0" w:line="106" w:lineRule="exact"/>
              <w:rPr>
                <w:sz w:val="20"/>
                <w:szCs w:val="20"/>
                <w:color w:val="auto"/>
              </w:rPr>
            </w:pPr>
            <w:r>
              <w:rPr>
                <w:rFonts w:ascii="Arial" w:cs="Arial" w:eastAsia="Arial" w:hAnsi="Arial"/>
                <w:sz w:val="12"/>
                <w:szCs w:val="12"/>
                <w:b w:val="1"/>
                <w:bCs w:val="1"/>
                <w:color w:val="auto"/>
              </w:rPr>
              <w:t>Proposed</w:t>
            </w: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380" w:type="dxa"/>
            <w:vAlign w:val="bottom"/>
            <w:vMerge w:val="restart"/>
          </w:tcPr>
          <w:p>
            <w:pPr>
              <w:jc w:val="center"/>
              <w:ind w:right="579"/>
              <w:spacing w:after="0"/>
              <w:rPr>
                <w:sz w:val="20"/>
                <w:szCs w:val="20"/>
                <w:color w:val="auto"/>
              </w:rPr>
            </w:pPr>
            <w:r>
              <w:rPr>
                <w:rFonts w:ascii="Arial" w:cs="Arial" w:eastAsia="Arial" w:hAnsi="Arial"/>
                <w:sz w:val="14"/>
                <w:szCs w:val="14"/>
                <w:b w:val="1"/>
                <w:bCs w:val="1"/>
                <w:color w:val="auto"/>
                <w:w w:val="93"/>
              </w:rPr>
              <w:t>Title of Each Class of</w:t>
            </w:r>
          </w:p>
        </w:tc>
        <w:tc>
          <w:tcPr>
            <w:tcW w:w="48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vMerge w:val="continue"/>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Borders>
              <w:right w:val="single" w:sz="8" w:color="auto"/>
            </w:tcBorders>
          </w:tcPr>
          <w:p>
            <w:pPr>
              <w:jc w:val="center"/>
              <w:ind w:right="91"/>
              <w:spacing w:after="0" w:line="149" w:lineRule="exact"/>
              <w:rPr>
                <w:sz w:val="20"/>
                <w:szCs w:val="20"/>
                <w:color w:val="auto"/>
              </w:rPr>
            </w:pPr>
            <w:r>
              <w:rPr>
                <w:rFonts w:ascii="Arial" w:cs="Arial" w:eastAsia="Arial" w:hAnsi="Arial"/>
                <w:sz w:val="14"/>
                <w:szCs w:val="14"/>
                <w:b w:val="1"/>
                <w:bCs w:val="1"/>
                <w:color w:val="auto"/>
                <w:w w:val="99"/>
              </w:rPr>
              <w:t>Maximum</w:t>
            </w:r>
          </w:p>
        </w:tc>
        <w:tc>
          <w:tcPr>
            <w:tcW w:w="1600" w:type="dxa"/>
            <w:vAlign w:val="bottom"/>
            <w:tcBorders>
              <w:right w:val="single" w:sz="8" w:color="auto"/>
            </w:tcBorders>
          </w:tcPr>
          <w:p>
            <w:pPr>
              <w:jc w:val="center"/>
              <w:ind w:left="4"/>
              <w:spacing w:after="0" w:line="149" w:lineRule="exact"/>
              <w:rPr>
                <w:sz w:val="20"/>
                <w:szCs w:val="20"/>
                <w:color w:val="auto"/>
              </w:rPr>
            </w:pPr>
            <w:r>
              <w:rPr>
                <w:rFonts w:ascii="Arial" w:cs="Arial" w:eastAsia="Arial" w:hAnsi="Arial"/>
                <w:sz w:val="14"/>
                <w:szCs w:val="14"/>
                <w:b w:val="1"/>
                <w:bCs w:val="1"/>
                <w:color w:val="auto"/>
                <w:w w:val="99"/>
              </w:rPr>
              <w:t>Maximum</w:t>
            </w:r>
          </w:p>
        </w:tc>
        <w:tc>
          <w:tcPr>
            <w:tcW w:w="220" w:type="dxa"/>
            <w:vAlign w:val="bottom"/>
          </w:tcPr>
          <w:p>
            <w:pPr>
              <w:spacing w:after="0"/>
              <w:rPr>
                <w:sz w:val="12"/>
                <w:szCs w:val="12"/>
                <w:color w:val="auto"/>
              </w:rPr>
            </w:pP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38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to be</w:t>
            </w:r>
          </w:p>
        </w:tc>
        <w:tc>
          <w:tcPr>
            <w:tcW w:w="240" w:type="dxa"/>
            <w:vAlign w:val="bottom"/>
          </w:tcPr>
          <w:p>
            <w:pPr>
              <w:spacing w:after="0"/>
              <w:rPr>
                <w:sz w:val="12"/>
                <w:szCs w:val="12"/>
                <w:color w:val="auto"/>
              </w:rPr>
            </w:pPr>
          </w:p>
        </w:tc>
        <w:tc>
          <w:tcPr>
            <w:tcW w:w="1360" w:type="dxa"/>
            <w:vAlign w:val="bottom"/>
            <w:tcBorders>
              <w:right w:val="single" w:sz="8" w:color="auto"/>
            </w:tcBorders>
          </w:tcPr>
          <w:p>
            <w:pPr>
              <w:jc w:val="center"/>
              <w:ind w:right="91"/>
              <w:spacing w:after="0" w:line="149" w:lineRule="exact"/>
              <w:rPr>
                <w:sz w:val="20"/>
                <w:szCs w:val="20"/>
                <w:color w:val="auto"/>
              </w:rPr>
            </w:pPr>
            <w:r>
              <w:rPr>
                <w:rFonts w:ascii="Arial" w:cs="Arial" w:eastAsia="Arial" w:hAnsi="Arial"/>
                <w:sz w:val="14"/>
                <w:szCs w:val="14"/>
                <w:b w:val="1"/>
                <w:bCs w:val="1"/>
                <w:color w:val="auto"/>
                <w:w w:val="94"/>
              </w:rPr>
              <w:t>Offering Price</w:t>
            </w:r>
          </w:p>
        </w:tc>
        <w:tc>
          <w:tcPr>
            <w:tcW w:w="1600" w:type="dxa"/>
            <w:vAlign w:val="bottom"/>
            <w:tcBorders>
              <w:right w:val="single" w:sz="8" w:color="auto"/>
            </w:tcBorders>
          </w:tcPr>
          <w:p>
            <w:pPr>
              <w:jc w:val="center"/>
              <w:ind w:left="4"/>
              <w:spacing w:after="0" w:line="149" w:lineRule="exact"/>
              <w:rPr>
                <w:sz w:val="20"/>
                <w:szCs w:val="20"/>
                <w:color w:val="auto"/>
              </w:rPr>
            </w:pPr>
            <w:r>
              <w:rPr>
                <w:rFonts w:ascii="Arial" w:cs="Arial" w:eastAsia="Arial" w:hAnsi="Arial"/>
                <w:sz w:val="14"/>
                <w:szCs w:val="14"/>
                <w:b w:val="1"/>
                <w:bCs w:val="1"/>
                <w:color w:val="auto"/>
                <w:w w:val="92"/>
              </w:rPr>
              <w:t>Aggregate</w:t>
            </w:r>
          </w:p>
        </w:tc>
        <w:tc>
          <w:tcPr>
            <w:tcW w:w="2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tcPr>
          <w:p>
            <w:pPr>
              <w:jc w:val="center"/>
              <w:ind w:right="579"/>
              <w:spacing w:after="0"/>
              <w:rPr>
                <w:sz w:val="20"/>
                <w:szCs w:val="20"/>
                <w:color w:val="auto"/>
              </w:rPr>
            </w:pPr>
            <w:r>
              <w:rPr>
                <w:rFonts w:ascii="Arial" w:cs="Arial" w:eastAsia="Arial" w:hAnsi="Arial"/>
                <w:sz w:val="14"/>
                <w:szCs w:val="14"/>
                <w:b w:val="1"/>
                <w:bCs w:val="1"/>
                <w:color w:val="auto"/>
                <w:w w:val="90"/>
              </w:rPr>
              <w:t>Securities to be Registered</w:t>
            </w:r>
          </w:p>
        </w:tc>
        <w:tc>
          <w:tcPr>
            <w:tcW w:w="480" w:type="dxa"/>
            <w:vAlign w:val="bottom"/>
            <w:tcBorders>
              <w:bottom w:val="single" w:sz="8" w:color="auto"/>
            </w:tcBorders>
          </w:tcPr>
          <w:p>
            <w:pPr>
              <w:spacing w:after="0"/>
              <w:rPr>
                <w:sz w:val="16"/>
                <w:szCs w:val="16"/>
                <w:color w:val="auto"/>
              </w:rPr>
            </w:pPr>
          </w:p>
        </w:tc>
        <w:tc>
          <w:tcPr>
            <w:tcW w:w="540" w:type="dxa"/>
            <w:vAlign w:val="bottom"/>
            <w:tcBorders>
              <w:bottom w:val="single" w:sz="8" w:color="auto"/>
              <w:right w:val="single" w:sz="8" w:color="auto"/>
            </w:tcBorders>
          </w:tcPr>
          <w:p>
            <w:pPr>
              <w:spacing w:after="0"/>
              <w:rPr>
                <w:sz w:val="16"/>
                <w:szCs w:val="16"/>
                <w:color w:val="auto"/>
              </w:rPr>
            </w:pPr>
          </w:p>
        </w:tc>
        <w:tc>
          <w:tcPr>
            <w:tcW w:w="1600" w:type="dxa"/>
            <w:vAlign w:val="bottom"/>
            <w:tcBorders>
              <w:bottom w:val="single" w:sz="8" w:color="auto"/>
              <w:right w:val="single" w:sz="8" w:color="auto"/>
            </w:tcBorders>
          </w:tcPr>
          <w:p>
            <w:pPr>
              <w:jc w:val="center"/>
              <w:ind w:left="4"/>
              <w:spacing w:after="0"/>
              <w:rPr>
                <w:sz w:val="20"/>
                <w:szCs w:val="20"/>
                <w:color w:val="auto"/>
              </w:rPr>
            </w:pPr>
            <w:r>
              <w:rPr>
                <w:rFonts w:ascii="Arial" w:cs="Arial" w:eastAsia="Arial" w:hAnsi="Arial"/>
                <w:sz w:val="14"/>
                <w:szCs w:val="14"/>
                <w:b w:val="1"/>
                <w:bCs w:val="1"/>
                <w:color w:val="auto"/>
                <w:w w:val="94"/>
              </w:rPr>
              <w:t>Registered (1)(2)(3)</w:t>
            </w: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jc w:val="center"/>
              <w:ind w:right="71"/>
              <w:spacing w:after="0"/>
              <w:rPr>
                <w:sz w:val="20"/>
                <w:szCs w:val="20"/>
                <w:color w:val="auto"/>
              </w:rPr>
            </w:pPr>
            <w:r>
              <w:rPr>
                <w:rFonts w:ascii="Arial" w:cs="Arial" w:eastAsia="Arial" w:hAnsi="Arial"/>
                <w:sz w:val="14"/>
                <w:szCs w:val="14"/>
                <w:b w:val="1"/>
                <w:bCs w:val="1"/>
                <w:color w:val="auto"/>
                <w:w w:val="97"/>
              </w:rPr>
              <w:t>Per Unit (1)(2)(3)</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Offering Price(1)(2)(3)</w:t>
            </w: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30"/>
              <w:spacing w:after="0"/>
              <w:rPr>
                <w:sz w:val="20"/>
                <w:szCs w:val="20"/>
                <w:color w:val="auto"/>
              </w:rPr>
            </w:pPr>
            <w:r>
              <w:rPr>
                <w:rFonts w:ascii="Arial" w:cs="Arial" w:eastAsia="Arial" w:hAnsi="Arial"/>
                <w:sz w:val="14"/>
                <w:szCs w:val="14"/>
                <w:b w:val="1"/>
                <w:bCs w:val="1"/>
                <w:color w:val="auto"/>
                <w:w w:val="93"/>
              </w:rPr>
              <w:t>Registration Fee (3)</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040" w:type="dxa"/>
            <w:vAlign w:val="bottom"/>
            <w:tcBorders>
              <w:right w:val="single" w:sz="8" w:color="auto"/>
            </w:tcBorders>
            <w:gridSpan w:val="5"/>
          </w:tcPr>
          <w:p>
            <w:pPr>
              <w:ind w:left="340"/>
              <w:spacing w:after="0" w:line="195" w:lineRule="exact"/>
              <w:rPr>
                <w:sz w:val="20"/>
                <w:szCs w:val="20"/>
                <w:color w:val="auto"/>
              </w:rPr>
            </w:pPr>
            <w:r>
              <w:rPr>
                <w:rFonts w:ascii="Arial" w:cs="Arial" w:eastAsia="Arial" w:hAnsi="Arial"/>
                <w:sz w:val="18"/>
                <w:szCs w:val="18"/>
                <w:color w:val="auto"/>
              </w:rPr>
              <w:t>Common Stock par value $0.001 per share (including the</w:t>
            </w:r>
          </w:p>
        </w:tc>
        <w:tc>
          <w:tcPr>
            <w:tcW w:w="160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Borders>
              <w:right w:val="single" w:sz="8" w:color="auto"/>
            </w:tcBorders>
          </w:tcPr>
          <w:p>
            <w:pPr>
              <w:spacing w:after="0"/>
              <w:rPr>
                <w:sz w:val="16"/>
                <w:szCs w:val="16"/>
                <w:color w:val="auto"/>
              </w:rPr>
            </w:pPr>
          </w:p>
        </w:tc>
        <w:tc>
          <w:tcPr>
            <w:tcW w:w="160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20" w:type="dxa"/>
            <w:vAlign w:val="bottom"/>
            <w:tcBorders>
              <w:bottom w:val="single" w:sz="8" w:color="auto"/>
            </w:tcBorders>
            <w:gridSpan w:val="3"/>
          </w:tcPr>
          <w:p>
            <w:pPr>
              <w:ind w:left="520"/>
              <w:spacing w:after="0"/>
              <w:rPr>
                <w:sz w:val="20"/>
                <w:szCs w:val="20"/>
                <w:color w:val="auto"/>
              </w:rPr>
            </w:pPr>
            <w:r>
              <w:rPr>
                <w:rFonts w:ascii="Arial" w:cs="Arial" w:eastAsia="Arial" w:hAnsi="Arial"/>
                <w:sz w:val="18"/>
                <w:szCs w:val="18"/>
                <w:color w:val="auto"/>
                <w:w w:val="89"/>
              </w:rPr>
              <w:t>associated Preferred Share Purchase Rights) (4)</w:t>
            </w:r>
          </w:p>
        </w:tc>
        <w:tc>
          <w:tcPr>
            <w:tcW w:w="480" w:type="dxa"/>
            <w:vAlign w:val="bottom"/>
            <w:tcBorders>
              <w:bottom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Borders>
              <w:bottom w:val="single" w:sz="8" w:color="auto"/>
            </w:tcBorders>
            <w:gridSpan w:val="3"/>
          </w:tcPr>
          <w:p>
            <w:pPr>
              <w:ind w:left="340"/>
              <w:spacing w:after="0"/>
              <w:rPr>
                <w:sz w:val="20"/>
                <w:szCs w:val="20"/>
                <w:color w:val="auto"/>
              </w:rPr>
            </w:pPr>
            <w:r>
              <w:rPr>
                <w:rFonts w:ascii="Arial" w:cs="Arial" w:eastAsia="Arial" w:hAnsi="Arial"/>
                <w:sz w:val="18"/>
                <w:szCs w:val="18"/>
                <w:color w:val="auto"/>
              </w:rPr>
              <w:t>Preferred Stock par value $0.001 per share</w:t>
            </w:r>
          </w:p>
        </w:tc>
        <w:tc>
          <w:tcPr>
            <w:tcW w:w="480" w:type="dxa"/>
            <w:vAlign w:val="bottom"/>
            <w:tcBorders>
              <w:bottom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40" w:type="dxa"/>
            <w:vAlign w:val="bottom"/>
            <w:tcBorders>
              <w:bottom w:val="single" w:sz="8" w:color="auto"/>
            </w:tcBorders>
            <w:gridSpan w:val="2"/>
          </w:tcPr>
          <w:p>
            <w:pPr>
              <w:ind w:left="340"/>
              <w:spacing w:after="0"/>
              <w:rPr>
                <w:sz w:val="20"/>
                <w:szCs w:val="20"/>
                <w:color w:val="auto"/>
              </w:rPr>
            </w:pPr>
            <w:r>
              <w:rPr>
                <w:rFonts w:ascii="Arial" w:cs="Arial" w:eastAsia="Arial" w:hAnsi="Arial"/>
                <w:sz w:val="18"/>
                <w:szCs w:val="18"/>
                <w:color w:val="auto"/>
              </w:rPr>
              <w:t>Debt Securities</w:t>
            </w:r>
          </w:p>
        </w:tc>
        <w:tc>
          <w:tcPr>
            <w:tcW w:w="23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40" w:type="dxa"/>
            <w:vAlign w:val="bottom"/>
            <w:tcBorders>
              <w:bottom w:val="single" w:sz="8" w:color="auto"/>
            </w:tcBorders>
            <w:gridSpan w:val="2"/>
          </w:tcPr>
          <w:p>
            <w:pPr>
              <w:ind w:left="340"/>
              <w:spacing w:after="0"/>
              <w:rPr>
                <w:sz w:val="20"/>
                <w:szCs w:val="20"/>
                <w:color w:val="auto"/>
              </w:rPr>
            </w:pPr>
            <w:r>
              <w:rPr>
                <w:rFonts w:ascii="Arial" w:cs="Arial" w:eastAsia="Arial" w:hAnsi="Arial"/>
                <w:sz w:val="18"/>
                <w:szCs w:val="18"/>
                <w:color w:val="auto"/>
              </w:rPr>
              <w:t>Warrants</w:t>
            </w:r>
          </w:p>
        </w:tc>
        <w:tc>
          <w:tcPr>
            <w:tcW w:w="23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40" w:type="dxa"/>
            <w:vAlign w:val="bottom"/>
            <w:tcBorders>
              <w:bottom w:val="single" w:sz="8" w:color="auto"/>
            </w:tcBorders>
            <w:gridSpan w:val="2"/>
          </w:tcPr>
          <w:p>
            <w:pPr>
              <w:ind w:left="340"/>
              <w:spacing w:after="0"/>
              <w:rPr>
                <w:sz w:val="20"/>
                <w:szCs w:val="20"/>
                <w:color w:val="auto"/>
              </w:rPr>
            </w:pPr>
            <w:r>
              <w:rPr>
                <w:rFonts w:ascii="Arial" w:cs="Arial" w:eastAsia="Arial" w:hAnsi="Arial"/>
                <w:sz w:val="18"/>
                <w:szCs w:val="18"/>
                <w:color w:val="auto"/>
              </w:rPr>
              <w:t>Units (5)</w:t>
            </w:r>
          </w:p>
        </w:tc>
        <w:tc>
          <w:tcPr>
            <w:tcW w:w="23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402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 xml:space="preserve">Total Registration Fee </w:t>
            </w:r>
            <w:r>
              <w:rPr>
                <w:rFonts w:ascii="Arial" w:cs="Arial" w:eastAsia="Arial" w:hAnsi="Arial"/>
                <w:sz w:val="18"/>
                <w:szCs w:val="18"/>
                <w:color w:val="auto"/>
              </w:rPr>
              <w:t>(6)</w:t>
            </w:r>
          </w:p>
        </w:tc>
        <w:tc>
          <w:tcPr>
            <w:tcW w:w="1020" w:type="dxa"/>
            <w:vAlign w:val="bottom"/>
            <w:tcBorders>
              <w:bottom w:val="single" w:sz="8" w:color="auto"/>
              <w:right w:val="single" w:sz="8" w:color="auto"/>
            </w:tcBorders>
            <w:gridSpan w:val="2"/>
          </w:tcPr>
          <w:p>
            <w:pPr>
              <w:spacing w:after="0"/>
              <w:rPr>
                <w:sz w:val="18"/>
                <w:szCs w:val="18"/>
                <w:color w:val="auto"/>
              </w:rPr>
            </w:pPr>
          </w:p>
        </w:tc>
        <w:tc>
          <w:tcPr>
            <w:tcW w:w="1600" w:type="dxa"/>
            <w:vAlign w:val="bottom"/>
            <w:tcBorders>
              <w:bottom w:val="single" w:sz="8" w:color="auto"/>
              <w:right w:val="single" w:sz="8" w:color="auto"/>
            </w:tcBorders>
          </w:tcPr>
          <w:p>
            <w:pPr>
              <w:jc w:val="center"/>
              <w:ind w:left="4"/>
              <w:spacing w:after="0"/>
              <w:rPr>
                <w:sz w:val="20"/>
                <w:szCs w:val="20"/>
                <w:color w:val="auto"/>
              </w:rPr>
            </w:pPr>
            <w:r>
              <w:rPr>
                <w:rFonts w:ascii="Arial" w:cs="Arial" w:eastAsia="Arial" w:hAnsi="Arial"/>
                <w:sz w:val="18"/>
                <w:szCs w:val="18"/>
                <w:color w:val="auto"/>
                <w:w w:val="90"/>
              </w:rPr>
              <w:t>$125,000,000</w:t>
            </w: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$14,487.50 (7)</w:t>
            </w:r>
          </w:p>
        </w:tc>
        <w:tc>
          <w:tcPr>
            <w:tcW w:w="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right="160" w:hanging="452"/>
        <w:spacing w:after="0" w:line="254"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 indeterminate amount or number of the securities of each identified class is being registered as may from time to time be issued at indeterminate prices in U.S. Dollars. Subject to Rule 462(b) under the Securities Act of 1933, as amended, in no event will the aggregate maximum offering price of all securities sold pursuant to this registration statement exceed $125,000,000 or the equivalent thereof in one or more foreign currencies, foreign currency units or composite currencies.</w:t>
      </w:r>
    </w:p>
    <w:p>
      <w:pPr>
        <w:spacing w:after="0" w:line="2" w:lineRule="exact"/>
        <w:rPr>
          <w:rFonts w:ascii="Arial" w:cs="Arial" w:eastAsia="Arial" w:hAnsi="Arial"/>
          <w:sz w:val="18"/>
          <w:szCs w:val="18"/>
          <w:color w:val="auto"/>
        </w:rPr>
      </w:pPr>
    </w:p>
    <w:p>
      <w:pPr>
        <w:ind w:left="460" w:right="240" w:hanging="452"/>
        <w:spacing w:after="0" w:line="250"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proposed maximum aggregate offering price has been estimated solely for the purpose of calculating the registration fee pursuant to Rule 457(o) under the Securities Act of 1933, as amended.</w:t>
      </w:r>
    </w:p>
    <w:p>
      <w:pPr>
        <w:ind w:left="460" w:right="160" w:hanging="452"/>
        <w:spacing w:after="0" w:line="281"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Pursuant to Rule 416 under the Securities Act, this registration statement shall also cover such indeterminate (A) number of shares of common stock, warrants to purchase shares of common stock, warrants to purchase shares of preferred stock, shares issuable upon exercise of such warrants and such shares of common stock or preferred stock as may be issuable with respect to the shares being registered hereunder as a result of stock splits, stock dividends or similar transactions, (B) amount of debt securities as may be sold from time to time at indeterminate prices by the registrant and</w:t>
      </w:r>
    </w:p>
    <w:p>
      <w:pPr>
        <w:spacing w:after="0" w:line="2" w:lineRule="exact"/>
        <w:rPr>
          <w:rFonts w:ascii="Arial" w:cs="Arial" w:eastAsia="Arial" w:hAnsi="Arial"/>
          <w:sz w:val="16"/>
          <w:szCs w:val="16"/>
          <w:color w:val="auto"/>
        </w:rPr>
      </w:pPr>
    </w:p>
    <w:p>
      <w:pPr>
        <w:ind w:left="460" w:right="200"/>
        <w:spacing w:after="0" w:line="250" w:lineRule="auto"/>
        <w:rPr>
          <w:rFonts w:ascii="Arial" w:cs="Arial" w:eastAsia="Arial" w:hAnsi="Arial"/>
          <w:sz w:val="16"/>
          <w:szCs w:val="16"/>
          <w:color w:val="auto"/>
        </w:rPr>
      </w:pPr>
      <w:r>
        <w:rPr>
          <w:rFonts w:ascii="Arial" w:cs="Arial" w:eastAsia="Arial" w:hAnsi="Arial"/>
          <w:sz w:val="18"/>
          <w:szCs w:val="18"/>
          <w:color w:val="auto"/>
        </w:rPr>
        <w:t>(C) number or amount of such securities as may be issued upon conversion, redemption, repurchase, exchange or exercise of any securities registered hereunder, including under any applicable anti-dilution adjustment.</w:t>
      </w:r>
    </w:p>
    <w:p>
      <w:pPr>
        <w:ind w:left="460" w:right="340" w:hanging="452"/>
        <w:spacing w:after="0" w:line="250"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Comprised of rights to purchase shares of the Registrant’s Series A Participating Preferred Stock, par value $0.001 per share (the “Preferred Share Purchase Rights”), that are associated with shares of the Registrant’s common stock pursuant to the Tax Benefit Preservation Plan, dated as of November 21, 2016, by and between Fluidigm Corporation and Computershare Inc., as Rights Agent (the “Tax Benefit Plan”). The Preferred Share Purchase Rights are not exercisable until the occurrence of certain events specified in the Tax Benefit Plan and are transferrable solely with the associated Common Stock. The value attributed to the Preferred Share Purchase Rights, if any, is reflected in the value of the associated Common Stock.</w:t>
      </w:r>
    </w:p>
    <w:p>
      <w:pPr>
        <w:spacing w:after="0" w:line="2"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Securities registered hereunder may be sold separately, or as units with other securities registered hereby.</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Fluidigm Corporation will determine the proposed maximum aggregate offering price per unit when it issues the above listed securities.</w:t>
      </w:r>
    </w:p>
    <w:p>
      <w:pPr>
        <w:spacing w:after="0" w:line="9" w:lineRule="exact"/>
        <w:rPr>
          <w:rFonts w:ascii="Arial" w:cs="Arial" w:eastAsia="Arial" w:hAnsi="Arial"/>
          <w:sz w:val="18"/>
          <w:szCs w:val="18"/>
          <w:color w:val="auto"/>
        </w:rPr>
      </w:pPr>
    </w:p>
    <w:p>
      <w:pPr>
        <w:ind w:left="460" w:right="60" w:hanging="452"/>
        <w:spacing w:after="0" w:line="255"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Fluidigm Corporation previously paid $45,080 in connection with the registration statement on Form S-3ASR (333-193624) originally filed on January 29, 2014, of which $19,159 was not used and $14,487.50 will be applied to the amount listed above. Accordingly, no filing fee is currently due in connection with the filing of this Registration Statement and $4,671.50 remains available to offset future filing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215900</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ind w:right="300" w:firstLine="456"/>
        <w:spacing w:after="0" w:line="261"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FF4338"/>
        </w:rPr>
        <w:t>The information in this prospectus is not complete and may be changed. The securities may not be sold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4338"/>
        </w:rPr>
        <w:t>SUBJECT TO COMPLETION, DATED MARCH 8, 2017</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$125,000,000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1650365</wp:posOffset>
            </wp:positionV>
            <wp:extent cx="15176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1763395</wp:posOffset>
            </wp:positionH>
            <wp:positionV relativeFrom="paragraph">
              <wp:posOffset>175260</wp:posOffset>
            </wp:positionV>
            <wp:extent cx="3730625" cy="12433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730625" cy="1243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Fluidigm Corporation may offer, from time to time,</w:t>
      </w:r>
    </w:p>
    <w:p>
      <w:pPr>
        <w:spacing w:after="0" w:line="252" w:lineRule="exact"/>
        <w:rPr>
          <w:sz w:val="20"/>
          <w:szCs w:val="20"/>
          <w:color w:val="auto"/>
        </w:rPr>
      </w:pPr>
    </w:p>
    <w:p>
      <w:pPr>
        <w:ind w:left="4280"/>
        <w:spacing w:after="0"/>
        <w:tabs>
          <w:tab w:leader="none" w:pos="4640" w:val="left"/>
          <w:tab w:leader="none" w:pos="6340" w:val="left"/>
          <w:tab w:leader="none" w:pos="6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common stock</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preferred stock</w:t>
      </w:r>
    </w:p>
    <w:p>
      <w:pPr>
        <w:spacing w:after="0" w:line="117" w:lineRule="exact"/>
        <w:rPr>
          <w:sz w:val="20"/>
          <w:szCs w:val="20"/>
          <w:color w:val="auto"/>
        </w:rPr>
      </w:pPr>
    </w:p>
    <w:p>
      <w:pPr>
        <w:ind w:left="4280"/>
        <w:spacing w:after="0"/>
        <w:tabs>
          <w:tab w:leader="none" w:pos="4640" w:val="left"/>
          <w:tab w:leader="none" w:pos="6340" w:val="left"/>
          <w:tab w:leader="none" w:pos="6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warrants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debt securities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of the securities listed above may be sold separately or as units with other securities.</w:t>
      </w:r>
    </w:p>
    <w:p>
      <w:pPr>
        <w:spacing w:after="0" w:line="225"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We may from time to time in one or more offerings offer and sell common stock, preferred stock, debt securities, warrants to purchase common stock or preferred stock or debt securities, or any combination of the foregoing, either individually or as units comprised of one or more of the other securities.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aggregate offering price of the securities sold pursuant to this prospectus will not exceed $125,000,000.</w:t>
      </w:r>
    </w:p>
    <w:p>
      <w:pPr>
        <w:spacing w:after="0" w:line="22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This prospectus may not be used to sell securities unless accompanied by a prospectus supplement, which will describe the method and the terms of the offering. We will provide you with the specific amount, price and terms of the applicable offered securities in one or more supplements to this prospectus. You should read this prospectus and any supplement carefully before you purchase any of our securities.</w:t>
      </w:r>
    </w:p>
    <w:p>
      <w:pPr>
        <w:spacing w:after="0" w:line="181"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Our common stock is listed on the NASDAQ Global Market under the symbol “FLDM.” On March 7, 2017, the last reported sale price on the NASDAQ Global Market was $5.46 per share. There is currently no market for the other securities we may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203200</wp:posOffset>
            </wp:positionV>
            <wp:extent cx="15176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both"/>
        <w:ind w:right="500" w:firstLine="456"/>
        <w:spacing w:after="0" w:line="261" w:lineRule="auto"/>
        <w:rPr>
          <w:rFonts w:ascii="Arial" w:cs="Arial" w:eastAsia="Arial" w:hAnsi="Arial"/>
          <w:sz w:val="21"/>
          <w:szCs w:val="21"/>
          <w:b w:val="1"/>
          <w:bCs w:val="1"/>
          <w:color w:val="auto"/>
        </w:rPr>
      </w:pPr>
      <w:r>
        <w:rPr>
          <w:rFonts w:ascii="Arial" w:cs="Arial" w:eastAsia="Arial" w:hAnsi="Arial"/>
          <w:sz w:val="21"/>
          <w:szCs w:val="21"/>
          <w:b w:val="1"/>
          <w:bCs w:val="1"/>
          <w:color w:val="auto"/>
        </w:rPr>
        <w:t>Investing in our securities involves risks. Please carefully read the information under the headings “</w:t>
      </w:r>
      <w:hyperlink w:anchor="page9">
        <w:r>
          <w:rPr>
            <w:rFonts w:ascii="Arial" w:cs="Arial" w:eastAsia="Arial" w:hAnsi="Arial"/>
            <w:sz w:val="21"/>
            <w:szCs w:val="21"/>
            <w:b w:val="1"/>
            <w:bCs w:val="1"/>
            <w:u w:val="single" w:color="auto"/>
            <w:color w:val="0000EE"/>
          </w:rPr>
          <w:t>Risk Factors</w:t>
        </w:r>
      </w:hyperlink>
      <w:r>
        <w:rPr>
          <w:rFonts w:ascii="Arial" w:cs="Arial" w:eastAsia="Arial" w:hAnsi="Arial"/>
          <w:sz w:val="21"/>
          <w:szCs w:val="21"/>
          <w:b w:val="1"/>
          <w:bCs w:val="1"/>
          <w:color w:val="auto"/>
        </w:rPr>
        <w:t>” beginning on page 5 of this prospectus and “Item 1A—Risk Factors” of our most recent report on Form 10-K or 10-Q which is incorporated by reference in this prospectus before you invest in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203200</wp:posOffset>
            </wp:positionV>
            <wp:extent cx="15176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ind w:right="120" w:firstLine="456"/>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80" w:lineRule="exact"/>
        <w:rPr>
          <w:sz w:val="20"/>
          <w:szCs w:val="20"/>
          <w:color w:val="auto"/>
        </w:rPr>
      </w:pPr>
    </w:p>
    <w:p>
      <w:pPr>
        <w:ind w:right="500" w:firstLine="456"/>
        <w:spacing w:after="0" w:line="264" w:lineRule="auto"/>
        <w:rPr>
          <w:sz w:val="20"/>
          <w:szCs w:val="20"/>
          <w:color w:val="auto"/>
        </w:rPr>
      </w:pPr>
      <w:r>
        <w:rPr>
          <w:rFonts w:ascii="Arial" w:cs="Arial" w:eastAsia="Arial" w:hAnsi="Arial"/>
          <w:sz w:val="18"/>
          <w:szCs w:val="18"/>
          <w:color w:val="auto"/>
        </w:rPr>
        <w:t>These securities may be offered and sold to or through one or more underwriters, dealers and agents, or directly to purchasers, on a continuous or delayed basis. If underwriters, dealers, or agents are used to sell the securities, we will name them and describe their compensation in a prospectus supplement. In addition, the underwriters may overallot a portion of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218440</wp:posOffset>
            </wp:positionV>
            <wp:extent cx="15176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355" w:lineRule="exact"/>
        <w:rPr>
          <w:sz w:val="20"/>
          <w:szCs w:val="20"/>
          <w:color w:val="auto"/>
        </w:rPr>
      </w:pPr>
    </w:p>
    <w:p>
      <w:pPr>
        <w:ind w:left="4060"/>
        <w:spacing w:after="0"/>
        <w:tabs>
          <w:tab w:leader="none" w:pos="6860" w:val="left"/>
        </w:tabs>
        <w:rPr>
          <w:sz w:val="20"/>
          <w:szCs w:val="20"/>
          <w:color w:val="auto"/>
        </w:rPr>
      </w:pPr>
      <w:r>
        <w:rPr>
          <w:rFonts w:ascii="Arial" w:cs="Arial" w:eastAsia="Arial" w:hAnsi="Arial"/>
          <w:sz w:val="18"/>
          <w:szCs w:val="18"/>
          <w:b w:val="1"/>
          <w:bCs w:val="1"/>
          <w:color w:val="auto"/>
        </w:rPr>
        <w:t>The date of this prospectus is</w:t>
      </w:r>
      <w:r>
        <w:rPr>
          <w:sz w:val="20"/>
          <w:szCs w:val="20"/>
          <w:color w:val="auto"/>
        </w:rPr>
        <w:tab/>
      </w:r>
      <w:r>
        <w:rPr>
          <w:rFonts w:ascii="Arial" w:cs="Arial" w:eastAsia="Arial" w:hAnsi="Arial"/>
          <w:sz w:val="16"/>
          <w:szCs w:val="16"/>
          <w:b w:val="1"/>
          <w:bCs w:val="1"/>
          <w:color w:val="auto"/>
        </w:rPr>
        <w:t>, 2017.</w:t>
      </w:r>
    </w:p>
    <w:p>
      <w:pPr>
        <w:sectPr>
          <w:pgSz w:w="11900" w:h="16838" w:orient="portrait"/>
          <w:cols w:equalWidth="0" w:num="1">
            <w:col w:w="11420"/>
          </w:cols>
          <w:pgMar w:left="240" w:top="459" w:right="2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560" w:type="dxa"/>
            <w:vAlign w:val="bottom"/>
            <w:gridSpan w:val="3"/>
          </w:tcPr>
          <w:p>
            <w:pPr>
              <w:jc w:val="right"/>
              <w:ind w:right="470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92"/>
        </w:trPr>
        <w:tc>
          <w:tcPr>
            <w:tcW w:w="3820" w:type="dxa"/>
            <w:vAlign w:val="bottom"/>
            <w:gridSpan w:val="15"/>
            <w:vMerge w:val="restart"/>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About This Prospectus</w:t>
              </w:r>
            </w:hyperlink>
          </w:p>
        </w:tc>
        <w:tc>
          <w:tcPr>
            <w:tcW w:w="724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6"/>
        </w:trPr>
        <w:tc>
          <w:tcPr>
            <w:tcW w:w="3820" w:type="dxa"/>
            <w:vAlign w:val="bottom"/>
            <w:gridSpan w:val="15"/>
            <w:vMerge w:val="continue"/>
          </w:tcPr>
          <w:p>
            <w:pPr>
              <w:spacing w:after="0"/>
              <w:rPr>
                <w:sz w:val="13"/>
                <w:szCs w:val="13"/>
                <w:color w:val="auto"/>
              </w:rPr>
            </w:pPr>
          </w:p>
        </w:tc>
        <w:tc>
          <w:tcPr>
            <w:tcW w:w="7240" w:type="dxa"/>
            <w:vAlign w:val="bottom"/>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54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Prospectus Summary</w:t>
              </w:r>
            </w:hyperlink>
          </w:p>
        </w:tc>
        <w:tc>
          <w:tcPr>
            <w:tcW w:w="100" w:type="dxa"/>
            <w:vAlign w:val="bottom"/>
            <w:tcBorders>
              <w:top w:val="single" w:sz="8" w:color="0000EE"/>
            </w:tcBorders>
          </w:tcPr>
          <w:p>
            <w:pPr>
              <w:spacing w:after="0"/>
              <w:rPr>
                <w:sz w:val="18"/>
                <w:szCs w:val="18"/>
                <w:color w:val="auto"/>
              </w:rPr>
            </w:pPr>
          </w:p>
        </w:tc>
        <w:tc>
          <w:tcPr>
            <w:tcW w:w="2180" w:type="dxa"/>
            <w:vAlign w:val="bottom"/>
            <w:gridSpan w:val="8"/>
          </w:tcPr>
          <w:p>
            <w:pPr>
              <w:spacing w:after="0"/>
              <w:rPr>
                <w:sz w:val="18"/>
                <w:szCs w:val="18"/>
                <w:color w:val="auto"/>
              </w:rPr>
            </w:pPr>
          </w:p>
        </w:tc>
        <w:tc>
          <w:tcPr>
            <w:tcW w:w="756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92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9">
              <w:r>
                <w:rPr>
                  <w:rFonts w:ascii="Arial" w:cs="Arial" w:eastAsia="Arial" w:hAnsi="Arial"/>
                  <w:sz w:val="18"/>
                  <w:szCs w:val="18"/>
                  <w:color w:val="0000EE"/>
                  <w:w w:val="89"/>
                </w:rPr>
                <w:t>Risk Factors</w:t>
              </w:r>
            </w:hyperlink>
          </w:p>
        </w:tc>
        <w:tc>
          <w:tcPr>
            <w:tcW w:w="2900" w:type="dxa"/>
            <w:vAlign w:val="bottom"/>
            <w:gridSpan w:val="13"/>
          </w:tcPr>
          <w:p>
            <w:pPr>
              <w:spacing w:after="0"/>
              <w:rPr>
                <w:sz w:val="17"/>
                <w:szCs w:val="17"/>
                <w:color w:val="auto"/>
              </w:rPr>
            </w:pPr>
          </w:p>
        </w:tc>
        <w:tc>
          <w:tcPr>
            <w:tcW w:w="75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3820" w:type="dxa"/>
            <w:vAlign w:val="bottom"/>
            <w:gridSpan w:val="15"/>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Forward-Looking Statements</w:t>
              </w:r>
            </w:hyperlink>
          </w:p>
        </w:tc>
        <w:tc>
          <w:tcPr>
            <w:tcW w:w="75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5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20" w:type="dxa"/>
            <w:vAlign w:val="bottom"/>
            <w:gridSpan w:val="15"/>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Ratio of Earnings to Fixed Charges</w:t>
              </w:r>
            </w:hyperlink>
          </w:p>
        </w:tc>
        <w:tc>
          <w:tcPr>
            <w:tcW w:w="75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1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7"/>
              </w:rPr>
            </w:pPr>
            <w:hyperlink w:anchor="page10">
              <w:r>
                <w:rPr>
                  <w:rFonts w:ascii="Arial" w:cs="Arial" w:eastAsia="Arial" w:hAnsi="Arial"/>
                  <w:sz w:val="18"/>
                  <w:szCs w:val="18"/>
                  <w:color w:val="0000EE"/>
                  <w:w w:val="87"/>
                </w:rPr>
                <w:t>Use of Proceeds</w:t>
              </w:r>
            </w:hyperlink>
          </w:p>
        </w:tc>
        <w:tc>
          <w:tcPr>
            <w:tcW w:w="1360" w:type="dxa"/>
            <w:vAlign w:val="bottom"/>
            <w:tcBorders>
              <w:top w:val="single" w:sz="8" w:color="0000EE"/>
            </w:tcBorders>
            <w:gridSpan w:val="8"/>
          </w:tcPr>
          <w:p>
            <w:pPr>
              <w:spacing w:after="0"/>
              <w:rPr>
                <w:sz w:val="17"/>
                <w:szCs w:val="17"/>
                <w:color w:val="auto"/>
              </w:rPr>
            </w:pPr>
          </w:p>
        </w:tc>
        <w:tc>
          <w:tcPr>
            <w:tcW w:w="1280" w:type="dxa"/>
            <w:vAlign w:val="bottom"/>
            <w:gridSpan w:val="3"/>
          </w:tcPr>
          <w:p>
            <w:pPr>
              <w:spacing w:after="0"/>
              <w:rPr>
                <w:sz w:val="17"/>
                <w:szCs w:val="17"/>
                <w:color w:val="auto"/>
              </w:rPr>
            </w:pPr>
          </w:p>
        </w:tc>
        <w:tc>
          <w:tcPr>
            <w:tcW w:w="75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3820" w:type="dxa"/>
            <w:vAlign w:val="bottom"/>
            <w:gridSpan w:val="15"/>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Dividend Policy</w:t>
              </w:r>
            </w:hyperlink>
          </w:p>
        </w:tc>
        <w:tc>
          <w:tcPr>
            <w:tcW w:w="75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5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20" w:type="dxa"/>
            <w:vAlign w:val="bottom"/>
            <w:gridSpan w:val="15"/>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Description of Our Capital Stock</w:t>
              </w:r>
            </w:hyperlink>
          </w:p>
        </w:tc>
        <w:tc>
          <w:tcPr>
            <w:tcW w:w="75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5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6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w:anchor="page18">
              <w:r>
                <w:rPr>
                  <w:rFonts w:ascii="Arial" w:cs="Arial" w:eastAsia="Arial" w:hAnsi="Arial"/>
                  <w:sz w:val="18"/>
                  <w:szCs w:val="18"/>
                  <w:color w:val="0000EE"/>
                  <w:w w:val="91"/>
                </w:rPr>
                <w:t>Description of the Debt Securities</w:t>
              </w:r>
            </w:hyperlink>
          </w:p>
        </w:tc>
        <w:tc>
          <w:tcPr>
            <w:tcW w:w="1360" w:type="dxa"/>
            <w:vAlign w:val="bottom"/>
            <w:gridSpan w:val="4"/>
          </w:tcPr>
          <w:p>
            <w:pPr>
              <w:spacing w:after="0"/>
              <w:rPr>
                <w:sz w:val="17"/>
                <w:szCs w:val="17"/>
                <w:color w:val="auto"/>
              </w:rPr>
            </w:pPr>
          </w:p>
        </w:tc>
        <w:tc>
          <w:tcPr>
            <w:tcW w:w="75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6"/>
        </w:trPr>
        <w:tc>
          <w:tcPr>
            <w:tcW w:w="200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30">
              <w:r>
                <w:rPr>
                  <w:rFonts w:ascii="Arial" w:cs="Arial" w:eastAsia="Arial" w:hAnsi="Arial"/>
                  <w:sz w:val="18"/>
                  <w:szCs w:val="18"/>
                  <w:color w:val="0000EE"/>
                  <w:w w:val="90"/>
                </w:rPr>
                <w:t>Description of the Warrants</w:t>
              </w:r>
            </w:hyperlink>
          </w:p>
        </w:tc>
        <w:tc>
          <w:tcPr>
            <w:tcW w:w="1820" w:type="dxa"/>
            <w:vAlign w:val="bottom"/>
            <w:gridSpan w:val="7"/>
          </w:tcPr>
          <w:p>
            <w:pPr>
              <w:spacing w:after="0"/>
              <w:rPr>
                <w:sz w:val="17"/>
                <w:szCs w:val="17"/>
                <w:color w:val="auto"/>
              </w:rPr>
            </w:pPr>
          </w:p>
        </w:tc>
        <w:tc>
          <w:tcPr>
            <w:tcW w:w="75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1440" w:type="dxa"/>
            <w:vAlign w:val="bottom"/>
            <w:tcBorders>
              <w:bottom w:val="single" w:sz="8" w:color="0000EE"/>
            </w:tcBorders>
            <w:gridSpan w:val="5"/>
          </w:tcPr>
          <w:p>
            <w:pPr>
              <w:spacing w:after="0" w:line="196" w:lineRule="exact"/>
              <w:rPr>
                <w:rFonts w:ascii="Arial" w:cs="Arial" w:eastAsia="Arial" w:hAnsi="Arial"/>
                <w:sz w:val="18"/>
                <w:szCs w:val="18"/>
                <w:color w:val="0000EE"/>
                <w:w w:val="93"/>
              </w:rPr>
            </w:pPr>
            <w:hyperlink w:anchor="page31">
              <w:r>
                <w:rPr>
                  <w:rFonts w:ascii="Arial" w:cs="Arial" w:eastAsia="Arial" w:hAnsi="Arial"/>
                  <w:sz w:val="18"/>
                  <w:szCs w:val="18"/>
                  <w:color w:val="0000EE"/>
                  <w:w w:val="93"/>
                </w:rPr>
                <w:t>Plan of Distribution</w:t>
              </w:r>
            </w:hyperlink>
          </w:p>
        </w:tc>
        <w:tc>
          <w:tcPr>
            <w:tcW w:w="2380" w:type="dxa"/>
            <w:vAlign w:val="bottom"/>
            <w:gridSpan w:val="10"/>
          </w:tcPr>
          <w:p>
            <w:pPr>
              <w:spacing w:after="0"/>
              <w:rPr>
                <w:sz w:val="17"/>
                <w:szCs w:val="17"/>
                <w:color w:val="auto"/>
              </w:rPr>
            </w:pPr>
          </w:p>
        </w:tc>
        <w:tc>
          <w:tcPr>
            <w:tcW w:w="75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102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w:anchor="page34">
              <w:r>
                <w:rPr>
                  <w:rFonts w:ascii="Arial" w:cs="Arial" w:eastAsia="Arial" w:hAnsi="Arial"/>
                  <w:sz w:val="18"/>
                  <w:szCs w:val="18"/>
                  <w:color w:val="0000EE"/>
                  <w:w w:val="91"/>
                </w:rPr>
                <w:t>Legal Matters</w:t>
              </w:r>
            </w:hyperlink>
          </w:p>
        </w:tc>
        <w:tc>
          <w:tcPr>
            <w:tcW w:w="2800" w:type="dxa"/>
            <w:vAlign w:val="bottom"/>
            <w:gridSpan w:val="12"/>
          </w:tcPr>
          <w:p>
            <w:pPr>
              <w:spacing w:after="0"/>
              <w:rPr>
                <w:sz w:val="17"/>
                <w:szCs w:val="17"/>
                <w:color w:val="auto"/>
              </w:rPr>
            </w:pPr>
          </w:p>
        </w:tc>
        <w:tc>
          <w:tcPr>
            <w:tcW w:w="75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56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34">
              <w:r>
                <w:rPr>
                  <w:rFonts w:ascii="Arial" w:cs="Arial" w:eastAsia="Arial" w:hAnsi="Arial"/>
                  <w:sz w:val="18"/>
                  <w:szCs w:val="18"/>
                  <w:color w:val="0000EE"/>
                  <w:w w:val="88"/>
                </w:rPr>
                <w:t>Experts</w:t>
              </w:r>
            </w:hyperlink>
          </w:p>
        </w:tc>
        <w:tc>
          <w:tcPr>
            <w:tcW w:w="3260" w:type="dxa"/>
            <w:vAlign w:val="bottom"/>
            <w:gridSpan w:val="14"/>
          </w:tcPr>
          <w:p>
            <w:pPr>
              <w:spacing w:after="0"/>
              <w:rPr>
                <w:sz w:val="17"/>
                <w:szCs w:val="17"/>
                <w:color w:val="auto"/>
              </w:rPr>
            </w:pPr>
          </w:p>
        </w:tc>
        <w:tc>
          <w:tcPr>
            <w:tcW w:w="75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288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w:anchor="page34">
              <w:r>
                <w:rPr>
                  <w:rFonts w:ascii="Arial" w:cs="Arial" w:eastAsia="Arial" w:hAnsi="Arial"/>
                  <w:sz w:val="18"/>
                  <w:szCs w:val="18"/>
                  <w:color w:val="0000EE"/>
                  <w:w w:val="92"/>
                </w:rPr>
                <w:t>Where You Can Find More Information</w:t>
              </w:r>
            </w:hyperlink>
          </w:p>
        </w:tc>
        <w:tc>
          <w:tcPr>
            <w:tcW w:w="940" w:type="dxa"/>
            <w:vAlign w:val="bottom"/>
          </w:tcPr>
          <w:p>
            <w:pPr>
              <w:spacing w:after="0"/>
              <w:rPr>
                <w:sz w:val="17"/>
                <w:szCs w:val="17"/>
                <w:color w:val="auto"/>
              </w:rPr>
            </w:pPr>
          </w:p>
        </w:tc>
        <w:tc>
          <w:tcPr>
            <w:tcW w:w="75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284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w:anchor="page35">
              <w:r>
                <w:rPr>
                  <w:rFonts w:ascii="Arial" w:cs="Arial" w:eastAsia="Arial" w:hAnsi="Arial"/>
                  <w:sz w:val="18"/>
                  <w:szCs w:val="18"/>
                  <w:color w:val="0000EE"/>
                  <w:w w:val="91"/>
                </w:rPr>
                <w:t>Information Incorporated by Reference</w:t>
              </w:r>
            </w:hyperlink>
          </w:p>
        </w:tc>
        <w:tc>
          <w:tcPr>
            <w:tcW w:w="980" w:type="dxa"/>
            <w:vAlign w:val="bottom"/>
            <w:gridSpan w:val="2"/>
          </w:tcPr>
          <w:p>
            <w:pPr>
              <w:spacing w:after="0"/>
              <w:rPr>
                <w:sz w:val="17"/>
                <w:szCs w:val="17"/>
                <w:color w:val="auto"/>
              </w:rPr>
            </w:pPr>
          </w:p>
        </w:tc>
        <w:tc>
          <w:tcPr>
            <w:tcW w:w="75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60"/>
          </w:cols>
          <w:pgMar w:left="240" w:top="459" w:right="2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This prospectus is part of a registration statement on Form S-3 that we filed with the Securities and Exchange Commission, or the SEC, using a “shelf” registration process. Under this shelf process, we may, from time to time, offer or sell any combination of the securities described in this prospectus in one or more offerings up to a total amount of $125,000,000.</w:t>
      </w:r>
    </w:p>
    <w:p>
      <w:pPr>
        <w:spacing w:after="0" w:line="181"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This prospectus provides you with a general description of the securities we may offer. Each time we sell securities, we will provide a prospectus supplement that will contain specific information about the terms of that offering. The prospectus supplement may also add to, update or change information contained in this prospectus and, accordingly, to the extent inconsistent, information in this prospectus is superseded by the information in the prospectus supplement.</w:t>
      </w:r>
    </w:p>
    <w:p>
      <w:pPr>
        <w:spacing w:after="0" w:line="187" w:lineRule="exact"/>
        <w:rPr>
          <w:sz w:val="20"/>
          <w:szCs w:val="20"/>
          <w:color w:val="auto"/>
        </w:rPr>
      </w:pPr>
    </w:p>
    <w:p>
      <w:pPr>
        <w:ind w:firstLine="913"/>
        <w:spacing w:after="0" w:line="308" w:lineRule="auto"/>
        <w:rPr>
          <w:sz w:val="20"/>
          <w:szCs w:val="20"/>
          <w:color w:val="auto"/>
        </w:rPr>
      </w:pPr>
      <w:r>
        <w:rPr>
          <w:rFonts w:ascii="Arial" w:cs="Arial" w:eastAsia="Arial" w:hAnsi="Arial"/>
          <w:sz w:val="17"/>
          <w:szCs w:val="17"/>
          <w:color w:val="auto"/>
        </w:rPr>
        <w:t>The prospectus supplement to be attached to the front of this prospectus may describe, as applicable: the terms of the securities offered; the initial price to the public; the price paid for the securities; net proceeds; and the other specific terms related to the offering of the securities.</w:t>
      </w:r>
    </w:p>
    <w:p>
      <w:pPr>
        <w:spacing w:after="0" w:line="147" w:lineRule="exact"/>
        <w:rPr>
          <w:sz w:val="20"/>
          <w:szCs w:val="20"/>
          <w:color w:val="auto"/>
        </w:rPr>
      </w:pPr>
    </w:p>
    <w:p>
      <w:pPr>
        <w:jc w:val="both"/>
        <w:ind w:right="120" w:firstLine="913"/>
        <w:spacing w:after="0" w:line="255" w:lineRule="auto"/>
        <w:rPr>
          <w:sz w:val="20"/>
          <w:szCs w:val="20"/>
          <w:color w:val="auto"/>
        </w:rPr>
      </w:pPr>
      <w:r>
        <w:rPr>
          <w:rFonts w:ascii="Arial" w:cs="Arial" w:eastAsia="Arial" w:hAnsi="Arial"/>
          <w:sz w:val="18"/>
          <w:szCs w:val="18"/>
          <w:color w:val="auto"/>
        </w:rPr>
        <w:t>You should only rely on the information contained or incorporated by reference in this prospectus and any prospectus supplement or issuer free writing prospectus relating to a particular offering. We have not authorized any other person to provide you with different information. You should read this entire prospectus and any prospectus supplement and any related issuer free writing prospectus, as well as the documents incorporated by reference into this prospectus or any prospectus supplement as well as any related free writing prospectus, before making an investment decision. We do not imply or represent by delivering this prospectus that Fluidigm Corporation, or its business, is unchanged after the date on the front of this prospectus or that the information in this prospectus is correct as of any time after such date.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49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6465" cy="649605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200" w:firstLine="885"/>
        <w:spacing w:after="0" w:line="279" w:lineRule="auto"/>
        <w:rPr>
          <w:sz w:val="20"/>
          <w:szCs w:val="20"/>
          <w:color w:val="auto"/>
        </w:rPr>
      </w:pPr>
      <w:r>
        <w:rPr>
          <w:rFonts w:ascii="Arial" w:cs="Arial" w:eastAsia="Arial" w:hAnsi="Arial"/>
          <w:sz w:val="17"/>
          <w:szCs w:val="17"/>
          <w:i w:val="1"/>
          <w:iCs w:val="1"/>
          <w:color w:val="auto"/>
        </w:rPr>
        <w:t>This summary highlights information contained elsewhere in this prospectus or incorporated herein by reference. This summary is not complete and does not contain all of the information that you should consider before deciding to invest in our securities. We urge you to read this entire prospectus and the information incorporated by reference in this prospectus carefully, including the “Risk Factors” section. In this prospectus, unless the context indicates otherwise, the terms “company,” “Fluidigm”, “we,” “us,” and “our” refer to Fluidigm Corporation and its subsidiaries.</w:t>
      </w:r>
    </w:p>
    <w:p>
      <w:pPr>
        <w:spacing w:after="0" w:line="38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Fluidigm Corporation</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200" w:right="120" w:firstLine="885"/>
        <w:spacing w:after="0" w:line="257" w:lineRule="auto"/>
        <w:rPr>
          <w:sz w:val="20"/>
          <w:szCs w:val="20"/>
          <w:color w:val="auto"/>
        </w:rPr>
      </w:pPr>
      <w:r>
        <w:rPr>
          <w:rFonts w:ascii="Arial" w:cs="Arial" w:eastAsia="Arial" w:hAnsi="Arial"/>
          <w:sz w:val="18"/>
          <w:szCs w:val="18"/>
          <w:color w:val="auto"/>
        </w:rPr>
        <w:t>We create, manufacture, and market innovative technologies and tools for life sciences research. We sell instruments and consumables, including integrated fluidic circuits, or IFCs, assays and reagents, to academic institutions, clinical research laboratories, and biopharmaceutical, biotechnology, and agricultural biotechnology, or Ag-Bio, companies and contract research organizations, or CROs. Our technologies and tools are directed at the analysis of deoxyribonucleic acid, or DNA, ribonucleic acid, or RNA, and proteins in a variety of different sample types, from individual cells to bulk tissue.</w:t>
      </w:r>
    </w:p>
    <w:p>
      <w:pPr>
        <w:spacing w:after="0" w:line="188" w:lineRule="exact"/>
        <w:rPr>
          <w:sz w:val="20"/>
          <w:szCs w:val="20"/>
          <w:color w:val="auto"/>
        </w:rPr>
      </w:pPr>
    </w:p>
    <w:p>
      <w:pPr>
        <w:ind w:left="200" w:right="20" w:firstLine="885"/>
        <w:spacing w:after="0" w:line="259" w:lineRule="auto"/>
        <w:rPr>
          <w:sz w:val="20"/>
          <w:szCs w:val="20"/>
          <w:color w:val="auto"/>
        </w:rPr>
      </w:pPr>
      <w:r>
        <w:rPr>
          <w:rFonts w:ascii="Arial" w:cs="Arial" w:eastAsia="Arial" w:hAnsi="Arial"/>
          <w:sz w:val="18"/>
          <w:szCs w:val="18"/>
          <w:color w:val="auto"/>
        </w:rPr>
        <w:t>We were a pioneer in the application of microfluidics to enable high-throughput and highly-multiplexed polymerase chain reactions, or PCR, for genetic analysis, as well as a field known as single-cell genomics, in which the genetic composition of individual cells is assayed. In February 2014, we purchased DVS Sciences, Inc., whose mass cytometry system enables the highly-multiplexed analysis of cellular surface and intracellular proteins in both blood and tissue.</w:t>
      </w:r>
    </w:p>
    <w:p>
      <w:pPr>
        <w:spacing w:after="0" w:line="187" w:lineRule="exact"/>
        <w:rPr>
          <w:sz w:val="20"/>
          <w:szCs w:val="20"/>
          <w:color w:val="auto"/>
        </w:rPr>
      </w:pPr>
    </w:p>
    <w:p>
      <w:pPr>
        <w:jc w:val="both"/>
        <w:ind w:left="200" w:right="340" w:firstLine="885"/>
        <w:spacing w:after="0" w:line="259" w:lineRule="auto"/>
        <w:rPr>
          <w:sz w:val="20"/>
          <w:szCs w:val="20"/>
          <w:color w:val="auto"/>
        </w:rPr>
      </w:pPr>
      <w:r>
        <w:rPr>
          <w:rFonts w:ascii="Arial" w:cs="Arial" w:eastAsia="Arial" w:hAnsi="Arial"/>
          <w:sz w:val="18"/>
          <w:szCs w:val="18"/>
          <w:color w:val="auto"/>
        </w:rPr>
        <w:t>Researchers have successfully employed our products to help achieve breakthroughs in a variety of fields, including single-cell gene and protein expression, gene regulation, genetic variation, cellular function and applied genetics. These breakthroughs include using our systems to help detect life-threatening mutations in cancer cells, discover cancer associated biomarkers, analyze the genetic composition of individual stem cells and assess the quality of agricultural products, such as seeds or livestock.</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200" w:right="80" w:firstLine="885"/>
        <w:spacing w:after="0" w:line="279" w:lineRule="auto"/>
        <w:rPr>
          <w:sz w:val="20"/>
          <w:szCs w:val="20"/>
          <w:color w:val="auto"/>
        </w:rPr>
      </w:pPr>
      <w:r>
        <w:rPr>
          <w:rFonts w:ascii="Arial" w:cs="Arial" w:eastAsia="Arial" w:hAnsi="Arial"/>
          <w:sz w:val="17"/>
          <w:szCs w:val="17"/>
          <w:color w:val="auto"/>
        </w:rPr>
        <w:t>We were incorporated in California in May 1999 as Mycometrix Corporation, changed our name to Fluidigm Corporation in April 2001 and reincorporated in Delaware in July 2007. Our principal executive offices are located at 7000 Shoreline Court, Suite 100, South San Francisco, California 94080. Our telephone number is (650) 266-6000. We maintain an Internet website at www.fluidigm.com. We have not incorporated the information on our website by reference into this prospectus, and you should not consider it to be a part of this prospectus.</w:t>
      </w:r>
    </w:p>
    <w:p>
      <w:pPr>
        <w:spacing w:after="0" w:line="171" w:lineRule="exact"/>
        <w:rPr>
          <w:sz w:val="20"/>
          <w:szCs w:val="20"/>
          <w:color w:val="auto"/>
        </w:rPr>
      </w:pPr>
    </w:p>
    <w:p>
      <w:pPr>
        <w:ind w:left="200" w:right="40" w:firstLine="885"/>
        <w:spacing w:after="0" w:line="279" w:lineRule="auto"/>
        <w:rPr>
          <w:sz w:val="20"/>
          <w:szCs w:val="20"/>
          <w:color w:val="auto"/>
        </w:rPr>
      </w:pPr>
      <w:r>
        <w:rPr>
          <w:rFonts w:ascii="Arial" w:cs="Arial" w:eastAsia="Arial" w:hAnsi="Arial"/>
          <w:sz w:val="17"/>
          <w:szCs w:val="17"/>
          <w:color w:val="auto"/>
        </w:rPr>
        <w:t>“Fluidigm,” the Fluidigm logo, “Access Array,” “Biomark,” “C1,” “Callisto,” “Cell-ID,” “CyTOF,” “D3,” “Delta Gene,” “Digital Array,” “Dynamic Array,” “EP1,” “FC1,” “Flex Six,” “Helios,” “High-Precision 96.96 Genotyping,” “Hyperion,” “Juno,” “Maxpar,” “MSL,” “Nanoflex” “Open App,” “Polaris,” “qdPCR 37K,” “Script Builder,” “Script Hub,” “Singular,” “SNP Trace” and “SNP Type” are trademarks or registered trademarks of Fluidigm Corporation. Other service marks, trademarks and trade names referred to in this prospectus are the property of their respective owners.</w:t>
      </w:r>
    </w:p>
    <w:p>
      <w:pPr>
        <w:spacing w:after="0" w:line="38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Securities We May Offer</w:t>
      </w:r>
    </w:p>
    <w:p>
      <w:pPr>
        <w:spacing w:after="0" w:line="229" w:lineRule="exact"/>
        <w:rPr>
          <w:sz w:val="20"/>
          <w:szCs w:val="20"/>
          <w:color w:val="auto"/>
        </w:rPr>
      </w:pPr>
    </w:p>
    <w:p>
      <w:pPr>
        <w:ind w:left="200" w:right="360" w:firstLine="885"/>
        <w:spacing w:after="0" w:line="277" w:lineRule="auto"/>
        <w:rPr>
          <w:sz w:val="20"/>
          <w:szCs w:val="20"/>
          <w:color w:val="auto"/>
        </w:rPr>
      </w:pPr>
      <w:r>
        <w:rPr>
          <w:rFonts w:ascii="Arial" w:cs="Arial" w:eastAsia="Arial" w:hAnsi="Arial"/>
          <w:sz w:val="18"/>
          <w:szCs w:val="18"/>
          <w:color w:val="auto"/>
        </w:rPr>
        <w:t>We may offer or sell common stock, preferred stock, debt securities and warrants in one or more offerings and in any combination either individually or as units comprised of one or more of the other securities. The aggregate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240" w:top="459" w:right="3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7017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6465" cy="67017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80"/>
        <w:spacing w:after="0" w:line="308" w:lineRule="auto"/>
        <w:rPr>
          <w:sz w:val="20"/>
          <w:szCs w:val="20"/>
          <w:color w:val="auto"/>
        </w:rPr>
      </w:pPr>
      <w:r>
        <w:rPr>
          <w:rFonts w:ascii="Arial" w:cs="Arial" w:eastAsia="Arial" w:hAnsi="Arial"/>
          <w:sz w:val="17"/>
          <w:szCs w:val="17"/>
          <w:color w:val="auto"/>
        </w:rPr>
        <w:t>offering price of the securities sold pursuant to this prospectus will not exceed $125,000,000. Each time we offer securities with this prospectus, we will provide a prospectus supplement that will describe the specific amounts, prices and terms of the securities being offered.</w:t>
      </w:r>
    </w:p>
    <w:p>
      <w:pPr>
        <w:spacing w:after="0" w:line="147" w:lineRule="exact"/>
        <w:rPr>
          <w:sz w:val="20"/>
          <w:szCs w:val="20"/>
          <w:color w:val="auto"/>
        </w:rPr>
      </w:pPr>
    </w:p>
    <w:p>
      <w:pPr>
        <w:ind w:left="200" w:firstLine="885"/>
        <w:spacing w:after="0" w:line="279" w:lineRule="auto"/>
        <w:rPr>
          <w:sz w:val="20"/>
          <w:szCs w:val="20"/>
          <w:color w:val="auto"/>
        </w:rPr>
      </w:pPr>
      <w:r>
        <w:rPr>
          <w:rFonts w:ascii="Arial" w:cs="Arial" w:eastAsia="Arial" w:hAnsi="Arial"/>
          <w:sz w:val="17"/>
          <w:szCs w:val="17"/>
          <w:color w:val="auto"/>
        </w:rPr>
        <w:t>We may sell the securities to or through underwriters, dealers or agents or directly to purchasers or as otherwise set forth below under “Plan of Distribution.” We, as well as any agents acting on our behalf, reserve the sole right to accept and to reject in whole or in part any proposed purchase of securities. Each prospectus supplement will set forth the names of any underwriters, dealers, agents or other entities involved in the sale of securities described in that prospectus supplement and any applicable fee, commission or discount arrangements with them.</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200" w:right="80" w:firstLine="885"/>
        <w:spacing w:after="0" w:line="259" w:lineRule="auto"/>
        <w:rPr>
          <w:sz w:val="20"/>
          <w:szCs w:val="20"/>
          <w:color w:val="auto"/>
        </w:rPr>
      </w:pPr>
      <w:r>
        <w:rPr>
          <w:rFonts w:ascii="Arial" w:cs="Arial" w:eastAsia="Arial" w:hAnsi="Arial"/>
          <w:sz w:val="18"/>
          <w:szCs w:val="18"/>
          <w:color w:val="auto"/>
        </w:rPr>
        <w:t>We may offer shares of our common stock, par value $0.001 per share, either alone or underlying other registered securities convertible into our common stock. Holders of our common stock are entitled to receive dividends declared by our board of directors out of funds legally available for the payment of dividends, subject to rights, if any, of preferred stockholders. Currently, we do not pay a cash dividend. Each holder of common stock is entitled to one vote per share. The holders of common stock have no preemptive rights.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200" w:right="120" w:firstLine="885"/>
        <w:spacing w:after="0" w:line="259" w:lineRule="auto"/>
        <w:rPr>
          <w:sz w:val="20"/>
          <w:szCs w:val="20"/>
          <w:color w:val="auto"/>
        </w:rPr>
      </w:pPr>
      <w:r>
        <w:rPr>
          <w:rFonts w:ascii="Arial" w:cs="Arial" w:eastAsia="Arial" w:hAnsi="Arial"/>
          <w:sz w:val="18"/>
          <w:szCs w:val="18"/>
          <w:color w:val="auto"/>
        </w:rPr>
        <w:t>We may issue preferred stock in one or more series. Our board of directors or a committee designated by the board will determine the dividend, voting and conversion rights and other provisions at the time of sale. Each series of preferred stock will be more fully described in the particular prospectus supplement that will accompany this prospectus, including redemption provisions, rights in the event of liquidation, dissolution or the winding up of Fluidigm Corporation, voting rights and rights to convert into common stock.</w:t>
      </w:r>
    </w:p>
    <w:p>
      <w:pPr>
        <w:spacing w:after="0" w:line="187" w:lineRule="exact"/>
        <w:rPr>
          <w:sz w:val="20"/>
          <w:szCs w:val="20"/>
          <w:color w:val="auto"/>
        </w:rPr>
      </w:pPr>
    </w:p>
    <w:p>
      <w:pPr>
        <w:ind w:left="200" w:right="80" w:firstLine="885"/>
        <w:spacing w:after="0" w:line="273" w:lineRule="auto"/>
        <w:rPr>
          <w:sz w:val="20"/>
          <w:szCs w:val="20"/>
          <w:color w:val="auto"/>
        </w:rPr>
      </w:pPr>
      <w:r>
        <w:rPr>
          <w:rFonts w:ascii="Arial" w:cs="Arial" w:eastAsia="Arial" w:hAnsi="Arial"/>
          <w:sz w:val="17"/>
          <w:szCs w:val="17"/>
          <w:color w:val="auto"/>
        </w:rPr>
        <w:t>In November 2016, our board of directors adopted a Tax Benefit Preservation Plan, or the Tax Benefit Plan. In connection with the adoption of the Tax Benefit Plan, our board of directors authorized and declared a dividend distribution of one right for each outstanding share of common stock, par value $0.001 per share, to stockholders of record as of the close of business on December 1, 2016, or the record date. Each right entitles the registered holder to purchase from us one one-thousandth of a share of our Series A participating preferred stock, par value $0.001 per share, at an exercise price of $35.00 per one one-thousandth of a preferred share, subject to adjustment. In connection with the adoption of our Tax Benefit Plan, we designated 50,000 shares of preferred stock as Series A participating preferred stock.</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Warrants</w:t>
      </w:r>
    </w:p>
    <w:p>
      <w:pPr>
        <w:spacing w:after="0" w:line="121" w:lineRule="exact"/>
        <w:rPr>
          <w:sz w:val="20"/>
          <w:szCs w:val="20"/>
          <w:color w:val="auto"/>
        </w:rPr>
      </w:pPr>
    </w:p>
    <w:p>
      <w:pPr>
        <w:ind w:left="200" w:right="540" w:firstLine="885"/>
        <w:spacing w:after="0" w:line="277" w:lineRule="auto"/>
        <w:rPr>
          <w:sz w:val="20"/>
          <w:szCs w:val="20"/>
          <w:color w:val="auto"/>
        </w:rPr>
      </w:pPr>
      <w:r>
        <w:rPr>
          <w:rFonts w:ascii="Arial" w:cs="Arial" w:eastAsia="Arial" w:hAnsi="Arial"/>
          <w:sz w:val="18"/>
          <w:szCs w:val="18"/>
          <w:color w:val="auto"/>
        </w:rPr>
        <w:t>We may issue warrants for the purchase of common stock, preferred stock or debt securities. We may issue warrants independently or together with other securities.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Debt Securities</w:t>
      </w:r>
    </w:p>
    <w:p>
      <w:pPr>
        <w:spacing w:after="0" w:line="121" w:lineRule="exact"/>
        <w:rPr>
          <w:sz w:val="20"/>
          <w:szCs w:val="20"/>
          <w:color w:val="auto"/>
        </w:rPr>
      </w:pPr>
    </w:p>
    <w:p>
      <w:pPr>
        <w:ind w:left="200" w:right="80" w:firstLine="885"/>
        <w:spacing w:after="0" w:line="297" w:lineRule="auto"/>
        <w:rPr>
          <w:sz w:val="20"/>
          <w:szCs w:val="20"/>
          <w:color w:val="auto"/>
        </w:rPr>
      </w:pPr>
      <w:r>
        <w:rPr>
          <w:rFonts w:ascii="Arial" w:cs="Arial" w:eastAsia="Arial" w:hAnsi="Arial"/>
          <w:sz w:val="16"/>
          <w:szCs w:val="16"/>
          <w:color w:val="auto"/>
        </w:rPr>
        <w:t>We may offer secured or unsecured obligations in the form of one or more series of senior or subordinated debt. The senior debt securities and the subordinated debt securities are together referred to in this prospectus as the “debt securities.” The subordinated debt securities generally will be entitled to payment only after payment of our senior debt. Senior debt generally includes all debt for money borrowed by us, except debt that is stated in the instrument governing the terms of that debt to be not senior to, or to have the same rank in right of payment as, or to be expressly junior to, the subordinated debt securities. We may issue debt securities that are convertible into shares of our common stock.</w:t>
      </w:r>
    </w:p>
    <w:p>
      <w:pPr>
        <w:spacing w:after="0" w:line="158" w:lineRule="exact"/>
        <w:rPr>
          <w:sz w:val="20"/>
          <w:szCs w:val="20"/>
          <w:color w:val="auto"/>
        </w:rPr>
      </w:pPr>
    </w:p>
    <w:p>
      <w:pPr>
        <w:ind w:left="200" w:right="120" w:firstLine="885"/>
        <w:spacing w:after="0" w:line="259" w:lineRule="auto"/>
        <w:rPr>
          <w:sz w:val="20"/>
          <w:szCs w:val="20"/>
          <w:color w:val="auto"/>
        </w:rPr>
      </w:pPr>
      <w:r>
        <w:rPr>
          <w:rFonts w:ascii="Arial" w:cs="Arial" w:eastAsia="Arial" w:hAnsi="Arial"/>
          <w:sz w:val="18"/>
          <w:szCs w:val="18"/>
          <w:color w:val="auto"/>
        </w:rPr>
        <w:t>The senior and subordinated debt securities will be issued under separate indentures between us and a trustee. We have summarized the general features of the debt securities to be governed by the indentures. These indentures have been filed as exhibits to the registration statement of which this prospectus forms a part. We encourage you to read these indentures. Instructions on how you can get copies of these documents are provided under the heading “Where You Can Find More Information.”</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240" w:top="459" w:right="4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8705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6465" cy="87058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Units</w:t>
      </w:r>
    </w:p>
    <w:p>
      <w:pPr>
        <w:spacing w:after="0" w:line="121" w:lineRule="exact"/>
        <w:rPr>
          <w:sz w:val="20"/>
          <w:szCs w:val="20"/>
          <w:color w:val="auto"/>
        </w:rPr>
      </w:pPr>
    </w:p>
    <w:p>
      <w:pPr>
        <w:ind w:left="200" w:firstLine="885"/>
        <w:spacing w:after="0" w:line="342" w:lineRule="auto"/>
        <w:rPr>
          <w:sz w:val="20"/>
          <w:szCs w:val="20"/>
          <w:color w:val="auto"/>
        </w:rPr>
      </w:pPr>
      <w:r>
        <w:rPr>
          <w:rFonts w:ascii="Arial" w:cs="Arial" w:eastAsia="Arial" w:hAnsi="Arial"/>
          <w:sz w:val="16"/>
          <w:szCs w:val="16"/>
          <w:color w:val="auto"/>
        </w:rPr>
        <w:t>We may issue units comprised of one or more of the other classes of securities issued by us as described in this prospectus in any combination. Each unit will be issued so that the holder of the unit is also the holder of each security included in the unit.</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360"/>
          </w:cols>
          <w:pgMar w:left="240" w:top="459" w:right="12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An investment in our securities involves a high degree of risk. The prospectus supplement applicable to each offering of our securities will contain a discussion of the risks applicable to an investment in our securities. Prior to making a decision about investing in our securities, you should carefully consider the specific factors discussed under the heading “Risk Factors” in the applicable prospectus supplement, together with all of the other information contained or incorporated by reference in the prospectus supplement or appearing or incorporated by reference in this prospectus. You should also consider the risks, uncertainties and assumptions discussed under “Part I—Item 1A—Risk Factors” of our most recent report on Form 10-K or “Part II— Item 1A—Risk Factors” in our Quarterly Reports on Form 10-Q which are incorporated herein by reference, and may be amended, supplemented or superseded from time to time by other reports we file with the SEC in the future. The risks and uncertainties we have described are not the only ones we face. Additional risks and uncertainties not presently known to us or that we currently deem immaterial may also affect our operations.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40" w:firstLine="913"/>
        <w:spacing w:after="0" w:line="268" w:lineRule="auto"/>
        <w:rPr>
          <w:sz w:val="20"/>
          <w:szCs w:val="20"/>
          <w:color w:val="auto"/>
        </w:rPr>
      </w:pPr>
      <w:r>
        <w:rPr>
          <w:rFonts w:ascii="Arial" w:cs="Arial" w:eastAsia="Arial" w:hAnsi="Arial"/>
          <w:sz w:val="17"/>
          <w:szCs w:val="17"/>
          <w:color w:val="auto"/>
        </w:rPr>
        <w:t>This prospectus includes and incorporates by reference forward-looking statements within the meaning of Section 27A of the Securities Act of 1933, as amended, or Securities Act, and Section 21E of the Securities Exchange Act of 1934, as amended, or Exchange Act, that are based on our management’s beliefs and assumptions and on information currently available to our management. Forward-looking statements include information concerning our possible or assumed future results of operations, business strategies, financing plans, competitive position, industry environment, potential growth opportunities and the effects of competition. Forward-looking statements include statements that are not historical facts and can be identified by terms such as “anticipates,” “believes,” “could,” “seeks,” “estimates,” “expects,” “intends,” “may,” “plans,” “potential,” “predicts, “projects,” “should,” “will,” “would” or similar expressions and the negatives of those terms. Although we believe that we have a reasonable basis for each forward-looking statement contained and incorporated by reference included in this prospectus, we caution you that these statements are based on our projections of the future that are subject to known and unknown risks and uncertainties and other factors that may cause our actual results, level of activity, performance or achievements expressed or implied by these forward-looking statements, to differ. The sections in this prospectus entitled “Risk Factors,” in “Part I—Item 1A—Risk Factors” of our most recent report on Form 10-K or “Part II—Item 1A—Risk Factors” in our Quarterly Reports on Form 10-Q which is incorporated by reference in this prospectus as well as other disclosures included in this prospectus or the supplement hereto, discuss some of the factors that could contribute to these differences.</w:t>
      </w:r>
    </w:p>
    <w:p>
      <w:pPr>
        <w:spacing w:after="0" w:line="188"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Other unknown or unpredictable factors also could harm our results. Consequently, actual results or developments anticipated by us may not be realized or, even if substantially realized, may not have the expected consequences to, or effects on, us. Given these uncertainties, prospective investors are cautioned not to place undue reliance on such forward-looking statements. Except as required by law, we undertake no obligation to update or revise publicly any of the forward-looking statements after the date of this prospectus.</w:t>
      </w:r>
    </w:p>
    <w:p>
      <w:pPr>
        <w:spacing w:after="0" w:line="187" w:lineRule="exact"/>
        <w:rPr>
          <w:sz w:val="20"/>
          <w:szCs w:val="20"/>
          <w:color w:val="auto"/>
        </w:rPr>
      </w:pPr>
    </w:p>
    <w:p>
      <w:pPr>
        <w:ind w:right="60" w:firstLine="913"/>
        <w:spacing w:after="0" w:line="290" w:lineRule="auto"/>
        <w:rPr>
          <w:sz w:val="20"/>
          <w:szCs w:val="20"/>
          <w:color w:val="auto"/>
        </w:rPr>
      </w:pPr>
      <w:r>
        <w:rPr>
          <w:rFonts w:ascii="Arial" w:cs="Arial" w:eastAsia="Arial" w:hAnsi="Arial"/>
          <w:sz w:val="16"/>
          <w:szCs w:val="16"/>
          <w:color w:val="auto"/>
        </w:rPr>
        <w:t>This prospectus and the documents incorporated by reference in this prospectus contain market data that we obtained from industry sources, including independent industry publications. In presenting this information, we have also made assumptions based on such data and other similar sources and on our knowledge of, and our experience to date in, the markets for our products. This data involves a number of assumptions and limitations, and you are cautioned not to give undue weight to such estimates. While we believe the market data included in this prospectus is generally reliable, such information is inherently imprecise. In addition, projections, assumptions and estimates of our future performance and the future performance of the industry in which we operate are necessarily subject to a high degree of uncertainty and risk due to a variety of factors, including those described under the heading “Risk Factors” in this prospectus and “Item 1A—Risk Factors” of our most recent report on Form 10-K or 10-Q which is incorporated by reference in this prospectus. These and other factors could cause results to differ materially from those expressed in the estimates made by the independent parties and by us.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FIXED CHARGES</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table sets forth our consolidated ratio of earnings to fixed charges for the periods indicated.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center"/>
              <w:ind w:right="600"/>
              <w:spacing w:after="0"/>
              <w:rPr>
                <w:sz w:val="20"/>
                <w:szCs w:val="20"/>
                <w:color w:val="auto"/>
              </w:rPr>
            </w:pPr>
            <w:r>
              <w:rPr>
                <w:rFonts w:ascii="Arial" w:cs="Arial" w:eastAsia="Arial" w:hAnsi="Arial"/>
                <w:sz w:val="14"/>
                <w:szCs w:val="14"/>
                <w:b w:val="1"/>
                <w:bCs w:val="1"/>
                <w:color w:val="auto"/>
                <w:w w:val="93"/>
              </w:rPr>
              <w:t>Year Ended</w:t>
            </w:r>
          </w:p>
        </w:tc>
        <w:tc>
          <w:tcPr>
            <w:tcW w:w="8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19"/>
        </w:trPr>
        <w:tc>
          <w:tcPr>
            <w:tcW w:w="4800" w:type="dxa"/>
            <w:vAlign w:val="bottom"/>
          </w:tcPr>
          <w:p>
            <w:pPr>
              <w:spacing w:after="0"/>
              <w:rPr>
                <w:sz w:val="10"/>
                <w:szCs w:val="10"/>
                <w:color w:val="auto"/>
              </w:rPr>
            </w:pPr>
          </w:p>
        </w:tc>
        <w:tc>
          <w:tcPr>
            <w:tcW w:w="1440" w:type="dxa"/>
            <w:vAlign w:val="bottom"/>
            <w:gridSpan w:val="2"/>
          </w:tcPr>
          <w:p>
            <w:pPr>
              <w:jc w:val="center"/>
              <w:ind w:right="60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420" w:type="dxa"/>
            <w:vAlign w:val="bottom"/>
            <w:gridSpan w:val="2"/>
          </w:tcPr>
          <w:p>
            <w:pPr>
              <w:jc w:val="center"/>
              <w:ind w:right="58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440" w:type="dxa"/>
            <w:vAlign w:val="bottom"/>
            <w:gridSpan w:val="2"/>
          </w:tcPr>
          <w:p>
            <w:pPr>
              <w:jc w:val="center"/>
              <w:ind w:right="60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420" w:type="dxa"/>
            <w:vAlign w:val="bottom"/>
            <w:gridSpan w:val="2"/>
          </w:tcPr>
          <w:p>
            <w:pPr>
              <w:jc w:val="center"/>
              <w:ind w:right="58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8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60" w:type="dxa"/>
            <w:vAlign w:val="bottom"/>
          </w:tcPr>
          <w:p>
            <w:pPr>
              <w:spacing w:after="0"/>
              <w:rPr>
                <w:sz w:val="10"/>
                <w:szCs w:val="10"/>
                <w:color w:val="auto"/>
              </w:rPr>
            </w:pPr>
          </w:p>
        </w:tc>
      </w:tr>
      <w:tr>
        <w:trPr>
          <w:trHeight w:val="171"/>
        </w:trPr>
        <w:tc>
          <w:tcPr>
            <w:tcW w:w="48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204"/>
              <w:spacing w:after="0"/>
              <w:rPr>
                <w:sz w:val="20"/>
                <w:szCs w:val="20"/>
                <w:color w:val="auto"/>
              </w:rPr>
            </w:pPr>
            <w:r>
              <w:rPr>
                <w:rFonts w:ascii="Arial" w:cs="Arial" w:eastAsia="Arial" w:hAnsi="Arial"/>
                <w:sz w:val="14"/>
                <w:szCs w:val="14"/>
                <w:b w:val="1"/>
                <w:bCs w:val="1"/>
                <w:color w:val="auto"/>
              </w:rPr>
              <w:t>2012</w:t>
            </w:r>
          </w:p>
        </w:tc>
        <w:tc>
          <w:tcPr>
            <w:tcW w:w="6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204"/>
              <w:spacing w:after="0"/>
              <w:rPr>
                <w:sz w:val="20"/>
                <w:szCs w:val="20"/>
                <w:color w:val="auto"/>
              </w:rPr>
            </w:pPr>
            <w:r>
              <w:rPr>
                <w:rFonts w:ascii="Arial" w:cs="Arial" w:eastAsia="Arial" w:hAnsi="Arial"/>
                <w:sz w:val="14"/>
                <w:szCs w:val="14"/>
                <w:b w:val="1"/>
                <w:bCs w:val="1"/>
                <w:color w:val="auto"/>
              </w:rPr>
              <w:t>2013</w:t>
            </w:r>
          </w:p>
        </w:tc>
        <w:tc>
          <w:tcPr>
            <w:tcW w:w="5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6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204"/>
              <w:spacing w:after="0"/>
              <w:rPr>
                <w:sz w:val="20"/>
                <w:szCs w:val="20"/>
                <w:color w:val="auto"/>
              </w:rPr>
            </w:pPr>
            <w:r>
              <w:rPr>
                <w:rFonts w:ascii="Arial" w:cs="Arial" w:eastAsia="Arial" w:hAnsi="Arial"/>
                <w:sz w:val="14"/>
                <w:szCs w:val="14"/>
                <w:b w:val="1"/>
                <w:bCs w:val="1"/>
                <w:color w:val="auto"/>
              </w:rPr>
              <w:t>2015</w:t>
            </w:r>
          </w:p>
        </w:tc>
        <w:tc>
          <w:tcPr>
            <w:tcW w:w="5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84"/>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4"/>
                <w:szCs w:val="14"/>
                <w:color w:val="auto"/>
              </w:rPr>
            </w:pPr>
          </w:p>
        </w:tc>
      </w:tr>
      <w:tr>
        <w:trPr>
          <w:trHeight w:val="210"/>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 (1)</w:t>
            </w:r>
          </w:p>
        </w:tc>
        <w:tc>
          <w:tcPr>
            <w:tcW w:w="8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8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8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20" w:hanging="452"/>
        <w:spacing w:after="0" w:line="257"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For the purpose of calculating the ratio of earnings to fixed charges, earnings consist of net loss before benefit from income taxes. Fixed charges consist of interest expense and an estimate of the interest portion of rental expense. In addition, for the periods presented above, we did not have outstanding preferred securities and therefore were not required to pay any preferred security dividends. In the years ended December 31, 2012, 2013, 2014, 2015 and 2016, earnings were insufficient to cover fixed charges by $18.8 million, $16.4 million, $57.7 million, $54.8 million and $80.2 million, respectively.</w:t>
      </w:r>
    </w:p>
    <w:p>
      <w:pPr>
        <w:spacing w:after="0" w:line="188" w:lineRule="exact"/>
        <w:rPr>
          <w:sz w:val="20"/>
          <w:szCs w:val="20"/>
          <w:color w:val="auto"/>
        </w:rPr>
      </w:pPr>
    </w:p>
    <w:p>
      <w:pPr>
        <w:ind w:right="320" w:firstLine="913"/>
        <w:spacing w:after="0" w:line="277" w:lineRule="auto"/>
        <w:rPr>
          <w:sz w:val="20"/>
          <w:szCs w:val="20"/>
          <w:color w:val="auto"/>
        </w:rPr>
      </w:pPr>
      <w:r>
        <w:rPr>
          <w:rFonts w:ascii="Arial" w:cs="Arial" w:eastAsia="Arial" w:hAnsi="Arial"/>
          <w:sz w:val="18"/>
          <w:szCs w:val="18"/>
          <w:color w:val="auto"/>
        </w:rPr>
        <w:t>As of the date of this prospectus, we have no shares of preferred stock outstanding, and consequently, our ratio of earnings to combined fixed charges and preferred share dividends and ratio of earnings to fixed charges would be identical.</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60" w:firstLine="913"/>
        <w:spacing w:after="0" w:line="302" w:lineRule="auto"/>
        <w:rPr>
          <w:sz w:val="20"/>
          <w:szCs w:val="20"/>
          <w:color w:val="auto"/>
        </w:rPr>
      </w:pPr>
      <w:r>
        <w:rPr>
          <w:rFonts w:ascii="Arial" w:cs="Arial" w:eastAsia="Arial" w:hAnsi="Arial"/>
          <w:sz w:val="16"/>
          <w:szCs w:val="16"/>
          <w:color w:val="auto"/>
        </w:rPr>
        <w:t>Unless we state otherwise in the applicable prospectus supplement, we expect to use the net proceeds that we will receive from the sale of the securities for working capital and other general corporate purposes and we may also use a portion of our net proceeds to acquire and invest in complementary products, technologies or businesses; however, we currently have no agreements or commitments to complete any such transaction and are not involved in negotiations to do so. Pending these uses, we may invest our net proceeds from this offering primarily in investment-grade, interest-bearing instruments.</w:t>
      </w:r>
    </w:p>
    <w:p>
      <w:pPr>
        <w:spacing w:after="0" w:line="15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specific allocations of the proceeds we receive from the sale of our securities will be described in the applicable prospectus supplement.</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right="120" w:firstLine="913"/>
        <w:spacing w:after="0" w:line="297" w:lineRule="auto"/>
        <w:rPr>
          <w:sz w:val="20"/>
          <w:szCs w:val="20"/>
          <w:color w:val="auto"/>
        </w:rPr>
      </w:pPr>
      <w:r>
        <w:rPr>
          <w:rFonts w:ascii="Arial" w:cs="Arial" w:eastAsia="Arial" w:hAnsi="Arial"/>
          <w:sz w:val="16"/>
          <w:szCs w:val="16"/>
          <w:color w:val="auto"/>
        </w:rPr>
        <w:t>We have never declared or paid any cash dividends on our capital stock. We currently intend to retain all future earnings for the operation and expansion of our business and, therefore, we do not anticipate declaring or paying cash dividends in the foreseeable future. In addition, we may become subject to covenants under future debt arrangements that place restrictions on our ability to pay dividends. The payment of dividends will be at the discretion of our board of directors and will depend on our results of operations, capital requirements, financial condition, prospects, contractual arrangements, any limitations on payment of dividends present in our current and future debt agreements, and other factors that our board of directors may deem relevant.</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OUR CAPITAL STOCK</w:t>
      </w:r>
    </w:p>
    <w:p>
      <w:pPr>
        <w:spacing w:after="0" w:line="229" w:lineRule="exact"/>
        <w:rPr>
          <w:sz w:val="20"/>
          <w:szCs w:val="20"/>
          <w:color w:val="auto"/>
        </w:rPr>
      </w:pPr>
    </w:p>
    <w:p>
      <w:pPr>
        <w:ind w:right="60" w:firstLine="913"/>
        <w:spacing w:after="0" w:line="342" w:lineRule="auto"/>
        <w:rPr>
          <w:sz w:val="20"/>
          <w:szCs w:val="20"/>
          <w:color w:val="auto"/>
        </w:rPr>
      </w:pPr>
      <w:r>
        <w:rPr>
          <w:rFonts w:ascii="Arial" w:cs="Arial" w:eastAsia="Arial" w:hAnsi="Arial"/>
          <w:sz w:val="16"/>
          <w:szCs w:val="16"/>
          <w:i w:val="1"/>
          <w:iCs w:val="1"/>
          <w:color w:val="auto"/>
        </w:rPr>
        <w:t>The following is a summary of the material provisions of the common stock and the preferred stock contained in our certificate of incorporation, bylaws, and Tax Benefit Plan. For more detailed definition, please refer to our certificate of incorporation, bylaws, and Tax Benefit Plan, each as amended.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Our authorized capital stock consists of 210,000,000 shares, all with a par value of $0.001 per share, of which:</w:t>
      </w:r>
    </w:p>
    <w:p>
      <w:pPr>
        <w:spacing w:after="0" w:line="131" w:lineRule="exact"/>
        <w:rPr>
          <w:sz w:val="20"/>
          <w:szCs w:val="20"/>
          <w:color w:val="auto"/>
        </w:rPr>
      </w:pPr>
    </w:p>
    <w:p>
      <w:pPr>
        <w:ind w:left="1460" w:hanging="547"/>
        <w:spacing w:after="0"/>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200,000,000 shares are designated as common stock;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10,000,000 shares are designated as preferred stock.</w:t>
      </w:r>
    </w:p>
    <w:p>
      <w:pPr>
        <w:spacing w:after="0" w:line="225" w:lineRule="exact"/>
        <w:rPr>
          <w:sz w:val="20"/>
          <w:szCs w:val="20"/>
          <w:color w:val="auto"/>
        </w:rPr>
      </w:pPr>
    </w:p>
    <w:p>
      <w:pPr>
        <w:ind w:right="700" w:firstLine="913"/>
        <w:spacing w:after="0" w:line="308" w:lineRule="auto"/>
        <w:rPr>
          <w:sz w:val="20"/>
          <w:szCs w:val="20"/>
          <w:color w:val="auto"/>
        </w:rPr>
      </w:pPr>
      <w:r>
        <w:rPr>
          <w:rFonts w:ascii="Arial" w:cs="Arial" w:eastAsia="Arial" w:hAnsi="Arial"/>
          <w:sz w:val="17"/>
          <w:szCs w:val="17"/>
          <w:color w:val="auto"/>
        </w:rPr>
        <w:t>As of December 31, 2016, we had outstanding 29,207,654 shares of common stock held of record by 94 stockholders. In addition, as of December 31, 2016, 4,624,505 shares of our common stock were subject to outstanding awards under our equity incentive plans.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jc w:val="both"/>
        <w:ind w:right="40" w:firstLine="913"/>
        <w:spacing w:after="0" w:line="286" w:lineRule="auto"/>
        <w:rPr>
          <w:sz w:val="20"/>
          <w:szCs w:val="20"/>
          <w:color w:val="auto"/>
        </w:rPr>
      </w:pPr>
      <w:r>
        <w:rPr>
          <w:rFonts w:ascii="Arial" w:cs="Arial" w:eastAsia="Arial" w:hAnsi="Arial"/>
          <w:sz w:val="16"/>
          <w:szCs w:val="16"/>
          <w:color w:val="auto"/>
        </w:rPr>
        <w:t>The holders of our common stock are entitled to one vote per share on all matters to be voted on by our stockholders. Subject to preferences that may be applicable to any outstanding shares of preferred stock, holders of common stock are entitled to receive ratably such dividends as may be declared by our board of directors out of funds legally available for that purpose. In the event of our liquidation, dissolution or winding up, the holders of common stock are entitled to share ratably in all assets remaining after the payment of liabilities, subject to the prior distribution rights of preferred stock then outstanding.</w:t>
      </w:r>
    </w:p>
    <w:p>
      <w:pPr>
        <w:spacing w:after="0" w:line="2"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Holders of common stock have no preemptive, conversion or subscription rights. There are no redemption or sinking fund provisions applicable to the common stock.</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color w:val="auto"/>
        </w:rPr>
        <w:t>No shares of preferred stock are outstanding. Our board of directors has the authority, without further action by our stockholders, to designate and issue up to 10,000,000 shares of preferred stock in one or more series. Our board of directors may also designate the rights, preferences and privileges of each such series of preferred stock, any or all of which may be greater than or senior to those of the common stock. In connection with the adoption of our Tax Benefit Plan, as described below, we designated 50,000 shares of preferred stock as Series A participating preferred stock. Other than with respect to the Series A participating preferred stock, the actual effect of any such issuance on the rights of the holders of common stock will not be known until our board of directors determines the specific rights of the holders of preferred stock; however, the potential effects of such an issuance include:</w:t>
      </w:r>
    </w:p>
    <w:p>
      <w:pPr>
        <w:spacing w:after="0" w:line="70" w:lineRule="exact"/>
        <w:rPr>
          <w:sz w:val="20"/>
          <w:szCs w:val="20"/>
          <w:color w:val="auto"/>
        </w:rPr>
      </w:pPr>
    </w:p>
    <w:p>
      <w:pPr>
        <w:ind w:left="1460" w:hanging="547"/>
        <w:spacing w:after="0"/>
        <w:tabs>
          <w:tab w:leader="none" w:pos="1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diluting the voting power of the holders of common stock;</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reducing the likelihood that holders of common stock will receive dividend payments;</w:t>
      </w:r>
    </w:p>
    <w:p>
      <w:pPr>
        <w:spacing w:after="0" w:line="130" w:lineRule="exact"/>
        <w:rPr>
          <w:rFonts w:ascii="Arial" w:cs="Arial" w:eastAsia="Arial" w:hAnsi="Arial"/>
          <w:sz w:val="18"/>
          <w:szCs w:val="18"/>
          <w:color w:val="auto"/>
        </w:rPr>
      </w:pPr>
    </w:p>
    <w:p>
      <w:pPr>
        <w:ind w:left="1460" w:right="220" w:hanging="547"/>
        <w:spacing w:after="0" w:line="277" w:lineRule="auto"/>
        <w:tabs>
          <w:tab w:leader="none" w:pos="1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reducing the likelihood that holders of common stock will receive payments in the event of our liquidation, dissolution, or winding up; and</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delaying, deterring or preventing a change-in-control or other corporate takeover.</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ind w:right="260" w:firstLine="913"/>
        <w:spacing w:after="0" w:line="277" w:lineRule="auto"/>
        <w:rPr>
          <w:sz w:val="20"/>
          <w:szCs w:val="20"/>
          <w:color w:val="auto"/>
        </w:rPr>
      </w:pPr>
      <w:r>
        <w:rPr>
          <w:rFonts w:ascii="Arial" w:cs="Arial" w:eastAsia="Arial" w:hAnsi="Arial"/>
          <w:sz w:val="18"/>
          <w:szCs w:val="18"/>
          <w:color w:val="auto"/>
        </w:rPr>
        <w:t>Under the provisions of our certificate of incorporation, holders of our common stock are entitled to one vote for each share of common stock held by such holder on any matter submitted to a vote at a meeting of stockholders. In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addition, our certificate of incorporation provides that certain corporate actions require the approval of our stockholders. These actions, and the vote required, are as follows:</w:t>
      </w:r>
    </w:p>
    <w:p>
      <w:pPr>
        <w:spacing w:after="0" w:line="76" w:lineRule="exact"/>
        <w:rPr>
          <w:sz w:val="20"/>
          <w:szCs w:val="20"/>
          <w:color w:val="auto"/>
        </w:rPr>
      </w:pPr>
    </w:p>
    <w:p>
      <w:pPr>
        <w:ind w:left="1460" w:right="80" w:hanging="547"/>
        <w:spacing w:after="0" w:line="277" w:lineRule="auto"/>
        <w:tabs>
          <w:tab w:leader="none" w:pos="1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removal of a director requires the vote of a majority of the voting power of our issued and outstanding capital stock entitled to vote in the election of directors; and</w:t>
      </w:r>
    </w:p>
    <w:p>
      <w:pPr>
        <w:spacing w:after="0" w:line="75" w:lineRule="exact"/>
        <w:rPr>
          <w:rFonts w:ascii="Arial" w:cs="Arial" w:eastAsia="Arial" w:hAnsi="Arial"/>
          <w:sz w:val="18"/>
          <w:szCs w:val="18"/>
          <w:color w:val="auto"/>
        </w:rPr>
      </w:pPr>
    </w:p>
    <w:p>
      <w:pPr>
        <w:ind w:left="1460" w:right="80" w:hanging="547"/>
        <w:spacing w:after="0" w:line="259" w:lineRule="auto"/>
        <w:tabs>
          <w:tab w:leader="none" w:pos="1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amendment of provisions of our certificate of incorporation relating to blank check preferred stock, the classification of our directors, the removal of directors, the filling of vacancies on our board of directors, cumulative voting, annual and special meetings of our stockholders and the amendment provision in our certificate of incorporation require the vote of 66 2/3% of our then outstanding voting securities.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Benefit Preservation Plan</w:t>
      </w:r>
    </w:p>
    <w:p>
      <w:pPr>
        <w:spacing w:after="0" w:line="121" w:lineRule="exact"/>
        <w:rPr>
          <w:sz w:val="20"/>
          <w:szCs w:val="20"/>
          <w:color w:val="auto"/>
        </w:rPr>
      </w:pPr>
    </w:p>
    <w:p>
      <w:pPr>
        <w:jc w:val="both"/>
        <w:ind w:right="20" w:firstLine="913"/>
        <w:spacing w:after="0" w:line="286" w:lineRule="auto"/>
        <w:rPr>
          <w:sz w:val="20"/>
          <w:szCs w:val="20"/>
          <w:color w:val="auto"/>
        </w:rPr>
      </w:pPr>
      <w:r>
        <w:rPr>
          <w:rFonts w:ascii="Arial" w:cs="Arial" w:eastAsia="Arial" w:hAnsi="Arial"/>
          <w:sz w:val="17"/>
          <w:szCs w:val="17"/>
          <w:color w:val="auto"/>
        </w:rPr>
        <w:t>The following is a summary of certain principal terms of our Tax Benefit Plan. The Tax Benefit Plan may be further amended from time to time. A description of the rights is set forth in our registration statement on Form 8-A that was filed with the SEC on November 22, 2016 and which is incorporated herein by reference. We expect to submit the Tax Benefit Plan to a stockholder vote at our 2017 Annual Meeting of Stockholders.</w:t>
      </w:r>
    </w:p>
    <w:p>
      <w:pPr>
        <w:spacing w:after="0" w:line="166" w:lineRule="exact"/>
        <w:rPr>
          <w:sz w:val="20"/>
          <w:szCs w:val="20"/>
          <w:color w:val="auto"/>
        </w:rPr>
      </w:pPr>
    </w:p>
    <w:p>
      <w:pPr>
        <w:ind w:firstLine="913"/>
        <w:spacing w:after="0" w:line="276" w:lineRule="auto"/>
        <w:rPr>
          <w:sz w:val="20"/>
          <w:szCs w:val="20"/>
          <w:color w:val="auto"/>
        </w:rPr>
      </w:pPr>
      <w:r>
        <w:rPr>
          <w:rFonts w:ascii="Arial" w:cs="Arial" w:eastAsia="Arial" w:hAnsi="Arial"/>
          <w:sz w:val="17"/>
          <w:szCs w:val="17"/>
          <w:color w:val="auto"/>
        </w:rPr>
        <w:t>In connection with the adoption of our Tax Benefit Plan, our board of directors authorized and declared a dividend distribution of one right for each outstanding share of common stock, par value $0.001 per share, to stockholders of record as of the close of business on December 1, 2016, or the record date. Each right entitles the registered holder to purchase from us one one-thousandth of a share of our Series A participating preferred stock, par value $0.001 per share, at an exercise price of $35.00 per one one-thousandth of a preferred share, subject to adjustment. In connection with the adoption of our Tax Benefit Plan, we designated 50,000 shares of preferred stock as Series A participating preferred stock.</w:t>
      </w:r>
    </w:p>
    <w:p>
      <w:pPr>
        <w:spacing w:after="0" w:line="173" w:lineRule="exact"/>
        <w:rPr>
          <w:sz w:val="20"/>
          <w:szCs w:val="20"/>
          <w:color w:val="auto"/>
        </w:rPr>
      </w:pPr>
    </w:p>
    <w:p>
      <w:pPr>
        <w:ind w:right="60" w:firstLine="913"/>
        <w:spacing w:after="0" w:line="270" w:lineRule="auto"/>
        <w:rPr>
          <w:sz w:val="20"/>
          <w:szCs w:val="20"/>
          <w:color w:val="auto"/>
        </w:rPr>
      </w:pPr>
      <w:r>
        <w:rPr>
          <w:rFonts w:ascii="Arial" w:cs="Arial" w:eastAsia="Arial" w:hAnsi="Arial"/>
          <w:sz w:val="17"/>
          <w:szCs w:val="17"/>
          <w:color w:val="auto"/>
        </w:rPr>
        <w:t>By adopting the Tax Benefit Plan, the board of directors is seeking to protect our ability to use our net operating losses, any loss or deduction attributable to a “net unrealized built-in loss” and other tax attributes, which we refer to as the tax benefits. We view our tax benefits as highly valuable assets of ours that are likely to inure to our benefit and the benefit of our stockholders. However, if we experience an “ownership change,” as defined in Section 382 of the Internal Revenue Code, or the Code, our ability to use the tax benefits could be substantially limited, and the timing of the usage of the tax benefits could be substantially delayed, which could significantly impair the value of the tax benefits. Generally, an “ownership change” occurs if the percentage of our stock owned by one or more “five percent stockholders” increases by more than 50 percentage points over the lowest percentage of stock owned by such stockholders at any time during the prior three-year period or, if sooner, since the last “ownership change” experienced by us. The Tax Benefit Plan is intended to deter acquisitions of 4.99% or more of the outstanding shares or our common stock by any person without the approval of our board of directors. This would protect the tax benefits because changes in ownership by a person owning less than 4.99% of or outstanding shares of common stock are not included in the calculation of “ownership change” for purposes of Section 382 of the Code.</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Distribution and Transfer of Rights; Rights Certificates</w:t>
      </w:r>
    </w:p>
    <w:p>
      <w:pPr>
        <w:spacing w:after="0" w:line="117"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color w:val="auto"/>
        </w:rPr>
        <w:t>The board of directors has declared a dividend of one right for each outstanding share of common stock. Rights accompany any new shares of common stock that are issued after the record date.</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Distribution Date</w:t>
      </w:r>
    </w:p>
    <w:p>
      <w:pPr>
        <w:spacing w:after="0" w:line="117" w:lineRule="exact"/>
        <w:rPr>
          <w:sz w:val="20"/>
          <w:szCs w:val="20"/>
          <w:color w:val="auto"/>
        </w:rPr>
      </w:pPr>
    </w:p>
    <w:p>
      <w:pPr>
        <w:jc w:val="both"/>
        <w:ind w:right="20" w:firstLine="913"/>
        <w:spacing w:after="0" w:line="297" w:lineRule="auto"/>
        <w:rPr>
          <w:sz w:val="20"/>
          <w:szCs w:val="20"/>
          <w:color w:val="auto"/>
        </w:rPr>
      </w:pPr>
      <w:r>
        <w:rPr>
          <w:rFonts w:ascii="Arial" w:cs="Arial" w:eastAsia="Arial" w:hAnsi="Arial"/>
          <w:sz w:val="16"/>
          <w:szCs w:val="16"/>
          <w:color w:val="auto"/>
        </w:rPr>
        <w:t>Subject to certain exceptions specified in the Tax Benefit Plan, the rights will separate from the shares of common stock and become exercisable following (1) the 10th business day (or such later date as may be determined by the board of directors) after the public announcement that a person or group of affiliated or associated persons, or an acquiring person, has acquired beneficial ownership of 4.99% or more of the shares of common stock or (2) the 10th business day (or such later date as may be determined by the board of directors) after a person or group has first published, sent, or given a tender or exchange offer that would result in ownership by a person or group of 4.99% or more of the outstanding shares of our common stock.</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913"/>
        <w:spacing w:after="0" w:line="286" w:lineRule="auto"/>
        <w:rPr>
          <w:sz w:val="20"/>
          <w:szCs w:val="20"/>
          <w:color w:val="auto"/>
        </w:rPr>
      </w:pPr>
      <w:r>
        <w:rPr>
          <w:rFonts w:ascii="Arial" w:cs="Arial" w:eastAsia="Arial" w:hAnsi="Arial"/>
          <w:sz w:val="17"/>
          <w:szCs w:val="17"/>
          <w:color w:val="auto"/>
        </w:rPr>
        <w:t>Any person or group of affiliated or associated persons who beneficially owns 4.99% or more of the outstanding shares of our common stock as of the announcement of the Tax Benefit Plan will not be an acquiring person, but only for so long as such person or group does not become the beneficial owner of additional shares of common stock equal to 0.10% or more of the shares of common stock then outstanding.</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7"/>
          <w:szCs w:val="17"/>
          <w:color w:val="auto"/>
        </w:rPr>
        <w:t>The date on which the rights separate from the shares of common stock and become exercisable is referred to as the distribution date.</w:t>
      </w:r>
    </w:p>
    <w:p>
      <w:pPr>
        <w:spacing w:after="0" w:line="237" w:lineRule="exact"/>
        <w:rPr>
          <w:sz w:val="20"/>
          <w:szCs w:val="20"/>
          <w:color w:val="auto"/>
        </w:rPr>
      </w:pPr>
    </w:p>
    <w:p>
      <w:pPr>
        <w:ind w:right="260" w:firstLine="913"/>
        <w:spacing w:after="0" w:line="308" w:lineRule="auto"/>
        <w:rPr>
          <w:sz w:val="20"/>
          <w:szCs w:val="20"/>
          <w:color w:val="auto"/>
        </w:rPr>
      </w:pPr>
      <w:r>
        <w:rPr>
          <w:rFonts w:ascii="Arial" w:cs="Arial" w:eastAsia="Arial" w:hAnsi="Arial"/>
          <w:sz w:val="17"/>
          <w:szCs w:val="17"/>
          <w:color w:val="auto"/>
        </w:rPr>
        <w:t>After the distribution date, we will mail rights certificates to our stockholders as of the close of business on the distribution date and the rights will become transferable apart from the shares of common stock. Thereafter, such rights certificates alone will represent the rights.</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Preferred Shares Purchasable Upon Exercise of Rights</w:t>
      </w:r>
    </w:p>
    <w:p>
      <w:pPr>
        <w:spacing w:after="0" w:line="117"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color w:val="auto"/>
        </w:rPr>
        <w:t>After the distribution date, each right will entitle the holder to purchase, for the exercise price, one one-thousandth of a share of preferred stock having economic and other terms similar to that of one share of common stock. This portion of a share of preferred stock is intended to give the stockholder approximately the same dividend, voting and liquidation rights as would one share of common stock, and should approximate the value of one share of common stock.</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More specifically, each one one-thousandth of a share of preferred stock, if issued, will:</w:t>
      </w:r>
    </w:p>
    <w:p>
      <w:pPr>
        <w:spacing w:after="0" w:line="131" w:lineRule="exact"/>
        <w:rPr>
          <w:sz w:val="20"/>
          <w:szCs w:val="20"/>
          <w:color w:val="auto"/>
        </w:rPr>
      </w:pPr>
    </w:p>
    <w:p>
      <w:pPr>
        <w:ind w:left="1460" w:hanging="547"/>
        <w:spacing w:after="0"/>
        <w:tabs>
          <w:tab w:leader="none" w:pos="1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not be redeemable;</w:t>
      </w:r>
    </w:p>
    <w:p>
      <w:pPr>
        <w:spacing w:after="0" w:line="130" w:lineRule="exact"/>
        <w:rPr>
          <w:rFonts w:ascii="Arial" w:cs="Arial" w:eastAsia="Arial" w:hAnsi="Arial"/>
          <w:sz w:val="18"/>
          <w:szCs w:val="18"/>
          <w:color w:val="auto"/>
        </w:rPr>
      </w:pPr>
    </w:p>
    <w:p>
      <w:pPr>
        <w:ind w:left="1460" w:right="400" w:hanging="547"/>
        <w:spacing w:after="0" w:line="277" w:lineRule="auto"/>
        <w:tabs>
          <w:tab w:leader="none" w:pos="1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entitle holders to quarterly dividend payments of $0.001 per share, or an amount equal to the dividend paid on one share of common stock, whichever is greater;</w:t>
      </w:r>
    </w:p>
    <w:p>
      <w:pPr>
        <w:spacing w:after="0" w:line="75" w:lineRule="exact"/>
        <w:rPr>
          <w:rFonts w:ascii="Arial" w:cs="Arial" w:eastAsia="Arial" w:hAnsi="Arial"/>
          <w:sz w:val="18"/>
          <w:szCs w:val="18"/>
          <w:color w:val="auto"/>
        </w:rPr>
      </w:pPr>
    </w:p>
    <w:p>
      <w:pPr>
        <w:ind w:left="1460" w:right="60" w:hanging="547"/>
        <w:spacing w:after="0" w:line="277" w:lineRule="auto"/>
        <w:tabs>
          <w:tab w:leader="none" w:pos="1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entitle holders upon liquidation either to receive $1.00 per share or an amount equal to the payment made on one share of common stock, whichever is greater;</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have the same voting power as one share of common stock; and</w:t>
      </w:r>
    </w:p>
    <w:p>
      <w:pPr>
        <w:spacing w:after="0" w:line="130" w:lineRule="exact"/>
        <w:rPr>
          <w:rFonts w:ascii="Arial" w:cs="Arial" w:eastAsia="Arial" w:hAnsi="Arial"/>
          <w:sz w:val="18"/>
          <w:szCs w:val="18"/>
          <w:color w:val="auto"/>
        </w:rPr>
      </w:pPr>
    </w:p>
    <w:p>
      <w:pPr>
        <w:ind w:left="1460" w:right="520" w:hanging="547"/>
        <w:spacing w:after="0" w:line="277" w:lineRule="auto"/>
        <w:tabs>
          <w:tab w:leader="none" w:pos="1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entitle holders to a per share payment equal to the payment made on one share of common stock if the shares of common stock are exchanged via merger, consolidation or a similar transaction.</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Flip-In Trigger</w:t>
      </w:r>
    </w:p>
    <w:p>
      <w:pPr>
        <w:spacing w:after="0" w:line="117"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If an acquiring person obtains beneficial ownership of 4.99% or more of the shares of common stock, except pursuant to an offer for all outstanding shares of common stock that the independent members of the board of directors determine to be fair and not inadequate and to otherwise be in the best interests of ours and our stockholders after receiving advice from one or more investment banking firms, then each right will entitle the holder thereof to purchase, for the exercise price, a number of shares of common stock (or, in certain circumstances, cash, property or other securities of ours) having a then-current market value of twice the exercise price. However, the rights are not exercisable following the occurrence of the foregoing event until such time as the rights are no longer redeemable by us, as further described below.</w:t>
      </w:r>
    </w:p>
    <w:p>
      <w:pPr>
        <w:spacing w:after="0" w:line="193"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Following the occurrence of an event set forth in preceding paragraph, all rights that are or, under certain circumstances specified in the Tax Benefit Plan, were beneficially owned by an acquiring person or certain of its transferees will be null and void.</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Flip-Over Trigger</w:t>
      </w:r>
    </w:p>
    <w:p>
      <w:pPr>
        <w:spacing w:after="0" w:line="117" w:lineRule="exact"/>
        <w:rPr>
          <w:sz w:val="20"/>
          <w:szCs w:val="20"/>
          <w:color w:val="auto"/>
        </w:rPr>
      </w:pPr>
    </w:p>
    <w:p>
      <w:pPr>
        <w:ind w:right="440" w:firstLine="913"/>
        <w:spacing w:after="0" w:line="277" w:lineRule="auto"/>
        <w:rPr>
          <w:sz w:val="20"/>
          <w:szCs w:val="20"/>
          <w:color w:val="auto"/>
        </w:rPr>
      </w:pPr>
      <w:r>
        <w:rPr>
          <w:rFonts w:ascii="Arial" w:cs="Arial" w:eastAsia="Arial" w:hAnsi="Arial"/>
          <w:sz w:val="18"/>
          <w:szCs w:val="18"/>
          <w:color w:val="auto"/>
        </w:rPr>
        <w:t>If, after an acquiring person obtains 4.99% or more of the shares of common stock, (1) we merge into another entity, (2) an acquiring entity merges into us or (3) we sell or transfer more than 50% of our assets, cash flow or earning</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power, then each right (except for rights that have previously been voided as set forth above) will entitle the holder thereof to purchase, for the exercise price, a number of shares of common stock of the person engaging in the transaction having a then-current market value of twice the exercise price.</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Redemption of the Rights</w:t>
      </w:r>
    </w:p>
    <w:p>
      <w:pPr>
        <w:spacing w:after="0" w:line="117" w:lineRule="exact"/>
        <w:rPr>
          <w:sz w:val="20"/>
          <w:szCs w:val="20"/>
          <w:color w:val="auto"/>
        </w:rPr>
      </w:pPr>
    </w:p>
    <w:p>
      <w:pPr>
        <w:ind w:right="60" w:firstLine="913"/>
        <w:spacing w:after="0" w:line="276" w:lineRule="auto"/>
        <w:rPr>
          <w:sz w:val="20"/>
          <w:szCs w:val="20"/>
          <w:color w:val="auto"/>
        </w:rPr>
      </w:pPr>
      <w:r>
        <w:rPr>
          <w:rFonts w:ascii="Arial" w:cs="Arial" w:eastAsia="Arial" w:hAnsi="Arial"/>
          <w:sz w:val="17"/>
          <w:szCs w:val="17"/>
          <w:color w:val="auto"/>
        </w:rPr>
        <w:t>The rights will be redeemable at our option for $0.01 per right (payable in cash, shares of common stock or other consideration deemed appropriate by the board of directors) at any time on or prior to the 10th business day (or such later date as may be determined by the board of directors) after the public announcement that an acquiring person has acquired beneficial ownership of 4.99% or more of the shares of common stock. Immediately upon the action of the board of directors ordering redemption, the rights will terminate and the only right of the holders of the rights will be to receive the $0.01 redemption price. The redemption price will be adjusted if we undertake a stock dividend or a stock split.</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Exchange Provision</w:t>
      </w:r>
    </w:p>
    <w:p>
      <w:pPr>
        <w:spacing w:after="0" w:line="117" w:lineRule="exact"/>
        <w:rPr>
          <w:sz w:val="20"/>
          <w:szCs w:val="20"/>
          <w:color w:val="auto"/>
        </w:rPr>
      </w:pPr>
    </w:p>
    <w:p>
      <w:pPr>
        <w:ind w:right="120" w:firstLine="913"/>
        <w:spacing w:after="0" w:line="257" w:lineRule="auto"/>
        <w:rPr>
          <w:sz w:val="20"/>
          <w:szCs w:val="20"/>
          <w:color w:val="auto"/>
        </w:rPr>
      </w:pPr>
      <w:r>
        <w:rPr>
          <w:rFonts w:ascii="Arial" w:cs="Arial" w:eastAsia="Arial" w:hAnsi="Arial"/>
          <w:sz w:val="18"/>
          <w:szCs w:val="18"/>
          <w:color w:val="auto"/>
        </w:rPr>
        <w:t>At any time after the date on which an acquiring person beneficially owns 4.99% or more of the shares of common stock and prior to the acquisition by the acquiring person of 50% of the shares of common stock, the board of directors may exchange the rights (except for rights that have previously been voided as set forth above), in whole or in part, for shares of common stock at an exchange ratio of one share of common stock per right (subject to adjustment). In certain circumstances, we may elect to exchange the rights for cash or other securities of ours having a value approximately equal to one share of common stock.</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Expiration of the Rights</w:t>
      </w:r>
    </w:p>
    <w:p>
      <w:pPr>
        <w:spacing w:after="0" w:line="117"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The rights expire on the earliest of (1) 5:00 p.m., New York City time, on November 21, 2019 (unless such date is extended); (2) the redemption or exchange of the rights as described above; (3) following (a) the first annual meeting of our stockholders after the adoption of the Tax Benefit Plan if stockholders do not approve the Tax Benefit Plan or (b) the first anniversary of the adoption of the Tax Benefit Plan if the stockholders have not otherwise approved the Tax Benefit Plan; (4) the repeal of Section 382 of the Code or any other change if the board of directors determines that the Tax Benefit Plan is no longer necessary or desirable for the preservation of the tax benefits; (5) the time at which the board of directors determines that the tax benefits are fully utilized or no longer available pursuant to Section 382 of the Code or that an ownership change pursuant to Section 382 of the Code would not adversely impact in any material respect the time period in which we could use the tax benefits, or materially impair the amount of the tax benefits that could be used by us in any particular time period for applicable tax purposes; and (6) a determination by the board of directors that the Tax Benefit Plan is no longer in the best interests of ours and our stockholders.</w:t>
      </w:r>
    </w:p>
    <w:p>
      <w:pPr>
        <w:spacing w:after="0" w:line="2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Amendment of Terms of the Tax Benefit Plan and the Rights</w:t>
      </w:r>
    </w:p>
    <w:p>
      <w:pPr>
        <w:spacing w:after="0" w:line="117"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The terms of the rights and the Tax Benefit Plan may be amended in any respect without the consent of the holders of the rights on or prior to the distribution date. Thereafter, the terms of the rights and the Tax Benefit Plan may be amended without the consent of the holders of rights in order to (1) cure any ambiguities, (2) shorten or lengthen any time period pursuant to the Tax Benefit Plan or (3) make changes that do not adversely affect the interests of holders of the rights.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Voting Rights; Other Stockholder Rights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rights will not have any voting rights. Until a right is exercised, the holder thereof, as such, will have no separate rights as stockholder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Anti-Dilution Provisions</w:t>
      </w:r>
    </w:p>
    <w:p>
      <w:pPr>
        <w:spacing w:after="0" w:line="117" w:lineRule="exact"/>
        <w:rPr>
          <w:sz w:val="20"/>
          <w:szCs w:val="20"/>
          <w:color w:val="auto"/>
        </w:rPr>
      </w:pPr>
    </w:p>
    <w:p>
      <w:pPr>
        <w:ind w:right="300" w:firstLine="913"/>
        <w:spacing w:after="0" w:line="342" w:lineRule="auto"/>
        <w:rPr>
          <w:sz w:val="20"/>
          <w:szCs w:val="20"/>
          <w:color w:val="auto"/>
        </w:rPr>
      </w:pPr>
      <w:r>
        <w:rPr>
          <w:rFonts w:ascii="Arial" w:cs="Arial" w:eastAsia="Arial" w:hAnsi="Arial"/>
          <w:sz w:val="16"/>
          <w:szCs w:val="16"/>
          <w:color w:val="auto"/>
        </w:rPr>
        <w:t>The board of directors may adjust the exercise price, the number of shares of preferred stock issuable and the number of outstanding rights to prevent dilution that may occur from a stock dividend, a stock split or a reclassification of the shares of preferred stock or shares of commons stock.</w:t>
      </w:r>
    </w:p>
    <w:p>
      <w:pPr>
        <w:spacing w:after="0" w:line="124"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With certain exceptions, no adjustments to the exercise price will be made until the cumulative adjustments amount to at least 1% of the exercise price. No fractional shares of preferred stock will be issued and, in lieu thereof, an adjustment in cash will be made based on the current market price of the shares of preferred stock.</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Taxes</w:t>
      </w:r>
    </w:p>
    <w:p>
      <w:pPr>
        <w:spacing w:after="0" w:line="117"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The distribution of rights should not be taxable for federal income tax purposes. However, following an event that renders the rights exercisable or upon redemption of the rights, stockholders may recognize taxable income.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 Takeover Effects of Delaware Law and Our Certificate of Incorporation, Bylaws, and Tax Benefit Plan</w:t>
      </w:r>
    </w:p>
    <w:p>
      <w:pPr>
        <w:spacing w:after="0" w:line="121"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Certain provisions of Delaware law and our certificate of incorporation and bylaws contain provisions that could have the effect of delaying, deferring or discouraging another party from acquiring control of us. These provisions, which are summarized below, are expected to discourage certain types of coercive takeover practices and inadequate takeover bids. These provisions are also designed in part to encourage anyone seeking to acquire control of us to first negotiate with our board of directors. We believe that the advantages gained by protecting our ability to negotiate with any unsolicited and potentially unfriendly acquirer outweigh the disadvantages of discouraging such proposals, including those priced above the then-current market value of our common stock, because, among other reasons, the negotiation of such proposals could improve their terms.</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Certificate of Incorporation and Bylaws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Our certificate of incorporation and bylaws include provisions that:</w:t>
      </w:r>
    </w:p>
    <w:p>
      <w:pPr>
        <w:spacing w:after="0" w:line="131" w:lineRule="exact"/>
        <w:rPr>
          <w:sz w:val="20"/>
          <w:szCs w:val="20"/>
          <w:color w:val="auto"/>
        </w:rPr>
      </w:pPr>
    </w:p>
    <w:p>
      <w:pPr>
        <w:ind w:left="1460" w:right="240" w:hanging="547"/>
        <w:spacing w:after="0" w:line="277" w:lineRule="auto"/>
        <w:tabs>
          <w:tab w:leader="none" w:pos="1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authorize our board of directors to issue, without further action by the stockholders, up to 10,000,000 shares of undesignated preferred stock;</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require that any action to be taken by our stockholders be effected at a duly called annual or special meeting and not by written consent;</w:t>
      </w:r>
    </w:p>
    <w:p>
      <w:pPr>
        <w:spacing w:after="0" w:line="153" w:lineRule="exact"/>
        <w:rPr>
          <w:rFonts w:ascii="Arial" w:cs="Arial" w:eastAsia="Arial" w:hAnsi="Arial"/>
          <w:sz w:val="16"/>
          <w:szCs w:val="16"/>
          <w:color w:val="auto"/>
        </w:rPr>
      </w:pPr>
    </w:p>
    <w:p>
      <w:pPr>
        <w:ind w:left="1460" w:right="560" w:hanging="547"/>
        <w:spacing w:after="0" w:line="277" w:lineRule="auto"/>
        <w:tabs>
          <w:tab w:leader="none" w:pos="1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chairman of the board, the chief executive officer or the president;</w:t>
      </w:r>
    </w:p>
    <w:p>
      <w:pPr>
        <w:spacing w:after="0" w:line="75" w:lineRule="exact"/>
        <w:rPr>
          <w:rFonts w:ascii="Arial" w:cs="Arial" w:eastAsia="Arial" w:hAnsi="Arial"/>
          <w:sz w:val="18"/>
          <w:szCs w:val="18"/>
          <w:color w:val="auto"/>
        </w:rPr>
      </w:pPr>
    </w:p>
    <w:p>
      <w:pPr>
        <w:ind w:left="1460" w:right="220" w:hanging="547"/>
        <w:spacing w:after="0" w:line="277" w:lineRule="auto"/>
        <w:tabs>
          <w:tab w:leader="none" w:pos="1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provide that directors may be removed only for cause;</w:t>
      </w:r>
    </w:p>
    <w:p>
      <w:pPr>
        <w:spacing w:after="0" w:line="130" w:lineRule="exact"/>
        <w:rPr>
          <w:rFonts w:ascii="Arial" w:cs="Arial" w:eastAsia="Arial" w:hAnsi="Arial"/>
          <w:sz w:val="18"/>
          <w:szCs w:val="18"/>
          <w:color w:val="auto"/>
        </w:rPr>
      </w:pPr>
    </w:p>
    <w:p>
      <w:pPr>
        <w:ind w:left="1460" w:right="460" w:hanging="547"/>
        <w:spacing w:after="0" w:line="277" w:lineRule="auto"/>
        <w:tabs>
          <w:tab w:leader="none" w:pos="1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provide that vacancies on our board of directors may be filled only by a majority of directors then in office, even though less than a quorum;</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establish that our board of directors is divided into three classes, Class I, Class II, and Class III, with each class serving staggered terms;</w:t>
      </w:r>
    </w:p>
    <w:p>
      <w:pPr>
        <w:spacing w:after="0" w:line="153" w:lineRule="exact"/>
        <w:rPr>
          <w:rFonts w:ascii="Arial" w:cs="Arial" w:eastAsia="Arial" w:hAnsi="Arial"/>
          <w:sz w:val="16"/>
          <w:szCs w:val="16"/>
          <w:color w:val="auto"/>
        </w:rPr>
      </w:pPr>
    </w:p>
    <w:p>
      <w:pPr>
        <w:ind w:left="1460" w:hanging="547"/>
        <w:spacing w:after="0"/>
        <w:tabs>
          <w:tab w:leader="none" w:pos="1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specify that no stockholder is permitted to cumulate votes at any election of the board of directors;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require a super majority of votes to amend certain of the above-mentioned provisions.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Delaware Anti-Takeover Statute</w:t>
      </w:r>
    </w:p>
    <w:p>
      <w:pPr>
        <w:spacing w:after="0" w:line="117"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We are subject to the provisions of Section 203 of the Delaware General Corporation Law regulating corporate takeovers. In general, Section 203 prohibits a publicly-held Delaware corporation from engaging, under certain circumstances, in a business combination with an interested stockholder for a period of three years following the date the person became an interested stockholder unless:</w:t>
      </w:r>
    </w:p>
    <w:p>
      <w:pPr>
        <w:spacing w:after="0" w:line="87" w:lineRule="exact"/>
        <w:rPr>
          <w:sz w:val="20"/>
          <w:szCs w:val="20"/>
          <w:color w:val="auto"/>
        </w:rPr>
      </w:pPr>
    </w:p>
    <w:p>
      <w:pPr>
        <w:ind w:left="1460" w:right="200" w:hanging="547"/>
        <w:spacing w:after="0" w:line="277" w:lineRule="auto"/>
        <w:tabs>
          <w:tab w:leader="none" w:pos="1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prior to the date of the transaction, the board of directors of the corporation approved either the business combination or the transaction which resulted in the stockholder becoming an interested stockholder;</w:t>
      </w:r>
    </w:p>
    <w:p>
      <w:pPr>
        <w:spacing w:after="0" w:line="75" w:lineRule="exact"/>
        <w:rPr>
          <w:rFonts w:ascii="Arial" w:cs="Arial" w:eastAsia="Arial" w:hAnsi="Arial"/>
          <w:sz w:val="18"/>
          <w:szCs w:val="18"/>
          <w:color w:val="auto"/>
        </w:rPr>
      </w:pPr>
    </w:p>
    <w:p>
      <w:pPr>
        <w:ind w:left="1460" w:right="100" w:hanging="547"/>
        <w:spacing w:after="0" w:line="288" w:lineRule="auto"/>
        <w:tabs>
          <w:tab w:leader="none" w:pos="1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upon completion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but not for determining the outstanding voting stock owned by the interested stockholder,</w:t>
      </w:r>
    </w:p>
    <w:p>
      <w:pPr>
        <w:jc w:val="both"/>
        <w:ind w:left="1460" w:right="500"/>
        <w:spacing w:after="0" w:line="255" w:lineRule="auto"/>
        <w:rPr>
          <w:rFonts w:ascii="Arial" w:cs="Arial" w:eastAsia="Arial" w:hAnsi="Arial"/>
          <w:sz w:val="16"/>
          <w:szCs w:val="16"/>
          <w:color w:val="auto"/>
        </w:rPr>
      </w:pPr>
      <w:r>
        <w:rPr>
          <w:rFonts w:ascii="Arial" w:cs="Arial" w:eastAsia="Arial" w:hAnsi="Arial"/>
          <w:sz w:val="18"/>
          <w:szCs w:val="18"/>
          <w:color w:val="auto"/>
        </w:rPr>
        <w:t>(1)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p>
      <w:pPr>
        <w:spacing w:after="0" w:line="95" w:lineRule="exact"/>
        <w:rPr>
          <w:rFonts w:ascii="Arial" w:cs="Arial" w:eastAsia="Arial" w:hAnsi="Arial"/>
          <w:sz w:val="16"/>
          <w:szCs w:val="16"/>
          <w:color w:val="auto"/>
        </w:rPr>
      </w:pPr>
    </w:p>
    <w:p>
      <w:pPr>
        <w:ind w:left="1460" w:right="160" w:hanging="547"/>
        <w:spacing w:after="0" w:line="264" w:lineRule="auto"/>
        <w:tabs>
          <w:tab w:leader="none" w:pos="1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at or subsequent to the date of the transaction, the business combination is approved by the board of directors of the corporation and authorized at an annual or special meeting of stockholders, and not by written consent, by the affirmative vote of at least 66 2/3% of the outstanding voting stock which is not owned by the interested stockholder.</w:t>
      </w:r>
    </w:p>
    <w:p>
      <w:pPr>
        <w:spacing w:after="0" w:line="181" w:lineRule="exact"/>
        <w:rPr>
          <w:sz w:val="20"/>
          <w:szCs w:val="20"/>
          <w:color w:val="auto"/>
        </w:rPr>
      </w:pPr>
    </w:p>
    <w:p>
      <w:pPr>
        <w:ind w:right="160" w:firstLine="913"/>
        <w:spacing w:after="0" w:line="297" w:lineRule="auto"/>
        <w:rPr>
          <w:sz w:val="20"/>
          <w:szCs w:val="20"/>
          <w:color w:val="auto"/>
        </w:rPr>
      </w:pPr>
      <w:r>
        <w:rPr>
          <w:rFonts w:ascii="Arial" w:cs="Arial" w:eastAsia="Arial" w:hAnsi="Arial"/>
          <w:sz w:val="16"/>
          <w:szCs w:val="16"/>
          <w:color w:val="auto"/>
        </w:rPr>
        <w:t>Generally, a business combination includes a merger, asset or stock sale, or other transaction resulting in a financial benefit to the interested stockholder. An interested stockholder is a person who, together with affiliates and associates, owns or, within three years prior to the determination of interested stockholder status, did own 15% or more of a corporation’s outstanding voting stock. We expect the existence of this provision to have an anti-takeover effect with respect to transactions our board of directors does not approve in advance. We also anticipate that Section 203 may discourage business combinations or other attempts that might result in a premium over the market price for the shares of common stock held by our stockholders.</w:t>
      </w:r>
    </w:p>
    <w:p>
      <w:pPr>
        <w:spacing w:after="0" w:line="158" w:lineRule="exact"/>
        <w:rPr>
          <w:sz w:val="20"/>
          <w:szCs w:val="20"/>
          <w:color w:val="auto"/>
        </w:rPr>
      </w:pPr>
    </w:p>
    <w:p>
      <w:pPr>
        <w:ind w:right="40" w:firstLine="913"/>
        <w:spacing w:after="0" w:line="279" w:lineRule="auto"/>
        <w:rPr>
          <w:sz w:val="20"/>
          <w:szCs w:val="20"/>
          <w:color w:val="auto"/>
        </w:rPr>
      </w:pPr>
      <w:r>
        <w:rPr>
          <w:rFonts w:ascii="Arial" w:cs="Arial" w:eastAsia="Arial" w:hAnsi="Arial"/>
          <w:sz w:val="17"/>
          <w:szCs w:val="17"/>
          <w:color w:val="auto"/>
        </w:rPr>
        <w:t>The provisions of Delaware law and our certificate of incorporation and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Tax Benefit Plan</w:t>
      </w:r>
    </w:p>
    <w:p>
      <w:pPr>
        <w:spacing w:after="0" w:line="117"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color w:val="auto"/>
        </w:rPr>
        <w:t>In addition, the Tax Benefit Plan could make it more difficult for a third party to acquire, or could discourage a third party from acquiring, us or a large block of our common stock. A third party that acquires 4.99% or more of our common stock could suffer substantial dilution of its ownership interest under the terms of the Tax Benefit Plan through the issuance of common stock or common stock equivalents to all stockholders other than the acquiring person. The Tax Benefit Plan may also adversely affect the marketability of our common stock by discouraging potential investors from acquiring our stock. Further, the Tax Benefit Plan could delay or frustrate the removal of incumbent directors and could make a merger, tender offer or proxy contest involving us more difficult, or impede an attempt to acquire a significant or controlling interest in us, even if such events might be beneficial to us and our stockholders.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The transfer agent and registrar for our common stock is Computershare Trust Company, N.A. The transfer agent’s address is 250 Royall Street, Canton, MA 02021, and its telephone number is (781) 575-2879.</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Global Market Listing</w:t>
      </w:r>
    </w:p>
    <w:p>
      <w:pPr>
        <w:spacing w:after="0" w:line="121" w:lineRule="exact"/>
        <w:rPr>
          <w:sz w:val="20"/>
          <w:szCs w:val="20"/>
          <w:color w:val="auto"/>
        </w:rPr>
      </w:pPr>
    </w:p>
    <w:p>
      <w:pPr>
        <w:jc w:val="right"/>
        <w:ind w:right="2879"/>
        <w:spacing w:after="0"/>
        <w:rPr>
          <w:sz w:val="20"/>
          <w:szCs w:val="20"/>
          <w:color w:val="auto"/>
        </w:rPr>
      </w:pPr>
      <w:r>
        <w:rPr>
          <w:rFonts w:ascii="Arial" w:cs="Arial" w:eastAsia="Arial" w:hAnsi="Arial"/>
          <w:sz w:val="18"/>
          <w:szCs w:val="18"/>
          <w:color w:val="auto"/>
        </w:rPr>
        <w:t>Our common stock is listed on the NASDAQ Global Market under the symbol “FLDM.”</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219"/>
          </w:cols>
          <w:pgMar w:left="240" w:top="459" w:right="1440"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THE DEBT SECURITIES</w:t>
      </w:r>
    </w:p>
    <w:p>
      <w:pPr>
        <w:spacing w:after="0" w:line="229" w:lineRule="exact"/>
        <w:rPr>
          <w:sz w:val="20"/>
          <w:szCs w:val="20"/>
          <w:color w:val="auto"/>
        </w:rPr>
      </w:pPr>
    </w:p>
    <w:p>
      <w:pPr>
        <w:ind w:right="140" w:firstLine="913"/>
        <w:spacing w:after="0" w:line="276" w:lineRule="auto"/>
        <w:rPr>
          <w:sz w:val="20"/>
          <w:szCs w:val="20"/>
          <w:color w:val="auto"/>
        </w:rPr>
      </w:pPr>
      <w:r>
        <w:rPr>
          <w:rFonts w:ascii="Arial" w:cs="Arial" w:eastAsia="Arial" w:hAnsi="Arial"/>
          <w:sz w:val="17"/>
          <w:szCs w:val="17"/>
          <w:color w:val="auto"/>
        </w:rPr>
        <w:t>The debt securities may be either secured or unsecured and will either be our senior debt securities or our subordinated debt securities. The debt securities will be issued under one or more separate indentures between us and a trustee to be specified in an accompanying prospectus supplement. Senior debt securities will be issued under a senior indenture and subordinated debt securities will be issued under a subordinated indenture. Together, the senior indenture and the subordinated indenture are called indentures in this description. This prospectus, together with the applicable prospectus supplement, will describe the terms of a particular series of debt securities.</w:t>
      </w:r>
    </w:p>
    <w:p>
      <w:pPr>
        <w:spacing w:after="0" w:line="173"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color w:val="auto"/>
        </w:rPr>
        <w:t>The following is a summary of selected provisions and definitions of the indentures and debt securities to which any prospectus supplement may relate. Other specific terms of the applicable indenture and debt securities will be described in the applicable prospectus supplement. The summary of selected provisions of the indentures and the debt securities appearing below is not complete and is subject to, and qualified entirely by reference to, all of the provisions of the applicable indenture and certificates evidencing the applicable debt securities. If any particular terms of the indenture or debt securities described in a prospectus supplement differ from any of the terms described below, then the terms described below will be deemed to have been superseded by that prospectus supplement. For additional information, you should look at the applicable indenture and the certificate evidencing the applicable debt security that is filed as an exhibit to the registration statement that includes the prospectus.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460" w:firstLine="913"/>
        <w:spacing w:after="0" w:line="277" w:lineRule="auto"/>
        <w:rPr>
          <w:sz w:val="20"/>
          <w:szCs w:val="20"/>
          <w:color w:val="auto"/>
        </w:rPr>
      </w:pPr>
      <w:r>
        <w:rPr>
          <w:rFonts w:ascii="Arial" w:cs="Arial" w:eastAsia="Arial" w:hAnsi="Arial"/>
          <w:sz w:val="18"/>
          <w:szCs w:val="18"/>
          <w:color w:val="auto"/>
        </w:rPr>
        <w:t>Debt securities may be issued in separate series without limitation as to aggregate principal amount. We may specify a maximum aggregate principal amount for the debt securities of any series.</w:t>
      </w:r>
    </w:p>
    <w:p>
      <w:pPr>
        <w:spacing w:after="0" w:line="170"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We are not limited as to the amount of debt securities we may issue under the indentures. Unless otherwise provided in a prospectus supplement, a series of debt securities may be reopened to issue additional debt securities of such series.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prospectus supplement relating to a particular series of debt securities will set forth:</w:t>
      </w:r>
    </w:p>
    <w:p>
      <w:pPr>
        <w:spacing w:after="0" w:line="131" w:lineRule="exact"/>
        <w:rPr>
          <w:sz w:val="20"/>
          <w:szCs w:val="20"/>
          <w:color w:val="auto"/>
        </w:rPr>
      </w:pPr>
    </w:p>
    <w:p>
      <w:pPr>
        <w:ind w:left="1460" w:hanging="547"/>
        <w:spacing w:after="0"/>
        <w:tabs>
          <w:tab w:leader="none" w:pos="1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the debt securities are senior or subordinated;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offering price;</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title;</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limit on the aggregate principal amount;</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person who shall be entitled to receive interest, if other than the record holder on the record date;</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date or dates the principal will be payable;</w:t>
      </w:r>
    </w:p>
    <w:p>
      <w:pPr>
        <w:spacing w:after="0" w:line="130" w:lineRule="exact"/>
        <w:rPr>
          <w:rFonts w:ascii="Arial" w:cs="Arial" w:eastAsia="Arial" w:hAnsi="Arial"/>
          <w:sz w:val="18"/>
          <w:szCs w:val="18"/>
          <w:color w:val="auto"/>
        </w:rPr>
      </w:pPr>
    </w:p>
    <w:p>
      <w:pPr>
        <w:ind w:left="1460" w:right="220" w:hanging="547"/>
        <w:spacing w:after="0" w:line="277" w:lineRule="auto"/>
        <w:tabs>
          <w:tab w:leader="none" w:pos="1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interest rate or rates, which may be fixed or variable, if any, the date from which interest will accrue, the interest payment dates and the regular record dates, or the method for calculating the dates and rates;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place where payments may be made;</w:t>
      </w:r>
    </w:p>
    <w:p>
      <w:pPr>
        <w:spacing w:after="0" w:line="130" w:lineRule="exact"/>
        <w:rPr>
          <w:rFonts w:ascii="Arial" w:cs="Arial" w:eastAsia="Arial" w:hAnsi="Arial"/>
          <w:sz w:val="18"/>
          <w:szCs w:val="18"/>
          <w:color w:val="auto"/>
        </w:rPr>
      </w:pPr>
    </w:p>
    <w:p>
      <w:pPr>
        <w:ind w:left="1460" w:right="60" w:hanging="547"/>
        <w:spacing w:after="0" w:line="277" w:lineRule="auto"/>
        <w:tabs>
          <w:tab w:leader="none" w:pos="1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mandatory or optional redemption provisions or sinking fund provisions and any applicable redemption or purchase prices associated with these provisions;</w:t>
      </w:r>
    </w:p>
    <w:p>
      <w:pPr>
        <w:spacing w:after="0" w:line="75" w:lineRule="exact"/>
        <w:rPr>
          <w:rFonts w:ascii="Arial" w:cs="Arial" w:eastAsia="Arial" w:hAnsi="Arial"/>
          <w:sz w:val="18"/>
          <w:szCs w:val="18"/>
          <w:color w:val="auto"/>
        </w:rPr>
      </w:pPr>
    </w:p>
    <w:p>
      <w:pPr>
        <w:ind w:left="1460" w:right="120" w:hanging="547"/>
        <w:spacing w:after="0" w:line="277" w:lineRule="auto"/>
        <w:tabs>
          <w:tab w:leader="none" w:pos="1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issued other than in denominations of U.S. $1,000 or any multiple of U.S. $1,000, the denominations in which the debt securities shall be issuable;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60" w:right="300" w:hanging="547"/>
        <w:spacing w:after="0" w:line="277" w:lineRule="auto"/>
        <w:tabs>
          <w:tab w:leader="none" w:pos="1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applicable, the method for determining how the principal, premium, if any, or interest will be calculated by reference to an index or formula;</w:t>
      </w:r>
    </w:p>
    <w:p>
      <w:pPr>
        <w:spacing w:after="0" w:line="75" w:lineRule="exact"/>
        <w:rPr>
          <w:rFonts w:ascii="Arial" w:cs="Arial" w:eastAsia="Arial" w:hAnsi="Arial"/>
          <w:sz w:val="18"/>
          <w:szCs w:val="18"/>
          <w:color w:val="auto"/>
        </w:rPr>
      </w:pPr>
    </w:p>
    <w:p>
      <w:pPr>
        <w:ind w:left="1460" w:right="20" w:hanging="547"/>
        <w:spacing w:after="0" w:line="277" w:lineRule="auto"/>
        <w:tabs>
          <w:tab w:leader="none" w:pos="1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other than U.S. currency, the currency or currency units in which principal, premium, if any, or interest will be payable and whether we or a holder may elect payment to be made in a different currency;</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portion of the principal amount that will be payable upon acceleration of maturity, if other than the entire principal amount;</w:t>
      </w:r>
    </w:p>
    <w:p>
      <w:pPr>
        <w:spacing w:after="0" w:line="142" w:lineRule="exact"/>
        <w:rPr>
          <w:rFonts w:ascii="Arial" w:cs="Arial" w:eastAsia="Arial" w:hAnsi="Arial"/>
          <w:sz w:val="17"/>
          <w:szCs w:val="17"/>
          <w:color w:val="auto"/>
        </w:rPr>
      </w:pPr>
    </w:p>
    <w:p>
      <w:pPr>
        <w:ind w:left="1460" w:right="160" w:hanging="547"/>
        <w:spacing w:after="0" w:line="277" w:lineRule="auto"/>
        <w:tabs>
          <w:tab w:leader="none" w:pos="1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the principal amount payable at stated maturity will not be determinable as of any date prior to stated maturity, the amount or method for determining the amount which will be deemed to be the principal amount;</w:t>
      </w:r>
    </w:p>
    <w:p>
      <w:pPr>
        <w:spacing w:after="0" w:line="75" w:lineRule="exact"/>
        <w:rPr>
          <w:rFonts w:ascii="Arial" w:cs="Arial" w:eastAsia="Arial" w:hAnsi="Arial"/>
          <w:sz w:val="18"/>
          <w:szCs w:val="18"/>
          <w:color w:val="auto"/>
        </w:rPr>
      </w:pPr>
    </w:p>
    <w:p>
      <w:pPr>
        <w:ind w:left="1460" w:hanging="547"/>
        <w:spacing w:after="0" w:line="342" w:lineRule="auto"/>
        <w:tabs>
          <w:tab w:leader="none" w:pos="1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if applicable, whether the debt securities shall be subject to the defeasance provisions described below under “Satisfaction and Discharge; Defeasance” or such other defeasance provisions specified in the applicable prospectus supplement for the debt securities;</w:t>
      </w:r>
    </w:p>
    <w:p>
      <w:pPr>
        <w:spacing w:after="0" w:line="29" w:lineRule="exact"/>
        <w:rPr>
          <w:rFonts w:ascii="Arial" w:cs="Arial" w:eastAsia="Arial" w:hAnsi="Arial"/>
          <w:sz w:val="16"/>
          <w:szCs w:val="16"/>
          <w:color w:val="auto"/>
        </w:rPr>
      </w:pPr>
    </w:p>
    <w:p>
      <w:pPr>
        <w:ind w:left="1460" w:hanging="547"/>
        <w:spacing w:after="0"/>
        <w:tabs>
          <w:tab w:leader="none" w:pos="1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conversion or exchange provisions;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the debt securities will be issuable in the form of a global security;</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deletion, addition or change in any event of default;</w:t>
      </w:r>
    </w:p>
    <w:p>
      <w:pPr>
        <w:spacing w:after="0" w:line="130" w:lineRule="exact"/>
        <w:rPr>
          <w:rFonts w:ascii="Arial" w:cs="Arial" w:eastAsia="Arial" w:hAnsi="Arial"/>
          <w:sz w:val="18"/>
          <w:szCs w:val="18"/>
          <w:color w:val="auto"/>
        </w:rPr>
      </w:pPr>
    </w:p>
    <w:p>
      <w:pPr>
        <w:ind w:left="1460" w:hanging="547"/>
        <w:spacing w:after="0" w:line="277" w:lineRule="auto"/>
        <w:tabs>
          <w:tab w:leader="none" w:pos="1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change or modification to the subordination provisions applicable to the subordinated debt securities if different from those described below under “Subordinated Debt Securities;”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deletion, addition or change in the covenants set forth in Article 10 of the indenture;</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paying agents, authenticating agents, security registrars or other agents for the debt securities, if other than the trustee;</w:t>
      </w:r>
    </w:p>
    <w:p>
      <w:pPr>
        <w:spacing w:after="0" w:line="130" w:lineRule="exact"/>
        <w:rPr>
          <w:rFonts w:ascii="Arial" w:cs="Arial" w:eastAsia="Arial" w:hAnsi="Arial"/>
          <w:sz w:val="18"/>
          <w:szCs w:val="18"/>
          <w:color w:val="auto"/>
        </w:rPr>
      </w:pPr>
    </w:p>
    <w:p>
      <w:pPr>
        <w:ind w:left="1460" w:hanging="547"/>
        <w:spacing w:after="0" w:line="277" w:lineRule="auto"/>
        <w:tabs>
          <w:tab w:leader="none" w:pos="1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provisions relating to any security provided for the debt securities, including any provisions regarding the circumstances under which collateral may be released or substituted;</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provisions relating to guaranties for the securities and any circumstances under which there may be additional obligors;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provisions granting special rights to holders when a specified event occurs;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special tax provisions that apply to the debt securities;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with respect to the debt securities that do not bear interest, the dates for certain required reports to the applicable trustee;</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and all additional, eliminated or changed terms that will apply to the debt securities;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other terms of such debt securities.</w:t>
      </w:r>
    </w:p>
    <w:p>
      <w:pPr>
        <w:spacing w:after="0" w:line="225" w:lineRule="exact"/>
        <w:rPr>
          <w:sz w:val="20"/>
          <w:szCs w:val="20"/>
          <w:color w:val="auto"/>
        </w:rPr>
      </w:pPr>
    </w:p>
    <w:p>
      <w:pPr>
        <w:ind w:right="240" w:firstLine="913"/>
        <w:spacing w:after="0" w:line="312" w:lineRule="auto"/>
        <w:rPr>
          <w:sz w:val="20"/>
          <w:szCs w:val="20"/>
          <w:color w:val="auto"/>
        </w:rPr>
      </w:pPr>
      <w:r>
        <w:rPr>
          <w:rFonts w:ascii="Arial" w:cs="Arial" w:eastAsia="Arial" w:hAnsi="Arial"/>
          <w:sz w:val="16"/>
          <w:szCs w:val="16"/>
          <w:color w:val="auto"/>
        </w:rPr>
        <w:t>Unless otherwise specified in the prospectus supplement, the debt securities will be registered debt securities. Debt securities may be sold at a substantial discount below their stated principal amount, bearing no interest or interest at a rate which at time of issuance is below market rates. The U.S. federal income tax considerations applicable to debt securities sold at a discount will be described in the applicable prospectus supplement.</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and Transfer</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Debt securities may be transferred or exchanged at the office of the security registrar or at the office of any transfer agent designated by us.</w:t>
      </w:r>
    </w:p>
    <w:p>
      <w:pPr>
        <w:spacing w:after="0" w:line="237" w:lineRule="exact"/>
        <w:rPr>
          <w:sz w:val="20"/>
          <w:szCs w:val="20"/>
          <w:color w:val="auto"/>
        </w:rPr>
      </w:pPr>
    </w:p>
    <w:p>
      <w:pPr>
        <w:ind w:right="460" w:firstLine="913"/>
        <w:spacing w:after="0" w:line="277" w:lineRule="auto"/>
        <w:rPr>
          <w:sz w:val="20"/>
          <w:szCs w:val="20"/>
          <w:color w:val="auto"/>
        </w:rPr>
      </w:pPr>
      <w:r>
        <w:rPr>
          <w:rFonts w:ascii="Arial" w:cs="Arial" w:eastAsia="Arial" w:hAnsi="Arial"/>
          <w:sz w:val="18"/>
          <w:szCs w:val="18"/>
          <w:color w:val="auto"/>
        </w:rPr>
        <w:t>We will not impose a service charge for any transfer or exchange, but we may require holders to pay any tax or other governmental charges associated with any transfer or exchange.</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the event of any partial redemption of debt securities of any series, we will not be required to:</w:t>
      </w:r>
    </w:p>
    <w:p>
      <w:pPr>
        <w:spacing w:after="0" w:line="131" w:lineRule="exact"/>
        <w:rPr>
          <w:sz w:val="20"/>
          <w:szCs w:val="20"/>
          <w:color w:val="auto"/>
        </w:rPr>
      </w:pPr>
    </w:p>
    <w:p>
      <w:pPr>
        <w:ind w:left="1460" w:right="240" w:hanging="547"/>
        <w:spacing w:after="0" w:line="308" w:lineRule="auto"/>
        <w:tabs>
          <w:tab w:leader="none" w:pos="1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issue, register the transfer of, or exchange, any debt security of that series during a period beginning at the opening of business 15 days before the day of mailing of a notice of redemption and ending at the close of business on the day of the mailing; or</w:t>
      </w:r>
    </w:p>
    <w:p>
      <w:pPr>
        <w:spacing w:after="0" w:line="51" w:lineRule="exact"/>
        <w:rPr>
          <w:rFonts w:ascii="Arial" w:cs="Arial" w:eastAsia="Arial" w:hAnsi="Arial"/>
          <w:sz w:val="17"/>
          <w:szCs w:val="17"/>
          <w:color w:val="auto"/>
        </w:rPr>
      </w:pPr>
    </w:p>
    <w:p>
      <w:pPr>
        <w:ind w:left="1460" w:right="280" w:hanging="547"/>
        <w:spacing w:after="0" w:line="277" w:lineRule="auto"/>
        <w:tabs>
          <w:tab w:leader="none" w:pos="1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security of that series selected for redemption, in whole or in part, except the unredeemed portion of the debt security being redeemed in part.</w:t>
      </w:r>
    </w:p>
    <w:p>
      <w:pPr>
        <w:spacing w:after="0" w:line="170" w:lineRule="exact"/>
        <w:rPr>
          <w:sz w:val="20"/>
          <w:szCs w:val="20"/>
          <w:color w:val="auto"/>
        </w:rPr>
      </w:pPr>
    </w:p>
    <w:p>
      <w:pPr>
        <w:ind w:right="160" w:firstLine="913"/>
        <w:spacing w:after="0" w:line="286" w:lineRule="auto"/>
        <w:rPr>
          <w:sz w:val="20"/>
          <w:szCs w:val="20"/>
          <w:color w:val="auto"/>
        </w:rPr>
      </w:pPr>
      <w:r>
        <w:rPr>
          <w:rFonts w:ascii="Arial" w:cs="Arial" w:eastAsia="Arial" w:hAnsi="Arial"/>
          <w:sz w:val="17"/>
          <w:szCs w:val="17"/>
          <w:color w:val="auto"/>
        </w:rPr>
        <w:t>We will appoint the trustee as the initial security registrar. Any transfer agent, in addition to the security registrar initially designated by us, will be named in the prospectus supplement. We may designate additional transfer agents or change transfer agents or change the office of the transfer agent. However, we will be required to maintain a transfer agent in each place of payment for the debt securities of each series.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debt securities of any series may be represented, in whole or in part, by one or more global securities. Each global security will:</w:t>
      </w:r>
    </w:p>
    <w:p>
      <w:pPr>
        <w:spacing w:after="0" w:line="131" w:lineRule="exact"/>
        <w:rPr>
          <w:sz w:val="20"/>
          <w:szCs w:val="20"/>
          <w:color w:val="auto"/>
        </w:rPr>
      </w:pPr>
    </w:p>
    <w:p>
      <w:pPr>
        <w:ind w:left="1460" w:hanging="547"/>
        <w:spacing w:after="0"/>
        <w:tabs>
          <w:tab w:leader="none" w:pos="1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be registered in the name of a depositary, or its nominee, that we will identify in a prospectus supplement;</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be deposited with the depositary or nominee or custodian;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bear any required legends.</w:t>
      </w:r>
    </w:p>
    <w:p>
      <w:pPr>
        <w:spacing w:after="0" w:line="225"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No global security may be exchanged in whole or in part for debt securities registered in the name of any person other than the depositary or any nominee unless:</w:t>
      </w:r>
    </w:p>
    <w:p>
      <w:pPr>
        <w:spacing w:after="0" w:line="76" w:lineRule="exact"/>
        <w:rPr>
          <w:sz w:val="20"/>
          <w:szCs w:val="20"/>
          <w:color w:val="auto"/>
        </w:rPr>
      </w:pPr>
    </w:p>
    <w:p>
      <w:pPr>
        <w:ind w:left="1460" w:hanging="547"/>
        <w:spacing w:after="0"/>
        <w:tabs>
          <w:tab w:leader="none" w:pos="1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depositary has notified us that it is unwilling or unable to continue as depositary or has ceased to be qualified to act as depositary;</w:t>
      </w:r>
    </w:p>
    <w:p>
      <w:pPr>
        <w:spacing w:after="0" w:line="153" w:lineRule="exact"/>
        <w:rPr>
          <w:rFonts w:ascii="Arial" w:cs="Arial" w:eastAsia="Arial" w:hAnsi="Arial"/>
          <w:sz w:val="16"/>
          <w:szCs w:val="16"/>
          <w:color w:val="auto"/>
        </w:rPr>
      </w:pPr>
    </w:p>
    <w:p>
      <w:pPr>
        <w:ind w:left="1460" w:hanging="547"/>
        <w:spacing w:after="0"/>
        <w:tabs>
          <w:tab w:leader="none" w:pos="1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event of default is continuing with respect to the debt securities of the applicable series; or</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any other circumstance described in a prospectus supplement has occurred permitting or requiring the issuance of any such security.</w:t>
      </w:r>
    </w:p>
    <w:p>
      <w:pPr>
        <w:spacing w:after="0" w:line="248"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As long as the depositary, or its nominee, is the registered owner of a global security, the depositary or nominee will be considered the sole owner and holder of the debt securities represented by the global security for all purposes under the indentures. Except in the above limited circumstances, owners of beneficial interests in a global security will not be:</w:t>
      </w:r>
    </w:p>
    <w:p>
      <w:pPr>
        <w:spacing w:after="0" w:line="87" w:lineRule="exact"/>
        <w:rPr>
          <w:sz w:val="20"/>
          <w:szCs w:val="20"/>
          <w:color w:val="auto"/>
        </w:rPr>
      </w:pPr>
    </w:p>
    <w:p>
      <w:pPr>
        <w:ind w:left="1460" w:hanging="547"/>
        <w:spacing w:after="0"/>
        <w:tabs>
          <w:tab w:leader="none" w:pos="1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entitled to have the debt securities registered in their names;</w:t>
      </w:r>
    </w:p>
    <w:p>
      <w:pPr>
        <w:spacing w:after="0" w:line="130" w:lineRule="exact"/>
        <w:rPr>
          <w:rFonts w:ascii="Arial" w:cs="Arial" w:eastAsia="Arial" w:hAnsi="Arial"/>
          <w:sz w:val="18"/>
          <w:szCs w:val="18"/>
          <w:color w:val="auto"/>
        </w:rPr>
      </w:pPr>
    </w:p>
    <w:p>
      <w:pPr>
        <w:jc w:val="right"/>
        <w:ind w:left="5560" w:right="5560" w:hanging="4647"/>
        <w:spacing w:after="0" w:line="536" w:lineRule="auto"/>
        <w:tabs>
          <w:tab w:leader="none" w:pos="1463" w:val="left"/>
        </w:tabs>
        <w:numPr>
          <w:ilvl w:val="0"/>
          <w:numId w:val="14"/>
        </w:numPr>
        <w:rPr>
          <w:rFonts w:ascii="Arial" w:cs="Arial" w:eastAsia="Arial" w:hAnsi="Arial"/>
          <w:sz w:val="16"/>
          <w:szCs w:val="16"/>
          <w:color w:val="auto"/>
        </w:rPr>
      </w:pPr>
      <w:r>
        <w:rPr>
          <w:rFonts w:ascii="Arial" w:cs="Arial" w:eastAsia="Arial" w:hAnsi="Arial"/>
          <w:sz w:val="16"/>
          <w:szCs w:val="16"/>
          <w:color w:val="auto"/>
        </w:rPr>
        <w:t>entitled to physical delivery of certificated debt securities; or -16-</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60" w:hanging="547"/>
        <w:spacing w:after="0"/>
        <w:tabs>
          <w:tab w:leader="none" w:pos="1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considered to be holders of those debt securities under the indenture.</w:t>
      </w:r>
    </w:p>
    <w:p>
      <w:pPr>
        <w:spacing w:after="0" w:line="225"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Payments on a global security will be made to the depositary or its nominee as the holder of the global security. Some jurisdictions have laws that require that certain purchasers of securities take physical delivery of such securities in definitive form. These laws may impair the ability to transfer beneficial interests in a global security.</w:t>
      </w:r>
    </w:p>
    <w:p>
      <w:pPr>
        <w:spacing w:after="0" w:line="181" w:lineRule="exact"/>
        <w:rPr>
          <w:sz w:val="20"/>
          <w:szCs w:val="20"/>
          <w:color w:val="auto"/>
        </w:rPr>
      </w:pPr>
    </w:p>
    <w:p>
      <w:pPr>
        <w:ind w:right="220" w:firstLine="913"/>
        <w:spacing w:after="0" w:line="312" w:lineRule="auto"/>
        <w:rPr>
          <w:sz w:val="20"/>
          <w:szCs w:val="20"/>
          <w:color w:val="auto"/>
        </w:rPr>
      </w:pPr>
      <w:r>
        <w:rPr>
          <w:rFonts w:ascii="Arial" w:cs="Arial" w:eastAsia="Arial" w:hAnsi="Arial"/>
          <w:sz w:val="16"/>
          <w:szCs w:val="16"/>
          <w:color w:val="auto"/>
        </w:rPr>
        <w:t>Institutions that have accounts with the depositary or its nominee are referred to as “participants.” Ownership of beneficial interests in a global security will be limited to participants and to persons that may hold beneficial interests through participants. The depositary will credit, on its book-entry registration and transfer system, the respective principal amounts of debt securities represented by the global security to the accounts of its participants.</w:t>
      </w:r>
    </w:p>
    <w:p>
      <w:pPr>
        <w:spacing w:after="0" w:line="147"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Ownership of beneficial interests in a global security will be shown on and effected through records maintained by the depositary, with respect to participants’ interests, or any participant, with respect to interests of persons held by participants on their behalf.</w:t>
      </w:r>
    </w:p>
    <w:p>
      <w:pPr>
        <w:spacing w:after="0" w:line="170" w:lineRule="exact"/>
        <w:rPr>
          <w:sz w:val="20"/>
          <w:szCs w:val="20"/>
          <w:color w:val="auto"/>
        </w:rPr>
      </w:pPr>
    </w:p>
    <w:p>
      <w:pPr>
        <w:jc w:val="both"/>
        <w:ind w:right="60" w:firstLine="913"/>
        <w:spacing w:after="0" w:line="264" w:lineRule="auto"/>
        <w:rPr>
          <w:sz w:val="20"/>
          <w:szCs w:val="20"/>
          <w:color w:val="auto"/>
        </w:rPr>
      </w:pPr>
      <w:r>
        <w:rPr>
          <w:rFonts w:ascii="Arial" w:cs="Arial" w:eastAsia="Arial" w:hAnsi="Arial"/>
          <w:sz w:val="18"/>
          <w:szCs w:val="18"/>
          <w:color w:val="auto"/>
        </w:rPr>
        <w:t>Payments, transfers and exchanges relating to beneficial interests in a global security will be subject to policies and procedures of the depositary. The depositary policies and procedures may change from time to time. Neither any trustee nor we will have any responsibility or liability for the depositary’s or any participant’s records with respect to beneficial interests in a global security.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121" w:lineRule="exact"/>
        <w:rPr>
          <w:sz w:val="20"/>
          <w:szCs w:val="20"/>
          <w:color w:val="auto"/>
        </w:rPr>
      </w:pPr>
    </w:p>
    <w:p>
      <w:pPr>
        <w:ind w:firstLine="913"/>
        <w:spacing w:after="0" w:line="302" w:lineRule="auto"/>
        <w:rPr>
          <w:sz w:val="20"/>
          <w:szCs w:val="20"/>
          <w:color w:val="auto"/>
        </w:rPr>
      </w:pPr>
      <w:r>
        <w:rPr>
          <w:rFonts w:ascii="Arial" w:cs="Arial" w:eastAsia="Arial" w:hAnsi="Arial"/>
          <w:sz w:val="16"/>
          <w:szCs w:val="16"/>
          <w:color w:val="auto"/>
        </w:rPr>
        <w:t>Unless otherwise indicated in a prospectus supplement, the provisions described in this paragraph will apply to the debt securities. Payment of interest on a debt security on any interest payment date will be made to the person in whose name the debt security is registered at the close of business on the regular record date. Payment on debt securities of a particular series will be payable at the office of a paying agent or paying agents designated by us. However, at our option, we may pay interest by mailing a check to the record holder. The trustee will be designated as our initial paying agent.</w:t>
      </w:r>
    </w:p>
    <w:p>
      <w:pPr>
        <w:spacing w:after="0" w:line="154"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We may also name any other paying agents in a prospectus supplement. We may designate additional paying agents, change paying agents or change the office of any paying agent. However, we will be required to maintain a paying agent in each place of payment for the debt securities of a particular series.</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All moneys paid by us to a paying agent for payment on any debt security that remain unclaimed for a period ending the earlier of:</w:t>
      </w:r>
    </w:p>
    <w:p>
      <w:pPr>
        <w:spacing w:after="0" w:line="131" w:lineRule="exact"/>
        <w:rPr>
          <w:sz w:val="20"/>
          <w:szCs w:val="20"/>
          <w:color w:val="auto"/>
        </w:rPr>
      </w:pPr>
    </w:p>
    <w:p>
      <w:pPr>
        <w:ind w:left="1460" w:hanging="547"/>
        <w:spacing w:after="0"/>
        <w:tabs>
          <w:tab w:leader="none" w:pos="1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10 business days prior to the date the money would be turned over to the applicable state; or</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at the end of two years after such payment was due,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will be repaid to us thereafter. The holder may look only to us for such payment.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Protection in the Event of a Change of Control</w:t>
      </w:r>
    </w:p>
    <w:p>
      <w:pPr>
        <w:spacing w:after="0" w:line="121" w:lineRule="exact"/>
        <w:rPr>
          <w:sz w:val="20"/>
          <w:szCs w:val="20"/>
          <w:color w:val="auto"/>
        </w:rPr>
      </w:pPr>
    </w:p>
    <w:p>
      <w:pPr>
        <w:ind w:right="280" w:firstLine="913"/>
        <w:spacing w:after="0" w:line="264" w:lineRule="auto"/>
        <w:rPr>
          <w:sz w:val="20"/>
          <w:szCs w:val="20"/>
          <w:color w:val="auto"/>
        </w:rPr>
      </w:pPr>
      <w:r>
        <w:rPr>
          <w:rFonts w:ascii="Arial" w:cs="Arial" w:eastAsia="Arial" w:hAnsi="Arial"/>
          <w:sz w:val="18"/>
          <w:szCs w:val="18"/>
          <w:color w:val="auto"/>
        </w:rPr>
        <w:t>Unless otherwise indicated in a prospectus supplement with respect to a particular series of debt securities, the debt securities will not contain any provisions that may afford holders of the debt securities protection in the event we have a change in control or in the event of a highly-leveraged transaction, whether or not such transaction results in a change in control.</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121"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color w:val="auto"/>
        </w:rPr>
        <w:t>Unless otherwise indicated in a prospectus supplement with respect to a particular series of debt securities, the debt securities will not contain any financial or restrictive covenants.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121" w:lineRule="exact"/>
        <w:rPr>
          <w:sz w:val="20"/>
          <w:szCs w:val="20"/>
          <w:color w:val="auto"/>
        </w:rPr>
      </w:pPr>
    </w:p>
    <w:p>
      <w:pPr>
        <w:jc w:val="both"/>
        <w:ind w:right="260" w:firstLine="913"/>
        <w:spacing w:after="0" w:line="286" w:lineRule="auto"/>
        <w:rPr>
          <w:sz w:val="20"/>
          <w:szCs w:val="20"/>
          <w:color w:val="auto"/>
        </w:rPr>
      </w:pPr>
      <w:r>
        <w:rPr>
          <w:rFonts w:ascii="Arial" w:cs="Arial" w:eastAsia="Arial" w:hAnsi="Arial"/>
          <w:sz w:val="17"/>
          <w:szCs w:val="17"/>
          <w:color w:val="auto"/>
        </w:rPr>
        <w:t>Unless we indicate otherwise in a prospectus supplement with respect to a particular series of debt securities, we may not consolidate with or merge into any other person (other than one of our subsidiaries), in a transaction in which we are not the surviving corporation, or convey, transfer or lease our properties and assets substantially as an entirety to, any person (other than a subsidiary of Fluidigm Corporation), unless:</w:t>
      </w:r>
    </w:p>
    <w:p>
      <w:pPr>
        <w:spacing w:after="0" w:line="71" w:lineRule="exact"/>
        <w:rPr>
          <w:sz w:val="20"/>
          <w:szCs w:val="20"/>
          <w:color w:val="auto"/>
        </w:rPr>
      </w:pPr>
    </w:p>
    <w:p>
      <w:pPr>
        <w:ind w:left="1460" w:hanging="547"/>
        <w:spacing w:after="0"/>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successor entity, if any, is a U.S. corporation, limited liability company, partnership, trust or other business entity;</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successor entity assumes our obligations on the debt securities and under the indentures;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shall have occurred and be continuing;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certain other conditions specified in the indenture are met.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Unless we indicate otherwise in a prospectus supplement, the following will be events of default for any series of debt securities under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indentures:</w:t>
      </w:r>
    </w:p>
    <w:p>
      <w:pPr>
        <w:spacing w:after="0" w:line="116" w:lineRule="exact"/>
        <w:rPr>
          <w:sz w:val="20"/>
          <w:szCs w:val="20"/>
          <w:color w:val="auto"/>
        </w:rPr>
      </w:pPr>
    </w:p>
    <w:p>
      <w:pPr>
        <w:ind w:left="1480" w:hanging="567"/>
        <w:spacing w:after="0"/>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fail to pay principal of or any premium on any debt security of that series when due;</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fail to pay any interest on any debt security of that series for 30 days after it becomes due;</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fail to deposit any sinking fund payment when due;</w:t>
      </w:r>
    </w:p>
    <w:p>
      <w:pPr>
        <w:spacing w:after="0" w:line="130" w:lineRule="exact"/>
        <w:rPr>
          <w:rFonts w:ascii="Arial" w:cs="Arial" w:eastAsia="Arial" w:hAnsi="Arial"/>
          <w:sz w:val="18"/>
          <w:szCs w:val="18"/>
          <w:color w:val="auto"/>
        </w:rPr>
      </w:pPr>
    </w:p>
    <w:p>
      <w:pPr>
        <w:ind w:left="1480" w:right="60" w:hanging="567"/>
        <w:spacing w:after="0" w:line="277" w:lineRule="auto"/>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fail to perform any other covenant in the indenture and such failure continues for 90 days after we are given the notice required in the indentures; and</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certain events involving our bankruptcy, insolvency or reorganization.</w:t>
      </w:r>
    </w:p>
    <w:p>
      <w:pPr>
        <w:spacing w:after="0" w:line="225"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Additional or different events of default applicable to a series of debt securities may be described in a prospectus supplement. An event of default of one series of debt securities is not necessarily an event of default for any other series of debt securities.</w:t>
      </w:r>
    </w:p>
    <w:p>
      <w:pPr>
        <w:spacing w:after="0" w:line="170" w:lineRule="exact"/>
        <w:rPr>
          <w:sz w:val="20"/>
          <w:szCs w:val="20"/>
          <w:color w:val="auto"/>
        </w:rPr>
      </w:pPr>
    </w:p>
    <w:p>
      <w:pPr>
        <w:jc w:val="both"/>
        <w:ind w:right="120" w:firstLine="913"/>
        <w:spacing w:after="0" w:line="264" w:lineRule="auto"/>
        <w:rPr>
          <w:sz w:val="20"/>
          <w:szCs w:val="20"/>
          <w:color w:val="auto"/>
        </w:rPr>
      </w:pPr>
      <w:r>
        <w:rPr>
          <w:rFonts w:ascii="Arial" w:cs="Arial" w:eastAsia="Arial" w:hAnsi="Arial"/>
          <w:sz w:val="18"/>
          <w:szCs w:val="18"/>
          <w:color w:val="auto"/>
        </w:rPr>
        <w:t>The trustee may withhold notice to the holders of any default, except defaults in the payment of principal, premium, if any, interest, any sinking fund installment on, or with respect to any conversion right of, the debt securities of such series. However, the trustee must consider it to be in the interest of the holders of the debt securities of such series to withhold this notice.</w:t>
      </w:r>
    </w:p>
    <w:p>
      <w:pPr>
        <w:spacing w:after="0" w:line="181" w:lineRule="exact"/>
        <w:rPr>
          <w:sz w:val="20"/>
          <w:szCs w:val="20"/>
          <w:color w:val="auto"/>
        </w:rPr>
      </w:pPr>
    </w:p>
    <w:p>
      <w:pPr>
        <w:ind w:firstLine="913"/>
        <w:spacing w:after="0" w:line="276" w:lineRule="auto"/>
        <w:rPr>
          <w:sz w:val="20"/>
          <w:szCs w:val="20"/>
          <w:color w:val="auto"/>
        </w:rPr>
      </w:pPr>
      <w:r>
        <w:rPr>
          <w:rFonts w:ascii="Arial" w:cs="Arial" w:eastAsia="Arial" w:hAnsi="Arial"/>
          <w:sz w:val="17"/>
          <w:szCs w:val="17"/>
          <w:color w:val="auto"/>
        </w:rPr>
        <w:t>Unless we indicate otherwise in a prospectus supplement, if an event of default, other than an event of default described in clause (5) above, shall occur and be continuing with respect to any series of debt securities, either the trustee or the holders of at least 25% in aggregate principal amount of the outstanding securities of that series may declare the principal amount and premium, if any, of the debt securities of that series, or if any debt securities of that series are original issue discount securities, such other amount as may be specified in the applicable prospectus supplement, in each case together with accrued and unpaid interest thereon, if any, to be due and payable immediately.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913"/>
        <w:spacing w:after="0" w:line="257" w:lineRule="auto"/>
        <w:rPr>
          <w:sz w:val="20"/>
          <w:szCs w:val="20"/>
          <w:color w:val="auto"/>
        </w:rPr>
      </w:pPr>
      <w:r>
        <w:rPr>
          <w:rFonts w:ascii="Arial" w:cs="Arial" w:eastAsia="Arial" w:hAnsi="Arial"/>
          <w:sz w:val="18"/>
          <w:szCs w:val="18"/>
          <w:color w:val="auto"/>
        </w:rPr>
        <w:t>Unless we indicate otherwise in a prospectus supplement, if an event of default described in clause (5) above shall occur, the principal amount and premium, if any, of all the debt securities of that series, or if any debt securities of that series are original issue discount securities, such other amount as may be specified in the applicable prospectus supplement, in each case together with accrued and unpaid interest thereon, if any, will automatically become immediately due and payable. Any payment by us on the subordinated debt securities following any such acceleration will be subject to the subordination provisions described below under “Subordinated Debt Securities.”</w:t>
      </w:r>
    </w:p>
    <w:p>
      <w:pPr>
        <w:spacing w:after="0" w:line="188" w:lineRule="exact"/>
        <w:rPr>
          <w:sz w:val="20"/>
          <w:szCs w:val="20"/>
          <w:color w:val="auto"/>
        </w:rPr>
      </w:pPr>
    </w:p>
    <w:p>
      <w:pPr>
        <w:ind w:firstLine="913"/>
        <w:spacing w:after="0" w:line="269" w:lineRule="auto"/>
        <w:rPr>
          <w:sz w:val="20"/>
          <w:szCs w:val="20"/>
          <w:color w:val="auto"/>
        </w:rPr>
      </w:pPr>
      <w:r>
        <w:rPr>
          <w:rFonts w:ascii="Arial" w:cs="Arial" w:eastAsia="Arial" w:hAnsi="Arial"/>
          <w:sz w:val="17"/>
          <w:szCs w:val="17"/>
          <w:color w:val="auto"/>
        </w:rPr>
        <w:t>Notwithstanding the foregoing, each indenture will provide that we may, at our option, elect that the sole remedy for an event of default relating to our failure to comply with our obligations described under the section entitled “Reports” below or our failure to comply with the requirements of Section 314(a)(1) of the Trust Indenture Act will for the first 180 days after the occurrence of such an event of default consist exclusively of the right to receive additional interest on the relevant series of debt securities at an annual rate equal to (i) 0.25% of the principal amount of such series of debt securities for the first 90 days after the occurrence of such event of default and (ii) 0.50% of the principal amount of such series of debt securities from the 91st day to, and including, the 180th day after the occurrence of such event of default, which we call “additional interest.” If we so elect, the additional interest will accrue on all outstanding debt securities from and including the date on which such event of default first occurs until such violation is cured or waived and shall be payable on each relevant interest payment date to holders of record on the regular record date immediately preceding the interest payment date. On the 181st day after such event of default (if such violation is not cured or waived prior to such 181st day), the debt securities will be subject to acceleration as provided above. In the event we do not elect to pay additional interest upon any such event of default in accordance with this paragraph, the debt securities will be subject to acceleration as provided above.</w:t>
      </w:r>
    </w:p>
    <w:p>
      <w:pPr>
        <w:spacing w:after="0" w:line="183" w:lineRule="exact"/>
        <w:rPr>
          <w:sz w:val="20"/>
          <w:szCs w:val="20"/>
          <w:color w:val="auto"/>
        </w:rPr>
      </w:pPr>
    </w:p>
    <w:p>
      <w:pPr>
        <w:jc w:val="both"/>
        <w:ind w:right="140" w:firstLine="913"/>
        <w:spacing w:after="0" w:line="302" w:lineRule="auto"/>
        <w:rPr>
          <w:sz w:val="20"/>
          <w:szCs w:val="20"/>
          <w:color w:val="auto"/>
        </w:rPr>
      </w:pPr>
      <w:r>
        <w:rPr>
          <w:rFonts w:ascii="Arial" w:cs="Arial" w:eastAsia="Arial" w:hAnsi="Arial"/>
          <w:sz w:val="16"/>
          <w:szCs w:val="16"/>
          <w:color w:val="auto"/>
        </w:rPr>
        <w:t>In order to elect to pay the additional interest as the sole remedy during the first 180 days after the occurrence of any event of default relating to the failure to comply with the reporting obligations in accordance with the preceding paragraph, we must notify all holders of debt securities and the trustee and paying agent of such election prior to the close of business on the first business day following the date on which such event of default occurs. Upon our failure to timely give such notice or pay the additional interest, the debt securities will be immediately subject to acceleration as provided above.</w:t>
      </w:r>
    </w:p>
    <w:p>
      <w:pPr>
        <w:spacing w:after="0" w:line="154" w:lineRule="exact"/>
        <w:rPr>
          <w:sz w:val="20"/>
          <w:szCs w:val="20"/>
          <w:color w:val="auto"/>
        </w:rPr>
      </w:pPr>
    </w:p>
    <w:p>
      <w:pPr>
        <w:ind w:right="120" w:firstLine="913"/>
        <w:spacing w:after="0" w:line="264" w:lineRule="auto"/>
        <w:rPr>
          <w:sz w:val="20"/>
          <w:szCs w:val="20"/>
          <w:color w:val="auto"/>
        </w:rPr>
      </w:pPr>
      <w:r>
        <w:rPr>
          <w:rFonts w:ascii="Arial" w:cs="Arial" w:eastAsia="Arial" w:hAnsi="Arial"/>
          <w:sz w:val="18"/>
          <w:szCs w:val="18"/>
          <w:color w:val="auto"/>
        </w:rPr>
        <w:t>After acceleration, the holders of a majority in aggregate principal amount of the outstanding securities of that series may, under certain circumstances, rescind and annul such acceleration if all events of default, other than the non-payment of accelerated principal, or other specified amounts or interest, have been cured or waived.</w:t>
      </w:r>
    </w:p>
    <w:p>
      <w:pPr>
        <w:spacing w:after="0" w:line="181"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Other than the duty to act with the required care during an event of default, the trustee will not be obligated to exercise any of its rights or powers at the request of the holders unless the holders shall have offered to the trustee reasonable indemnity. Generally, the holders of a majority in aggregate principal amount of the outstanding debt securities of any series will have the right to direct the time, method and place of conducting any proceeding for any remedy available to the trustee or exercising any trust or power conferred on the trustee.</w:t>
      </w:r>
    </w:p>
    <w:p>
      <w:pPr>
        <w:spacing w:after="0" w:line="187" w:lineRule="exact"/>
        <w:rPr>
          <w:sz w:val="20"/>
          <w:szCs w:val="20"/>
          <w:color w:val="auto"/>
        </w:rPr>
      </w:pPr>
    </w:p>
    <w:p>
      <w:pPr>
        <w:ind w:right="460" w:firstLine="913"/>
        <w:spacing w:after="0" w:line="277" w:lineRule="auto"/>
        <w:rPr>
          <w:sz w:val="20"/>
          <w:szCs w:val="20"/>
          <w:color w:val="auto"/>
        </w:rPr>
      </w:pPr>
      <w:r>
        <w:rPr>
          <w:rFonts w:ascii="Arial" w:cs="Arial" w:eastAsia="Arial" w:hAnsi="Arial"/>
          <w:sz w:val="18"/>
          <w:szCs w:val="18"/>
          <w:color w:val="auto"/>
        </w:rPr>
        <w:t>A holder of debt securities of any series will not have any right to institute any proceeding under the indentures, or for the appointment of a receiver or a trustee, or for any other remedy under the indentures, unless:</w:t>
      </w:r>
    </w:p>
    <w:p>
      <w:pPr>
        <w:spacing w:after="0" w:line="76" w:lineRule="exact"/>
        <w:rPr>
          <w:sz w:val="20"/>
          <w:szCs w:val="20"/>
          <w:color w:val="auto"/>
        </w:rPr>
      </w:pPr>
    </w:p>
    <w:p>
      <w:pPr>
        <w:ind w:left="1480" w:right="400" w:hanging="567"/>
        <w:spacing w:after="0" w:line="277" w:lineRule="auto"/>
        <w:tabs>
          <w:tab w:leader="none" w:pos="1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holder has previously given to the trustee written notice of a continuing event of default with respect to the debt securities of that series;</w:t>
      </w:r>
    </w:p>
    <w:p>
      <w:pPr>
        <w:spacing w:after="0" w:line="75" w:lineRule="exact"/>
        <w:rPr>
          <w:rFonts w:ascii="Arial" w:cs="Arial" w:eastAsia="Arial" w:hAnsi="Arial"/>
          <w:sz w:val="18"/>
          <w:szCs w:val="18"/>
          <w:color w:val="auto"/>
        </w:rPr>
      </w:pPr>
    </w:p>
    <w:p>
      <w:pPr>
        <w:ind w:left="1480" w:right="60" w:hanging="567"/>
        <w:spacing w:after="0" w:line="277" w:lineRule="auto"/>
        <w:tabs>
          <w:tab w:leader="none" w:pos="1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the outstanding debt securities of that series have made a written request and have offered reasonable indemnity to the trustee to institute the proceeding; and</w:t>
      </w:r>
    </w:p>
    <w:p>
      <w:pPr>
        <w:spacing w:after="0" w:line="75" w:lineRule="exact"/>
        <w:rPr>
          <w:rFonts w:ascii="Arial" w:cs="Arial" w:eastAsia="Arial" w:hAnsi="Arial"/>
          <w:sz w:val="18"/>
          <w:szCs w:val="18"/>
          <w:color w:val="auto"/>
        </w:rPr>
      </w:pPr>
    </w:p>
    <w:p>
      <w:pPr>
        <w:ind w:left="1480" w:right="80" w:hanging="567"/>
        <w:spacing w:after="0" w:line="342" w:lineRule="auto"/>
        <w:tabs>
          <w:tab w:leader="none" w:pos="14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trustee has failed to institute the proceeding and has not received direction inconsistent with the original request from the holders of a majority in aggregate principal amount of the outstanding debt securities of that series within 60 days after the original request.</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913"/>
        <w:spacing w:after="0" w:line="308" w:lineRule="auto"/>
        <w:rPr>
          <w:sz w:val="20"/>
          <w:szCs w:val="20"/>
          <w:color w:val="auto"/>
        </w:rPr>
      </w:pPr>
      <w:r>
        <w:rPr>
          <w:rFonts w:ascii="Arial" w:cs="Arial" w:eastAsia="Arial" w:hAnsi="Arial"/>
          <w:sz w:val="17"/>
          <w:szCs w:val="17"/>
          <w:color w:val="auto"/>
        </w:rPr>
        <w:t>Holders may, however, sue to enforce the payment of principal, premium or interest on any debt security on or after the due date or to enforce the right, if any, to convert any debt security (if the debt security is convertible) without following the procedures listed in (1) through (3) above.</w:t>
      </w:r>
    </w:p>
    <w:p>
      <w:pPr>
        <w:spacing w:after="0" w:line="147"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We will furnish the trustee an annual statement from our officers as to whether or not we are in default in the performance of the conditions and covenants under the indenture and, if so, specifying all known defaults.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and Waiver</w:t>
      </w:r>
    </w:p>
    <w:p>
      <w:pPr>
        <w:spacing w:after="0" w:line="121"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Unless we indicate otherwise in a prospectus supplement, the applicable trustee and we may make modifications and amendments to an indenture with the consent of the holders of a majority in aggregate principal amount of the outstanding securities of each series affected by the modification or amendment.</w:t>
      </w:r>
    </w:p>
    <w:p>
      <w:pPr>
        <w:spacing w:after="0" w:line="181" w:lineRule="exact"/>
        <w:rPr>
          <w:sz w:val="20"/>
          <w:szCs w:val="20"/>
          <w:color w:val="auto"/>
        </w:rPr>
      </w:pPr>
    </w:p>
    <w:p>
      <w:pPr>
        <w:ind w:right="680" w:firstLine="913"/>
        <w:spacing w:after="0" w:line="277" w:lineRule="auto"/>
        <w:rPr>
          <w:sz w:val="20"/>
          <w:szCs w:val="20"/>
          <w:color w:val="auto"/>
        </w:rPr>
      </w:pPr>
      <w:r>
        <w:rPr>
          <w:rFonts w:ascii="Arial" w:cs="Arial" w:eastAsia="Arial" w:hAnsi="Arial"/>
          <w:sz w:val="18"/>
          <w:szCs w:val="18"/>
          <w:color w:val="auto"/>
        </w:rPr>
        <w:t>We may also make modifications and amendments to the indentures for the benefit of holders without their consent, for certain purposes including, but not limited to:</w:t>
      </w:r>
    </w:p>
    <w:p>
      <w:pPr>
        <w:spacing w:after="0" w:line="76" w:lineRule="exact"/>
        <w:rPr>
          <w:sz w:val="20"/>
          <w:szCs w:val="20"/>
          <w:color w:val="auto"/>
        </w:rPr>
      </w:pPr>
    </w:p>
    <w:p>
      <w:pPr>
        <w:ind w:left="1460" w:right="340" w:hanging="547"/>
        <w:spacing w:after="0" w:line="277" w:lineRule="auto"/>
        <w:tabs>
          <w:tab w:leader="none" w:pos="1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evidence the succession of another person to Fluidigm, or successive successions, and the assumption by any such successor of the covenants of Fluidigm in the indentures in compliance with Article 8 of the indentures;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adding covenants;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adding events of default;</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making certain changes to facilitate the issuance of the debt securities;</w:t>
      </w:r>
    </w:p>
    <w:p>
      <w:pPr>
        <w:spacing w:after="0" w:line="130" w:lineRule="exact"/>
        <w:rPr>
          <w:rFonts w:ascii="Arial" w:cs="Arial" w:eastAsia="Arial" w:hAnsi="Arial"/>
          <w:sz w:val="18"/>
          <w:szCs w:val="18"/>
          <w:color w:val="auto"/>
        </w:rPr>
      </w:pPr>
    </w:p>
    <w:p>
      <w:pPr>
        <w:ind w:left="1460" w:right="280" w:hanging="547"/>
        <w:spacing w:after="0" w:line="288" w:lineRule="auto"/>
        <w:tabs>
          <w:tab w:leader="none" w:pos="1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to add to, change or eliminate any of the provisions of the indentures or series of securities, provided that any such addition, change or elimination (A) shall neither (i) apply to any security of any series created prior to the execution of such supplemental indenture and entitled to the benefit of such provision nor (ii) modify the rights of the holder of any such security with respect to such provision or</w:t>
      </w:r>
    </w:p>
    <w:p>
      <w:pPr>
        <w:ind w:left="1460"/>
        <w:spacing w:after="0"/>
        <w:rPr>
          <w:rFonts w:ascii="Arial" w:cs="Arial" w:eastAsia="Arial" w:hAnsi="Arial"/>
          <w:sz w:val="16"/>
          <w:szCs w:val="16"/>
          <w:color w:val="auto"/>
        </w:rPr>
      </w:pPr>
      <w:r>
        <w:rPr>
          <w:rFonts w:ascii="Arial" w:cs="Arial" w:eastAsia="Arial" w:hAnsi="Arial"/>
          <w:sz w:val="18"/>
          <w:szCs w:val="18"/>
          <w:color w:val="auto"/>
        </w:rPr>
        <w:t>(B) shall become effective only when there is no such security outstanding;</w:t>
      </w:r>
    </w:p>
    <w:p>
      <w:pPr>
        <w:spacing w:after="0" w:line="116" w:lineRule="exact"/>
        <w:rPr>
          <w:rFonts w:ascii="Arial" w:cs="Arial" w:eastAsia="Arial" w:hAnsi="Arial"/>
          <w:sz w:val="16"/>
          <w:szCs w:val="16"/>
          <w:color w:val="auto"/>
        </w:rPr>
      </w:pPr>
    </w:p>
    <w:p>
      <w:pPr>
        <w:ind w:left="1460" w:hanging="547"/>
        <w:spacing w:after="0"/>
        <w:tabs>
          <w:tab w:leader="none" w:pos="1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securing the debt securities;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providing for guaranties of, or additional obligors on, the debt securities;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establish the form or term of debt securities as permitted by Sections 2.1 and 3.1 of the indenture;</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providing for a successor trustee or additional trustees;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conforming the indenture to the description of the securities set forth in this prospectus or the accompanying prospectus supplement;</w:t>
      </w:r>
    </w:p>
    <w:p>
      <w:pPr>
        <w:spacing w:after="0" w:line="153" w:lineRule="exact"/>
        <w:rPr>
          <w:rFonts w:ascii="Arial" w:cs="Arial" w:eastAsia="Arial" w:hAnsi="Arial"/>
          <w:sz w:val="16"/>
          <w:szCs w:val="16"/>
          <w:color w:val="auto"/>
        </w:rPr>
      </w:pPr>
    </w:p>
    <w:p>
      <w:pPr>
        <w:ind w:left="1460" w:right="560" w:hanging="547"/>
        <w:spacing w:after="0" w:line="277" w:lineRule="auto"/>
        <w:tabs>
          <w:tab w:leader="none" w:pos="1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curing any ambiguity, defect or inconsistency; provided that such action shall not adversely affect the interest of the holders in any material respect;</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permitting or facilitating the defeasance and discharge of the debt securities;</w:t>
      </w:r>
    </w:p>
    <w:p>
      <w:pPr>
        <w:spacing w:after="0" w:line="130" w:lineRule="exact"/>
        <w:rPr>
          <w:rFonts w:ascii="Arial" w:cs="Arial" w:eastAsia="Arial" w:hAnsi="Arial"/>
          <w:sz w:val="18"/>
          <w:szCs w:val="18"/>
          <w:color w:val="auto"/>
        </w:rPr>
      </w:pPr>
    </w:p>
    <w:p>
      <w:pPr>
        <w:ind w:left="1460" w:right="260" w:hanging="547"/>
        <w:spacing w:after="0" w:line="264" w:lineRule="auto"/>
        <w:tabs>
          <w:tab w:leader="none" w:pos="1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make such other provisions in regard to matters or questions arising under the indentures or under any supplemental indentures as our board of directors may deem necessary or desirable, and which does not in each case adversely affect the interests of the holders of the debt securities of a series; and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60" w:right="200" w:hanging="547"/>
        <w:spacing w:after="0" w:line="277" w:lineRule="auto"/>
        <w:tabs>
          <w:tab w:leader="none" w:pos="1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comply with requirements of the SEC in order to effect or maintain the qualifications of the indentures under the Trust Indenture Act of 1939, as amended (the “Trust Indenture Act”).</w:t>
      </w:r>
    </w:p>
    <w:p>
      <w:pPr>
        <w:spacing w:after="0" w:line="170"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However, neither the trustee nor we may make any modification or amendment without the consent of the holder of each outstanding security of that series affected by the modification or amendment if such modification or amendment would:</w:t>
      </w:r>
    </w:p>
    <w:p>
      <w:pPr>
        <w:spacing w:after="0" w:line="76" w:lineRule="exact"/>
        <w:rPr>
          <w:sz w:val="20"/>
          <w:szCs w:val="20"/>
          <w:color w:val="auto"/>
        </w:rPr>
      </w:pPr>
    </w:p>
    <w:p>
      <w:pPr>
        <w:ind w:left="1460" w:hanging="547"/>
        <w:spacing w:after="0"/>
        <w:tabs>
          <w:tab w:leader="none" w:pos="1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any installment of principal or interest on, any debt security;</w:t>
      </w:r>
    </w:p>
    <w:p>
      <w:pPr>
        <w:spacing w:after="0" w:line="130" w:lineRule="exact"/>
        <w:rPr>
          <w:rFonts w:ascii="Arial" w:cs="Arial" w:eastAsia="Arial" w:hAnsi="Arial"/>
          <w:sz w:val="18"/>
          <w:szCs w:val="18"/>
          <w:color w:val="auto"/>
        </w:rPr>
      </w:pPr>
    </w:p>
    <w:p>
      <w:pPr>
        <w:ind w:left="1460" w:right="160" w:hanging="547"/>
        <w:spacing w:after="0" w:line="277" w:lineRule="auto"/>
        <w:tabs>
          <w:tab w:leader="none" w:pos="1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reduce the principal, premium, if any, or interest on any debt security or any amount payable upon redemption or repurchase, whether at our option or the option of any holder, or reduce the amount of any sinking fund payments;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reduce the principal of an original issue discount security or any other debt security payable on acceleration of maturity;</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 the place of payment or the currency in which any debt security is payable;</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impair the right to enforce any payment after the stated maturity or redemption date;</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subordinated debt securities, modify the subordination provisions in a materially adverse manner to the holders;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adversely affect the right to convert any debt security if the debt security is a convertible debt security; or</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 the provisions in the indenture that relate to modifying or amending the indenture.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 Defeasance</w:t>
      </w:r>
    </w:p>
    <w:p>
      <w:pPr>
        <w:spacing w:after="0" w:line="121" w:lineRule="exact"/>
        <w:rPr>
          <w:sz w:val="20"/>
          <w:szCs w:val="20"/>
          <w:color w:val="auto"/>
        </w:rPr>
      </w:pPr>
    </w:p>
    <w:p>
      <w:pPr>
        <w:jc w:val="both"/>
        <w:ind w:right="20" w:firstLine="913"/>
        <w:spacing w:after="0" w:line="264" w:lineRule="auto"/>
        <w:rPr>
          <w:sz w:val="20"/>
          <w:szCs w:val="20"/>
          <w:color w:val="auto"/>
        </w:rPr>
      </w:pPr>
      <w:r>
        <w:rPr>
          <w:rFonts w:ascii="Arial" w:cs="Arial" w:eastAsia="Arial" w:hAnsi="Arial"/>
          <w:sz w:val="18"/>
          <w:szCs w:val="18"/>
          <w:color w:val="auto"/>
        </w:rPr>
        <w:t>We may be discharged from our obligations on the debt securities, subject to limited exceptions, of any series that have matured or will mature or be redeemed within one year if we deposit enough money with the trustee to pay all the principal, interest and any premium due to the stated maturity date or redemption date of the debt securities.</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Each indenture contains a provision that permits us to elect either or both of the following:</w:t>
      </w:r>
    </w:p>
    <w:p>
      <w:pPr>
        <w:spacing w:after="0" w:line="131" w:lineRule="exact"/>
        <w:rPr>
          <w:sz w:val="20"/>
          <w:szCs w:val="20"/>
          <w:color w:val="auto"/>
        </w:rPr>
      </w:pPr>
    </w:p>
    <w:p>
      <w:pPr>
        <w:ind w:left="1460" w:right="140" w:hanging="547"/>
        <w:spacing w:after="0" w:line="259" w:lineRule="auto"/>
        <w:tabs>
          <w:tab w:leader="none" w:pos="1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elect to be discharged from all of our obligations, subject to limited exceptions, with respect to any series of debt securities then outstanding. If we make this election, the holders of the debt securities of the series will not be entitled to the benefits of the indenture, except for the rights of holders to receive payments on debt securities or the registration of transfer and exchange of debt securities and replacement of lost, stolen or mutilated debt securities.</w:t>
      </w:r>
    </w:p>
    <w:p>
      <w:pPr>
        <w:spacing w:after="0" w:line="92" w:lineRule="exact"/>
        <w:rPr>
          <w:rFonts w:ascii="Arial" w:cs="Arial" w:eastAsia="Arial" w:hAnsi="Arial"/>
          <w:sz w:val="18"/>
          <w:szCs w:val="18"/>
          <w:color w:val="auto"/>
        </w:rPr>
      </w:pPr>
    </w:p>
    <w:p>
      <w:pPr>
        <w:ind w:left="1460" w:hanging="547"/>
        <w:spacing w:after="0" w:line="342" w:lineRule="auto"/>
        <w:tabs>
          <w:tab w:leader="none" w:pos="14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we may elect to be released from our obligations under some or all of any financial or restrictive covenants applicable to the series of debt securities to which the election relates and from the consequences of an event of default resulting from a breach of those covenants.</w:t>
      </w:r>
    </w:p>
    <w:p>
      <w:pPr>
        <w:spacing w:after="0" w:line="124" w:lineRule="exact"/>
        <w:rPr>
          <w:sz w:val="20"/>
          <w:szCs w:val="20"/>
          <w:color w:val="auto"/>
        </w:rPr>
      </w:pPr>
    </w:p>
    <w:p>
      <w:pPr>
        <w:ind w:right="20" w:firstLine="913"/>
        <w:spacing w:after="0" w:line="276" w:lineRule="auto"/>
        <w:rPr>
          <w:sz w:val="20"/>
          <w:szCs w:val="20"/>
          <w:color w:val="auto"/>
        </w:rPr>
      </w:pPr>
      <w:r>
        <w:rPr>
          <w:rFonts w:ascii="Arial" w:cs="Arial" w:eastAsia="Arial" w:hAnsi="Arial"/>
          <w:sz w:val="17"/>
          <w:szCs w:val="17"/>
          <w:color w:val="auto"/>
        </w:rPr>
        <w:t>To make either of the above elections, we must irrevocably deposit in trust with the trustee enough money to pay in full the principal, interest and premium on the debt securities. This amount may be made in cash and/or U.S. government obligations or, in the case of debt securities denominated in a currency other than U.S. dollars, cash in the currency in which such series of securities is denominated and/or foreign government obligations. As a condition to either of the above elections, for debt securities denominated in U.S. dollars, we must deliver to the trustee an opinion of counsel that the holders of the debt securities will not recognize income, gain or loss for U.S. federal income tax purposes as a result of the action.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With respect to debt securities of any series that are denominated in a currency other than United States dollars, “foreign government obligations”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means:</w:t>
      </w:r>
    </w:p>
    <w:p>
      <w:pPr>
        <w:spacing w:after="0" w:line="116" w:lineRule="exact"/>
        <w:rPr>
          <w:sz w:val="20"/>
          <w:szCs w:val="20"/>
          <w:color w:val="auto"/>
        </w:rPr>
      </w:pPr>
    </w:p>
    <w:p>
      <w:pPr>
        <w:ind w:left="1460" w:right="60" w:hanging="547"/>
        <w:spacing w:after="0" w:line="302" w:lineRule="auto"/>
        <w:tabs>
          <w:tab w:leader="none" w:pos="1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direct obligations of the government that issued or caused to be issued the currency in which such securities are denominated and for the payment of which obligations its full faith and credit is pledged, or, with respect to debt securities of any series which are denominated in Euros, direct obligations of certain members of the European Union for the payment of which obligations the full faith and credit of such members is pledged, which in each case are not callable or redeemable at the option of the issuer thereof; or</w:t>
      </w:r>
    </w:p>
    <w:p>
      <w:pPr>
        <w:spacing w:after="0" w:line="59" w:lineRule="exact"/>
        <w:rPr>
          <w:rFonts w:ascii="Arial" w:cs="Arial" w:eastAsia="Arial" w:hAnsi="Arial"/>
          <w:sz w:val="16"/>
          <w:szCs w:val="16"/>
          <w:color w:val="auto"/>
        </w:rPr>
      </w:pPr>
    </w:p>
    <w:p>
      <w:pPr>
        <w:ind w:left="1460" w:right="140" w:hanging="547"/>
        <w:spacing w:after="0" w:line="264" w:lineRule="auto"/>
        <w:tabs>
          <w:tab w:leader="none" w:pos="1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obligations of a person controlled or supervised by or acting as an agency or instrumentality of a government described in the bullet above the timely payment of which is unconditionally guaranteed as a full faith and credit obligation by such government, which are not callable or redeemable at the option of the issuer thereof.</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Notices to holders will be given by mail to the addresses of the holders in the security register.</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The indentures and the debt securities will be governed by, and construed under, the laws of the State of New York, except to the extent that the Trust Indenture Act is applicable.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Personal Liability of Directors, Officers, Employees and Stockholders</w:t>
      </w:r>
    </w:p>
    <w:p>
      <w:pPr>
        <w:spacing w:after="0" w:line="121" w:lineRule="exact"/>
        <w:rPr>
          <w:sz w:val="20"/>
          <w:szCs w:val="20"/>
          <w:color w:val="auto"/>
        </w:rPr>
      </w:pPr>
    </w:p>
    <w:p>
      <w:pPr>
        <w:ind w:right="100" w:firstLine="913"/>
        <w:spacing w:after="0" w:line="312" w:lineRule="auto"/>
        <w:rPr>
          <w:sz w:val="20"/>
          <w:szCs w:val="20"/>
          <w:color w:val="auto"/>
        </w:rPr>
      </w:pPr>
      <w:r>
        <w:rPr>
          <w:rFonts w:ascii="Arial" w:cs="Arial" w:eastAsia="Arial" w:hAnsi="Arial"/>
          <w:sz w:val="16"/>
          <w:szCs w:val="16"/>
          <w:color w:val="auto"/>
        </w:rPr>
        <w:t>No incorporator, stockholder, employee, agent, officer, director or subsidiary of ours will have any liability for any obligations of ours, or because of the creation of any indebtedness under the debt securities, the indentures or supplemental indentures. The indentures provide that all such liability is expressly waived and released as a condition of, and as a consideration for, the execution of such indentures and the issuance of the debt securities.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Regarding the Trustee</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indentures limit the right of the trustee, should it become our creditor, to obtain payment of claims or secure its claims.</w:t>
      </w:r>
    </w:p>
    <w:p>
      <w:pPr>
        <w:spacing w:after="0" w:line="225"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The trustee will be permitted to engage in certain other transactions with us. However, if the trustee acquires any conflicting interest, and there is a default under the debt securities of any series for which it is trustee, the trustee must eliminate the conflict or resign.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Subordinated Debt Securities</w:t>
      </w:r>
    </w:p>
    <w:p>
      <w:pPr>
        <w:spacing w:after="0" w:line="121"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The following provisions will be applicable with respect to each series of subordinated debt securities, unless otherwise stated in the prospectus supplement relating to that series of subordinated debt securities.</w:t>
      </w:r>
    </w:p>
    <w:p>
      <w:pPr>
        <w:spacing w:after="0" w:line="170"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The indebtedness evidenced by the subordinated debt securities of any series is subordinated, to the extent provided in the subordinated indenture and the applicable prospectus supplement, to the prior payment in full, in cash or other payment satisfactory to the holders of senior debt, of all senior debt, including any senior debt securities.</w:t>
      </w:r>
    </w:p>
    <w:p>
      <w:pPr>
        <w:spacing w:after="0" w:line="181" w:lineRule="exact"/>
        <w:rPr>
          <w:sz w:val="20"/>
          <w:szCs w:val="20"/>
          <w:color w:val="auto"/>
        </w:rPr>
      </w:pPr>
    </w:p>
    <w:p>
      <w:pPr>
        <w:ind w:right="880" w:firstLine="913"/>
        <w:spacing w:after="0" w:line="277" w:lineRule="auto"/>
        <w:rPr>
          <w:sz w:val="20"/>
          <w:szCs w:val="20"/>
          <w:color w:val="auto"/>
        </w:rPr>
      </w:pPr>
      <w:r>
        <w:rPr>
          <w:rFonts w:ascii="Arial" w:cs="Arial" w:eastAsia="Arial" w:hAnsi="Arial"/>
          <w:sz w:val="18"/>
          <w:szCs w:val="18"/>
          <w:color w:val="auto"/>
        </w:rPr>
        <w:t>Upon any distribution of our assets upon any dissolution, winding up, liquidation or reorganization, whether voluntary or involuntary, marshalling of assets, assignment for the benefit of creditors, or in bankruptcy,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insolvency, receivership or other similar proceedings, payments on the subordinated debt securities will be subordinated in right of payment to the prior payment in full in cash or other payment satisfactory to holders of senior debt of all senior debt.</w:t>
      </w:r>
    </w:p>
    <w:p>
      <w:pPr>
        <w:spacing w:after="0" w:line="170" w:lineRule="exact"/>
        <w:rPr>
          <w:sz w:val="20"/>
          <w:szCs w:val="20"/>
          <w:color w:val="auto"/>
        </w:rPr>
      </w:pPr>
    </w:p>
    <w:p>
      <w:pPr>
        <w:jc w:val="both"/>
        <w:ind w:right="140" w:firstLine="913"/>
        <w:spacing w:after="0" w:line="286" w:lineRule="auto"/>
        <w:rPr>
          <w:sz w:val="20"/>
          <w:szCs w:val="20"/>
          <w:color w:val="auto"/>
        </w:rPr>
      </w:pPr>
      <w:r>
        <w:rPr>
          <w:rFonts w:ascii="Arial" w:cs="Arial" w:eastAsia="Arial" w:hAnsi="Arial"/>
          <w:sz w:val="17"/>
          <w:szCs w:val="17"/>
          <w:color w:val="auto"/>
        </w:rPr>
        <w:t>In the event of any acceleration of the subordinated debt securities of any series because of an event of default with respect to the subordinated debt securities of that series, holders of any senior debt would be entitled to payment in full in cash or other payment satisfactory to holders of senior debt of all senior debt before the holders of subordinated debt securities are entitled to receive any payment or distribution.</w:t>
      </w:r>
    </w:p>
    <w:p>
      <w:pPr>
        <w:spacing w:after="0" w:line="166" w:lineRule="exact"/>
        <w:rPr>
          <w:sz w:val="20"/>
          <w:szCs w:val="20"/>
          <w:color w:val="auto"/>
        </w:rPr>
      </w:pPr>
    </w:p>
    <w:p>
      <w:pPr>
        <w:ind w:firstLine="913"/>
        <w:spacing w:after="0" w:line="276" w:lineRule="auto"/>
        <w:rPr>
          <w:sz w:val="20"/>
          <w:szCs w:val="20"/>
          <w:color w:val="auto"/>
        </w:rPr>
      </w:pPr>
      <w:r>
        <w:rPr>
          <w:rFonts w:ascii="Arial" w:cs="Arial" w:eastAsia="Arial" w:hAnsi="Arial"/>
          <w:sz w:val="17"/>
          <w:szCs w:val="17"/>
          <w:color w:val="auto"/>
        </w:rPr>
        <w:t>In addition, the subordinated debt securities will be structurally subordinated to all indebtedness and other liabilities of our subsidiaries, including trade payables and lease obligations. This occurs because our right to receive any assets of our subsidiaries upon their liquidation or reorganization, and your right to participate in those assets, will be effectively subordinated to the claims of that subsidiary’s creditors, including trade creditors, except to the extent that we are recognized as a creditor of such subsidiary. If we are recognized as a creditor of that subsidiary, our claims would still be subordinate to any security interest in the assets of the subsidiary and any indebtedness of the subsidiary senior to us.</w:t>
      </w:r>
    </w:p>
    <w:p>
      <w:pPr>
        <w:spacing w:after="0" w:line="173"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We are required to promptly notify holders of senior debt or their representatives under the subordinated indenture if payment of the subordinated debt securities is accelerated because of an event of default.</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Under the subordinated indenture, we may not make payment on the subordinated debt securities if:</w:t>
      </w:r>
    </w:p>
    <w:p>
      <w:pPr>
        <w:spacing w:after="0" w:line="131" w:lineRule="exact"/>
        <w:rPr>
          <w:sz w:val="20"/>
          <w:szCs w:val="20"/>
          <w:color w:val="auto"/>
        </w:rPr>
      </w:pPr>
    </w:p>
    <w:p>
      <w:pPr>
        <w:ind w:left="1460" w:hanging="547"/>
        <w:spacing w:after="0" w:line="277" w:lineRule="auto"/>
        <w:tabs>
          <w:tab w:leader="none" w:pos="1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default in our obligations to pay principal, premium, if any, interest or other amounts on our senior debt occurs and the default continues beyond any applicable grace period, which we refer to as a payment default; or</w:t>
      </w:r>
    </w:p>
    <w:p>
      <w:pPr>
        <w:spacing w:after="0" w:line="75" w:lineRule="exact"/>
        <w:rPr>
          <w:rFonts w:ascii="Arial" w:cs="Arial" w:eastAsia="Arial" w:hAnsi="Arial"/>
          <w:sz w:val="18"/>
          <w:szCs w:val="18"/>
          <w:color w:val="auto"/>
        </w:rPr>
      </w:pPr>
    </w:p>
    <w:p>
      <w:pPr>
        <w:ind w:left="1460" w:right="200" w:hanging="547"/>
        <w:spacing w:after="0" w:line="264" w:lineRule="auto"/>
        <w:tabs>
          <w:tab w:leader="none" w:pos="1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other default occurs and is continuing with respect to designated senior debt that permits holders of designated senior debt to accelerate its maturity, which we refer to as a non-payment default, and the trustee receives a payment blockage notice from us or some other person permitted to give the notice under the subordinated indenture.</w:t>
      </w:r>
    </w:p>
    <w:p>
      <w:pPr>
        <w:spacing w:after="0" w:line="86" w:lineRule="exact"/>
        <w:rPr>
          <w:rFonts w:ascii="Arial" w:cs="Arial" w:eastAsia="Arial" w:hAnsi="Arial"/>
          <w:sz w:val="18"/>
          <w:szCs w:val="18"/>
          <w:color w:val="auto"/>
        </w:rPr>
      </w:pPr>
    </w:p>
    <w:p>
      <w:pPr>
        <w:ind w:left="1460" w:hanging="547"/>
        <w:spacing w:after="0"/>
        <w:tabs>
          <w:tab w:leader="none" w:pos="1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will resume payments on the subordinated debt securities: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case of a payment default, when the default is cured or waived or ceases to exist, and</w:t>
      </w:r>
    </w:p>
    <w:p>
      <w:pPr>
        <w:spacing w:after="0" w:line="130" w:lineRule="exact"/>
        <w:rPr>
          <w:rFonts w:ascii="Arial" w:cs="Arial" w:eastAsia="Arial" w:hAnsi="Arial"/>
          <w:sz w:val="18"/>
          <w:szCs w:val="18"/>
          <w:color w:val="auto"/>
        </w:rPr>
      </w:pPr>
    </w:p>
    <w:p>
      <w:pPr>
        <w:ind w:left="1460" w:right="180" w:hanging="547"/>
        <w:spacing w:after="0" w:line="277" w:lineRule="auto"/>
        <w:tabs>
          <w:tab w:leader="none" w:pos="1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case of a non-payment default, the earlier of when the default is cured or waived or ceases to exist or 179 days after the receipt of the payment blockage notice.</w:t>
      </w:r>
    </w:p>
    <w:p>
      <w:pPr>
        <w:spacing w:after="0" w:line="170" w:lineRule="exact"/>
        <w:rPr>
          <w:sz w:val="20"/>
          <w:szCs w:val="20"/>
          <w:color w:val="auto"/>
        </w:rPr>
      </w:pPr>
    </w:p>
    <w:p>
      <w:pPr>
        <w:ind w:right="140" w:firstLine="913"/>
        <w:spacing w:after="0" w:line="264" w:lineRule="auto"/>
        <w:rPr>
          <w:sz w:val="20"/>
          <w:szCs w:val="20"/>
          <w:color w:val="auto"/>
        </w:rPr>
      </w:pPr>
      <w:r>
        <w:rPr>
          <w:rFonts w:ascii="Arial" w:cs="Arial" w:eastAsia="Arial" w:hAnsi="Arial"/>
          <w:sz w:val="18"/>
          <w:szCs w:val="18"/>
          <w:color w:val="auto"/>
        </w:rPr>
        <w:t>No new payment blockage period may commence on the basis of a non-payment default unless 365 days have elapsed from the effectiveness of the immediately prior payment blockage notice. No non-payment default that existed or was continuing on the date of delivery of any payment blockage notice to the trustee shall be the basis for a subsequent payment blockage notice.</w:t>
      </w:r>
    </w:p>
    <w:p>
      <w:pPr>
        <w:spacing w:after="0" w:line="181"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As a result of these subordination provisions, in the event of our bankruptcy, dissolution or reorganization, holders of senior debt may receive more, ratably, and holders of the subordinated debt securities may receive less, ratably, than our other creditors. The subordination provisions will not prevent the occurrence of any event of default under the subordinated indenture.</w:t>
      </w:r>
    </w:p>
    <w:p>
      <w:pPr>
        <w:spacing w:after="0" w:line="181" w:lineRule="exact"/>
        <w:rPr>
          <w:sz w:val="20"/>
          <w:szCs w:val="20"/>
          <w:color w:val="auto"/>
        </w:rPr>
      </w:pPr>
    </w:p>
    <w:p>
      <w:pPr>
        <w:ind w:right="260" w:firstLine="913"/>
        <w:spacing w:after="0" w:line="312" w:lineRule="auto"/>
        <w:rPr>
          <w:sz w:val="20"/>
          <w:szCs w:val="20"/>
          <w:color w:val="auto"/>
        </w:rPr>
      </w:pPr>
      <w:r>
        <w:rPr>
          <w:rFonts w:ascii="Arial" w:cs="Arial" w:eastAsia="Arial" w:hAnsi="Arial"/>
          <w:sz w:val="16"/>
          <w:szCs w:val="16"/>
          <w:color w:val="auto"/>
        </w:rPr>
        <w:t>The subordination provisions will not apply to payments from money or government obligations held in trust by the trustee for the payment of principal, interest and premium, if any, on subordinated debt securities pursuant to the provisions described under the section entitled “Satisfaction and Discharge; Defeasance,” if the subordination provisions were not violated at the time the money or government obligations were deposited into trust.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913"/>
        <w:spacing w:after="0" w:line="342" w:lineRule="auto"/>
        <w:rPr>
          <w:sz w:val="20"/>
          <w:szCs w:val="20"/>
          <w:color w:val="auto"/>
        </w:rPr>
      </w:pPr>
      <w:r>
        <w:rPr>
          <w:rFonts w:ascii="Arial" w:cs="Arial" w:eastAsia="Arial" w:hAnsi="Arial"/>
          <w:sz w:val="16"/>
          <w:szCs w:val="16"/>
          <w:color w:val="auto"/>
        </w:rPr>
        <w:t>If the trustee or any holder receives any payment that should not have been made to them in contravention of subordination provisions before all senior debt is paid in full in cash or other payment satisfactory to holders of senior debt, then such payment will be held in trust for the holders of senior debt.</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Senior debt securities will constitute senior debt under the subordinated indenture.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Additional or different subordination provisions may be described in a prospectus supplement relating to a particular series of debt securities.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Definitions</w:t>
      </w:r>
    </w:p>
    <w:p>
      <w:pPr>
        <w:spacing w:after="0" w:line="117" w:lineRule="exact"/>
        <w:rPr>
          <w:sz w:val="20"/>
          <w:szCs w:val="20"/>
          <w:color w:val="auto"/>
        </w:rPr>
      </w:pPr>
    </w:p>
    <w:p>
      <w:pPr>
        <w:ind w:right="120" w:firstLine="913"/>
        <w:spacing w:after="0" w:line="279" w:lineRule="auto"/>
        <w:rPr>
          <w:sz w:val="20"/>
          <w:szCs w:val="20"/>
          <w:color w:val="auto"/>
        </w:rPr>
      </w:pPr>
      <w:r>
        <w:rPr>
          <w:rFonts w:ascii="Arial" w:cs="Arial" w:eastAsia="Arial" w:hAnsi="Arial"/>
          <w:sz w:val="17"/>
          <w:szCs w:val="17"/>
          <w:color w:val="auto"/>
        </w:rPr>
        <w:t>“Designated senior debt” means our obligations under any particular senior debt in which the instrument creating or evidencing the same or the assumption or guarantee thereof, or related agreements or documents to which we are a party, expressly provides that such indebtedness shall be designated senior debt for purposes of the subordinated indenture. The instrument, agreement or other document evidencing any designated senior debt may place limitations and conditions on the right of such senior debt to exercise the rights of designated senior debt.</w:t>
      </w:r>
    </w:p>
    <w:p>
      <w:pPr>
        <w:spacing w:after="0" w:line="171"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“Indebtedness” means the following, whether absolute or contingent, secured or unsecured, due or to become due, outstanding on the date of the indenture for such series of securities or thereafter created, incurred or assumed:</w:t>
      </w:r>
    </w:p>
    <w:p>
      <w:pPr>
        <w:spacing w:after="0" w:line="76" w:lineRule="exact"/>
        <w:rPr>
          <w:sz w:val="20"/>
          <w:szCs w:val="20"/>
          <w:color w:val="auto"/>
        </w:rPr>
      </w:pPr>
    </w:p>
    <w:p>
      <w:pPr>
        <w:ind w:left="1460" w:hanging="547"/>
        <w:spacing w:after="0"/>
        <w:tabs>
          <w:tab w:leader="none" w:pos="1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indebtedness evidenced by a credit or loan agreement, note, bond, debenture or other written obligation;</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of our obligations for money borrowed;</w:t>
      </w:r>
    </w:p>
    <w:p>
      <w:pPr>
        <w:spacing w:after="0" w:line="130" w:lineRule="exact"/>
        <w:rPr>
          <w:rFonts w:ascii="Arial" w:cs="Arial" w:eastAsia="Arial" w:hAnsi="Arial"/>
          <w:sz w:val="18"/>
          <w:szCs w:val="18"/>
          <w:color w:val="auto"/>
        </w:rPr>
      </w:pPr>
    </w:p>
    <w:p>
      <w:pPr>
        <w:ind w:left="1460" w:right="120" w:hanging="547"/>
        <w:spacing w:after="0" w:line="277" w:lineRule="auto"/>
        <w:tabs>
          <w:tab w:leader="none" w:pos="1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of our obligations evidenced by a note or similar instrument given in connection with the acquisition of any businesses, properties or assets of any kind,</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obligations:</w:t>
      </w:r>
    </w:p>
    <w:p>
      <w:pPr>
        <w:spacing w:after="0" w:line="130" w:lineRule="exact"/>
        <w:rPr>
          <w:rFonts w:ascii="Arial" w:cs="Arial" w:eastAsia="Arial" w:hAnsi="Arial"/>
          <w:sz w:val="18"/>
          <w:szCs w:val="18"/>
          <w:color w:val="auto"/>
        </w:rPr>
      </w:pPr>
    </w:p>
    <w:p>
      <w:pPr>
        <w:ind w:left="1920" w:right="100" w:hanging="440"/>
        <w:spacing w:after="0" w:line="277" w:lineRule="auto"/>
        <w:tabs>
          <w:tab w:leader="none" w:pos="19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as lessee under leases required to be capitalized on the balance sheet of the lessee under generally accepted accounting principles, or</w:t>
      </w:r>
    </w:p>
    <w:p>
      <w:pPr>
        <w:spacing w:after="0" w:line="75" w:lineRule="exact"/>
        <w:rPr>
          <w:rFonts w:ascii="Arial" w:cs="Arial" w:eastAsia="Arial" w:hAnsi="Arial"/>
          <w:sz w:val="18"/>
          <w:szCs w:val="18"/>
          <w:color w:val="auto"/>
        </w:rPr>
      </w:pPr>
    </w:p>
    <w:p>
      <w:pPr>
        <w:ind w:left="1920" w:right="540" w:hanging="440"/>
        <w:spacing w:after="0" w:line="277" w:lineRule="auto"/>
        <w:tabs>
          <w:tab w:leader="none" w:pos="19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as lessee under leases for facilities, capital equipment or related assets, whether or not capitalized, entered into or leased for financing purposes;</w:t>
      </w:r>
    </w:p>
    <w:p>
      <w:pPr>
        <w:spacing w:after="0" w:line="75" w:lineRule="exact"/>
        <w:rPr>
          <w:rFonts w:ascii="Arial" w:cs="Arial" w:eastAsia="Arial" w:hAnsi="Arial"/>
          <w:sz w:val="18"/>
          <w:szCs w:val="18"/>
          <w:color w:val="auto"/>
        </w:rPr>
      </w:pPr>
    </w:p>
    <w:p>
      <w:pPr>
        <w:ind w:left="1460" w:right="620" w:hanging="547"/>
        <w:spacing w:after="0" w:line="277" w:lineRule="auto"/>
        <w:tabs>
          <w:tab w:leader="none" w:pos="1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of our obligations under interest rate and currency swaps, caps, floors, collars, hedge agreements, forward contracts or similar agreements or arrangements;</w:t>
      </w:r>
    </w:p>
    <w:p>
      <w:pPr>
        <w:spacing w:after="0" w:line="75" w:lineRule="exact"/>
        <w:rPr>
          <w:rFonts w:ascii="Arial" w:cs="Arial" w:eastAsia="Arial" w:hAnsi="Arial"/>
          <w:sz w:val="18"/>
          <w:szCs w:val="18"/>
          <w:color w:val="auto"/>
        </w:rPr>
      </w:pPr>
    </w:p>
    <w:p>
      <w:pPr>
        <w:ind w:left="1460" w:right="280" w:hanging="547"/>
        <w:spacing w:after="0" w:line="277" w:lineRule="auto"/>
        <w:tabs>
          <w:tab w:leader="none" w:pos="1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of our obligations with respect to letters of credit, bankers’ acceptances and similar facilities, including reimbursement obligations with respect to the foregoing;</w:t>
      </w:r>
    </w:p>
    <w:p>
      <w:pPr>
        <w:spacing w:after="0" w:line="75" w:lineRule="exact"/>
        <w:rPr>
          <w:rFonts w:ascii="Arial" w:cs="Arial" w:eastAsia="Arial" w:hAnsi="Arial"/>
          <w:sz w:val="18"/>
          <w:szCs w:val="18"/>
          <w:color w:val="auto"/>
        </w:rPr>
      </w:pPr>
    </w:p>
    <w:p>
      <w:pPr>
        <w:ind w:left="1460" w:right="100" w:hanging="547"/>
        <w:spacing w:after="0" w:line="277" w:lineRule="auto"/>
        <w:tabs>
          <w:tab w:leader="none" w:pos="1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of our obligations issued or assumed as the deferred purchase price of property or services, but excluding trade accounts payable and accrued liabilities arising in the ordinary course of business;</w:t>
      </w:r>
    </w:p>
    <w:p>
      <w:pPr>
        <w:spacing w:after="0" w:line="75" w:lineRule="exact"/>
        <w:rPr>
          <w:rFonts w:ascii="Arial" w:cs="Arial" w:eastAsia="Arial" w:hAnsi="Arial"/>
          <w:sz w:val="18"/>
          <w:szCs w:val="18"/>
          <w:color w:val="auto"/>
        </w:rPr>
      </w:pPr>
    </w:p>
    <w:p>
      <w:pPr>
        <w:ind w:left="1460" w:right="60" w:hanging="547"/>
        <w:spacing w:after="0" w:line="264" w:lineRule="auto"/>
        <w:tabs>
          <w:tab w:leader="none" w:pos="1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obligations of the type referred to in the above clauses of another person, the payment of which, in either case, we have assumed or guaranteed, for which we are responsible or liable, directly or indirectly, jointly or severally, as obligor, guarantor or otherwise, or which are secured by a lien on our property; and</w:t>
      </w:r>
    </w:p>
    <w:p>
      <w:pPr>
        <w:spacing w:after="0" w:line="86" w:lineRule="exact"/>
        <w:rPr>
          <w:rFonts w:ascii="Arial" w:cs="Arial" w:eastAsia="Arial" w:hAnsi="Arial"/>
          <w:sz w:val="18"/>
          <w:szCs w:val="18"/>
          <w:color w:val="auto"/>
        </w:rPr>
      </w:pPr>
    </w:p>
    <w:p>
      <w:pPr>
        <w:ind w:left="1460" w:right="80" w:hanging="547"/>
        <w:spacing w:after="0" w:line="277" w:lineRule="auto"/>
        <w:tabs>
          <w:tab w:leader="none" w:pos="1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renewals, extensions, modifications, replacements, restatements and refundings of, or any indebtedness or obligation issued in exchange for, any such indebtedness or obligation described in the above clauses of this definition.</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459" w:right="2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913"/>
        <w:spacing w:after="0" w:line="312" w:lineRule="auto"/>
        <w:rPr>
          <w:sz w:val="20"/>
          <w:szCs w:val="20"/>
          <w:color w:val="auto"/>
        </w:rPr>
      </w:pPr>
      <w:r>
        <w:rPr>
          <w:rFonts w:ascii="Arial" w:cs="Arial" w:eastAsia="Arial" w:hAnsi="Arial"/>
          <w:sz w:val="16"/>
          <w:szCs w:val="16"/>
          <w:color w:val="auto"/>
        </w:rPr>
        <w:t>“Senior debt” means the principal of, premium, if any, and interest, including all interest accruing subsequent to the commencement of any bankruptcy or similar proceeding, whether or not a claim for post-petition interest is allowable as a claim in any such proceeding, and rent payable on or in connection with, and all fees and other amounts payable in connection with, our indebtedness. However, senior debt shall not include:</w:t>
      </w:r>
    </w:p>
    <w:p>
      <w:pPr>
        <w:spacing w:after="0" w:line="52" w:lineRule="exact"/>
        <w:rPr>
          <w:sz w:val="20"/>
          <w:szCs w:val="20"/>
          <w:color w:val="auto"/>
        </w:rPr>
      </w:pPr>
    </w:p>
    <w:p>
      <w:pPr>
        <w:ind w:left="1460" w:hanging="547"/>
        <w:spacing w:after="0" w:line="264" w:lineRule="auto"/>
        <w:tabs>
          <w:tab w:leader="none" w:pos="1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debt or obligation if its terms or the terms of the instrument under which or pursuant to which it is issued expressly provide that it shall not be senior in right of payment to the subordinated debt securities or expressly provide that such indebtedness is on the same basis or “junior” to the subordinated debt securities; or</w:t>
      </w:r>
    </w:p>
    <w:p>
      <w:pPr>
        <w:spacing w:after="0" w:line="86" w:lineRule="exact"/>
        <w:rPr>
          <w:rFonts w:ascii="Arial" w:cs="Arial" w:eastAsia="Arial" w:hAnsi="Arial"/>
          <w:sz w:val="18"/>
          <w:szCs w:val="18"/>
          <w:color w:val="auto"/>
        </w:rPr>
      </w:pPr>
    </w:p>
    <w:p>
      <w:pPr>
        <w:ind w:left="1460" w:hanging="547"/>
        <w:spacing w:after="0"/>
        <w:tabs>
          <w:tab w:leader="none" w:pos="1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debt to any of our subsidiaries, a majority of the voting stock of which is owned, directly or indirectly, by us.</w:t>
      </w:r>
    </w:p>
    <w:p>
      <w:pPr>
        <w:spacing w:after="0" w:line="225" w:lineRule="exact"/>
        <w:rPr>
          <w:sz w:val="20"/>
          <w:szCs w:val="20"/>
          <w:color w:val="auto"/>
        </w:rPr>
      </w:pPr>
    </w:p>
    <w:p>
      <w:pPr>
        <w:ind w:right="80" w:firstLine="913"/>
        <w:spacing w:after="0" w:line="279" w:lineRule="auto"/>
        <w:rPr>
          <w:sz w:val="20"/>
          <w:szCs w:val="20"/>
          <w:color w:val="auto"/>
        </w:rPr>
      </w:pPr>
      <w:r>
        <w:rPr>
          <w:rFonts w:ascii="Arial" w:cs="Arial" w:eastAsia="Arial" w:hAnsi="Arial"/>
          <w:sz w:val="17"/>
          <w:szCs w:val="17"/>
          <w:color w:val="auto"/>
        </w:rPr>
        <w:t>“Subsidiary” means a corporation more than 50% of the outstanding voting stock of which is owned, directly or indirectly, by us or by one or more of our other subsidiaries or by a combination of us and our other subsidiaries. For purposes of this definition, “voting stock” means stock or other similar interests which ordinarily has or have voting power for the election of directors, or persons performing similar functions, whether at all times or only so long as no senior class of stock or other interests has or have such voting power by reason of any contingency.</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60"/>
          </w:cols>
          <w:pgMar w:left="240" w:top="459" w:right="2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THE WARRANTS</w:t>
      </w:r>
    </w:p>
    <w:p>
      <w:pPr>
        <w:spacing w:after="0" w:line="229" w:lineRule="exact"/>
        <w:rPr>
          <w:sz w:val="20"/>
          <w:szCs w:val="20"/>
          <w:color w:val="auto"/>
        </w:rPr>
      </w:pPr>
    </w:p>
    <w:p>
      <w:pPr>
        <w:jc w:val="both"/>
        <w:ind w:firstLine="913"/>
        <w:spacing w:after="0" w:line="279" w:lineRule="auto"/>
        <w:rPr>
          <w:sz w:val="20"/>
          <w:szCs w:val="20"/>
          <w:color w:val="auto"/>
        </w:rPr>
      </w:pPr>
      <w:r>
        <w:rPr>
          <w:rFonts w:ascii="Arial" w:cs="Arial" w:eastAsia="Arial" w:hAnsi="Arial"/>
          <w:sz w:val="17"/>
          <w:szCs w:val="17"/>
          <w:color w:val="auto"/>
        </w:rPr>
        <w:t>We may issue warrants for the purchase of common stock, preferred stock or debt securities or any combination thereof. Warrants may be issued independently or together with common stock, preferred stock or debt securities and may be attached to or separate from any offered securities. Each series of warrants will be issued under a separate warrant agreement. This summary of some provisions of the warrants is not complete. You should refer to the warrant agreement relating to the specific warrants being offered for the complete terms of the warrants.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The particular terms of any issue of warrants will be described in the prospectus supplement relating to the issue. Those terms may include:</w:t>
      </w:r>
    </w:p>
    <w:p>
      <w:pPr>
        <w:spacing w:after="0" w:line="142" w:lineRule="exact"/>
        <w:rPr>
          <w:sz w:val="20"/>
          <w:szCs w:val="20"/>
          <w:color w:val="auto"/>
        </w:rPr>
      </w:pPr>
    </w:p>
    <w:p>
      <w:pPr>
        <w:ind w:left="1460" w:right="40" w:hanging="547"/>
        <w:spacing w:after="0" w:line="277" w:lineRule="auto"/>
        <w:tabs>
          <w:tab w:leader="none" w:pos="1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number of shares of common stock or preferred stock purchasable upon the exercise of warrants to purchase such shares and the price at which such number of shares may be purchased upon such exercise;</w:t>
      </w:r>
    </w:p>
    <w:p>
      <w:pPr>
        <w:spacing w:after="0" w:line="75" w:lineRule="exact"/>
        <w:rPr>
          <w:rFonts w:ascii="Arial" w:cs="Arial" w:eastAsia="Arial" w:hAnsi="Arial"/>
          <w:sz w:val="18"/>
          <w:szCs w:val="18"/>
          <w:color w:val="auto"/>
        </w:rPr>
      </w:pPr>
    </w:p>
    <w:p>
      <w:pPr>
        <w:ind w:left="1460" w:right="100" w:hanging="547"/>
        <w:spacing w:after="0" w:line="277" w:lineRule="auto"/>
        <w:tabs>
          <w:tab w:leader="none" w:pos="1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designation, stated value and terms (including, without limitation, liquidation, dividend, conversion and voting rights) of the series of preferred stock purchasable upon exercise of warrants to purchase preferred stock;</w:t>
      </w:r>
    </w:p>
    <w:p>
      <w:pPr>
        <w:spacing w:after="0" w:line="75" w:lineRule="exact"/>
        <w:rPr>
          <w:rFonts w:ascii="Arial" w:cs="Arial" w:eastAsia="Arial" w:hAnsi="Arial"/>
          <w:sz w:val="18"/>
          <w:szCs w:val="18"/>
          <w:color w:val="auto"/>
        </w:rPr>
      </w:pPr>
    </w:p>
    <w:p>
      <w:pPr>
        <w:ind w:left="1460" w:right="380" w:hanging="547"/>
        <w:spacing w:after="0" w:line="277" w:lineRule="auto"/>
        <w:tabs>
          <w:tab w:leader="none" w:pos="1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principal amount of debt securities that may be purchased upon exercise of a debt warrant and the exercise price for the warrants, which may be payable in cash, securities or other property;</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will commence and the date on which the right will expire;</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United States Federal income tax consequences applicable to the warrants; and</w:t>
      </w:r>
    </w:p>
    <w:p>
      <w:pPr>
        <w:spacing w:after="0" w:line="130" w:lineRule="exact"/>
        <w:rPr>
          <w:rFonts w:ascii="Arial" w:cs="Arial" w:eastAsia="Arial" w:hAnsi="Arial"/>
          <w:sz w:val="18"/>
          <w:szCs w:val="18"/>
          <w:color w:val="auto"/>
        </w:rPr>
      </w:pPr>
    </w:p>
    <w:p>
      <w:pPr>
        <w:ind w:left="1460" w:right="100" w:hanging="547"/>
        <w:spacing w:after="0" w:line="277" w:lineRule="auto"/>
        <w:tabs>
          <w:tab w:leader="none" w:pos="1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additional terms of the warrants, including terms, procedures, and limitations relating to the exchange, exercise and settlement of the warrants.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Holders of equity warrants will not be entitled:</w:t>
      </w:r>
    </w:p>
    <w:p>
      <w:pPr>
        <w:spacing w:after="0" w:line="131" w:lineRule="exact"/>
        <w:rPr>
          <w:sz w:val="20"/>
          <w:szCs w:val="20"/>
          <w:color w:val="auto"/>
        </w:rPr>
      </w:pPr>
    </w:p>
    <w:p>
      <w:pPr>
        <w:ind w:left="1460" w:hanging="547"/>
        <w:spacing w:after="0"/>
        <w:tabs>
          <w:tab w:leader="none" w:pos="1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vote, consent or receive dividends;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receive notice as stockholders with respect to any meeting of stockholders for the election of our directors or any other matter; or</w:t>
      </w:r>
    </w:p>
    <w:p>
      <w:pPr>
        <w:spacing w:after="0" w:line="142" w:lineRule="exact"/>
        <w:rPr>
          <w:rFonts w:ascii="Arial" w:cs="Arial" w:eastAsia="Arial" w:hAnsi="Arial"/>
          <w:sz w:val="17"/>
          <w:szCs w:val="17"/>
          <w:color w:val="auto"/>
        </w:rPr>
      </w:pPr>
    </w:p>
    <w:p>
      <w:pPr>
        <w:ind w:left="1460" w:hanging="547"/>
        <w:spacing w:after="0"/>
        <w:tabs>
          <w:tab w:leader="none" w:pos="1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exercise any rights as stockholders of Fluidigm.</w:t>
      </w:r>
    </w:p>
    <w:p>
      <w:pPr>
        <w:spacing w:after="0" w:line="225" w:lineRule="exact"/>
        <w:rPr>
          <w:sz w:val="20"/>
          <w:szCs w:val="20"/>
          <w:color w:val="auto"/>
        </w:rPr>
      </w:pPr>
    </w:p>
    <w:p>
      <w:pPr>
        <w:jc w:val="both"/>
        <w:ind w:right="160" w:firstLine="913"/>
        <w:spacing w:after="0" w:line="259" w:lineRule="auto"/>
        <w:rPr>
          <w:sz w:val="20"/>
          <w:szCs w:val="20"/>
          <w:color w:val="auto"/>
        </w:rPr>
      </w:pPr>
      <w:r>
        <w:rPr>
          <w:rFonts w:ascii="Arial" w:cs="Arial" w:eastAsia="Arial" w:hAnsi="Arial"/>
          <w:sz w:val="18"/>
          <w:szCs w:val="18"/>
          <w:color w:val="auto"/>
        </w:rPr>
        <w:t>Debt warrant certificates may be exchangeable for new debt warrant certificates of different denominations. Debt warrants may be exercised at the corporate trust office of the warrant agent or any other office indicated in the prospectus supplement. Prior to the exercise of their debt warrants, holders of debt warrants will not have any of the rights of holders of the debt securities purchasable upon exercise and will not be entitled to payment of principal or any premium, if any, or interest on the debt securities purchasable upon exercise.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We may sell the securities offered through this prospectus (1) to or through underwriters or dealers, (2) directly to purchasers, including our affiliates, (3) through agents, or (4) through a combination of any of these methods. The securities may be distributed at a fixed price or prices, which may be changed, market prices prevailing at the time of sale, prices related to the prevailing market prices, or negotiated prices. The prospectus supplement will include the following information:</w:t>
      </w:r>
    </w:p>
    <w:p>
      <w:pPr>
        <w:spacing w:after="0" w:line="92" w:lineRule="exact"/>
        <w:rPr>
          <w:sz w:val="20"/>
          <w:szCs w:val="20"/>
          <w:color w:val="auto"/>
        </w:rPr>
      </w:pPr>
    </w:p>
    <w:p>
      <w:pPr>
        <w:ind w:left="1460" w:hanging="547"/>
        <w:spacing w:after="0"/>
        <w:tabs>
          <w:tab w:leader="none" w:pos="1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terms of the offering;</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names of any underwriters or agents;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name or names of any managing underwriter or underwriters;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purchase price of the securities;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net proceeds from the sale of the securities;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delayed delivery arrangements;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any underwriting discounts, commissions or agency fees and other items constituting underwriters’ or agents’ compensation;</w:t>
      </w:r>
    </w:p>
    <w:p>
      <w:pPr>
        <w:spacing w:after="0" w:line="142" w:lineRule="exact"/>
        <w:rPr>
          <w:rFonts w:ascii="Arial" w:cs="Arial" w:eastAsia="Arial" w:hAnsi="Arial"/>
          <w:sz w:val="17"/>
          <w:szCs w:val="17"/>
          <w:color w:val="auto"/>
        </w:rPr>
      </w:pPr>
    </w:p>
    <w:p>
      <w:pPr>
        <w:ind w:left="1460" w:hanging="547"/>
        <w:spacing w:after="0"/>
        <w:tabs>
          <w:tab w:leader="none" w:pos="1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initial price to public;</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commissions paid to agents.</w:t>
      </w:r>
    </w:p>
    <w:p>
      <w:pPr>
        <w:spacing w:after="0" w:line="225"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We may issue to the holders of our common stock on a pro rata basis for no consideration, subscription rights to purchase shares of our common stock or preferred stock. These subscription rights may or may not be transferable by stockholders. The applicable prospectus supplement will describe the specific terms of any offering of our common or preferred stock through the issuance of subscription rights, including the terms of the subscription rights offering, the terms, procedures and limitations relating to the exchange and exercise of the subscription rights and, if applicable, the material terms of any standby underwriting or purchase arrangement entered into by us in connection with the offering of common or preferred stock through the issuance of subscription rights.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through Underwriters or Dealers</w:t>
      </w:r>
    </w:p>
    <w:p>
      <w:pPr>
        <w:spacing w:after="0" w:line="121" w:lineRule="exact"/>
        <w:rPr>
          <w:sz w:val="20"/>
          <w:szCs w:val="20"/>
          <w:color w:val="auto"/>
        </w:rPr>
      </w:pPr>
    </w:p>
    <w:p>
      <w:pPr>
        <w:ind w:right="60" w:firstLine="913"/>
        <w:spacing w:after="0" w:line="271" w:lineRule="auto"/>
        <w:rPr>
          <w:sz w:val="20"/>
          <w:szCs w:val="20"/>
          <w:color w:val="auto"/>
        </w:rPr>
      </w:pPr>
      <w:r>
        <w:rPr>
          <w:rFonts w:ascii="Arial" w:cs="Arial" w:eastAsia="Arial" w:hAnsi="Arial"/>
          <w:sz w:val="17"/>
          <w:szCs w:val="17"/>
          <w:color w:val="auto"/>
        </w:rPr>
        <w:t>If underwriters are used in the sale, the underwriters will acquire the securities for their own account, including through underwriting, purchase, security lending or repurchase agreements with us. The underwriters may resell the securities from time to time in one or more transactions, including negotiated transactions. Underwriters may sell the securities in order to facilitate transactions in any of our other securities (described in this prospectus or otherwise), including other public or private transactions and short sales. Underwriters may offer securities to the public either through underwriting syndicates represented by one or more managing underwriters or directly by one or more firms acting as underwriters. Unless otherwise indicated in the prospectus supplement, the obligations of the underwriters to purchase the securities will be subject to certain conditions, and the underwriters will be obligated to purchase all the offered securities if they purchase any of them. The underwriters may change from time to time any initial public offering price and any discounts or concessions allowed or reallowed or paid to dealers.</w:t>
      </w:r>
    </w:p>
    <w:p>
      <w:pPr>
        <w:spacing w:after="0" w:line="1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40"/>
          </w:cols>
          <w:pgMar w:left="240" w:top="459" w:right="3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If dealers are used in the sale of securities offered through this prospectus, we will sell the securities to them as principals. They may then resell those securities to the public at varying prices determined by the dealers at the time of resale. The prospectus supplement will include the names of the dealers and the terms of the transaction.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Sales and Sales through Agents</w:t>
      </w:r>
    </w:p>
    <w:p>
      <w:pPr>
        <w:spacing w:after="0" w:line="121"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We may sell the securities offered through this prospectus directly. In this case, no underwriters or agents would be involved. Such securities may also be sold through agents designated from time to time. The prospectus supplement will name any agent involved in the offer or sale of the offered securities and will describe any commissions payable to the agent by us. Unless otherwise indicated in the prospectus supplement, any agent will agree to use its reasonable best efforts to solicit purchases for the period of its appointment.</w:t>
      </w:r>
    </w:p>
    <w:p>
      <w:pPr>
        <w:spacing w:after="0" w:line="187"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We may sell the securities directly to institutional investors or others who may be deemed to be underwriters within the meaning of the Securities Act with respect to any sale of those securities. The terms of any such sales will be described in the prospectus supplement.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Delayed Delivery Contracts</w:t>
      </w:r>
    </w:p>
    <w:p>
      <w:pPr>
        <w:spacing w:after="0" w:line="121"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If the prospectus supplement indicates, we may authorize agents, underwriters or dealers to solicit offers from certain types of institutions to purchase securities at the public offering price under delayed delivery contracts. These contracts would provide for payment and delivery on a specified date in the future. The contracts would be subject only to those conditions described in the prospectus supplement. The applicable prospectus supplement will describe the commission payable for solicitation of those contracts.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At-the-Market Offerings</w:t>
      </w:r>
    </w:p>
    <w:p>
      <w:pPr>
        <w:spacing w:after="0" w:line="121"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To the extent that we make sales through one or more underwriters or agents in at-the-market offerings, we will do so pursuant to the terms of a sales agency financing agreement or other at-the-market offering arrangement between us, on one hand, and the underwriters or agents, on the other. If we engage in at-the-market sales pursuant to any such agreement, we will issue and sell our securities through one or more underwriters or agents, which may act on an agency basis or a principal basis. During the term of any such agreement, we may sell securities on a daily basis in exchange transactions or otherwise as we agree with the underwriters or agents in each case in a manner that constitutes an “at the market” offering as defined in Rule 415(a)(4) of the Securities Act. Any such agreement will provide that any securities sold will be sold at prices related to the then prevailing market prices for our securities. Therefore, exact figures regarding proceeds that will be raised or commissions to be paid cannot be determined as of the date of this prospectus. The terms of any such agreement will be set forth in more detail in the applicable prospectus or prospectus supplement.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Making, Stabilization and Other Transactions</w:t>
      </w:r>
    </w:p>
    <w:p>
      <w:pPr>
        <w:spacing w:after="0" w:line="121"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Unless the applicable prospectus supplement states otherwise, each series of offered securities will be a new issue and will have no established trading market. We may elect to list any series of offered securities on an exchange. Any underwriters that we use in the sale of offered securities may make a market in such securities, but may discontinue such market making at any time without notice. Therefore, we cannot assure you that the securities will have a liquid trading market.</w:t>
      </w:r>
    </w:p>
    <w:p>
      <w:pPr>
        <w:spacing w:after="0" w:line="187"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Any underwriter may also engage in stabilizing transactions, syndicate covering transactions and penalty bids in accordance with Rule 104 under the Exchange Act. Stabilizing transactions involve bids to purchase the underlying security in the open market for the purpose of pegging, fixing or maintaining the price of the securities. Syndicate covering transactions involve purchases of the securities in the open market after the distribution has been completed in order to cover syndicate short positions.</w:t>
      </w:r>
    </w:p>
    <w:p>
      <w:pPr>
        <w:spacing w:after="0" w:line="187"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Penalty bids permit the underwriters to reclaim a selling concession from a syndicate member when the securities originally sold by the syndicate member are purchased in a syndicate covering transaction to cover syndicate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short positions. Stabilizing transactions, syndicate covering transactions and penalty bids may cause the price of the securities to be higher than it would be in the absence of the transactions. The underwriters may, if they commence these transactions, discontinue them at any time.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Transactions and Hedging</w:t>
      </w:r>
    </w:p>
    <w:p>
      <w:pPr>
        <w:spacing w:after="0" w:line="121" w:lineRule="exact"/>
        <w:rPr>
          <w:sz w:val="20"/>
          <w:szCs w:val="20"/>
          <w:color w:val="auto"/>
        </w:rPr>
      </w:pPr>
    </w:p>
    <w:p>
      <w:pPr>
        <w:ind w:right="20" w:firstLine="913"/>
        <w:spacing w:after="0" w:line="254" w:lineRule="auto"/>
        <w:rPr>
          <w:sz w:val="20"/>
          <w:szCs w:val="20"/>
          <w:color w:val="auto"/>
        </w:rPr>
      </w:pPr>
      <w:r>
        <w:rPr>
          <w:rFonts w:ascii="Arial" w:cs="Arial" w:eastAsia="Arial" w:hAnsi="Arial"/>
          <w:sz w:val="18"/>
          <w:szCs w:val="18"/>
          <w:color w:val="auto"/>
        </w:rPr>
        <w:t>We, the underwriters or other agents may engage in derivative transactions involving the securities. These derivatives may consist of short sale transactions and other hedging activities. The underwriters or agents may acquire a long or short position in the securities, hold or resell securities acquired and purchase options or futures on the securities and other derivative instruments with returns linked to or related to changes in the price of the securities. In order to facilitate these derivative transactions, we may enter into security lending or repurchase agreements with the underwriters or agents. The underwriters or agents may effect the derivative transactions through sales of the securities to the public, including short sales, or by lending the securities in order to facilitate short sale transactions by others. The underwriters or agents may also use the securities purchased or borrowed from us or others (or, in the case of derivatives, securities received from us in settlement of those derivatives) to directly or indirectly settle sales of the securities or close out any related open borrowings of the securities.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Auctions</w:t>
      </w:r>
    </w:p>
    <w:p>
      <w:pPr>
        <w:spacing w:after="0" w:line="121"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We may also make sales through the Internet or through other electronic means. Since we may from time to time elect to offer securities directly to the public, with or without the involvement of agents, underwriters or dealers, utilizing the Internet or other forms of electronic bidding or ordering systems for the pricing and allocation of such securities, you will want to pay particular attention to the description of that system we will provide in a prospectus supplement.</w:t>
      </w:r>
    </w:p>
    <w:p>
      <w:pPr>
        <w:spacing w:after="0" w:line="187"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Such electronic system may allow bidders to directly participate, through electronic access to an auction site, by submitting conditional offers to buy that are subject to acceptance by us, and which may directly affect the price or other terms and conditions at which such securities are sold. These bidding or ordering systems may present to each bidder, on a so-called “real-time” basis, relevant information to assist in making a bid, such as the clearing spread at which the offering would be sold, based on the bids submitted, and whether a bidder’s individual bids would be accepted, prorated or rejected. For example, in the case of debt security, the clearing spread could be indicated as a number of “basis points” above an index treasury note. Of course, many pricing methods can and may also be used.</w:t>
      </w:r>
    </w:p>
    <w:p>
      <w:pPr>
        <w:spacing w:after="0" w:line="193"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Upon completion of such an electronic auction process, securities will be allocated based on prices bid, terms of bid or other factors. The final offering price at which securities would be sold and the allocation of securities among bidders would be based in whole or in part on the results of the Internet or other electronic bidding process or auction.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w:t>
      </w:r>
    </w:p>
    <w:p>
      <w:pPr>
        <w:spacing w:after="0" w:line="121" w:lineRule="exact"/>
        <w:rPr>
          <w:sz w:val="20"/>
          <w:szCs w:val="20"/>
          <w:color w:val="auto"/>
        </w:rPr>
      </w:pPr>
    </w:p>
    <w:p>
      <w:pPr>
        <w:jc w:val="both"/>
        <w:ind w:right="340" w:firstLine="913"/>
        <w:spacing w:after="0" w:line="279" w:lineRule="auto"/>
        <w:rPr>
          <w:sz w:val="20"/>
          <w:szCs w:val="20"/>
          <w:color w:val="auto"/>
        </w:rPr>
      </w:pPr>
      <w:r>
        <w:rPr>
          <w:rFonts w:ascii="Arial" w:cs="Arial" w:eastAsia="Arial" w:hAnsi="Arial"/>
          <w:sz w:val="17"/>
          <w:szCs w:val="17"/>
          <w:color w:val="auto"/>
        </w:rPr>
        <w:t>Agents, underwriters, and dealers may be entitled, under agreements entered into with us, to indemnification by us against certain liabilities, including liabilities under the Securities Act. Our agents, underwriters, and dealers, or their affiliates, may be customers of, engage in transactions with or perform services for us, in the ordinary course of business. In no event will the total amount of compensation paid to the agents, underwriters and dealers upon completion of any offering exceed 8.0% of the gross proceeds of such offering.</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760" w:firstLine="913"/>
        <w:spacing w:after="0" w:line="264" w:lineRule="auto"/>
        <w:rPr>
          <w:sz w:val="20"/>
          <w:szCs w:val="20"/>
          <w:color w:val="auto"/>
        </w:rPr>
      </w:pPr>
      <w:r>
        <w:rPr>
          <w:rFonts w:ascii="Arial" w:cs="Arial" w:eastAsia="Arial" w:hAnsi="Arial"/>
          <w:sz w:val="18"/>
          <w:szCs w:val="18"/>
          <w:color w:val="auto"/>
        </w:rPr>
        <w:t>Certain legal matters will be passed upon for us by Wilson Sonsini Goodrich &amp; Rosati, Professional Corporation, Palo Alto, California. Additional legal matters may be passed on for us, or any underwriters, dealers or agents, by counsel that we will name in the applicable prospectus supplement.</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180" w:firstLine="913"/>
        <w:spacing w:after="0" w:line="257" w:lineRule="auto"/>
        <w:rPr>
          <w:sz w:val="20"/>
          <w:szCs w:val="20"/>
          <w:color w:val="auto"/>
        </w:rPr>
      </w:pPr>
      <w:r>
        <w:rPr>
          <w:rFonts w:ascii="Arial" w:cs="Arial" w:eastAsia="Arial" w:hAnsi="Arial"/>
          <w:sz w:val="18"/>
          <w:szCs w:val="18"/>
          <w:color w:val="auto"/>
        </w:rPr>
        <w:t>The financial statements as of December 31, 2016 and 2015 and for the two years ended December 31, 2016 and management’s assessment of the effectiveness of internal control over financial reporting (which is included in Management’s Report on Internal Control over Financial Reporting) as of December 31, 2016 incorporated in this prospectus by reference to the Annual Report on Form 10-K for the year ended December 31, 2016 have been so incorporated in reliance on the report of PricewaterhouseCoopers LLP, an independent registered public accounting firm, given on the authority of said firm as experts in auditing and accounting.</w:t>
      </w:r>
    </w:p>
    <w:p>
      <w:pPr>
        <w:spacing w:after="0" w:line="188" w:lineRule="exact"/>
        <w:rPr>
          <w:sz w:val="20"/>
          <w:szCs w:val="20"/>
          <w:color w:val="auto"/>
        </w:rPr>
      </w:pPr>
    </w:p>
    <w:p>
      <w:pPr>
        <w:ind w:right="180" w:firstLine="913"/>
        <w:spacing w:after="0" w:line="279" w:lineRule="auto"/>
        <w:rPr>
          <w:sz w:val="20"/>
          <w:szCs w:val="20"/>
          <w:color w:val="auto"/>
        </w:rPr>
      </w:pPr>
      <w:r>
        <w:rPr>
          <w:rFonts w:ascii="Arial" w:cs="Arial" w:eastAsia="Arial" w:hAnsi="Arial"/>
          <w:sz w:val="17"/>
          <w:szCs w:val="17"/>
          <w:color w:val="auto"/>
        </w:rPr>
        <w:t>Ernst &amp; Young LLP, independent registered public accounting firm, has audited our consolidated financial statements as of and for the year ended December 31, 2014, included in our Annual Report on Form 10-K for the year ended December 31, 2016, as set forth in their report which is incorporated by reference in this prospectus and elsewhere in the registration statement. Our consolidated financial statements are incorporated by reference in reliance on Ernst &amp; Young LLP’s reports, given on their authority as experts in accounting and auditing.</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color w:val="auto"/>
        </w:rPr>
        <w:t>We file annual, quarterly and other reports, proxy statements and other information with the SEC. Our SEC filings are available to the public over the Internet at the SEC’s website at http://www.sec.gov. You may also read and copy any document we file at the SEC’s Public Reference Room at 100 F Street, NE, Washington, D.C. 20549. Please call the SEC at 1-800-SEC-0330 for further information on the Public Reference Room. Our Annual Report on Form 10-K, Quarterly Reports on Form 10-Q, and Current Reports on Form 8-K, including any amendments to those reports, and other information that we file with or furnish to the SEC pursuant to Section 13(a) or 15(d) of the Exchange Act can also be accessed free charge through the investor relations page of our website located at http://investors.fluidigm.com/sec.cfm. These filings will be available as soon as reasonably practicable after we electronically file such material with, or furnish it to, the SEC. Information contained on our website is not part of this prospectus.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INCORPORATED BY REFERENCE</w:t>
      </w:r>
    </w:p>
    <w:p>
      <w:pPr>
        <w:spacing w:after="0" w:line="229" w:lineRule="exact"/>
        <w:rPr>
          <w:sz w:val="20"/>
          <w:szCs w:val="20"/>
          <w:color w:val="auto"/>
        </w:rPr>
      </w:pPr>
    </w:p>
    <w:p>
      <w:pPr>
        <w:ind w:firstLine="913"/>
        <w:spacing w:after="0" w:line="279" w:lineRule="auto"/>
        <w:rPr>
          <w:sz w:val="20"/>
          <w:szCs w:val="20"/>
          <w:color w:val="auto"/>
        </w:rPr>
      </w:pPr>
      <w:r>
        <w:rPr>
          <w:rFonts w:ascii="Arial" w:cs="Arial" w:eastAsia="Arial" w:hAnsi="Arial"/>
          <w:sz w:val="17"/>
          <w:szCs w:val="17"/>
          <w:color w:val="auto"/>
        </w:rPr>
        <w:t>The SEC allows us to incorporate by reference the information we file with it, which means that we can disclose important information to you by referring you to another document that we have filed separately with the SEC. You should read the information incorporated by reference because it is an important part of this prospectus. We incorporate by reference the following information or documents that we have filed with the SEC (excluding those portions of any Form 8-K that are not deemed “filed” pursuant to the General Instructions of Form 8-K):</w:t>
      </w:r>
    </w:p>
    <w:p>
      <w:pPr>
        <w:spacing w:after="0" w:line="77" w:lineRule="exact"/>
        <w:rPr>
          <w:sz w:val="20"/>
          <w:szCs w:val="20"/>
          <w:color w:val="auto"/>
        </w:rPr>
      </w:pPr>
    </w:p>
    <w:p>
      <w:pPr>
        <w:ind w:left="1460" w:hanging="547"/>
        <w:spacing w:after="0"/>
        <w:tabs>
          <w:tab w:leader="none" w:pos="1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2016 filed with the SEC on March 3, 2017;</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Current Reports on Form 8-K filed with the SEC on January 11, 2017, February 10, 2017, and March 2, 2017;</w:t>
      </w:r>
    </w:p>
    <w:p>
      <w:pPr>
        <w:spacing w:after="0" w:line="130" w:lineRule="exact"/>
        <w:rPr>
          <w:rFonts w:ascii="Arial" w:cs="Arial" w:eastAsia="Arial" w:hAnsi="Arial"/>
          <w:sz w:val="18"/>
          <w:szCs w:val="18"/>
          <w:color w:val="auto"/>
        </w:rPr>
      </w:pPr>
    </w:p>
    <w:p>
      <w:pPr>
        <w:ind w:left="1460" w:right="540" w:hanging="547"/>
        <w:spacing w:after="0" w:line="264" w:lineRule="auto"/>
        <w:tabs>
          <w:tab w:leader="none" w:pos="1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Registration Statement on Form 8-A (File No. 001-34180) filed with the Commission on February 7, 2011, pursuant to Section 12(b) of the Exchange Act, including any amendment or report filed for the purpose of updating such description; and</w:t>
      </w:r>
    </w:p>
    <w:p>
      <w:pPr>
        <w:spacing w:after="0" w:line="86" w:lineRule="exact"/>
        <w:rPr>
          <w:rFonts w:ascii="Arial" w:cs="Arial" w:eastAsia="Arial" w:hAnsi="Arial"/>
          <w:sz w:val="18"/>
          <w:szCs w:val="18"/>
          <w:color w:val="auto"/>
        </w:rPr>
      </w:pPr>
    </w:p>
    <w:p>
      <w:pPr>
        <w:ind w:left="1460" w:right="100" w:hanging="547"/>
        <w:spacing w:after="0" w:line="264" w:lineRule="auto"/>
        <w:tabs>
          <w:tab w:leader="none" w:pos="1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description of the our preferred share purchase rights contained in our on Form 8-A (File No. 001-34180) filed with the Commission on November 22, 2016, pursuant to Section 12(b) of the Exchange Act, including any amendment or report filed for the purpose of updating such description.</w:t>
      </w:r>
    </w:p>
    <w:p>
      <w:pPr>
        <w:spacing w:after="0" w:line="181" w:lineRule="exact"/>
        <w:rPr>
          <w:sz w:val="20"/>
          <w:szCs w:val="20"/>
          <w:color w:val="auto"/>
        </w:rPr>
      </w:pPr>
    </w:p>
    <w:p>
      <w:pPr>
        <w:jc w:val="both"/>
        <w:ind w:right="80" w:firstLine="913"/>
        <w:spacing w:after="0" w:line="279" w:lineRule="auto"/>
        <w:rPr>
          <w:sz w:val="20"/>
          <w:szCs w:val="20"/>
          <w:color w:val="auto"/>
        </w:rPr>
      </w:pPr>
      <w:r>
        <w:rPr>
          <w:rFonts w:ascii="Arial" w:cs="Arial" w:eastAsia="Arial" w:hAnsi="Arial"/>
          <w:sz w:val="17"/>
          <w:szCs w:val="17"/>
          <w:color w:val="auto"/>
        </w:rPr>
        <w:t>All reports and other documents we subsequently file pursuant to Section 13(a), 13(c), 14 or 15(d) of the Exchange Act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will also be incorporated by reference into this prospectus and deemed to be part of this prospectus from the date of the filing of such reports and documents.</w:t>
      </w:r>
    </w:p>
    <w:p>
      <w:pPr>
        <w:spacing w:after="0" w:line="171" w:lineRule="exact"/>
        <w:rPr>
          <w:sz w:val="20"/>
          <w:szCs w:val="20"/>
          <w:color w:val="auto"/>
        </w:rPr>
      </w:pPr>
    </w:p>
    <w:p>
      <w:pPr>
        <w:ind w:right="100" w:firstLine="913"/>
        <w:spacing w:after="0" w:line="286" w:lineRule="auto"/>
        <w:rPr>
          <w:sz w:val="20"/>
          <w:szCs w:val="20"/>
          <w:color w:val="auto"/>
        </w:rPr>
      </w:pPr>
      <w:r>
        <w:rPr>
          <w:rFonts w:ascii="Arial" w:cs="Arial" w:eastAsia="Arial" w:hAnsi="Arial"/>
          <w:sz w:val="17"/>
          <w:szCs w:val="17"/>
          <w:color w:val="auto"/>
        </w:rPr>
        <w:t>Any statement contained in any document incorporated by reference herein shall be deemed to be modified or superseded for purposes of this prospectus to the extent that a statement contained in this prospectus or any prospectus supplement modifies or supersedes such statement. Any statement so modified or superseded shall not be deemed, except as so modified or superseded, to constitute a part of this prospectus.</w:t>
      </w:r>
    </w:p>
    <w:p>
      <w:pPr>
        <w:spacing w:after="0" w:line="166" w:lineRule="exact"/>
        <w:rPr>
          <w:sz w:val="20"/>
          <w:szCs w:val="20"/>
          <w:color w:val="auto"/>
        </w:rPr>
      </w:pPr>
    </w:p>
    <w:p>
      <w:pPr>
        <w:ind w:right="660" w:firstLine="913"/>
        <w:spacing w:after="0" w:line="277" w:lineRule="auto"/>
        <w:rPr>
          <w:sz w:val="20"/>
          <w:szCs w:val="20"/>
          <w:color w:val="auto"/>
        </w:rPr>
      </w:pPr>
      <w:r>
        <w:rPr>
          <w:rFonts w:ascii="Arial" w:cs="Arial" w:eastAsia="Arial" w:hAnsi="Arial"/>
          <w:sz w:val="18"/>
          <w:szCs w:val="18"/>
          <w:color w:val="auto"/>
        </w:rPr>
        <w:t>Under no circumstances will any information furnished under current items 2.02 or 7.01 of Form 8-K be deemed incorporated herein by reference unless such Form 8-K expressly provides to the contrary.</w:t>
      </w:r>
    </w:p>
    <w:p>
      <w:pPr>
        <w:spacing w:after="0" w:line="170"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We will provide without charge to each person, including any beneficial owner, to whom this prospectus is delivered, upon written or oral request, a copy of any or all documents that are incorporated by reference into this prospectus, but not delivered with the prospectus, other than exhibits to such documents unless such exhibits are specifically incorporated by reference into the documents that this prospectus incorporates. You should direct written requests to: Fluidigm Corporation, 7000 Shoreline Court, Suite 100, South San Francisco, CA 94080, Attention: Investor Relations, or you may call us at (650) 266-6000.</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Other Expenses of Issuance and Distribution</w:t>
      </w:r>
    </w:p>
    <w:p>
      <w:pPr>
        <w:spacing w:after="0" w:line="121"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The following table sets forth the various costs and expenses (other than the underwriting discounts and commissions) payable by the registrant in connection with a distribution of securities registered hereby. All amounts are estimates except the SEC registration fee.</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9"/>
              </w:rPr>
              <w:t>to be Paid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2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14,487.50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Printing costs</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Transfer agent’s and trustee’s fees and expenses</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Miscellaneous</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right="520" w:hanging="452"/>
        <w:spacing w:after="0" w:line="277"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These fees and expenses depend on the securities offered and the number of issuances, and accordingly cannot be estimated as of the date of this prospectus.</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Indemnification of Directors and Officers</w:t>
      </w:r>
    </w:p>
    <w:p>
      <w:pPr>
        <w:spacing w:after="0" w:line="121"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Section 145 of the Delaware General Corporation Law, or DGCL, authorizes a corporation’s board of directors to grant, and authorizes a court to award, indemnity to officers, directors and other corporate agents.</w:t>
      </w:r>
    </w:p>
    <w:p>
      <w:pPr>
        <w:spacing w:after="0" w:line="170" w:lineRule="exact"/>
        <w:rPr>
          <w:sz w:val="20"/>
          <w:szCs w:val="20"/>
          <w:color w:val="auto"/>
        </w:rPr>
      </w:pPr>
    </w:p>
    <w:p>
      <w:pPr>
        <w:ind w:right="460" w:firstLine="913"/>
        <w:spacing w:after="0" w:line="277" w:lineRule="auto"/>
        <w:rPr>
          <w:sz w:val="20"/>
          <w:szCs w:val="20"/>
          <w:color w:val="auto"/>
        </w:rPr>
      </w:pPr>
      <w:r>
        <w:rPr>
          <w:rFonts w:ascii="Arial" w:cs="Arial" w:eastAsia="Arial" w:hAnsi="Arial"/>
          <w:sz w:val="18"/>
          <w:szCs w:val="18"/>
          <w:color w:val="auto"/>
        </w:rPr>
        <w:t>As permitted by Section 102(b)(7) of the DGCL, the registrant’s certificate of incorporation includes provisions that eliminate the personal liability of its directors and officers for monetary damages for breach of their fiduciary duty as directors and officers.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addition, as permitted by Section 145 of the DGCL, the bylaws of the registrant provide that:</w:t>
      </w:r>
    </w:p>
    <w:p>
      <w:pPr>
        <w:spacing w:after="0" w:line="131" w:lineRule="exact"/>
        <w:rPr>
          <w:sz w:val="20"/>
          <w:szCs w:val="20"/>
          <w:color w:val="auto"/>
        </w:rPr>
      </w:pPr>
    </w:p>
    <w:p>
      <w:pPr>
        <w:ind w:left="1460" w:right="240" w:hanging="547"/>
        <w:spacing w:after="0" w:line="257" w:lineRule="auto"/>
        <w:tabs>
          <w:tab w:leader="none" w:pos="1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 shall indemnify its directors and officers for serving the registrant in those capacities or for serving other business enterprises as a director, officer, employee or agent at the registrant’s request, to the fullest extent permitted by the DGCL. The DGCL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93" w:lineRule="exact"/>
        <w:rPr>
          <w:rFonts w:ascii="Arial" w:cs="Arial" w:eastAsia="Arial" w:hAnsi="Arial"/>
          <w:sz w:val="18"/>
          <w:szCs w:val="18"/>
          <w:color w:val="auto"/>
        </w:rPr>
      </w:pPr>
    </w:p>
    <w:p>
      <w:pPr>
        <w:ind w:left="1460" w:right="120" w:hanging="547"/>
        <w:spacing w:after="0" w:line="277" w:lineRule="auto"/>
        <w:tabs>
          <w:tab w:leader="none" w:pos="1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 may, in its discretion, indemnify employees and agents in those circumstances where indemnification is not prohibited by the DGCL or other law.</w:t>
      </w:r>
    </w:p>
    <w:p>
      <w:pPr>
        <w:spacing w:after="0" w:line="75" w:lineRule="exact"/>
        <w:rPr>
          <w:rFonts w:ascii="Arial" w:cs="Arial" w:eastAsia="Arial" w:hAnsi="Arial"/>
          <w:sz w:val="18"/>
          <w:szCs w:val="18"/>
          <w:color w:val="auto"/>
        </w:rPr>
      </w:pPr>
    </w:p>
    <w:p>
      <w:pPr>
        <w:ind w:left="1460" w:hanging="547"/>
        <w:spacing w:after="0" w:line="264" w:lineRule="auto"/>
        <w:tabs>
          <w:tab w:leader="none" w:pos="1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 is required to advance expenses, as incurred, to its directors and officers in connection with defending a proceeding, except that such director or officer shall undertake to repay such advances if it is ultimately determined that such person is not entitled to indemnification under the registrant’s bylaws or the DGCL.</w:t>
      </w:r>
    </w:p>
    <w:p>
      <w:pPr>
        <w:spacing w:after="0" w:line="86" w:lineRule="exact"/>
        <w:rPr>
          <w:rFonts w:ascii="Arial" w:cs="Arial" w:eastAsia="Arial" w:hAnsi="Arial"/>
          <w:sz w:val="18"/>
          <w:szCs w:val="18"/>
          <w:color w:val="auto"/>
        </w:rPr>
      </w:pPr>
    </w:p>
    <w:p>
      <w:pPr>
        <w:ind w:left="1460" w:right="180" w:hanging="547"/>
        <w:spacing w:after="0" w:line="259" w:lineRule="auto"/>
        <w:tabs>
          <w:tab w:leader="none" w:pos="1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 will not be obligated pursuant to the bylaws to indemnify a person with respect to proceedings initiated by that person against the registrant or its directors, officers, employees, agents or other indemnities, except with respect to proceedings authorized by the registrant’s board of directors prior to their initiation, or brought to enforce a right to indemnifications as otherwise required by applicable law.</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380"/>
          </w:cols>
          <w:pgMar w:left="240" w:top="45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60" w:right="360" w:hanging="547"/>
        <w:spacing w:after="0" w:line="277" w:lineRule="auto"/>
        <w:tabs>
          <w:tab w:leader="none" w:pos="1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rights conferred in the bylaws are not exclusive, and the registrant is authorized to enter into indemnification agreements with its directors, officers, employees and agents and to obtain insurance to indemnify such persons.</w:t>
      </w:r>
    </w:p>
    <w:p>
      <w:pPr>
        <w:spacing w:after="0" w:line="75" w:lineRule="exact"/>
        <w:rPr>
          <w:rFonts w:ascii="Arial" w:cs="Arial" w:eastAsia="Arial" w:hAnsi="Arial"/>
          <w:sz w:val="18"/>
          <w:szCs w:val="18"/>
          <w:color w:val="auto"/>
        </w:rPr>
      </w:pPr>
    </w:p>
    <w:p>
      <w:pPr>
        <w:ind w:left="1460" w:right="800" w:hanging="547"/>
        <w:spacing w:after="0" w:line="277" w:lineRule="auto"/>
        <w:tabs>
          <w:tab w:leader="none" w:pos="1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 may not retroactively amend the bylaw provisions to reduce its indemnification obligations to directors, officers, employees and agents.</w:t>
      </w:r>
    </w:p>
    <w:p>
      <w:pPr>
        <w:spacing w:after="0" w:line="170" w:lineRule="exact"/>
        <w:rPr>
          <w:sz w:val="20"/>
          <w:szCs w:val="20"/>
          <w:color w:val="auto"/>
        </w:rPr>
      </w:pPr>
    </w:p>
    <w:p>
      <w:pPr>
        <w:ind w:right="440" w:firstLine="913"/>
        <w:spacing w:after="0" w:line="264" w:lineRule="auto"/>
        <w:rPr>
          <w:sz w:val="20"/>
          <w:szCs w:val="20"/>
          <w:color w:val="auto"/>
        </w:rPr>
      </w:pPr>
      <w:r>
        <w:rPr>
          <w:rFonts w:ascii="Arial" w:cs="Arial" w:eastAsia="Arial" w:hAnsi="Arial"/>
          <w:sz w:val="18"/>
          <w:szCs w:val="18"/>
          <w:color w:val="auto"/>
        </w:rPr>
        <w:t>The registrant’s policy is to enter into separate indemnification agreements with each of its directors and officers that provide the maximum indemnity allowed to directors and executive officers by Section 145 of the DGCL and also provides for certain additional procedural protections. The registrant also maintains directors and officers insurance to insure such persons against certain liabilities.</w:t>
      </w:r>
    </w:p>
    <w:p>
      <w:pPr>
        <w:spacing w:after="0" w:line="181" w:lineRule="exact"/>
        <w:rPr>
          <w:sz w:val="20"/>
          <w:szCs w:val="20"/>
          <w:color w:val="auto"/>
        </w:rPr>
      </w:pPr>
    </w:p>
    <w:p>
      <w:pPr>
        <w:ind w:right="280" w:firstLine="913"/>
        <w:spacing w:after="0" w:line="264" w:lineRule="auto"/>
        <w:rPr>
          <w:sz w:val="20"/>
          <w:szCs w:val="20"/>
          <w:color w:val="auto"/>
        </w:rPr>
      </w:pPr>
      <w:r>
        <w:rPr>
          <w:rFonts w:ascii="Arial" w:cs="Arial" w:eastAsia="Arial" w:hAnsi="Arial"/>
          <w:sz w:val="18"/>
          <w:szCs w:val="18"/>
          <w:color w:val="auto"/>
        </w:rPr>
        <w:t>These indemnification provisions and the indemnification agreements entered into between the registrant and its officers and directors may be sufficiently broad to permit indemnification of the registrant’s officers and directors for liabilities (including reimbursement of expenses incurred) arising under the Securities Act.</w:t>
      </w:r>
    </w:p>
    <w:p>
      <w:pPr>
        <w:spacing w:after="0" w:line="32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5"/>
          <w:szCs w:val="15"/>
          <w:b w:val="1"/>
          <w:bCs w:val="1"/>
          <w:i w:val="1"/>
          <w:iCs w:val="1"/>
          <w:color w:val="auto"/>
        </w:rPr>
        <w:t>Exhibits</w:t>
      </w:r>
    </w:p>
    <w:p>
      <w:pPr>
        <w:spacing w:after="0" w:line="135" w:lineRule="exact"/>
        <w:rPr>
          <w:sz w:val="20"/>
          <w:szCs w:val="20"/>
          <w:color w:val="auto"/>
        </w:rPr>
      </w:pPr>
    </w:p>
    <w:p>
      <w:pPr>
        <w:ind w:left="1480" w:hanging="567"/>
        <w:spacing w:after="0"/>
        <w:tabs>
          <w:tab w:leader="none" w:pos="148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Exhibits</w:t>
      </w:r>
      <w:r>
        <w:rPr>
          <w:rFonts w:ascii="Arial" w:cs="Arial" w:eastAsia="Arial" w:hAnsi="Arial"/>
          <w:sz w:val="18"/>
          <w:szCs w:val="18"/>
          <w:color w:val="auto"/>
        </w:rPr>
        <w:t>. The following exhibits are filed herewith or incorporated herein by reference: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Exhibit</w:t>
            </w:r>
          </w:p>
        </w:tc>
        <w:tc>
          <w:tcPr>
            <w:tcW w:w="2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Incorporated by Reference</w:t>
            </w: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00" w:type="dxa"/>
            <w:vAlign w:val="bottom"/>
            <w:gridSpan w:val="3"/>
            <w:vMerge w:val="continue"/>
          </w:tcPr>
          <w:p>
            <w:pPr>
              <w:spacing w:after="0"/>
              <w:rPr>
                <w:sz w:val="10"/>
                <w:szCs w:val="10"/>
                <w:color w:val="auto"/>
              </w:rPr>
            </w:pPr>
          </w:p>
        </w:tc>
        <w:tc>
          <w:tcPr>
            <w:tcW w:w="2400" w:type="dxa"/>
            <w:vAlign w:val="bottom"/>
          </w:tcPr>
          <w:p>
            <w:pPr>
              <w:spacing w:after="0"/>
              <w:rPr>
                <w:sz w:val="10"/>
                <w:szCs w:val="10"/>
                <w:color w:val="auto"/>
              </w:rPr>
            </w:pPr>
          </w:p>
        </w:tc>
        <w:tc>
          <w:tcPr>
            <w:tcW w:w="3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5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Form</w:t>
            </w:r>
          </w:p>
        </w:tc>
        <w:tc>
          <w:tcPr>
            <w:tcW w:w="280" w:type="dxa"/>
            <w:vAlign w:val="bottom"/>
          </w:tcPr>
          <w:p>
            <w:pPr>
              <w:spacing w:after="0"/>
              <w:rPr>
                <w:sz w:val="10"/>
                <w:szCs w:val="10"/>
                <w:color w:val="auto"/>
              </w:rPr>
            </w:pPr>
          </w:p>
        </w:tc>
        <w:tc>
          <w:tcPr>
            <w:tcW w:w="940" w:type="dxa"/>
            <w:vAlign w:val="bottom"/>
            <w:gridSpan w:val="2"/>
            <w:vMerge w:val="restart"/>
          </w:tcPr>
          <w:p>
            <w:pPr>
              <w:jc w:val="right"/>
              <w:ind w:right="388"/>
              <w:spacing w:after="0"/>
              <w:rPr>
                <w:sz w:val="20"/>
                <w:szCs w:val="20"/>
                <w:color w:val="auto"/>
              </w:rPr>
            </w:pPr>
            <w:r>
              <w:rPr>
                <w:rFonts w:ascii="Arial" w:cs="Arial" w:eastAsia="Arial" w:hAnsi="Arial"/>
                <w:sz w:val="14"/>
                <w:szCs w:val="14"/>
                <w:b w:val="1"/>
                <w:bCs w:val="1"/>
                <w:color w:val="auto"/>
                <w:w w:val="90"/>
              </w:rPr>
              <w:t>File No.</w:t>
            </w:r>
          </w:p>
        </w:tc>
        <w:tc>
          <w:tcPr>
            <w:tcW w:w="4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Exhibit</w:t>
            </w:r>
          </w:p>
        </w:tc>
        <w:tc>
          <w:tcPr>
            <w:tcW w:w="360" w:type="dxa"/>
            <w:vAlign w:val="bottom"/>
          </w:tcPr>
          <w:p>
            <w:pPr>
              <w:spacing w:after="0"/>
              <w:rPr>
                <w:sz w:val="10"/>
                <w:szCs w:val="10"/>
                <w:color w:val="auto"/>
              </w:rPr>
            </w:pPr>
          </w:p>
        </w:tc>
        <w:tc>
          <w:tcPr>
            <w:tcW w:w="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Filing Date</w:t>
            </w:r>
          </w:p>
        </w:tc>
        <w:tc>
          <w:tcPr>
            <w:tcW w:w="1140" w:type="dxa"/>
            <w:vAlign w:val="bottom"/>
            <w:gridSpan w:val="3"/>
            <w:vMerge w:val="restart"/>
          </w:tcPr>
          <w:p>
            <w:pPr>
              <w:jc w:val="center"/>
              <w:ind w:left="28"/>
              <w:spacing w:after="0"/>
              <w:rPr>
                <w:sz w:val="20"/>
                <w:szCs w:val="20"/>
                <w:color w:val="auto"/>
              </w:rPr>
            </w:pPr>
            <w:r>
              <w:rPr>
                <w:rFonts w:ascii="Arial" w:cs="Arial" w:eastAsia="Arial" w:hAnsi="Arial"/>
                <w:sz w:val="14"/>
                <w:szCs w:val="14"/>
                <w:b w:val="1"/>
                <w:bCs w:val="1"/>
                <w:color w:val="auto"/>
                <w:w w:val="96"/>
              </w:rPr>
              <w:t>Filed Herewith</w:t>
            </w: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440" w:type="dxa"/>
            <w:vAlign w:val="bottom"/>
          </w:tcPr>
          <w:p>
            <w:pPr>
              <w:ind w:left="120"/>
              <w:spacing w:after="0"/>
              <w:rPr>
                <w:sz w:val="20"/>
                <w:szCs w:val="20"/>
                <w:color w:val="auto"/>
              </w:rPr>
            </w:pPr>
            <w:r>
              <w:rPr>
                <w:rFonts w:ascii="Arial" w:cs="Arial" w:eastAsia="Arial" w:hAnsi="Arial"/>
                <w:sz w:val="14"/>
                <w:szCs w:val="14"/>
                <w:b w:val="1"/>
                <w:bCs w:val="1"/>
                <w:color w:val="auto"/>
              </w:rPr>
              <w:t>No.</w:t>
            </w:r>
          </w:p>
        </w:tc>
        <w:tc>
          <w:tcPr>
            <w:tcW w:w="1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3740" w:type="dxa"/>
            <w:vAlign w:val="bottom"/>
            <w:gridSpan w:val="3"/>
            <w:vMerge w:val="continue"/>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97"/>
              </w:rPr>
              <w:t>No.</w:t>
            </w:r>
          </w:p>
        </w:tc>
        <w:tc>
          <w:tcPr>
            <w:tcW w:w="3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0" w:type="dxa"/>
            <w:vAlign w:val="bottom"/>
          </w:tcPr>
          <w:p>
            <w:pPr>
              <w:spacing w:after="0"/>
              <w:rPr>
                <w:sz w:val="24"/>
                <w:szCs w:val="24"/>
                <w:color w:val="auto"/>
              </w:rPr>
            </w:pPr>
          </w:p>
        </w:tc>
        <w:tc>
          <w:tcPr>
            <w:tcW w:w="440" w:type="dxa"/>
            <w:vAlign w:val="bottom"/>
          </w:tcPr>
          <w:p>
            <w:pPr>
              <w:ind w:left="6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4"/>
                <w:szCs w:val="24"/>
                <w:color w:val="auto"/>
              </w:rPr>
            </w:pPr>
          </w:p>
        </w:tc>
        <w:tc>
          <w:tcPr>
            <w:tcW w:w="6140" w:type="dxa"/>
            <w:vAlign w:val="bottom"/>
            <w:gridSpan w:val="4"/>
          </w:tcPr>
          <w:p>
            <w:pPr>
              <w:ind w:left="120"/>
              <w:spacing w:after="0"/>
              <w:rPr>
                <w:sz w:val="20"/>
                <w:szCs w:val="20"/>
                <w:color w:val="auto"/>
              </w:rPr>
            </w:pPr>
            <w:r>
              <w:rPr>
                <w:rFonts w:ascii="Arial" w:cs="Arial" w:eastAsia="Arial" w:hAnsi="Arial"/>
                <w:sz w:val="18"/>
                <w:szCs w:val="18"/>
                <w:color w:val="auto"/>
              </w:rPr>
              <w:t>Form of Underwriting Agreement.</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480" w:type="dxa"/>
            <w:vAlign w:val="bottom"/>
            <w:gridSpan w:val="2"/>
          </w:tcPr>
          <w:p>
            <w:pPr>
              <w:ind w:left="10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6140" w:type="dxa"/>
            <w:vAlign w:val="bottom"/>
            <w:gridSpan w:val="4"/>
          </w:tcPr>
          <w:p>
            <w:pPr>
              <w:ind w:left="120"/>
              <w:spacing w:after="0"/>
              <w:rPr>
                <w:sz w:val="20"/>
                <w:szCs w:val="20"/>
                <w:color w:val="auto"/>
              </w:rPr>
            </w:pPr>
            <w:r>
              <w:rPr>
                <w:rFonts w:ascii="Arial" w:cs="Arial" w:eastAsia="Arial" w:hAnsi="Arial"/>
                <w:sz w:val="18"/>
                <w:szCs w:val="18"/>
                <w:color w:val="auto"/>
              </w:rPr>
              <w:t>Eighth Amended and Restated Certificate of Incorporation of Fluidigm</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140" w:type="dxa"/>
            <w:vAlign w:val="bottom"/>
            <w:gridSpan w:val="4"/>
          </w:tcPr>
          <w:p>
            <w:pPr>
              <w:ind w:left="120"/>
              <w:spacing w:after="0"/>
              <w:rPr>
                <w:sz w:val="20"/>
                <w:szCs w:val="20"/>
                <w:color w:val="auto"/>
              </w:rPr>
            </w:pPr>
            <w:r>
              <w:rPr>
                <w:rFonts w:ascii="Arial" w:cs="Arial" w:eastAsia="Arial" w:hAnsi="Arial"/>
                <w:sz w:val="18"/>
                <w:szCs w:val="18"/>
                <w:color w:val="auto"/>
              </w:rPr>
              <w:t>Corporation filed on February 15, 2011.</w:t>
            </w:r>
          </w:p>
        </w:tc>
        <w:tc>
          <w:tcPr>
            <w:tcW w:w="56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10-K</w:t>
            </w:r>
          </w:p>
        </w:tc>
        <w:tc>
          <w:tcPr>
            <w:tcW w:w="1220" w:type="dxa"/>
            <w:vAlign w:val="bottom"/>
            <w:gridSpan w:val="3"/>
          </w:tcPr>
          <w:p>
            <w:pPr>
              <w:jc w:val="right"/>
              <w:ind w:right="208"/>
              <w:spacing w:after="0"/>
              <w:rPr>
                <w:sz w:val="20"/>
                <w:szCs w:val="20"/>
                <w:color w:val="auto"/>
              </w:rPr>
            </w:pPr>
            <w:r>
              <w:rPr>
                <w:rFonts w:ascii="Arial" w:cs="Arial" w:eastAsia="Arial" w:hAnsi="Arial"/>
                <w:sz w:val="18"/>
                <w:szCs w:val="18"/>
                <w:color w:val="auto"/>
              </w:rPr>
              <w:t>001-34180</w:t>
            </w:r>
          </w:p>
        </w:tc>
        <w:tc>
          <w:tcPr>
            <w:tcW w:w="46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300" w:type="dxa"/>
            <w:vAlign w:val="bottom"/>
            <w:gridSpan w:val="3"/>
          </w:tcPr>
          <w:p>
            <w:pPr>
              <w:jc w:val="center"/>
              <w:ind w:left="70"/>
              <w:spacing w:after="0"/>
              <w:rPr>
                <w:sz w:val="20"/>
                <w:szCs w:val="20"/>
                <w:color w:val="auto"/>
              </w:rPr>
            </w:pPr>
            <w:r>
              <w:rPr>
                <w:rFonts w:ascii="Arial" w:cs="Arial" w:eastAsia="Arial" w:hAnsi="Arial"/>
                <w:sz w:val="18"/>
                <w:szCs w:val="18"/>
                <w:color w:val="auto"/>
                <w:w w:val="92"/>
              </w:rPr>
              <w:t>3/28/2011</w:t>
            </w: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480" w:type="dxa"/>
            <w:vAlign w:val="bottom"/>
            <w:gridSpan w:val="2"/>
          </w:tcPr>
          <w:p>
            <w:pPr>
              <w:ind w:left="10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6140" w:type="dxa"/>
            <w:vAlign w:val="bottom"/>
            <w:gridSpan w:val="4"/>
          </w:tcPr>
          <w:p>
            <w:pPr>
              <w:ind w:left="120"/>
              <w:spacing w:after="0"/>
              <w:rPr>
                <w:sz w:val="20"/>
                <w:szCs w:val="20"/>
                <w:color w:val="auto"/>
              </w:rPr>
            </w:pPr>
            <w:r>
              <w:rPr>
                <w:rFonts w:ascii="Arial" w:cs="Arial" w:eastAsia="Arial" w:hAnsi="Arial"/>
                <w:sz w:val="18"/>
                <w:szCs w:val="18"/>
                <w:color w:val="auto"/>
              </w:rPr>
              <w:t>Amended and Restated Bylaws of Fluidigm Corporation effective as of</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140" w:type="dxa"/>
            <w:vAlign w:val="bottom"/>
            <w:gridSpan w:val="4"/>
          </w:tcPr>
          <w:p>
            <w:pPr>
              <w:ind w:left="120"/>
              <w:spacing w:after="0"/>
              <w:rPr>
                <w:sz w:val="20"/>
                <w:szCs w:val="20"/>
                <w:color w:val="auto"/>
              </w:rPr>
            </w:pPr>
            <w:r>
              <w:rPr>
                <w:rFonts w:ascii="Arial" w:cs="Arial" w:eastAsia="Arial" w:hAnsi="Arial"/>
                <w:sz w:val="18"/>
                <w:szCs w:val="18"/>
                <w:color w:val="auto"/>
              </w:rPr>
              <w:t>February 9, 2011.</w:t>
            </w:r>
          </w:p>
        </w:tc>
        <w:tc>
          <w:tcPr>
            <w:tcW w:w="56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10-K</w:t>
            </w:r>
          </w:p>
        </w:tc>
        <w:tc>
          <w:tcPr>
            <w:tcW w:w="1220" w:type="dxa"/>
            <w:vAlign w:val="bottom"/>
            <w:gridSpan w:val="3"/>
          </w:tcPr>
          <w:p>
            <w:pPr>
              <w:jc w:val="right"/>
              <w:ind w:right="208"/>
              <w:spacing w:after="0"/>
              <w:rPr>
                <w:sz w:val="20"/>
                <w:szCs w:val="20"/>
                <w:color w:val="auto"/>
              </w:rPr>
            </w:pPr>
            <w:r>
              <w:rPr>
                <w:rFonts w:ascii="Arial" w:cs="Arial" w:eastAsia="Arial" w:hAnsi="Arial"/>
                <w:sz w:val="18"/>
                <w:szCs w:val="18"/>
                <w:color w:val="auto"/>
              </w:rPr>
              <w:t>001-34180</w:t>
            </w:r>
          </w:p>
        </w:tc>
        <w:tc>
          <w:tcPr>
            <w:tcW w:w="46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300" w:type="dxa"/>
            <w:vAlign w:val="bottom"/>
            <w:gridSpan w:val="3"/>
          </w:tcPr>
          <w:p>
            <w:pPr>
              <w:jc w:val="center"/>
              <w:ind w:left="70"/>
              <w:spacing w:after="0"/>
              <w:rPr>
                <w:sz w:val="20"/>
                <w:szCs w:val="20"/>
                <w:color w:val="auto"/>
              </w:rPr>
            </w:pPr>
            <w:r>
              <w:rPr>
                <w:rFonts w:ascii="Arial" w:cs="Arial" w:eastAsia="Arial" w:hAnsi="Arial"/>
                <w:sz w:val="18"/>
                <w:szCs w:val="18"/>
                <w:color w:val="auto"/>
                <w:w w:val="92"/>
              </w:rPr>
              <w:t>3/28/2011</w:t>
            </w: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480" w:type="dxa"/>
            <w:vAlign w:val="bottom"/>
            <w:gridSpan w:val="2"/>
          </w:tcPr>
          <w:p>
            <w:pPr>
              <w:ind w:left="10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4"/>
                <w:szCs w:val="24"/>
                <w:color w:val="auto"/>
              </w:rPr>
            </w:pPr>
          </w:p>
        </w:tc>
        <w:tc>
          <w:tcPr>
            <w:tcW w:w="6140" w:type="dxa"/>
            <w:vAlign w:val="bottom"/>
            <w:gridSpan w:val="4"/>
          </w:tcPr>
          <w:p>
            <w:pPr>
              <w:ind w:left="120"/>
              <w:spacing w:after="0"/>
              <w:rPr>
                <w:sz w:val="20"/>
                <w:szCs w:val="20"/>
                <w:color w:val="auto"/>
              </w:rPr>
            </w:pPr>
            <w:r>
              <w:rPr>
                <w:rFonts w:ascii="Arial" w:cs="Arial" w:eastAsia="Arial" w:hAnsi="Arial"/>
                <w:sz w:val="18"/>
                <w:szCs w:val="18"/>
                <w:color w:val="auto"/>
              </w:rPr>
              <w:t>Certificate of Designation of Rights, Preferences and Privileges of Series A</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140" w:type="dxa"/>
            <w:vAlign w:val="bottom"/>
            <w:gridSpan w:val="4"/>
          </w:tcPr>
          <w:p>
            <w:pPr>
              <w:ind w:left="120"/>
              <w:spacing w:after="0"/>
              <w:rPr>
                <w:sz w:val="20"/>
                <w:szCs w:val="20"/>
                <w:color w:val="auto"/>
              </w:rPr>
            </w:pPr>
            <w:r>
              <w:rPr>
                <w:rFonts w:ascii="Arial" w:cs="Arial" w:eastAsia="Arial" w:hAnsi="Arial"/>
                <w:sz w:val="18"/>
                <w:szCs w:val="18"/>
                <w:color w:val="auto"/>
              </w:rPr>
              <w:t>Participating Preferred Stock.</w:t>
            </w:r>
          </w:p>
        </w:tc>
        <w:tc>
          <w:tcPr>
            <w:tcW w:w="56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8-K</w:t>
            </w:r>
          </w:p>
        </w:tc>
        <w:tc>
          <w:tcPr>
            <w:tcW w:w="1220" w:type="dxa"/>
            <w:vAlign w:val="bottom"/>
            <w:gridSpan w:val="3"/>
          </w:tcPr>
          <w:p>
            <w:pPr>
              <w:jc w:val="right"/>
              <w:ind w:right="208"/>
              <w:spacing w:after="0"/>
              <w:rPr>
                <w:sz w:val="20"/>
                <w:szCs w:val="20"/>
                <w:color w:val="auto"/>
              </w:rPr>
            </w:pPr>
            <w:r>
              <w:rPr>
                <w:rFonts w:ascii="Arial" w:cs="Arial" w:eastAsia="Arial" w:hAnsi="Arial"/>
                <w:sz w:val="18"/>
                <w:szCs w:val="18"/>
                <w:color w:val="auto"/>
              </w:rPr>
              <w:t>001-34180</w:t>
            </w:r>
          </w:p>
        </w:tc>
        <w:tc>
          <w:tcPr>
            <w:tcW w:w="46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300" w:type="dxa"/>
            <w:vAlign w:val="bottom"/>
            <w:gridSpan w:val="3"/>
          </w:tcPr>
          <w:p>
            <w:pPr>
              <w:jc w:val="center"/>
              <w:ind w:left="70"/>
              <w:spacing w:after="0"/>
              <w:rPr>
                <w:sz w:val="20"/>
                <w:szCs w:val="20"/>
                <w:color w:val="auto"/>
              </w:rPr>
            </w:pPr>
            <w:r>
              <w:rPr>
                <w:rFonts w:ascii="Arial" w:cs="Arial" w:eastAsia="Arial" w:hAnsi="Arial"/>
                <w:sz w:val="18"/>
                <w:szCs w:val="18"/>
                <w:color w:val="auto"/>
                <w:w w:val="90"/>
              </w:rPr>
              <w:t>11/22/2016</w:t>
            </w: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480" w:type="dxa"/>
            <w:vAlign w:val="bottom"/>
            <w:gridSpan w:val="2"/>
          </w:tcPr>
          <w:p>
            <w:pPr>
              <w:ind w:left="10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6140" w:type="dxa"/>
            <w:vAlign w:val="bottom"/>
            <w:gridSpan w:val="4"/>
          </w:tcPr>
          <w:p>
            <w:pPr>
              <w:ind w:left="120"/>
              <w:spacing w:after="0"/>
              <w:rPr>
                <w:sz w:val="20"/>
                <w:szCs w:val="20"/>
                <w:color w:val="auto"/>
              </w:rPr>
            </w:pPr>
            <w:r>
              <w:rPr>
                <w:rFonts w:ascii="Arial" w:cs="Arial" w:eastAsia="Arial" w:hAnsi="Arial"/>
                <w:sz w:val="18"/>
                <w:szCs w:val="18"/>
                <w:color w:val="auto"/>
              </w:rPr>
              <w:t>Specimen Common Stock Certificate of Fluidigm Corporation.</w:t>
            </w:r>
          </w:p>
        </w:tc>
        <w:tc>
          <w:tcPr>
            <w:tcW w:w="56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S-8</w:t>
            </w:r>
          </w:p>
        </w:tc>
        <w:tc>
          <w:tcPr>
            <w:tcW w:w="1220" w:type="dxa"/>
            <w:vAlign w:val="bottom"/>
            <w:gridSpan w:val="3"/>
          </w:tcPr>
          <w:p>
            <w:pPr>
              <w:jc w:val="right"/>
              <w:ind w:right="208"/>
              <w:spacing w:after="0"/>
              <w:rPr>
                <w:sz w:val="20"/>
                <w:szCs w:val="20"/>
                <w:color w:val="auto"/>
              </w:rPr>
            </w:pPr>
            <w:r>
              <w:rPr>
                <w:rFonts w:ascii="Arial" w:cs="Arial" w:eastAsia="Arial" w:hAnsi="Arial"/>
                <w:sz w:val="18"/>
                <w:szCs w:val="18"/>
                <w:color w:val="auto"/>
              </w:rPr>
              <w:t>001-34180</w:t>
            </w:r>
          </w:p>
        </w:tc>
        <w:tc>
          <w:tcPr>
            <w:tcW w:w="4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300" w:type="dxa"/>
            <w:vAlign w:val="bottom"/>
            <w:gridSpan w:val="3"/>
          </w:tcPr>
          <w:p>
            <w:pPr>
              <w:jc w:val="center"/>
              <w:ind w:left="70"/>
              <w:spacing w:after="0"/>
              <w:rPr>
                <w:sz w:val="20"/>
                <w:szCs w:val="20"/>
                <w:color w:val="auto"/>
              </w:rPr>
            </w:pPr>
            <w:r>
              <w:rPr>
                <w:rFonts w:ascii="Arial" w:cs="Arial" w:eastAsia="Arial" w:hAnsi="Arial"/>
                <w:sz w:val="18"/>
                <w:szCs w:val="18"/>
                <w:color w:val="auto"/>
                <w:w w:val="92"/>
              </w:rPr>
              <w:t>1/13/2017</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480" w:type="dxa"/>
            <w:vAlign w:val="bottom"/>
            <w:gridSpan w:val="2"/>
          </w:tcPr>
          <w:p>
            <w:pPr>
              <w:ind w:left="10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4"/>
                <w:szCs w:val="24"/>
                <w:color w:val="auto"/>
              </w:rPr>
            </w:pPr>
          </w:p>
        </w:tc>
        <w:tc>
          <w:tcPr>
            <w:tcW w:w="6140" w:type="dxa"/>
            <w:vAlign w:val="bottom"/>
            <w:gridSpan w:val="4"/>
          </w:tcPr>
          <w:p>
            <w:pPr>
              <w:ind w:left="120"/>
              <w:spacing w:after="0"/>
              <w:rPr>
                <w:sz w:val="20"/>
                <w:szCs w:val="20"/>
                <w:color w:val="auto"/>
              </w:rPr>
            </w:pPr>
            <w:r>
              <w:rPr>
                <w:rFonts w:ascii="Arial" w:cs="Arial" w:eastAsia="Arial" w:hAnsi="Arial"/>
                <w:sz w:val="18"/>
                <w:szCs w:val="18"/>
                <w:color w:val="auto"/>
                <w:w w:val="94"/>
              </w:rPr>
              <w:t>Tax Benefit Preservation Plan, dated as of November 21, 2016, by and between</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140" w:type="dxa"/>
            <w:vAlign w:val="bottom"/>
            <w:gridSpan w:val="4"/>
          </w:tcPr>
          <w:p>
            <w:pPr>
              <w:ind w:left="120"/>
              <w:spacing w:after="0"/>
              <w:rPr>
                <w:sz w:val="20"/>
                <w:szCs w:val="20"/>
                <w:color w:val="auto"/>
              </w:rPr>
            </w:pPr>
            <w:r>
              <w:rPr>
                <w:rFonts w:ascii="Arial" w:cs="Arial" w:eastAsia="Arial" w:hAnsi="Arial"/>
                <w:sz w:val="18"/>
                <w:szCs w:val="18"/>
                <w:color w:val="auto"/>
              </w:rPr>
              <w:t>Fluidigm Corporation and Computershare Inc., as Rights Agent.</w:t>
            </w:r>
          </w:p>
        </w:tc>
        <w:tc>
          <w:tcPr>
            <w:tcW w:w="56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8-K</w:t>
            </w:r>
          </w:p>
        </w:tc>
        <w:tc>
          <w:tcPr>
            <w:tcW w:w="1220" w:type="dxa"/>
            <w:vAlign w:val="bottom"/>
            <w:gridSpan w:val="3"/>
          </w:tcPr>
          <w:p>
            <w:pPr>
              <w:jc w:val="right"/>
              <w:ind w:right="208"/>
              <w:spacing w:after="0"/>
              <w:rPr>
                <w:sz w:val="20"/>
                <w:szCs w:val="20"/>
                <w:color w:val="auto"/>
              </w:rPr>
            </w:pPr>
            <w:r>
              <w:rPr>
                <w:rFonts w:ascii="Arial" w:cs="Arial" w:eastAsia="Arial" w:hAnsi="Arial"/>
                <w:sz w:val="18"/>
                <w:szCs w:val="18"/>
                <w:color w:val="auto"/>
              </w:rPr>
              <w:t>001-34180</w:t>
            </w:r>
          </w:p>
        </w:tc>
        <w:tc>
          <w:tcPr>
            <w:tcW w:w="4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300" w:type="dxa"/>
            <w:vAlign w:val="bottom"/>
            <w:gridSpan w:val="3"/>
          </w:tcPr>
          <w:p>
            <w:pPr>
              <w:jc w:val="center"/>
              <w:ind w:left="70"/>
              <w:spacing w:after="0"/>
              <w:rPr>
                <w:sz w:val="20"/>
                <w:szCs w:val="20"/>
                <w:color w:val="auto"/>
              </w:rPr>
            </w:pPr>
            <w:r>
              <w:rPr>
                <w:rFonts w:ascii="Arial" w:cs="Arial" w:eastAsia="Arial" w:hAnsi="Arial"/>
                <w:sz w:val="18"/>
                <w:szCs w:val="18"/>
                <w:color w:val="auto"/>
                <w:w w:val="90"/>
              </w:rPr>
              <w:t>11/22/2016</w:t>
            </w: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480" w:type="dxa"/>
            <w:vAlign w:val="bottom"/>
            <w:gridSpan w:val="2"/>
          </w:tcPr>
          <w:p>
            <w:pPr>
              <w:ind w:left="10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4"/>
                <w:szCs w:val="24"/>
                <w:color w:val="auto"/>
              </w:rPr>
            </w:pPr>
          </w:p>
        </w:tc>
        <w:tc>
          <w:tcPr>
            <w:tcW w:w="6140" w:type="dxa"/>
            <w:vAlign w:val="bottom"/>
            <w:gridSpan w:val="4"/>
          </w:tcPr>
          <w:p>
            <w:pPr>
              <w:ind w:left="120"/>
              <w:spacing w:after="0"/>
              <w:rPr>
                <w:sz w:val="20"/>
                <w:szCs w:val="20"/>
                <w:color w:val="auto"/>
              </w:rPr>
            </w:pPr>
            <w:r>
              <w:rPr>
                <w:rFonts w:ascii="Arial" w:cs="Arial" w:eastAsia="Arial" w:hAnsi="Arial"/>
                <w:sz w:val="18"/>
                <w:szCs w:val="18"/>
                <w:color w:val="auto"/>
              </w:rPr>
              <w:t>Form of Senior Indenture.</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tcPr>
          <w:p>
            <w:pPr>
              <w:jc w:val="center"/>
              <w:ind w:right="4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24"/>
        </w:trPr>
        <w:tc>
          <w:tcPr>
            <w:tcW w:w="480" w:type="dxa"/>
            <w:vAlign w:val="bottom"/>
            <w:gridSpan w:val="2"/>
          </w:tcPr>
          <w:p>
            <w:pPr>
              <w:ind w:left="10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4"/>
                <w:szCs w:val="24"/>
                <w:color w:val="auto"/>
              </w:rPr>
            </w:pPr>
          </w:p>
        </w:tc>
        <w:tc>
          <w:tcPr>
            <w:tcW w:w="6140" w:type="dxa"/>
            <w:vAlign w:val="bottom"/>
            <w:gridSpan w:val="4"/>
          </w:tcPr>
          <w:p>
            <w:pPr>
              <w:ind w:left="120"/>
              <w:spacing w:after="0"/>
              <w:rPr>
                <w:sz w:val="20"/>
                <w:szCs w:val="20"/>
                <w:color w:val="auto"/>
              </w:rPr>
            </w:pPr>
            <w:r>
              <w:rPr>
                <w:rFonts w:ascii="Arial" w:cs="Arial" w:eastAsia="Arial" w:hAnsi="Arial"/>
                <w:sz w:val="18"/>
                <w:szCs w:val="18"/>
                <w:color w:val="auto"/>
              </w:rPr>
              <w:t>Form of Subordinated Indenture.</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tcPr>
          <w:p>
            <w:pPr>
              <w:jc w:val="center"/>
              <w:ind w:right="4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24"/>
        </w:trPr>
        <w:tc>
          <w:tcPr>
            <w:tcW w:w="480" w:type="dxa"/>
            <w:vAlign w:val="bottom"/>
            <w:gridSpan w:val="2"/>
          </w:tcPr>
          <w:p>
            <w:pPr>
              <w:ind w:left="10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4"/>
                <w:szCs w:val="24"/>
                <w:color w:val="auto"/>
              </w:rPr>
            </w:pPr>
          </w:p>
        </w:tc>
        <w:tc>
          <w:tcPr>
            <w:tcW w:w="6140" w:type="dxa"/>
            <w:vAlign w:val="bottom"/>
            <w:gridSpan w:val="4"/>
          </w:tcPr>
          <w:p>
            <w:pPr>
              <w:ind w:left="120"/>
              <w:spacing w:after="0"/>
              <w:rPr>
                <w:sz w:val="20"/>
                <w:szCs w:val="20"/>
                <w:color w:val="auto"/>
              </w:rPr>
            </w:pPr>
            <w:r>
              <w:rPr>
                <w:rFonts w:ascii="Arial" w:cs="Arial" w:eastAsia="Arial" w:hAnsi="Arial"/>
                <w:sz w:val="18"/>
                <w:szCs w:val="18"/>
                <w:color w:val="auto"/>
              </w:rPr>
              <w:t>Form of Senior Debt Security.</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0" w:type="dxa"/>
            <w:vAlign w:val="bottom"/>
            <w:gridSpan w:val="2"/>
          </w:tcPr>
          <w:p>
            <w:pPr>
              <w:ind w:left="10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4"/>
                <w:szCs w:val="24"/>
                <w:color w:val="auto"/>
              </w:rPr>
            </w:pPr>
          </w:p>
        </w:tc>
        <w:tc>
          <w:tcPr>
            <w:tcW w:w="6140" w:type="dxa"/>
            <w:vAlign w:val="bottom"/>
            <w:gridSpan w:val="4"/>
          </w:tcPr>
          <w:p>
            <w:pPr>
              <w:ind w:left="120"/>
              <w:spacing w:after="0"/>
              <w:rPr>
                <w:sz w:val="20"/>
                <w:szCs w:val="20"/>
                <w:color w:val="auto"/>
              </w:rPr>
            </w:pPr>
            <w:r>
              <w:rPr>
                <w:rFonts w:ascii="Arial" w:cs="Arial" w:eastAsia="Arial" w:hAnsi="Arial"/>
                <w:sz w:val="18"/>
                <w:szCs w:val="18"/>
                <w:color w:val="auto"/>
              </w:rPr>
              <w:t>Form of Subordinated Debt Security.</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0" w:type="dxa"/>
            <w:vAlign w:val="bottom"/>
            <w:gridSpan w:val="2"/>
          </w:tcPr>
          <w:p>
            <w:pPr>
              <w:ind w:left="10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4"/>
                <w:szCs w:val="24"/>
                <w:color w:val="auto"/>
              </w:rPr>
            </w:pPr>
          </w:p>
        </w:tc>
        <w:tc>
          <w:tcPr>
            <w:tcW w:w="6140" w:type="dxa"/>
            <w:vAlign w:val="bottom"/>
            <w:gridSpan w:val="4"/>
          </w:tcPr>
          <w:p>
            <w:pPr>
              <w:ind w:left="120"/>
              <w:spacing w:after="0"/>
              <w:rPr>
                <w:sz w:val="20"/>
                <w:szCs w:val="20"/>
                <w:color w:val="auto"/>
              </w:rPr>
            </w:pPr>
            <w:r>
              <w:rPr>
                <w:rFonts w:ascii="Arial" w:cs="Arial" w:eastAsia="Arial" w:hAnsi="Arial"/>
                <w:sz w:val="18"/>
                <w:szCs w:val="18"/>
                <w:color w:val="auto"/>
              </w:rPr>
              <w:t>Form of Certificate of Designation.</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0" w:type="dxa"/>
            <w:vAlign w:val="bottom"/>
            <w:gridSpan w:val="2"/>
          </w:tcPr>
          <w:p>
            <w:pPr>
              <w:ind w:left="10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4"/>
                <w:szCs w:val="24"/>
                <w:color w:val="auto"/>
              </w:rPr>
            </w:pPr>
          </w:p>
        </w:tc>
        <w:tc>
          <w:tcPr>
            <w:tcW w:w="6140" w:type="dxa"/>
            <w:vAlign w:val="bottom"/>
            <w:gridSpan w:val="4"/>
          </w:tcPr>
          <w:p>
            <w:pPr>
              <w:ind w:left="120"/>
              <w:spacing w:after="0"/>
              <w:rPr>
                <w:sz w:val="20"/>
                <w:szCs w:val="20"/>
                <w:color w:val="auto"/>
              </w:rPr>
            </w:pPr>
            <w:r>
              <w:rPr>
                <w:rFonts w:ascii="Arial" w:cs="Arial" w:eastAsia="Arial" w:hAnsi="Arial"/>
                <w:sz w:val="18"/>
                <w:szCs w:val="18"/>
                <w:color w:val="auto"/>
              </w:rPr>
              <w:t>Form of Preferred Stock Certificate.</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0" w:type="dxa"/>
            <w:vAlign w:val="bottom"/>
            <w:gridSpan w:val="2"/>
          </w:tcPr>
          <w:p>
            <w:pPr>
              <w:ind w:left="10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4"/>
                <w:szCs w:val="24"/>
                <w:color w:val="auto"/>
              </w:rPr>
            </w:pPr>
          </w:p>
        </w:tc>
        <w:tc>
          <w:tcPr>
            <w:tcW w:w="6140" w:type="dxa"/>
            <w:vAlign w:val="bottom"/>
            <w:gridSpan w:val="4"/>
          </w:tcPr>
          <w:p>
            <w:pPr>
              <w:ind w:left="120"/>
              <w:spacing w:after="0"/>
              <w:rPr>
                <w:sz w:val="20"/>
                <w:szCs w:val="20"/>
                <w:color w:val="auto"/>
              </w:rPr>
            </w:pPr>
            <w:r>
              <w:rPr>
                <w:rFonts w:ascii="Arial" w:cs="Arial" w:eastAsia="Arial" w:hAnsi="Arial"/>
                <w:sz w:val="18"/>
                <w:szCs w:val="18"/>
                <w:color w:val="auto"/>
              </w:rPr>
              <w:t>Form of Warrant Agreement.</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00" w:type="dxa"/>
            <w:vAlign w:val="bottom"/>
            <w:gridSpan w:val="3"/>
          </w:tcPr>
          <w:p>
            <w:pPr>
              <w:ind w:left="100"/>
              <w:spacing w:after="0"/>
              <w:rPr>
                <w:sz w:val="20"/>
                <w:szCs w:val="20"/>
                <w:color w:val="auto"/>
              </w:rPr>
            </w:pPr>
            <w:r>
              <w:rPr>
                <w:rFonts w:ascii="Arial" w:cs="Arial" w:eastAsia="Arial" w:hAnsi="Arial"/>
                <w:sz w:val="18"/>
                <w:szCs w:val="18"/>
                <w:color w:val="auto"/>
              </w:rPr>
              <w:t>4.10*</w:t>
            </w:r>
          </w:p>
        </w:tc>
        <w:tc>
          <w:tcPr>
            <w:tcW w:w="6140" w:type="dxa"/>
            <w:vAlign w:val="bottom"/>
            <w:gridSpan w:val="4"/>
          </w:tcPr>
          <w:p>
            <w:pPr>
              <w:ind w:left="120"/>
              <w:spacing w:after="0"/>
              <w:rPr>
                <w:sz w:val="20"/>
                <w:szCs w:val="20"/>
                <w:color w:val="auto"/>
              </w:rPr>
            </w:pPr>
            <w:r>
              <w:rPr>
                <w:rFonts w:ascii="Arial" w:cs="Arial" w:eastAsia="Arial" w:hAnsi="Arial"/>
                <w:sz w:val="18"/>
                <w:szCs w:val="18"/>
                <w:color w:val="auto"/>
              </w:rPr>
              <w:t>Form of Warrant/Subscription Agreement.</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0" w:type="dxa"/>
            <w:vAlign w:val="bottom"/>
            <w:gridSpan w:val="2"/>
          </w:tcPr>
          <w:p>
            <w:pPr>
              <w:ind w:left="10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4"/>
                <w:szCs w:val="24"/>
                <w:color w:val="auto"/>
              </w:rPr>
            </w:pPr>
          </w:p>
        </w:tc>
        <w:tc>
          <w:tcPr>
            <w:tcW w:w="6140" w:type="dxa"/>
            <w:vAlign w:val="bottom"/>
            <w:gridSpan w:val="4"/>
          </w:tcPr>
          <w:p>
            <w:pPr>
              <w:ind w:left="120"/>
              <w:spacing w:after="0"/>
              <w:rPr>
                <w:sz w:val="20"/>
                <w:szCs w:val="20"/>
                <w:color w:val="auto"/>
              </w:rPr>
            </w:pPr>
            <w:r>
              <w:rPr>
                <w:rFonts w:ascii="Arial" w:cs="Arial" w:eastAsia="Arial" w:hAnsi="Arial"/>
                <w:sz w:val="18"/>
                <w:szCs w:val="18"/>
                <w:color w:val="auto"/>
              </w:rPr>
              <w:t>Opinion of Wilson Sonsini Goodrich &amp; Rosati, Professional Corporation.</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tcPr>
          <w:p>
            <w:pPr>
              <w:jc w:val="center"/>
              <w:ind w:right="4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24"/>
        </w:trPr>
        <w:tc>
          <w:tcPr>
            <w:tcW w:w="480" w:type="dxa"/>
            <w:vAlign w:val="bottom"/>
            <w:gridSpan w:val="2"/>
          </w:tcPr>
          <w:p>
            <w:pPr>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4"/>
                <w:szCs w:val="24"/>
                <w:color w:val="auto"/>
              </w:rPr>
            </w:pPr>
          </w:p>
        </w:tc>
        <w:tc>
          <w:tcPr>
            <w:tcW w:w="6140" w:type="dxa"/>
            <w:vAlign w:val="bottom"/>
            <w:gridSpan w:val="4"/>
          </w:tcPr>
          <w:p>
            <w:pPr>
              <w:ind w:left="120"/>
              <w:spacing w:after="0"/>
              <w:rPr>
                <w:sz w:val="20"/>
                <w:szCs w:val="20"/>
                <w:color w:val="auto"/>
              </w:rPr>
            </w:pPr>
            <w:r>
              <w:rPr>
                <w:rFonts w:ascii="Arial" w:cs="Arial" w:eastAsia="Arial" w:hAnsi="Arial"/>
                <w:sz w:val="18"/>
                <w:szCs w:val="18"/>
                <w:color w:val="auto"/>
              </w:rPr>
              <w:t>Statement re Computation of Ratio of Earnings to Fixed Charges.</w:t>
            </w:r>
          </w:p>
        </w:tc>
        <w:tc>
          <w:tcPr>
            <w:tcW w:w="56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10-K</w:t>
            </w:r>
          </w:p>
        </w:tc>
        <w:tc>
          <w:tcPr>
            <w:tcW w:w="1220" w:type="dxa"/>
            <w:vAlign w:val="bottom"/>
            <w:gridSpan w:val="3"/>
          </w:tcPr>
          <w:p>
            <w:pPr>
              <w:jc w:val="right"/>
              <w:ind w:right="208"/>
              <w:spacing w:after="0"/>
              <w:rPr>
                <w:sz w:val="20"/>
                <w:szCs w:val="20"/>
                <w:color w:val="auto"/>
              </w:rPr>
            </w:pPr>
            <w:r>
              <w:rPr>
                <w:rFonts w:ascii="Arial" w:cs="Arial" w:eastAsia="Arial" w:hAnsi="Arial"/>
                <w:sz w:val="18"/>
                <w:szCs w:val="18"/>
                <w:color w:val="auto"/>
              </w:rPr>
              <w:t>001-34180</w:t>
            </w:r>
          </w:p>
        </w:tc>
        <w:tc>
          <w:tcPr>
            <w:tcW w:w="460" w:type="dxa"/>
            <w:vAlign w:val="bottom"/>
          </w:tcPr>
          <w:p>
            <w:pPr>
              <w:jc w:val="center"/>
              <w:spacing w:after="0"/>
              <w:rPr>
                <w:sz w:val="20"/>
                <w:szCs w:val="20"/>
                <w:color w:val="auto"/>
              </w:rPr>
            </w:pPr>
            <w:r>
              <w:rPr>
                <w:rFonts w:ascii="Arial" w:cs="Arial" w:eastAsia="Arial" w:hAnsi="Arial"/>
                <w:sz w:val="18"/>
                <w:szCs w:val="18"/>
                <w:color w:val="auto"/>
                <w:w w:val="91"/>
              </w:rPr>
              <w:t>12.1</w:t>
            </w:r>
          </w:p>
        </w:tc>
        <w:tc>
          <w:tcPr>
            <w:tcW w:w="1300" w:type="dxa"/>
            <w:vAlign w:val="bottom"/>
            <w:gridSpan w:val="3"/>
          </w:tcPr>
          <w:p>
            <w:pPr>
              <w:jc w:val="center"/>
              <w:ind w:left="90"/>
              <w:spacing w:after="0"/>
              <w:rPr>
                <w:sz w:val="20"/>
                <w:szCs w:val="20"/>
                <w:color w:val="auto"/>
              </w:rPr>
            </w:pPr>
            <w:r>
              <w:rPr>
                <w:rFonts w:ascii="Arial" w:cs="Arial" w:eastAsia="Arial" w:hAnsi="Arial"/>
                <w:sz w:val="18"/>
                <w:szCs w:val="18"/>
                <w:color w:val="auto"/>
                <w:w w:val="91"/>
              </w:rPr>
              <w:t>3/3/2017</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540" w:type="dxa"/>
            <w:vAlign w:val="bottom"/>
            <w:gridSpan w:val="2"/>
          </w:tcPr>
          <w:p>
            <w:pPr>
              <w:ind w:left="1380"/>
              <w:spacing w:after="0"/>
              <w:rPr>
                <w:sz w:val="20"/>
                <w:szCs w:val="20"/>
                <w:color w:val="auto"/>
              </w:rPr>
            </w:pPr>
            <w:r>
              <w:rPr>
                <w:rFonts w:ascii="Arial" w:cs="Arial" w:eastAsia="Arial" w:hAnsi="Arial"/>
                <w:sz w:val="18"/>
                <w:szCs w:val="18"/>
                <w:color w:val="auto"/>
              </w:rPr>
              <w:t>II-2</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89"/>
              </w:rPr>
              <w:t>Exhibit</w:t>
            </w:r>
          </w:p>
        </w:tc>
        <w:tc>
          <w:tcPr>
            <w:tcW w:w="24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Incorporated by Reference</w:t>
            </w:r>
          </w:p>
        </w:tc>
        <w:tc>
          <w:tcPr>
            <w:tcW w:w="4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0" w:type="dxa"/>
            <w:vAlign w:val="bottom"/>
            <w:vMerge w:val="continue"/>
          </w:tcPr>
          <w:p>
            <w:pPr>
              <w:spacing w:after="0"/>
              <w:rPr>
                <w:sz w:val="10"/>
                <w:szCs w:val="10"/>
                <w:color w:val="auto"/>
              </w:rPr>
            </w:pPr>
          </w:p>
        </w:tc>
        <w:tc>
          <w:tcPr>
            <w:tcW w:w="2460" w:type="dxa"/>
            <w:vAlign w:val="bottom"/>
          </w:tcPr>
          <w:p>
            <w:pPr>
              <w:spacing w:after="0"/>
              <w:rPr>
                <w:sz w:val="10"/>
                <w:szCs w:val="10"/>
                <w:color w:val="auto"/>
              </w:rPr>
            </w:pPr>
          </w:p>
        </w:tc>
        <w:tc>
          <w:tcPr>
            <w:tcW w:w="122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2"/>
              </w:rPr>
              <w:t>Exhibit Description</w:t>
            </w:r>
          </w:p>
        </w:tc>
        <w:tc>
          <w:tcPr>
            <w:tcW w:w="2480" w:type="dxa"/>
            <w:vAlign w:val="bottom"/>
            <w:vMerge w:val="restart"/>
          </w:tcPr>
          <w:p>
            <w:pPr>
              <w:spacing w:after="0"/>
              <w:rPr>
                <w:sz w:val="10"/>
                <w:szCs w:val="10"/>
                <w:color w:val="auto"/>
              </w:rPr>
            </w:pPr>
          </w:p>
        </w:tc>
        <w:tc>
          <w:tcPr>
            <w:tcW w:w="340" w:type="dxa"/>
            <w:vAlign w:val="bottom"/>
            <w:vMerge w:val="restart"/>
          </w:tcPr>
          <w:p>
            <w:pPr>
              <w:spacing w:after="0"/>
              <w:rPr>
                <w:sz w:val="20"/>
                <w:szCs w:val="20"/>
                <w:color w:val="auto"/>
              </w:rPr>
            </w:pPr>
            <w:r>
              <w:rPr>
                <w:rFonts w:ascii="Arial" w:cs="Arial" w:eastAsia="Arial" w:hAnsi="Arial"/>
                <w:sz w:val="14"/>
                <w:szCs w:val="14"/>
                <w:b w:val="1"/>
                <w:bCs w:val="1"/>
                <w:color w:val="auto"/>
                <w:w w:val="91"/>
              </w:rPr>
              <w:t>Form</w:t>
            </w:r>
          </w:p>
        </w:tc>
        <w:tc>
          <w:tcPr>
            <w:tcW w:w="480" w:type="dxa"/>
            <w:vAlign w:val="bottom"/>
          </w:tcPr>
          <w:p>
            <w:pPr>
              <w:spacing w:after="0"/>
              <w:rPr>
                <w:sz w:val="10"/>
                <w:szCs w:val="10"/>
                <w:color w:val="auto"/>
              </w:rPr>
            </w:pPr>
          </w:p>
        </w:tc>
        <w:tc>
          <w:tcPr>
            <w:tcW w:w="480" w:type="dxa"/>
            <w:vAlign w:val="bottom"/>
            <w:vMerge w:val="restart"/>
          </w:tcPr>
          <w:p>
            <w:pPr>
              <w:spacing w:after="0"/>
              <w:rPr>
                <w:sz w:val="20"/>
                <w:szCs w:val="20"/>
                <w:color w:val="auto"/>
              </w:rPr>
            </w:pPr>
            <w:r>
              <w:rPr>
                <w:rFonts w:ascii="Arial" w:cs="Arial" w:eastAsia="Arial" w:hAnsi="Arial"/>
                <w:sz w:val="14"/>
                <w:szCs w:val="14"/>
                <w:b w:val="1"/>
                <w:bCs w:val="1"/>
                <w:color w:val="auto"/>
                <w:w w:val="90"/>
              </w:rPr>
              <w:t>File No.</w:t>
            </w:r>
          </w:p>
        </w:tc>
        <w:tc>
          <w:tcPr>
            <w:tcW w:w="480" w:type="dxa"/>
            <w:vAlign w:val="bottom"/>
          </w:tcPr>
          <w:p>
            <w:pPr>
              <w:spacing w:after="0"/>
              <w:rPr>
                <w:sz w:val="10"/>
                <w:szCs w:val="10"/>
                <w:color w:val="auto"/>
              </w:rPr>
            </w:pPr>
          </w:p>
        </w:tc>
        <w:tc>
          <w:tcPr>
            <w:tcW w:w="4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Exhibit</w:t>
            </w:r>
          </w:p>
        </w:tc>
        <w:tc>
          <w:tcPr>
            <w:tcW w:w="460" w:type="dxa"/>
            <w:vAlign w:val="bottom"/>
          </w:tcPr>
          <w:p>
            <w:pPr>
              <w:spacing w:after="0"/>
              <w:rPr>
                <w:sz w:val="10"/>
                <w:szCs w:val="10"/>
                <w:color w:val="auto"/>
              </w:rPr>
            </w:pPr>
          </w:p>
        </w:tc>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94"/>
              </w:rPr>
              <w:t>Filing Date</w:t>
            </w:r>
          </w:p>
        </w:tc>
        <w:tc>
          <w:tcPr>
            <w:tcW w:w="460" w:type="dxa"/>
            <w:vAlign w:val="bottom"/>
          </w:tcPr>
          <w:p>
            <w:pPr>
              <w:spacing w:after="0"/>
              <w:rPr>
                <w:sz w:val="10"/>
                <w:szCs w:val="10"/>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Filed Herewith</w:t>
            </w:r>
          </w:p>
        </w:tc>
        <w:tc>
          <w:tcPr>
            <w:tcW w:w="0" w:type="dxa"/>
            <w:vAlign w:val="bottom"/>
          </w:tcPr>
          <w:p>
            <w:pPr>
              <w:spacing w:after="0"/>
              <w:rPr>
                <w:sz w:val="1"/>
                <w:szCs w:val="1"/>
                <w:color w:val="auto"/>
              </w:rPr>
            </w:pPr>
          </w:p>
        </w:tc>
      </w:tr>
      <w:tr>
        <w:trPr>
          <w:trHeight w:val="185"/>
        </w:trPr>
        <w:tc>
          <w:tcPr>
            <w:tcW w:w="4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No.</w:t>
            </w:r>
          </w:p>
        </w:tc>
        <w:tc>
          <w:tcPr>
            <w:tcW w:w="2460" w:type="dxa"/>
            <w:vAlign w:val="bottom"/>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2480" w:type="dxa"/>
            <w:vAlign w:val="bottom"/>
            <w:vMerge w:val="continue"/>
          </w:tcPr>
          <w:p>
            <w:pPr>
              <w:spacing w:after="0"/>
              <w:rPr>
                <w:sz w:val="16"/>
                <w:szCs w:val="16"/>
                <w:color w:val="auto"/>
              </w:rPr>
            </w:pPr>
          </w:p>
        </w:tc>
        <w:tc>
          <w:tcPr>
            <w:tcW w:w="340" w:type="dxa"/>
            <w:vAlign w:val="bottom"/>
            <w:tcBorders>
              <w:bottom w:val="single" w:sz="8" w:color="auto"/>
            </w:tcBorders>
            <w:vMerge w:val="continue"/>
          </w:tcPr>
          <w:p>
            <w:pPr>
              <w:spacing w:after="0"/>
              <w:rPr>
                <w:sz w:val="16"/>
                <w:szCs w:val="16"/>
                <w:color w:val="auto"/>
              </w:rPr>
            </w:pPr>
          </w:p>
        </w:tc>
        <w:tc>
          <w:tcPr>
            <w:tcW w:w="480" w:type="dxa"/>
            <w:vAlign w:val="bottom"/>
          </w:tcPr>
          <w:p>
            <w:pPr>
              <w:spacing w:after="0"/>
              <w:rPr>
                <w:sz w:val="16"/>
                <w:szCs w:val="16"/>
                <w:color w:val="auto"/>
              </w:rPr>
            </w:pPr>
          </w:p>
        </w:tc>
        <w:tc>
          <w:tcPr>
            <w:tcW w:w="480" w:type="dxa"/>
            <w:vAlign w:val="bottom"/>
            <w:tcBorders>
              <w:bottom w:val="single" w:sz="8" w:color="auto"/>
            </w:tcBorders>
            <w:vMerge w:val="continue"/>
          </w:tcPr>
          <w:p>
            <w:pPr>
              <w:spacing w:after="0"/>
              <w:rPr>
                <w:sz w:val="16"/>
                <w:szCs w:val="16"/>
                <w:color w:val="auto"/>
              </w:rPr>
            </w:pPr>
          </w:p>
        </w:tc>
        <w:tc>
          <w:tcPr>
            <w:tcW w:w="480" w:type="dxa"/>
            <w:vAlign w:val="bottom"/>
          </w:tcPr>
          <w:p>
            <w:pPr>
              <w:spacing w:after="0"/>
              <w:rPr>
                <w:sz w:val="16"/>
                <w:szCs w:val="16"/>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No.</w:t>
            </w:r>
          </w:p>
        </w:tc>
        <w:tc>
          <w:tcPr>
            <w:tcW w:w="460" w:type="dxa"/>
            <w:vAlign w:val="bottom"/>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460" w:type="dxa"/>
            <w:vAlign w:val="bottom"/>
          </w:tcPr>
          <w:p>
            <w:pPr>
              <w:spacing w:after="0"/>
              <w:rPr>
                <w:sz w:val="20"/>
                <w:szCs w:val="20"/>
                <w:color w:val="auto"/>
              </w:rPr>
            </w:pPr>
            <w:r>
              <w:rPr>
                <w:rFonts w:ascii="Arial" w:cs="Arial" w:eastAsia="Arial" w:hAnsi="Arial"/>
                <w:sz w:val="18"/>
                <w:szCs w:val="18"/>
                <w:color w:val="auto"/>
              </w:rPr>
              <w:t>23.1</w:t>
            </w:r>
          </w:p>
        </w:tc>
        <w:tc>
          <w:tcPr>
            <w:tcW w:w="6160" w:type="dxa"/>
            <w:vAlign w:val="bottom"/>
            <w:gridSpan w:val="3"/>
          </w:tcPr>
          <w:p>
            <w:pPr>
              <w:ind w:left="420"/>
              <w:spacing w:after="0"/>
              <w:rPr>
                <w:sz w:val="20"/>
                <w:szCs w:val="20"/>
                <w:color w:val="auto"/>
              </w:rPr>
            </w:pPr>
            <w:r>
              <w:rPr>
                <w:rFonts w:ascii="Arial" w:cs="Arial" w:eastAsia="Arial" w:hAnsi="Arial"/>
                <w:sz w:val="18"/>
                <w:szCs w:val="18"/>
                <w:color w:val="auto"/>
                <w:w w:val="99"/>
              </w:rPr>
              <w:t>Consent of PricewaterhouseCoopers LLP, independent registered public</w:t>
            </w: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6160" w:type="dxa"/>
            <w:vAlign w:val="bottom"/>
            <w:gridSpan w:val="3"/>
          </w:tcPr>
          <w:p>
            <w:pPr>
              <w:ind w:left="420"/>
              <w:spacing w:after="0"/>
              <w:rPr>
                <w:sz w:val="20"/>
                <w:szCs w:val="20"/>
                <w:color w:val="auto"/>
              </w:rPr>
            </w:pPr>
            <w:r>
              <w:rPr>
                <w:rFonts w:ascii="Arial" w:cs="Arial" w:eastAsia="Arial" w:hAnsi="Arial"/>
                <w:sz w:val="18"/>
                <w:szCs w:val="18"/>
                <w:color w:val="auto"/>
              </w:rPr>
              <w:t>accounting firm.</w:t>
            </w: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10"/>
        </w:trPr>
        <w:tc>
          <w:tcPr>
            <w:tcW w:w="460" w:type="dxa"/>
            <w:vAlign w:val="bottom"/>
          </w:tcPr>
          <w:p>
            <w:pPr>
              <w:spacing w:after="0"/>
              <w:rPr>
                <w:sz w:val="20"/>
                <w:szCs w:val="20"/>
                <w:color w:val="auto"/>
              </w:rPr>
            </w:pPr>
            <w:r>
              <w:rPr>
                <w:rFonts w:ascii="Arial" w:cs="Arial" w:eastAsia="Arial" w:hAnsi="Arial"/>
                <w:sz w:val="18"/>
                <w:szCs w:val="18"/>
                <w:color w:val="auto"/>
              </w:rPr>
              <w:t>23.2</w:t>
            </w:r>
          </w:p>
        </w:tc>
        <w:tc>
          <w:tcPr>
            <w:tcW w:w="6160" w:type="dxa"/>
            <w:vAlign w:val="bottom"/>
            <w:gridSpan w:val="3"/>
          </w:tcPr>
          <w:p>
            <w:pPr>
              <w:ind w:left="420"/>
              <w:spacing w:after="0"/>
              <w:rPr>
                <w:sz w:val="20"/>
                <w:szCs w:val="20"/>
                <w:color w:val="auto"/>
              </w:rPr>
            </w:pPr>
            <w:r>
              <w:rPr>
                <w:rFonts w:ascii="Arial" w:cs="Arial" w:eastAsia="Arial" w:hAnsi="Arial"/>
                <w:sz w:val="18"/>
                <w:szCs w:val="18"/>
                <w:color w:val="auto"/>
              </w:rPr>
              <w:t>Consent of Ernst &amp; Young LLP, independent registered public</w:t>
            </w: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6160" w:type="dxa"/>
            <w:vAlign w:val="bottom"/>
            <w:gridSpan w:val="3"/>
          </w:tcPr>
          <w:p>
            <w:pPr>
              <w:ind w:left="420"/>
              <w:spacing w:after="0"/>
              <w:rPr>
                <w:sz w:val="20"/>
                <w:szCs w:val="20"/>
                <w:color w:val="auto"/>
              </w:rPr>
            </w:pPr>
            <w:r>
              <w:rPr>
                <w:rFonts w:ascii="Arial" w:cs="Arial" w:eastAsia="Arial" w:hAnsi="Arial"/>
                <w:sz w:val="18"/>
                <w:szCs w:val="18"/>
                <w:color w:val="auto"/>
              </w:rPr>
              <w:t>accounting firm.</w:t>
            </w: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10"/>
        </w:trPr>
        <w:tc>
          <w:tcPr>
            <w:tcW w:w="460" w:type="dxa"/>
            <w:vAlign w:val="bottom"/>
          </w:tcPr>
          <w:p>
            <w:pPr>
              <w:spacing w:after="0"/>
              <w:rPr>
                <w:sz w:val="20"/>
                <w:szCs w:val="20"/>
                <w:color w:val="auto"/>
              </w:rPr>
            </w:pPr>
            <w:r>
              <w:rPr>
                <w:rFonts w:ascii="Arial" w:cs="Arial" w:eastAsia="Arial" w:hAnsi="Arial"/>
                <w:sz w:val="18"/>
                <w:szCs w:val="18"/>
                <w:color w:val="auto"/>
              </w:rPr>
              <w:t>23.3</w:t>
            </w:r>
          </w:p>
        </w:tc>
        <w:tc>
          <w:tcPr>
            <w:tcW w:w="6160" w:type="dxa"/>
            <w:vAlign w:val="bottom"/>
            <w:gridSpan w:val="3"/>
          </w:tcPr>
          <w:p>
            <w:pPr>
              <w:ind w:left="420"/>
              <w:spacing w:after="0"/>
              <w:rPr>
                <w:sz w:val="20"/>
                <w:szCs w:val="20"/>
                <w:color w:val="auto"/>
              </w:rPr>
            </w:pPr>
            <w:r>
              <w:rPr>
                <w:rFonts w:ascii="Arial" w:cs="Arial" w:eastAsia="Arial" w:hAnsi="Arial"/>
                <w:sz w:val="18"/>
                <w:szCs w:val="18"/>
                <w:color w:val="auto"/>
              </w:rPr>
              <w:t>Consent of Wilson Sonsini Goodrich &amp; Rosati, Professional Corporation</w:t>
            </w: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6160" w:type="dxa"/>
            <w:vAlign w:val="bottom"/>
            <w:gridSpan w:val="3"/>
          </w:tcPr>
          <w:p>
            <w:pPr>
              <w:ind w:left="420"/>
              <w:spacing w:after="0"/>
              <w:rPr>
                <w:sz w:val="20"/>
                <w:szCs w:val="20"/>
                <w:color w:val="auto"/>
              </w:rPr>
            </w:pPr>
            <w:r>
              <w:rPr>
                <w:rFonts w:ascii="Arial" w:cs="Arial" w:eastAsia="Arial" w:hAnsi="Arial"/>
                <w:sz w:val="18"/>
                <w:szCs w:val="18"/>
                <w:color w:val="auto"/>
              </w:rPr>
              <w:t>(included in Exhibit 5.1).</w:t>
            </w: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24.1</w:t>
            </w:r>
          </w:p>
        </w:tc>
        <w:tc>
          <w:tcPr>
            <w:tcW w:w="6160" w:type="dxa"/>
            <w:vAlign w:val="bottom"/>
            <w:gridSpan w:val="3"/>
          </w:tcPr>
          <w:p>
            <w:pPr>
              <w:ind w:left="420"/>
              <w:spacing w:after="0"/>
              <w:rPr>
                <w:sz w:val="20"/>
                <w:szCs w:val="20"/>
                <w:color w:val="auto"/>
              </w:rPr>
            </w:pPr>
            <w:r>
              <w:rPr>
                <w:rFonts w:ascii="Arial" w:cs="Arial" w:eastAsia="Arial" w:hAnsi="Arial"/>
                <w:sz w:val="18"/>
                <w:szCs w:val="18"/>
                <w:color w:val="auto"/>
              </w:rPr>
              <w:t>Power of Attorney (included on signature page).</w:t>
            </w: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10"/>
        </w:trPr>
        <w:tc>
          <w:tcPr>
            <w:tcW w:w="460" w:type="dxa"/>
            <w:vAlign w:val="bottom"/>
          </w:tcPr>
          <w:p>
            <w:pPr>
              <w:spacing w:after="0"/>
              <w:rPr>
                <w:sz w:val="20"/>
                <w:szCs w:val="20"/>
                <w:color w:val="auto"/>
              </w:rPr>
            </w:pPr>
            <w:r>
              <w:rPr>
                <w:rFonts w:ascii="Arial" w:cs="Arial" w:eastAsia="Arial" w:hAnsi="Arial"/>
                <w:sz w:val="18"/>
                <w:szCs w:val="18"/>
                <w:color w:val="auto"/>
              </w:rPr>
              <w:t>25.1*</w:t>
            </w:r>
          </w:p>
        </w:tc>
        <w:tc>
          <w:tcPr>
            <w:tcW w:w="6160" w:type="dxa"/>
            <w:vAlign w:val="bottom"/>
            <w:gridSpan w:val="3"/>
          </w:tcPr>
          <w:p>
            <w:pPr>
              <w:ind w:left="420"/>
              <w:spacing w:after="0"/>
              <w:rPr>
                <w:sz w:val="20"/>
                <w:szCs w:val="20"/>
                <w:color w:val="auto"/>
              </w:rPr>
            </w:pPr>
            <w:r>
              <w:rPr>
                <w:rFonts w:ascii="Arial" w:cs="Arial" w:eastAsia="Arial" w:hAnsi="Arial"/>
                <w:sz w:val="18"/>
                <w:szCs w:val="18"/>
                <w:color w:val="auto"/>
              </w:rPr>
              <w:t>Form T-1 Statement of Eligibility of Trustee for Senior Indenture under</w:t>
            </w: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6160" w:type="dxa"/>
            <w:vAlign w:val="bottom"/>
            <w:gridSpan w:val="3"/>
          </w:tcPr>
          <w:p>
            <w:pPr>
              <w:ind w:left="420"/>
              <w:spacing w:after="0"/>
              <w:rPr>
                <w:sz w:val="20"/>
                <w:szCs w:val="20"/>
                <w:color w:val="auto"/>
              </w:rPr>
            </w:pPr>
            <w:r>
              <w:rPr>
                <w:rFonts w:ascii="Arial" w:cs="Arial" w:eastAsia="Arial" w:hAnsi="Arial"/>
                <w:sz w:val="18"/>
                <w:szCs w:val="18"/>
                <w:color w:val="auto"/>
              </w:rPr>
              <w:t>the Trust Indenture Act of 1939.</w:t>
            </w: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460" w:type="dxa"/>
            <w:vAlign w:val="bottom"/>
          </w:tcPr>
          <w:p>
            <w:pPr>
              <w:spacing w:after="0"/>
              <w:rPr>
                <w:sz w:val="20"/>
                <w:szCs w:val="20"/>
                <w:color w:val="auto"/>
              </w:rPr>
            </w:pPr>
            <w:r>
              <w:rPr>
                <w:rFonts w:ascii="Arial" w:cs="Arial" w:eastAsia="Arial" w:hAnsi="Arial"/>
                <w:sz w:val="18"/>
                <w:szCs w:val="18"/>
                <w:color w:val="auto"/>
              </w:rPr>
              <w:t>25.2*</w:t>
            </w:r>
          </w:p>
        </w:tc>
        <w:tc>
          <w:tcPr>
            <w:tcW w:w="6160" w:type="dxa"/>
            <w:vAlign w:val="bottom"/>
            <w:gridSpan w:val="3"/>
          </w:tcPr>
          <w:p>
            <w:pPr>
              <w:ind w:left="420"/>
              <w:spacing w:after="0"/>
              <w:rPr>
                <w:sz w:val="20"/>
                <w:szCs w:val="20"/>
                <w:color w:val="auto"/>
              </w:rPr>
            </w:pPr>
            <w:r>
              <w:rPr>
                <w:rFonts w:ascii="Arial" w:cs="Arial" w:eastAsia="Arial" w:hAnsi="Arial"/>
                <w:sz w:val="18"/>
                <w:szCs w:val="18"/>
                <w:color w:val="auto"/>
              </w:rPr>
              <w:t>Form T-1 Statement of Eligibility of Trustee for Subordinated Indenture</w:t>
            </w: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6160" w:type="dxa"/>
            <w:vAlign w:val="bottom"/>
            <w:gridSpan w:val="3"/>
          </w:tcPr>
          <w:p>
            <w:pPr>
              <w:ind w:left="420"/>
              <w:spacing w:after="0"/>
              <w:rPr>
                <w:sz w:val="20"/>
                <w:szCs w:val="20"/>
                <w:color w:val="auto"/>
              </w:rPr>
            </w:pPr>
            <w:r>
              <w:rPr>
                <w:rFonts w:ascii="Arial" w:cs="Arial" w:eastAsia="Arial" w:hAnsi="Arial"/>
                <w:sz w:val="18"/>
                <w:szCs w:val="18"/>
                <w:color w:val="auto"/>
              </w:rPr>
              <w:t>under the Trust Indenture Act of 1939.</w:t>
            </w: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220" w:right="780" w:hanging="212"/>
        <w:spacing w:after="0" w:line="277" w:lineRule="auto"/>
        <w:tabs>
          <w:tab w:leader="none" w:pos="2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 be filed by amendment or as an exhibit to a report pursuant to Section 13(a) or 15(d) of the Securities Exchange Act of 1934, as amended and incorporated herein by reference.</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5"/>
          <w:szCs w:val="15"/>
          <w:b w:val="1"/>
          <w:bCs w:val="1"/>
          <w:i w:val="1"/>
          <w:iCs w:val="1"/>
          <w:color w:val="auto"/>
        </w:rPr>
        <w:t>Undertakings</w:t>
      </w:r>
    </w:p>
    <w:p>
      <w:pPr>
        <w:spacing w:after="0" w:line="121" w:lineRule="exact"/>
        <w:rPr>
          <w:sz w:val="20"/>
          <w:szCs w:val="20"/>
          <w:color w:val="auto"/>
        </w:rPr>
      </w:pPr>
    </w:p>
    <w:p>
      <w:pPr>
        <w:ind w:left="1300" w:hanging="379"/>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17" w:lineRule="exact"/>
        <w:rPr>
          <w:rFonts w:ascii="Arial" w:cs="Arial" w:eastAsia="Arial" w:hAnsi="Arial"/>
          <w:sz w:val="18"/>
          <w:szCs w:val="18"/>
          <w:color w:val="auto"/>
        </w:rPr>
      </w:pPr>
    </w:p>
    <w:p>
      <w:pPr>
        <w:ind w:left="1720" w:hanging="379"/>
        <w:spacing w:after="0"/>
        <w:tabs>
          <w:tab w:leader="none" w:pos="1720" w:val="left"/>
        </w:tabs>
        <w:numPr>
          <w:ilvl w:val="1"/>
          <w:numId w:val="37"/>
        </w:numPr>
        <w:rPr>
          <w:rFonts w:ascii="Arial" w:cs="Arial" w:eastAsia="Arial" w:hAnsi="Arial"/>
          <w:sz w:val="17"/>
          <w:szCs w:val="17"/>
          <w:color w:val="auto"/>
        </w:rPr>
      </w:pPr>
      <w:r>
        <w:rPr>
          <w:rFonts w:ascii="Arial" w:cs="Arial" w:eastAsia="Arial" w:hAnsi="Arial"/>
          <w:sz w:val="17"/>
          <w:szCs w:val="17"/>
          <w:color w:val="auto"/>
        </w:rPr>
        <w:t>To file, during any period in which offers or sales are being made, a post-effective amendment to this registration statement:</w:t>
      </w:r>
    </w:p>
    <w:p>
      <w:pPr>
        <w:spacing w:after="0" w:line="128" w:lineRule="exact"/>
        <w:rPr>
          <w:rFonts w:ascii="Arial" w:cs="Arial" w:eastAsia="Arial" w:hAnsi="Arial"/>
          <w:sz w:val="17"/>
          <w:szCs w:val="17"/>
          <w:color w:val="auto"/>
        </w:rPr>
      </w:pPr>
    </w:p>
    <w:p>
      <w:pPr>
        <w:ind w:left="2240" w:hanging="351"/>
        <w:spacing w:after="0"/>
        <w:tabs>
          <w:tab w:leader="none" w:pos="2240" w:val="left"/>
        </w:tabs>
        <w:numPr>
          <w:ilvl w:val="2"/>
          <w:numId w:val="37"/>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17" w:lineRule="exact"/>
        <w:rPr>
          <w:rFonts w:ascii="Arial" w:cs="Arial" w:eastAsia="Arial" w:hAnsi="Arial"/>
          <w:sz w:val="18"/>
          <w:szCs w:val="18"/>
          <w:color w:val="auto"/>
        </w:rPr>
      </w:pPr>
    </w:p>
    <w:p>
      <w:pPr>
        <w:ind w:left="1500" w:right="60" w:firstLine="389"/>
        <w:spacing w:after="0" w:line="272" w:lineRule="auto"/>
        <w:tabs>
          <w:tab w:leader="none" w:pos="2294" w:val="left"/>
        </w:tabs>
        <w:numPr>
          <w:ilvl w:val="2"/>
          <w:numId w:val="37"/>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69" w:lineRule="exact"/>
        <w:rPr>
          <w:rFonts w:ascii="Arial" w:cs="Arial" w:eastAsia="Arial" w:hAnsi="Arial"/>
          <w:sz w:val="17"/>
          <w:szCs w:val="17"/>
          <w:color w:val="auto"/>
        </w:rPr>
      </w:pPr>
    </w:p>
    <w:p>
      <w:pPr>
        <w:ind w:left="1500" w:right="580" w:firstLine="389"/>
        <w:spacing w:after="0" w:line="277" w:lineRule="auto"/>
        <w:tabs>
          <w:tab w:leader="none" w:pos="2344" w:val="left"/>
        </w:tabs>
        <w:numPr>
          <w:ilvl w:val="2"/>
          <w:numId w:val="37"/>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2" w:lineRule="exact"/>
        <w:rPr>
          <w:sz w:val="20"/>
          <w:szCs w:val="20"/>
          <w:color w:val="auto"/>
        </w:rPr>
      </w:pPr>
    </w:p>
    <w:p>
      <w:pPr>
        <w:ind w:left="920"/>
        <w:spacing w:after="0" w:line="291" w:lineRule="auto"/>
        <w:rPr>
          <w:sz w:val="20"/>
          <w:szCs w:val="20"/>
          <w:color w:val="auto"/>
        </w:rPr>
      </w:pPr>
      <w:r>
        <w:rPr>
          <w:rFonts w:ascii="Arial" w:cs="Arial" w:eastAsia="Arial" w:hAnsi="Arial"/>
          <w:sz w:val="16"/>
          <w:szCs w:val="16"/>
          <w:i w:val="1"/>
          <w:iCs w:val="1"/>
          <w:color w:val="auto"/>
        </w:rPr>
        <w:t>provided, however</w:t>
      </w:r>
      <w:r>
        <w:rPr>
          <w:rFonts w:ascii="Arial" w:cs="Arial" w:eastAsia="Arial" w:hAnsi="Arial"/>
          <w:sz w:val="16"/>
          <w:szCs w:val="16"/>
          <w:color w:val="auto"/>
        </w:rPr>
        <w:t>, that paragraphs (a)(1)(i) and (a)(1)(ii) of this section do not apply if the information required to be included in a post-effective</w:t>
      </w:r>
      <w:r>
        <w:rPr>
          <w:rFonts w:ascii="Arial" w:cs="Arial" w:eastAsia="Arial" w:hAnsi="Arial"/>
          <w:sz w:val="16"/>
          <w:szCs w:val="16"/>
          <w:i w:val="1"/>
          <w:iCs w:val="1"/>
          <w:color w:val="auto"/>
        </w:rPr>
        <w:t xml:space="preserve"> </w:t>
      </w:r>
      <w:r>
        <w:rPr>
          <w:rFonts w:ascii="Arial" w:cs="Arial" w:eastAsia="Arial" w:hAnsi="Arial"/>
          <w:sz w:val="16"/>
          <w:szCs w:val="16"/>
          <w:color w:val="auto"/>
        </w:rPr>
        <w:t>amendment by those paragraphs is contained in reports filed with or furnished to the SEC by the registrant pursuant to Section 13 or</w:t>
      </w:r>
    </w:p>
    <w:p>
      <w:pPr>
        <w:ind w:left="920" w:right="80"/>
        <w:spacing w:after="0" w:line="261" w:lineRule="auto"/>
        <w:rPr>
          <w:sz w:val="20"/>
          <w:szCs w:val="20"/>
          <w:color w:val="auto"/>
        </w:rPr>
      </w:pPr>
      <w:r>
        <w:rPr>
          <w:rFonts w:ascii="Arial" w:cs="Arial" w:eastAsia="Arial" w:hAnsi="Arial"/>
          <w:sz w:val="18"/>
          <w:szCs w:val="18"/>
          <w:color w:val="auto"/>
        </w:rPr>
        <w:t>Section 15(d) of the Securities Exchange Act of 1934 that are incorporated by reference in the registration statement, or is contained in a form of prospectus filed pursuant to Rule 424(b) that is part of the registration statement.</w:t>
      </w:r>
    </w:p>
    <w:p>
      <w:pPr>
        <w:spacing w:after="0" w:line="76" w:lineRule="exact"/>
        <w:rPr>
          <w:sz w:val="20"/>
          <w:szCs w:val="20"/>
          <w:color w:val="auto"/>
        </w:rPr>
      </w:pPr>
    </w:p>
    <w:p>
      <w:pPr>
        <w:ind w:left="920" w:firstLine="421"/>
        <w:spacing w:after="0" w:line="264" w:lineRule="auto"/>
        <w:tabs>
          <w:tab w:leader="none" w:pos="1726"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firstLine="421"/>
        <w:spacing w:after="0" w:line="277" w:lineRule="auto"/>
        <w:tabs>
          <w:tab w:leader="none" w:pos="1726"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62" w:lineRule="exact"/>
        <w:rPr>
          <w:rFonts w:ascii="Arial" w:cs="Arial" w:eastAsia="Arial" w:hAnsi="Arial"/>
          <w:sz w:val="18"/>
          <w:szCs w:val="18"/>
          <w:color w:val="auto"/>
        </w:rPr>
      </w:pPr>
    </w:p>
    <w:p>
      <w:pPr>
        <w:ind w:left="1720" w:hanging="379"/>
        <w:spacing w:after="0"/>
        <w:tabs>
          <w:tab w:leader="none" w:pos="17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117"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(i) If the registrant is relying on Rule 430B,</w:t>
      </w:r>
    </w:p>
    <w:p>
      <w:pPr>
        <w:spacing w:after="0" w:line="117" w:lineRule="exact"/>
        <w:rPr>
          <w:sz w:val="20"/>
          <w:szCs w:val="20"/>
          <w:color w:val="auto"/>
        </w:rPr>
      </w:pPr>
    </w:p>
    <w:p>
      <w:pPr>
        <w:ind w:left="1500" w:right="160" w:firstLine="389"/>
        <w:spacing w:after="0" w:line="277" w:lineRule="auto"/>
        <w:tabs>
          <w:tab w:leader="none" w:pos="2327" w:val="left"/>
        </w:tabs>
        <w:numPr>
          <w:ilvl w:val="0"/>
          <w:numId w:val="40"/>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62" w:lineRule="exact"/>
        <w:rPr>
          <w:rFonts w:ascii="Arial" w:cs="Arial" w:eastAsia="Arial" w:hAnsi="Arial"/>
          <w:sz w:val="18"/>
          <w:szCs w:val="18"/>
          <w:color w:val="auto"/>
        </w:rPr>
      </w:pPr>
    </w:p>
    <w:p>
      <w:pPr>
        <w:ind w:left="1500" w:right="40" w:firstLine="389"/>
        <w:spacing w:after="0" w:line="269" w:lineRule="auto"/>
        <w:tabs>
          <w:tab w:leader="none" w:pos="2317" w:val="left"/>
        </w:tabs>
        <w:numPr>
          <w:ilvl w:val="0"/>
          <w:numId w:val="40"/>
        </w:numPr>
        <w:rPr>
          <w:rFonts w:ascii="Arial" w:cs="Arial" w:eastAsia="Arial" w:hAnsi="Arial"/>
          <w:sz w:val="17"/>
          <w:szCs w:val="17"/>
          <w:color w:val="auto"/>
        </w:rPr>
      </w:pPr>
      <w:r>
        <w:rPr>
          <w:rFonts w:ascii="Arial" w:cs="Arial" w:eastAsia="Arial" w:hAnsi="Arial"/>
          <w:sz w:val="17"/>
          <w:szCs w:val="17"/>
          <w:color w:val="auto"/>
        </w:rPr>
        <w:t>Each prospectus required to be filed pursuant to Rule 424(b)(2), (b)(5) or (b)(7) as part of a registration statement in reliance on Rule 430B relating to an offering made pursuant to Rule 415(a)(l)(i),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the effective date; or</w:t>
      </w:r>
    </w:p>
    <w:p>
      <w:pPr>
        <w:spacing w:after="0" w:line="72" w:lineRule="exact"/>
        <w:rPr>
          <w:sz w:val="20"/>
          <w:szCs w:val="20"/>
          <w:color w:val="auto"/>
        </w:rPr>
      </w:pPr>
    </w:p>
    <w:p>
      <w:pPr>
        <w:ind w:left="1500" w:firstLine="389"/>
        <w:spacing w:after="0" w:line="254" w:lineRule="auto"/>
        <w:tabs>
          <w:tab w:leader="none" w:pos="2162" w:val="left"/>
        </w:tabs>
        <w:numPr>
          <w:ilvl w:val="1"/>
          <w:numId w:val="41"/>
        </w:numPr>
        <w:rPr>
          <w:rFonts w:ascii="Arial" w:cs="Arial" w:eastAsia="Arial" w:hAnsi="Arial"/>
          <w:sz w:val="18"/>
          <w:szCs w:val="18"/>
          <w:color w:val="auto"/>
        </w:rPr>
      </w:pPr>
      <w:r>
        <w:rPr>
          <w:rFonts w:ascii="Arial" w:cs="Arial" w:eastAsia="Arial" w:hAnsi="Arial"/>
          <w:sz w:val="18"/>
          <w:szCs w:val="18"/>
          <w:color w:val="auto"/>
        </w:rPr>
        <w:t xml:space="preserve">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84" w:lineRule="exact"/>
        <w:rPr>
          <w:rFonts w:ascii="Arial" w:cs="Arial" w:eastAsia="Arial" w:hAnsi="Arial"/>
          <w:sz w:val="18"/>
          <w:szCs w:val="18"/>
          <w:color w:val="auto"/>
        </w:rPr>
      </w:pPr>
    </w:p>
    <w:p>
      <w:pPr>
        <w:ind w:left="920" w:firstLine="421"/>
        <w:spacing w:after="0" w:line="257" w:lineRule="auto"/>
        <w:tabs>
          <w:tab w:leader="none" w:pos="1726"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and sell such securities to such purchaser:</w:t>
      </w:r>
    </w:p>
    <w:p>
      <w:pPr>
        <w:spacing w:after="0" w:line="80" w:lineRule="exact"/>
        <w:rPr>
          <w:rFonts w:ascii="Arial" w:cs="Arial" w:eastAsia="Arial" w:hAnsi="Arial"/>
          <w:sz w:val="18"/>
          <w:szCs w:val="18"/>
          <w:color w:val="auto"/>
        </w:rPr>
      </w:pPr>
    </w:p>
    <w:p>
      <w:pPr>
        <w:ind w:left="2220" w:hanging="331"/>
        <w:spacing w:after="0"/>
        <w:tabs>
          <w:tab w:leader="none" w:pos="2220" w:val="left"/>
        </w:tabs>
        <w:numPr>
          <w:ilvl w:val="1"/>
          <w:numId w:val="42"/>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w:t>
      </w:r>
    </w:p>
    <w:p>
      <w:pPr>
        <w:spacing w:after="0" w:line="46" w:lineRule="exact"/>
        <w:rPr>
          <w:rFonts w:ascii="Arial" w:cs="Arial" w:eastAsia="Arial" w:hAnsi="Arial"/>
          <w:sz w:val="16"/>
          <w:szCs w:val="16"/>
          <w:color w:val="auto"/>
        </w:rPr>
      </w:pPr>
    </w:p>
    <w:p>
      <w:pPr>
        <w:ind w:left="1500"/>
        <w:spacing w:after="0"/>
        <w:rPr>
          <w:rFonts w:ascii="Arial" w:cs="Arial" w:eastAsia="Arial" w:hAnsi="Arial"/>
          <w:sz w:val="16"/>
          <w:szCs w:val="16"/>
          <w:color w:val="auto"/>
        </w:rPr>
      </w:pPr>
      <w:r>
        <w:rPr>
          <w:rFonts w:ascii="Arial" w:cs="Arial" w:eastAsia="Arial" w:hAnsi="Arial"/>
          <w:sz w:val="18"/>
          <w:szCs w:val="18"/>
          <w:color w:val="auto"/>
        </w:rPr>
        <w:t>Rule 424;</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500" w:right="140" w:firstLine="389"/>
        <w:spacing w:after="0" w:line="277" w:lineRule="auto"/>
        <w:tabs>
          <w:tab w:leader="none" w:pos="2287"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62" w:lineRule="exact"/>
        <w:rPr>
          <w:rFonts w:ascii="Arial" w:cs="Arial" w:eastAsia="Arial" w:hAnsi="Arial"/>
          <w:sz w:val="18"/>
          <w:szCs w:val="18"/>
          <w:color w:val="auto"/>
        </w:rPr>
      </w:pPr>
    </w:p>
    <w:p>
      <w:pPr>
        <w:ind w:left="1500" w:right="900" w:firstLine="389"/>
        <w:spacing w:after="0" w:line="277" w:lineRule="auto"/>
        <w:tabs>
          <w:tab w:leader="none" w:pos="2344"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62" w:lineRule="exact"/>
        <w:rPr>
          <w:rFonts w:ascii="Arial" w:cs="Arial" w:eastAsia="Arial" w:hAnsi="Arial"/>
          <w:sz w:val="18"/>
          <w:szCs w:val="18"/>
          <w:color w:val="auto"/>
        </w:rPr>
      </w:pPr>
    </w:p>
    <w:p>
      <w:pPr>
        <w:ind w:left="2320" w:hanging="431"/>
        <w:spacing w:after="0"/>
        <w:tabs>
          <w:tab w:leader="none" w:pos="23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rFonts w:ascii="Arial" w:cs="Arial" w:eastAsia="Arial" w:hAnsi="Arial"/>
          <w:sz w:val="18"/>
          <w:szCs w:val="18"/>
          <w:color w:val="auto"/>
        </w:rPr>
      </w:pPr>
    </w:p>
    <w:p>
      <w:pPr>
        <w:ind w:right="60" w:firstLine="921"/>
        <w:spacing w:after="0" w:line="257" w:lineRule="auto"/>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88" w:lineRule="exact"/>
        <w:rPr>
          <w:rFonts w:ascii="Arial" w:cs="Arial" w:eastAsia="Arial" w:hAnsi="Arial"/>
          <w:sz w:val="18"/>
          <w:szCs w:val="18"/>
          <w:color w:val="auto"/>
        </w:rPr>
      </w:pPr>
    </w:p>
    <w:p>
      <w:pPr>
        <w:ind w:right="20" w:firstLine="921"/>
        <w:spacing w:after="0" w:line="271" w:lineRule="auto"/>
        <w:tabs>
          <w:tab w:leader="none" w:pos="1293" w:val="left"/>
        </w:tabs>
        <w:numPr>
          <w:ilvl w:val="0"/>
          <w:numId w:val="44"/>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78" w:lineRule="exact"/>
        <w:rPr>
          <w:rFonts w:ascii="Arial" w:cs="Arial" w:eastAsia="Arial" w:hAnsi="Arial"/>
          <w:sz w:val="17"/>
          <w:szCs w:val="17"/>
          <w:color w:val="auto"/>
        </w:rPr>
      </w:pPr>
    </w:p>
    <w:p>
      <w:pPr>
        <w:ind w:left="1360" w:hanging="439"/>
        <w:spacing w:after="0"/>
        <w:tabs>
          <w:tab w:leader="none" w:pos="13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225" w:lineRule="exact"/>
        <w:rPr>
          <w:sz w:val="20"/>
          <w:szCs w:val="20"/>
          <w:color w:val="auto"/>
        </w:rPr>
      </w:pPr>
    </w:p>
    <w:p>
      <w:pPr>
        <w:ind w:firstLine="921"/>
        <w:spacing w:after="0" w:line="286" w:lineRule="auto"/>
        <w:tabs>
          <w:tab w:leader="none" w:pos="1303" w:val="left"/>
        </w:tabs>
        <w:numPr>
          <w:ilvl w:val="0"/>
          <w:numId w:val="45"/>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65" w:lineRule="exact"/>
        <w:rPr>
          <w:rFonts w:ascii="Arial" w:cs="Arial" w:eastAsia="Arial" w:hAnsi="Arial"/>
          <w:sz w:val="17"/>
          <w:szCs w:val="17"/>
          <w:color w:val="auto"/>
        </w:rPr>
      </w:pPr>
    </w:p>
    <w:p>
      <w:pPr>
        <w:ind w:right="80" w:firstLine="921"/>
        <w:spacing w:after="0" w:line="264" w:lineRule="auto"/>
        <w:tabs>
          <w:tab w:leader="none" w:pos="1303" w:val="left"/>
        </w:tabs>
        <w:numPr>
          <w:ilvl w:val="0"/>
          <w:numId w:val="45"/>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81" w:lineRule="exact"/>
        <w:rPr>
          <w:sz w:val="20"/>
          <w:szCs w:val="20"/>
          <w:color w:val="auto"/>
        </w:rPr>
      </w:pPr>
    </w:p>
    <w:p>
      <w:pPr>
        <w:ind w:right="160" w:firstLine="921"/>
        <w:spacing w:after="0" w:line="264" w:lineRule="auto"/>
        <w:tabs>
          <w:tab w:leader="none" w:pos="1289"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undersigned registrant hereby undertakes to file an application for the purpose of determining the eligibility of the trustee to act under subsection (a) of Section 310 of the Trust Indenture Act in accordance with the rules and regulations prescribed by the SEC under Section 305(b)(2) of the Trust Indenture Act.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right="40" w:firstLine="913"/>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South San Francisco, State of California, on March 8, 2017.</w:t>
      </w:r>
    </w:p>
    <w:p>
      <w:pPr>
        <w:spacing w:after="0" w:line="20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FLUIDIGM CORPORATION</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Stephen Christopher Linthwaite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Stephen Christopher Linthwaite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1"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Stephen Christopher Linthwaite and Vikram Jog, and each of them, his true and lawful attorneys-in-fact and agents, with full power of substitution and resubstitution, for him and in his name, place and stead, in any and all capacities, to sign any and all amendments (including pre and post-effective amendments) to this registration statement and any additional registration statement pursuant to Rule 462(b) under the Securities Act of 1933,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might or could do in person, hereby ratifying and confirming all that each of said attorneys-in-fact and agents or their substitute or substitutes may lawfully do or cause to be done by virtue hereof.</w:t>
      </w:r>
    </w:p>
    <w:p>
      <w:pPr>
        <w:spacing w:after="0" w:line="179"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380" w:type="dxa"/>
            <w:vAlign w:val="bottom"/>
          </w:tcPr>
          <w:p>
            <w:pPr>
              <w:spacing w:after="0"/>
              <w:rPr>
                <w:sz w:val="16"/>
                <w:szCs w:val="16"/>
                <w:color w:val="auto"/>
              </w:rPr>
            </w:pPr>
          </w:p>
        </w:tc>
        <w:tc>
          <w:tcPr>
            <w:tcW w:w="1960" w:type="dxa"/>
            <w:vAlign w:val="bottom"/>
            <w:gridSpan w:val="2"/>
          </w:tcPr>
          <w:p>
            <w:pPr>
              <w:jc w:val="center"/>
              <w:ind w:right="1380"/>
              <w:spacing w:after="0"/>
              <w:rPr>
                <w:sz w:val="20"/>
                <w:szCs w:val="20"/>
                <w:color w:val="auto"/>
              </w:rPr>
            </w:pPr>
            <w:r>
              <w:rPr>
                <w:rFonts w:ascii="Arial" w:cs="Arial" w:eastAsia="Arial" w:hAnsi="Arial"/>
                <w:sz w:val="14"/>
                <w:szCs w:val="14"/>
                <w:b w:val="1"/>
                <w:bCs w:val="1"/>
                <w:color w:val="auto"/>
                <w:w w:val="89"/>
              </w:rPr>
              <w:t>Signature</w:t>
            </w:r>
          </w:p>
        </w:tc>
        <w:tc>
          <w:tcPr>
            <w:tcW w:w="2240" w:type="dxa"/>
            <w:vAlign w:val="bottom"/>
          </w:tcPr>
          <w:p>
            <w:pPr>
              <w:spacing w:after="0"/>
              <w:rPr>
                <w:sz w:val="16"/>
                <w:szCs w:val="16"/>
                <w:color w:val="auto"/>
              </w:rPr>
            </w:pPr>
          </w:p>
        </w:tc>
        <w:tc>
          <w:tcPr>
            <w:tcW w:w="2760" w:type="dxa"/>
            <w:vAlign w:val="bottom"/>
            <w:gridSpan w:val="2"/>
          </w:tcPr>
          <w:p>
            <w:pPr>
              <w:jc w:val="center"/>
              <w:ind w:right="2480"/>
              <w:spacing w:after="0"/>
              <w:rPr>
                <w:sz w:val="20"/>
                <w:szCs w:val="20"/>
                <w:color w:val="auto"/>
              </w:rPr>
            </w:pPr>
            <w:r>
              <w:rPr>
                <w:rFonts w:ascii="Arial" w:cs="Arial" w:eastAsia="Arial" w:hAnsi="Arial"/>
                <w:sz w:val="14"/>
                <w:szCs w:val="14"/>
                <w:b w:val="1"/>
                <w:bCs w:val="1"/>
                <w:color w:val="auto"/>
                <w:w w:val="97"/>
              </w:rPr>
              <w:t>Title</w:t>
            </w:r>
          </w:p>
        </w:tc>
        <w:tc>
          <w:tcPr>
            <w:tcW w:w="1960" w:type="dxa"/>
            <w:vAlign w:val="bottom"/>
            <w:gridSpan w:val="3"/>
          </w:tcPr>
          <w:p>
            <w:pPr>
              <w:jc w:val="center"/>
              <w:ind w:left="792"/>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13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12"/>
        </w:trPr>
        <w:tc>
          <w:tcPr>
            <w:tcW w:w="33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Stephen Christopher Linthwaite</w:t>
            </w:r>
          </w:p>
        </w:tc>
        <w:tc>
          <w:tcPr>
            <w:tcW w:w="5000" w:type="dxa"/>
            <w:vAlign w:val="bottom"/>
            <w:gridSpan w:val="3"/>
          </w:tcPr>
          <w:p>
            <w:pPr>
              <w:jc w:val="center"/>
              <w:ind w:right="240"/>
              <w:spacing w:after="0"/>
              <w:rPr>
                <w:sz w:val="20"/>
                <w:szCs w:val="20"/>
                <w:color w:val="auto"/>
              </w:rPr>
            </w:pPr>
            <w:r>
              <w:rPr>
                <w:rFonts w:ascii="Arial" w:cs="Arial" w:eastAsia="Arial" w:hAnsi="Arial"/>
                <w:sz w:val="18"/>
                <w:szCs w:val="18"/>
                <w:color w:val="auto"/>
                <w:w w:val="92"/>
              </w:rPr>
              <w:t>President, Chief Executive Officer and Director</w:t>
            </w:r>
          </w:p>
        </w:tc>
        <w:tc>
          <w:tcPr>
            <w:tcW w:w="1960" w:type="dxa"/>
            <w:vAlign w:val="bottom"/>
            <w:gridSpan w:val="3"/>
          </w:tcPr>
          <w:p>
            <w:pPr>
              <w:jc w:val="center"/>
              <w:ind w:left="812"/>
              <w:spacing w:after="0"/>
              <w:rPr>
                <w:sz w:val="20"/>
                <w:szCs w:val="20"/>
                <w:color w:val="auto"/>
              </w:rPr>
            </w:pPr>
            <w:r>
              <w:rPr>
                <w:rFonts w:ascii="Arial" w:cs="Arial" w:eastAsia="Arial" w:hAnsi="Arial"/>
                <w:sz w:val="18"/>
                <w:szCs w:val="18"/>
                <w:color w:val="auto"/>
                <w:w w:val="92"/>
              </w:rPr>
              <w:t>March 8, 2017</w:t>
            </w:r>
          </w:p>
        </w:tc>
      </w:tr>
      <w:tr>
        <w:trPr>
          <w:trHeight w:val="224"/>
        </w:trPr>
        <w:tc>
          <w:tcPr>
            <w:tcW w:w="3340" w:type="dxa"/>
            <w:vAlign w:val="bottom"/>
            <w:gridSpan w:val="3"/>
          </w:tcPr>
          <w:p>
            <w:pPr>
              <w:jc w:val="center"/>
              <w:spacing w:after="0"/>
              <w:rPr>
                <w:sz w:val="20"/>
                <w:szCs w:val="20"/>
                <w:color w:val="auto"/>
              </w:rPr>
            </w:pPr>
            <w:r>
              <w:rPr>
                <w:rFonts w:ascii="Arial" w:cs="Arial" w:eastAsia="Arial" w:hAnsi="Arial"/>
                <w:sz w:val="18"/>
                <w:szCs w:val="18"/>
                <w:color w:val="auto"/>
                <w:w w:val="91"/>
              </w:rPr>
              <w:t>Stephen Christopher Linthwaite</w:t>
            </w:r>
          </w:p>
        </w:tc>
        <w:tc>
          <w:tcPr>
            <w:tcW w:w="5000" w:type="dxa"/>
            <w:vAlign w:val="bottom"/>
            <w:gridSpan w:val="3"/>
          </w:tcPr>
          <w:p>
            <w:pPr>
              <w:jc w:val="center"/>
              <w:ind w:right="240"/>
              <w:spacing w:after="0"/>
              <w:rPr>
                <w:sz w:val="20"/>
                <w:szCs w:val="20"/>
                <w:color w:val="auto"/>
              </w:rPr>
            </w:pPr>
            <w:r>
              <w:rPr>
                <w:rFonts w:ascii="Arial" w:cs="Arial" w:eastAsia="Arial" w:hAnsi="Arial"/>
                <w:sz w:val="18"/>
                <w:szCs w:val="18"/>
                <w:color w:val="auto"/>
                <w:w w:val="93"/>
              </w:rPr>
              <w:t>(Principal Executive Officer)</w:t>
            </w: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431"/>
        </w:trPr>
        <w:tc>
          <w:tcPr>
            <w:tcW w:w="33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Vikram Jog</w:t>
            </w:r>
          </w:p>
        </w:tc>
        <w:tc>
          <w:tcPr>
            <w:tcW w:w="5000" w:type="dxa"/>
            <w:vAlign w:val="bottom"/>
            <w:gridSpan w:val="3"/>
          </w:tcPr>
          <w:p>
            <w:pPr>
              <w:jc w:val="center"/>
              <w:ind w:right="240"/>
              <w:spacing w:after="0"/>
              <w:rPr>
                <w:sz w:val="20"/>
                <w:szCs w:val="20"/>
                <w:color w:val="auto"/>
              </w:rPr>
            </w:pPr>
            <w:r>
              <w:rPr>
                <w:rFonts w:ascii="Arial" w:cs="Arial" w:eastAsia="Arial" w:hAnsi="Arial"/>
                <w:sz w:val="18"/>
                <w:szCs w:val="18"/>
                <w:color w:val="auto"/>
                <w:w w:val="94"/>
              </w:rPr>
              <w:t>Chief Financial Officer</w:t>
            </w:r>
          </w:p>
        </w:tc>
        <w:tc>
          <w:tcPr>
            <w:tcW w:w="1960" w:type="dxa"/>
            <w:vAlign w:val="bottom"/>
            <w:gridSpan w:val="3"/>
          </w:tcPr>
          <w:p>
            <w:pPr>
              <w:jc w:val="center"/>
              <w:ind w:left="812"/>
              <w:spacing w:after="0"/>
              <w:rPr>
                <w:sz w:val="20"/>
                <w:szCs w:val="20"/>
                <w:color w:val="auto"/>
              </w:rPr>
            </w:pPr>
            <w:r>
              <w:rPr>
                <w:rFonts w:ascii="Arial" w:cs="Arial" w:eastAsia="Arial" w:hAnsi="Arial"/>
                <w:sz w:val="18"/>
                <w:szCs w:val="18"/>
                <w:color w:val="auto"/>
                <w:w w:val="92"/>
              </w:rPr>
              <w:t>March 8, 2017</w:t>
            </w:r>
          </w:p>
        </w:tc>
      </w:tr>
      <w:tr>
        <w:trPr>
          <w:trHeight w:val="224"/>
        </w:trPr>
        <w:tc>
          <w:tcPr>
            <w:tcW w:w="3340" w:type="dxa"/>
            <w:vAlign w:val="bottom"/>
            <w:gridSpan w:val="3"/>
          </w:tcPr>
          <w:p>
            <w:pPr>
              <w:jc w:val="center"/>
              <w:spacing w:after="0"/>
              <w:rPr>
                <w:sz w:val="20"/>
                <w:szCs w:val="20"/>
                <w:color w:val="auto"/>
              </w:rPr>
            </w:pPr>
            <w:r>
              <w:rPr>
                <w:rFonts w:ascii="Arial" w:cs="Arial" w:eastAsia="Arial" w:hAnsi="Arial"/>
                <w:sz w:val="18"/>
                <w:szCs w:val="18"/>
                <w:color w:val="auto"/>
                <w:w w:val="91"/>
              </w:rPr>
              <w:t>Vikram Jog</w:t>
            </w:r>
          </w:p>
        </w:tc>
        <w:tc>
          <w:tcPr>
            <w:tcW w:w="5000" w:type="dxa"/>
            <w:vAlign w:val="bottom"/>
            <w:gridSpan w:val="3"/>
          </w:tcPr>
          <w:p>
            <w:pPr>
              <w:jc w:val="center"/>
              <w:ind w:right="240"/>
              <w:spacing w:after="0"/>
              <w:rPr>
                <w:sz w:val="20"/>
                <w:szCs w:val="20"/>
                <w:color w:val="auto"/>
              </w:rPr>
            </w:pPr>
            <w:r>
              <w:rPr>
                <w:rFonts w:ascii="Arial" w:cs="Arial" w:eastAsia="Arial" w:hAnsi="Arial"/>
                <w:sz w:val="18"/>
                <w:szCs w:val="18"/>
                <w:color w:val="auto"/>
                <w:w w:val="94"/>
              </w:rPr>
              <w:t>(Principal Financial Officer)</w:t>
            </w: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431"/>
        </w:trPr>
        <w:tc>
          <w:tcPr>
            <w:tcW w:w="33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Jennifer Lee</w:t>
            </w:r>
          </w:p>
        </w:tc>
        <w:tc>
          <w:tcPr>
            <w:tcW w:w="5000" w:type="dxa"/>
            <w:vAlign w:val="bottom"/>
            <w:gridSpan w:val="3"/>
          </w:tcPr>
          <w:p>
            <w:pPr>
              <w:jc w:val="center"/>
              <w:ind w:right="240"/>
              <w:spacing w:after="0"/>
              <w:rPr>
                <w:sz w:val="20"/>
                <w:szCs w:val="20"/>
                <w:color w:val="auto"/>
              </w:rPr>
            </w:pPr>
            <w:r>
              <w:rPr>
                <w:rFonts w:ascii="Arial" w:cs="Arial" w:eastAsia="Arial" w:hAnsi="Arial"/>
                <w:sz w:val="18"/>
                <w:szCs w:val="18"/>
                <w:color w:val="auto"/>
                <w:w w:val="92"/>
              </w:rPr>
              <w:t>Vice President, Controller</w:t>
            </w:r>
          </w:p>
        </w:tc>
        <w:tc>
          <w:tcPr>
            <w:tcW w:w="1960" w:type="dxa"/>
            <w:vAlign w:val="bottom"/>
            <w:gridSpan w:val="3"/>
          </w:tcPr>
          <w:p>
            <w:pPr>
              <w:jc w:val="center"/>
              <w:ind w:left="812"/>
              <w:spacing w:after="0"/>
              <w:rPr>
                <w:sz w:val="20"/>
                <w:szCs w:val="20"/>
                <w:color w:val="auto"/>
              </w:rPr>
            </w:pPr>
            <w:r>
              <w:rPr>
                <w:rFonts w:ascii="Arial" w:cs="Arial" w:eastAsia="Arial" w:hAnsi="Arial"/>
                <w:sz w:val="18"/>
                <w:szCs w:val="18"/>
                <w:color w:val="auto"/>
                <w:w w:val="92"/>
              </w:rPr>
              <w:t>March 8, 2017</w:t>
            </w:r>
          </w:p>
        </w:tc>
      </w:tr>
      <w:tr>
        <w:trPr>
          <w:trHeight w:val="224"/>
        </w:trPr>
        <w:tc>
          <w:tcPr>
            <w:tcW w:w="3340" w:type="dxa"/>
            <w:vAlign w:val="bottom"/>
            <w:gridSpan w:val="3"/>
          </w:tcPr>
          <w:p>
            <w:pPr>
              <w:jc w:val="center"/>
              <w:spacing w:after="0"/>
              <w:rPr>
                <w:sz w:val="20"/>
                <w:szCs w:val="20"/>
                <w:color w:val="auto"/>
              </w:rPr>
            </w:pPr>
            <w:r>
              <w:rPr>
                <w:rFonts w:ascii="Arial" w:cs="Arial" w:eastAsia="Arial" w:hAnsi="Arial"/>
                <w:sz w:val="18"/>
                <w:szCs w:val="18"/>
                <w:color w:val="auto"/>
                <w:w w:val="90"/>
              </w:rPr>
              <w:t>Jennifer Lee</w:t>
            </w:r>
          </w:p>
        </w:tc>
        <w:tc>
          <w:tcPr>
            <w:tcW w:w="5000" w:type="dxa"/>
            <w:vAlign w:val="bottom"/>
            <w:gridSpan w:val="3"/>
          </w:tcPr>
          <w:p>
            <w:pPr>
              <w:jc w:val="center"/>
              <w:ind w:right="240"/>
              <w:spacing w:after="0"/>
              <w:rPr>
                <w:sz w:val="20"/>
                <w:szCs w:val="20"/>
                <w:color w:val="auto"/>
              </w:rPr>
            </w:pPr>
            <w:r>
              <w:rPr>
                <w:rFonts w:ascii="Arial" w:cs="Arial" w:eastAsia="Arial" w:hAnsi="Arial"/>
                <w:sz w:val="18"/>
                <w:szCs w:val="18"/>
                <w:color w:val="auto"/>
                <w:w w:val="94"/>
              </w:rPr>
              <w:t>(Principal Accounting Officer)</w:t>
            </w: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431"/>
        </w:trPr>
        <w:tc>
          <w:tcPr>
            <w:tcW w:w="33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Samuel Colella</w:t>
            </w:r>
          </w:p>
        </w:tc>
        <w:tc>
          <w:tcPr>
            <w:tcW w:w="5000" w:type="dxa"/>
            <w:vAlign w:val="bottom"/>
            <w:gridSpan w:val="3"/>
          </w:tcPr>
          <w:p>
            <w:pPr>
              <w:jc w:val="center"/>
              <w:ind w:right="240"/>
              <w:spacing w:after="0"/>
              <w:rPr>
                <w:sz w:val="20"/>
                <w:szCs w:val="20"/>
                <w:color w:val="auto"/>
              </w:rPr>
            </w:pPr>
            <w:r>
              <w:rPr>
                <w:rFonts w:ascii="Arial" w:cs="Arial" w:eastAsia="Arial" w:hAnsi="Arial"/>
                <w:sz w:val="18"/>
                <w:szCs w:val="18"/>
                <w:color w:val="auto"/>
                <w:w w:val="92"/>
              </w:rPr>
              <w:t>Chairman of the Board of Directors</w:t>
            </w:r>
          </w:p>
        </w:tc>
        <w:tc>
          <w:tcPr>
            <w:tcW w:w="1960" w:type="dxa"/>
            <w:vAlign w:val="bottom"/>
            <w:gridSpan w:val="3"/>
          </w:tcPr>
          <w:p>
            <w:pPr>
              <w:jc w:val="center"/>
              <w:ind w:left="812"/>
              <w:spacing w:after="0"/>
              <w:rPr>
                <w:sz w:val="20"/>
                <w:szCs w:val="20"/>
                <w:color w:val="auto"/>
              </w:rPr>
            </w:pPr>
            <w:r>
              <w:rPr>
                <w:rFonts w:ascii="Arial" w:cs="Arial" w:eastAsia="Arial" w:hAnsi="Arial"/>
                <w:sz w:val="18"/>
                <w:szCs w:val="18"/>
                <w:color w:val="auto"/>
                <w:w w:val="92"/>
              </w:rPr>
              <w:t>March 8, 2017</w:t>
            </w:r>
          </w:p>
        </w:tc>
      </w:tr>
      <w:tr>
        <w:trPr>
          <w:trHeight w:val="224"/>
        </w:trPr>
        <w:tc>
          <w:tcPr>
            <w:tcW w:w="3340" w:type="dxa"/>
            <w:vAlign w:val="bottom"/>
            <w:gridSpan w:val="3"/>
          </w:tcPr>
          <w:p>
            <w:pPr>
              <w:jc w:val="center"/>
              <w:spacing w:after="0"/>
              <w:rPr>
                <w:sz w:val="20"/>
                <w:szCs w:val="20"/>
                <w:color w:val="auto"/>
              </w:rPr>
            </w:pPr>
            <w:r>
              <w:rPr>
                <w:rFonts w:ascii="Arial" w:cs="Arial" w:eastAsia="Arial" w:hAnsi="Arial"/>
                <w:sz w:val="18"/>
                <w:szCs w:val="18"/>
                <w:color w:val="auto"/>
                <w:w w:val="90"/>
              </w:rPr>
              <w:t>Samuel Colella</w:t>
            </w:r>
          </w:p>
        </w:tc>
        <w:tc>
          <w:tcPr>
            <w:tcW w:w="2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431"/>
        </w:trPr>
        <w:tc>
          <w:tcPr>
            <w:tcW w:w="33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Evan Jones</w:t>
            </w:r>
          </w:p>
        </w:tc>
        <w:tc>
          <w:tcPr>
            <w:tcW w:w="5000" w:type="dxa"/>
            <w:vAlign w:val="bottom"/>
            <w:gridSpan w:val="3"/>
          </w:tcPr>
          <w:p>
            <w:pPr>
              <w:jc w:val="center"/>
              <w:ind w:right="240"/>
              <w:spacing w:after="0"/>
              <w:rPr>
                <w:sz w:val="20"/>
                <w:szCs w:val="20"/>
                <w:color w:val="auto"/>
              </w:rPr>
            </w:pPr>
            <w:r>
              <w:rPr>
                <w:rFonts w:ascii="Arial" w:cs="Arial" w:eastAsia="Arial" w:hAnsi="Arial"/>
                <w:sz w:val="18"/>
                <w:szCs w:val="18"/>
                <w:color w:val="auto"/>
                <w:w w:val="95"/>
              </w:rPr>
              <w:t>Director</w:t>
            </w:r>
          </w:p>
        </w:tc>
        <w:tc>
          <w:tcPr>
            <w:tcW w:w="1960" w:type="dxa"/>
            <w:vAlign w:val="bottom"/>
            <w:gridSpan w:val="3"/>
          </w:tcPr>
          <w:p>
            <w:pPr>
              <w:jc w:val="center"/>
              <w:ind w:left="812"/>
              <w:spacing w:after="0"/>
              <w:rPr>
                <w:sz w:val="20"/>
                <w:szCs w:val="20"/>
                <w:color w:val="auto"/>
              </w:rPr>
            </w:pPr>
            <w:r>
              <w:rPr>
                <w:rFonts w:ascii="Arial" w:cs="Arial" w:eastAsia="Arial" w:hAnsi="Arial"/>
                <w:sz w:val="18"/>
                <w:szCs w:val="18"/>
                <w:color w:val="auto"/>
                <w:w w:val="92"/>
              </w:rPr>
              <w:t>March 8, 2017</w:t>
            </w:r>
          </w:p>
        </w:tc>
      </w:tr>
      <w:tr>
        <w:trPr>
          <w:trHeight w:val="224"/>
        </w:trPr>
        <w:tc>
          <w:tcPr>
            <w:tcW w:w="3340" w:type="dxa"/>
            <w:vAlign w:val="bottom"/>
            <w:gridSpan w:val="3"/>
          </w:tcPr>
          <w:p>
            <w:pPr>
              <w:jc w:val="center"/>
              <w:spacing w:after="0"/>
              <w:rPr>
                <w:sz w:val="20"/>
                <w:szCs w:val="20"/>
                <w:color w:val="auto"/>
              </w:rPr>
            </w:pPr>
            <w:r>
              <w:rPr>
                <w:rFonts w:ascii="Arial" w:cs="Arial" w:eastAsia="Arial" w:hAnsi="Arial"/>
                <w:sz w:val="18"/>
                <w:szCs w:val="18"/>
                <w:color w:val="auto"/>
                <w:w w:val="87"/>
              </w:rPr>
              <w:t>Evan Jones</w:t>
            </w:r>
          </w:p>
        </w:tc>
        <w:tc>
          <w:tcPr>
            <w:tcW w:w="2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431"/>
        </w:trPr>
        <w:tc>
          <w:tcPr>
            <w:tcW w:w="33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Patrick S. Jones</w:t>
            </w:r>
          </w:p>
        </w:tc>
        <w:tc>
          <w:tcPr>
            <w:tcW w:w="5000" w:type="dxa"/>
            <w:vAlign w:val="bottom"/>
            <w:gridSpan w:val="3"/>
          </w:tcPr>
          <w:p>
            <w:pPr>
              <w:jc w:val="center"/>
              <w:ind w:right="240"/>
              <w:spacing w:after="0"/>
              <w:rPr>
                <w:sz w:val="20"/>
                <w:szCs w:val="20"/>
                <w:color w:val="auto"/>
              </w:rPr>
            </w:pPr>
            <w:r>
              <w:rPr>
                <w:rFonts w:ascii="Arial" w:cs="Arial" w:eastAsia="Arial" w:hAnsi="Arial"/>
                <w:sz w:val="18"/>
                <w:szCs w:val="18"/>
                <w:color w:val="auto"/>
                <w:w w:val="95"/>
              </w:rPr>
              <w:t>Director</w:t>
            </w:r>
          </w:p>
        </w:tc>
        <w:tc>
          <w:tcPr>
            <w:tcW w:w="1960" w:type="dxa"/>
            <w:vAlign w:val="bottom"/>
            <w:gridSpan w:val="3"/>
          </w:tcPr>
          <w:p>
            <w:pPr>
              <w:jc w:val="center"/>
              <w:ind w:left="812"/>
              <w:spacing w:after="0"/>
              <w:rPr>
                <w:sz w:val="20"/>
                <w:szCs w:val="20"/>
                <w:color w:val="auto"/>
              </w:rPr>
            </w:pPr>
            <w:r>
              <w:rPr>
                <w:rFonts w:ascii="Arial" w:cs="Arial" w:eastAsia="Arial" w:hAnsi="Arial"/>
                <w:sz w:val="18"/>
                <w:szCs w:val="18"/>
                <w:color w:val="auto"/>
                <w:w w:val="92"/>
              </w:rPr>
              <w:t>March 8, 2017</w:t>
            </w:r>
          </w:p>
        </w:tc>
      </w:tr>
      <w:tr>
        <w:trPr>
          <w:trHeight w:val="224"/>
        </w:trPr>
        <w:tc>
          <w:tcPr>
            <w:tcW w:w="3340" w:type="dxa"/>
            <w:vAlign w:val="bottom"/>
            <w:gridSpan w:val="3"/>
          </w:tcPr>
          <w:p>
            <w:pPr>
              <w:jc w:val="center"/>
              <w:spacing w:after="0"/>
              <w:rPr>
                <w:sz w:val="20"/>
                <w:szCs w:val="20"/>
                <w:color w:val="auto"/>
              </w:rPr>
            </w:pPr>
            <w:r>
              <w:rPr>
                <w:rFonts w:ascii="Arial" w:cs="Arial" w:eastAsia="Arial" w:hAnsi="Arial"/>
                <w:sz w:val="18"/>
                <w:szCs w:val="18"/>
                <w:color w:val="auto"/>
                <w:w w:val="87"/>
              </w:rPr>
              <w:t>Patrick S. Jones</w:t>
            </w:r>
          </w:p>
        </w:tc>
        <w:tc>
          <w:tcPr>
            <w:tcW w:w="2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431"/>
        </w:trPr>
        <w:tc>
          <w:tcPr>
            <w:tcW w:w="33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Gerhard F. Burbach</w:t>
            </w:r>
          </w:p>
        </w:tc>
        <w:tc>
          <w:tcPr>
            <w:tcW w:w="5000" w:type="dxa"/>
            <w:vAlign w:val="bottom"/>
            <w:gridSpan w:val="3"/>
          </w:tcPr>
          <w:p>
            <w:pPr>
              <w:jc w:val="center"/>
              <w:ind w:right="240"/>
              <w:spacing w:after="0"/>
              <w:rPr>
                <w:sz w:val="20"/>
                <w:szCs w:val="20"/>
                <w:color w:val="auto"/>
              </w:rPr>
            </w:pPr>
            <w:r>
              <w:rPr>
                <w:rFonts w:ascii="Arial" w:cs="Arial" w:eastAsia="Arial" w:hAnsi="Arial"/>
                <w:sz w:val="18"/>
                <w:szCs w:val="18"/>
                <w:color w:val="auto"/>
                <w:w w:val="95"/>
              </w:rPr>
              <w:t>Director</w:t>
            </w:r>
          </w:p>
        </w:tc>
        <w:tc>
          <w:tcPr>
            <w:tcW w:w="1960" w:type="dxa"/>
            <w:vAlign w:val="bottom"/>
            <w:gridSpan w:val="3"/>
          </w:tcPr>
          <w:p>
            <w:pPr>
              <w:jc w:val="center"/>
              <w:ind w:left="812"/>
              <w:spacing w:after="0"/>
              <w:rPr>
                <w:sz w:val="20"/>
                <w:szCs w:val="20"/>
                <w:color w:val="auto"/>
              </w:rPr>
            </w:pPr>
            <w:r>
              <w:rPr>
                <w:rFonts w:ascii="Arial" w:cs="Arial" w:eastAsia="Arial" w:hAnsi="Arial"/>
                <w:sz w:val="18"/>
                <w:szCs w:val="18"/>
                <w:color w:val="auto"/>
                <w:w w:val="92"/>
              </w:rPr>
              <w:t>March 8, 2017</w:t>
            </w:r>
          </w:p>
        </w:tc>
      </w:tr>
      <w:tr>
        <w:trPr>
          <w:trHeight w:val="224"/>
        </w:trPr>
        <w:tc>
          <w:tcPr>
            <w:tcW w:w="3340" w:type="dxa"/>
            <w:vAlign w:val="bottom"/>
            <w:gridSpan w:val="3"/>
          </w:tcPr>
          <w:p>
            <w:pPr>
              <w:jc w:val="center"/>
              <w:spacing w:after="0"/>
              <w:rPr>
                <w:sz w:val="20"/>
                <w:szCs w:val="20"/>
                <w:color w:val="auto"/>
              </w:rPr>
            </w:pPr>
            <w:r>
              <w:rPr>
                <w:rFonts w:ascii="Arial" w:cs="Arial" w:eastAsia="Arial" w:hAnsi="Arial"/>
                <w:sz w:val="18"/>
                <w:szCs w:val="18"/>
                <w:color w:val="auto"/>
                <w:w w:val="89"/>
              </w:rPr>
              <w:t>Gerhard F. Burbach</w:t>
            </w:r>
          </w:p>
        </w:tc>
        <w:tc>
          <w:tcPr>
            <w:tcW w:w="2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431"/>
        </w:trPr>
        <w:tc>
          <w:tcPr>
            <w:tcW w:w="33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John A. Young</w:t>
            </w:r>
          </w:p>
        </w:tc>
        <w:tc>
          <w:tcPr>
            <w:tcW w:w="5000" w:type="dxa"/>
            <w:vAlign w:val="bottom"/>
            <w:gridSpan w:val="3"/>
          </w:tcPr>
          <w:p>
            <w:pPr>
              <w:jc w:val="center"/>
              <w:ind w:right="240"/>
              <w:spacing w:after="0"/>
              <w:rPr>
                <w:sz w:val="20"/>
                <w:szCs w:val="20"/>
                <w:color w:val="auto"/>
              </w:rPr>
            </w:pPr>
            <w:r>
              <w:rPr>
                <w:rFonts w:ascii="Arial" w:cs="Arial" w:eastAsia="Arial" w:hAnsi="Arial"/>
                <w:sz w:val="18"/>
                <w:szCs w:val="18"/>
                <w:color w:val="auto"/>
                <w:w w:val="95"/>
              </w:rPr>
              <w:t>Director</w:t>
            </w:r>
          </w:p>
        </w:tc>
        <w:tc>
          <w:tcPr>
            <w:tcW w:w="1960" w:type="dxa"/>
            <w:vAlign w:val="bottom"/>
            <w:gridSpan w:val="3"/>
          </w:tcPr>
          <w:p>
            <w:pPr>
              <w:jc w:val="center"/>
              <w:ind w:left="812"/>
              <w:spacing w:after="0"/>
              <w:rPr>
                <w:sz w:val="20"/>
                <w:szCs w:val="20"/>
                <w:color w:val="auto"/>
              </w:rPr>
            </w:pPr>
            <w:r>
              <w:rPr>
                <w:rFonts w:ascii="Arial" w:cs="Arial" w:eastAsia="Arial" w:hAnsi="Arial"/>
                <w:sz w:val="18"/>
                <w:szCs w:val="18"/>
                <w:color w:val="auto"/>
                <w:w w:val="92"/>
              </w:rPr>
              <w:t>March 8, 2017</w:t>
            </w:r>
          </w:p>
        </w:tc>
      </w:tr>
      <w:tr>
        <w:trPr>
          <w:trHeight w:val="224"/>
        </w:trPr>
        <w:tc>
          <w:tcPr>
            <w:tcW w:w="3340" w:type="dxa"/>
            <w:vAlign w:val="bottom"/>
            <w:gridSpan w:val="3"/>
          </w:tcPr>
          <w:p>
            <w:pPr>
              <w:jc w:val="center"/>
              <w:spacing w:after="0"/>
              <w:rPr>
                <w:sz w:val="20"/>
                <w:szCs w:val="20"/>
                <w:color w:val="auto"/>
              </w:rPr>
            </w:pPr>
            <w:r>
              <w:rPr>
                <w:rFonts w:ascii="Arial" w:cs="Arial" w:eastAsia="Arial" w:hAnsi="Arial"/>
                <w:sz w:val="18"/>
                <w:szCs w:val="18"/>
                <w:color w:val="auto"/>
                <w:w w:val="89"/>
              </w:rPr>
              <w:t>John A. Young</w:t>
            </w:r>
          </w:p>
        </w:tc>
        <w:tc>
          <w:tcPr>
            <w:tcW w:w="2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364"/>
        </w:trPr>
        <w:tc>
          <w:tcPr>
            <w:tcW w:w="1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760" w:type="dxa"/>
            <w:vAlign w:val="bottom"/>
            <w:gridSpan w:val="2"/>
          </w:tcPr>
          <w:p>
            <w:pPr>
              <w:jc w:val="center"/>
              <w:ind w:right="2500"/>
              <w:spacing w:after="0"/>
              <w:rPr>
                <w:sz w:val="20"/>
                <w:szCs w:val="20"/>
                <w:color w:val="auto"/>
              </w:rPr>
            </w:pPr>
            <w:r>
              <w:rPr>
                <w:rFonts w:ascii="Arial" w:cs="Arial" w:eastAsia="Arial" w:hAnsi="Arial"/>
                <w:sz w:val="18"/>
                <w:szCs w:val="18"/>
                <w:color w:val="auto"/>
                <w:w w:val="99"/>
              </w:rPr>
              <w:t>II-6</w:t>
            </w: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EXHIBIT INDEX</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Exhibit</w:t>
            </w:r>
          </w:p>
        </w:tc>
        <w:tc>
          <w:tcPr>
            <w:tcW w:w="2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gridSpan w:val="6"/>
          </w:tcPr>
          <w:p>
            <w:pPr>
              <w:ind w:left="800"/>
              <w:spacing w:after="0"/>
              <w:rPr>
                <w:sz w:val="20"/>
                <w:szCs w:val="20"/>
                <w:color w:val="auto"/>
              </w:rPr>
            </w:pPr>
            <w:r>
              <w:rPr>
                <w:rFonts w:ascii="Arial" w:cs="Arial" w:eastAsia="Arial" w:hAnsi="Arial"/>
                <w:sz w:val="14"/>
                <w:szCs w:val="14"/>
                <w:b w:val="1"/>
                <w:bCs w:val="1"/>
                <w:color w:val="auto"/>
              </w:rPr>
              <w:t>Incorporated by Reference</w:t>
            </w:r>
          </w:p>
        </w:tc>
        <w:tc>
          <w:tcPr>
            <w:tcW w:w="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5980" w:type="dxa"/>
            <w:vAlign w:val="bottom"/>
            <w:gridSpan w:val="2"/>
            <w:vMerge w:val="restart"/>
          </w:tcPr>
          <w:p>
            <w:pPr>
              <w:ind w:left="2280"/>
              <w:spacing w:after="0"/>
              <w:rPr>
                <w:sz w:val="20"/>
                <w:szCs w:val="20"/>
                <w:color w:val="auto"/>
              </w:rPr>
            </w:pPr>
            <w:r>
              <w:rPr>
                <w:rFonts w:ascii="Arial" w:cs="Arial" w:eastAsia="Arial" w:hAnsi="Arial"/>
                <w:sz w:val="14"/>
                <w:szCs w:val="14"/>
                <w:b w:val="1"/>
                <w:bCs w:val="1"/>
                <w:color w:val="auto"/>
              </w:rPr>
              <w:t>Exhibit Description</w:t>
            </w:r>
          </w:p>
        </w:tc>
        <w:tc>
          <w:tcPr>
            <w:tcW w:w="7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Form</w:t>
            </w:r>
          </w:p>
        </w:tc>
        <w:tc>
          <w:tcPr>
            <w:tcW w:w="11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File No.</w:t>
            </w:r>
          </w:p>
        </w:tc>
        <w:tc>
          <w:tcPr>
            <w:tcW w:w="72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98"/>
              </w:rPr>
              <w:t>Exhibit</w:t>
            </w:r>
          </w:p>
        </w:tc>
        <w:tc>
          <w:tcPr>
            <w:tcW w:w="11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Filing Date</w:t>
            </w:r>
          </w:p>
        </w:tc>
        <w:tc>
          <w:tcPr>
            <w:tcW w:w="920" w:type="dxa"/>
            <w:vAlign w:val="bottom"/>
            <w:vMerge w:val="restart"/>
          </w:tcPr>
          <w:p>
            <w:pPr>
              <w:spacing w:after="0"/>
              <w:rPr>
                <w:sz w:val="20"/>
                <w:szCs w:val="20"/>
                <w:color w:val="auto"/>
              </w:rPr>
            </w:pPr>
            <w:r>
              <w:rPr>
                <w:rFonts w:ascii="Arial" w:cs="Arial" w:eastAsia="Arial" w:hAnsi="Arial"/>
                <w:sz w:val="14"/>
                <w:szCs w:val="14"/>
                <w:b w:val="1"/>
                <w:bCs w:val="1"/>
                <w:color w:val="auto"/>
                <w:w w:val="94"/>
              </w:rPr>
              <w:t>Filed Herewith</w:t>
            </w:r>
          </w:p>
        </w:tc>
        <w:tc>
          <w:tcPr>
            <w:tcW w:w="0" w:type="dxa"/>
            <w:vAlign w:val="bottom"/>
          </w:tcPr>
          <w:p>
            <w:pPr>
              <w:spacing w:after="0"/>
              <w:rPr>
                <w:sz w:val="1"/>
                <w:szCs w:val="1"/>
                <w:color w:val="auto"/>
              </w:rPr>
            </w:pPr>
          </w:p>
        </w:tc>
      </w:tr>
      <w:tr>
        <w:trPr>
          <w:trHeight w:val="149"/>
        </w:trPr>
        <w:tc>
          <w:tcPr>
            <w:tcW w:w="540" w:type="dxa"/>
            <w:vAlign w:val="bottom"/>
            <w:tcBorders>
              <w:bottom w:val="single" w:sz="8" w:color="auto"/>
            </w:tcBorders>
          </w:tcPr>
          <w:p>
            <w:pPr>
              <w:jc w:val="right"/>
              <w:ind w:right="71"/>
              <w:spacing w:after="0" w:line="129" w:lineRule="exact"/>
              <w:rPr>
                <w:sz w:val="20"/>
                <w:szCs w:val="20"/>
                <w:color w:val="auto"/>
              </w:rPr>
            </w:pPr>
            <w:r>
              <w:rPr>
                <w:rFonts w:ascii="Arial" w:cs="Arial" w:eastAsia="Arial" w:hAnsi="Arial"/>
                <w:sz w:val="14"/>
                <w:szCs w:val="14"/>
                <w:b w:val="1"/>
                <w:bCs w:val="1"/>
                <w:color w:val="auto"/>
              </w:rPr>
              <w:t>No.</w:t>
            </w:r>
          </w:p>
        </w:tc>
        <w:tc>
          <w:tcPr>
            <w:tcW w:w="220" w:type="dxa"/>
            <w:vAlign w:val="bottom"/>
          </w:tcPr>
          <w:p>
            <w:pPr>
              <w:spacing w:after="0"/>
              <w:rPr>
                <w:sz w:val="12"/>
                <w:szCs w:val="12"/>
                <w:color w:val="auto"/>
              </w:rPr>
            </w:pPr>
          </w:p>
        </w:tc>
        <w:tc>
          <w:tcPr>
            <w:tcW w:w="5980" w:type="dxa"/>
            <w:vAlign w:val="bottom"/>
            <w:gridSpan w:val="2"/>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72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7"/>
              </w:rPr>
              <w:t>No.</w:t>
            </w:r>
          </w:p>
        </w:tc>
        <w:tc>
          <w:tcPr>
            <w:tcW w:w="1160" w:type="dxa"/>
            <w:vAlign w:val="bottom"/>
            <w:gridSpan w:val="2"/>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40" w:type="dxa"/>
            <w:vAlign w:val="bottom"/>
          </w:tcPr>
          <w:p>
            <w:pPr>
              <w:jc w:val="right"/>
              <w:ind w:right="31"/>
              <w:spacing w:after="0"/>
              <w:rPr>
                <w:sz w:val="20"/>
                <w:szCs w:val="20"/>
                <w:color w:val="auto"/>
              </w:rPr>
            </w:pPr>
            <w:r>
              <w:rPr>
                <w:rFonts w:ascii="Arial" w:cs="Arial" w:eastAsia="Arial" w:hAnsi="Arial"/>
                <w:sz w:val="18"/>
                <w:szCs w:val="18"/>
                <w:color w:val="auto"/>
              </w:rPr>
              <w:t>1.1*</w:t>
            </w:r>
          </w:p>
        </w:tc>
        <w:tc>
          <w:tcPr>
            <w:tcW w:w="6200" w:type="dxa"/>
            <w:vAlign w:val="bottom"/>
            <w:gridSpan w:val="3"/>
          </w:tcPr>
          <w:p>
            <w:pPr>
              <w:ind w:left="220"/>
              <w:spacing w:after="0"/>
              <w:rPr>
                <w:sz w:val="20"/>
                <w:szCs w:val="20"/>
                <w:color w:val="auto"/>
              </w:rPr>
            </w:pPr>
            <w:r>
              <w:rPr>
                <w:rFonts w:ascii="Arial" w:cs="Arial" w:eastAsia="Arial" w:hAnsi="Arial"/>
                <w:sz w:val="18"/>
                <w:szCs w:val="18"/>
                <w:color w:val="auto"/>
              </w:rPr>
              <w:t>Form of Underwriting Agreement.</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540" w:type="dxa"/>
            <w:vAlign w:val="bottom"/>
          </w:tcPr>
          <w:p>
            <w:pPr>
              <w:jc w:val="right"/>
              <w:ind w:right="131"/>
              <w:spacing w:after="0"/>
              <w:rPr>
                <w:sz w:val="20"/>
                <w:szCs w:val="20"/>
                <w:color w:val="auto"/>
              </w:rPr>
            </w:pPr>
            <w:r>
              <w:rPr>
                <w:rFonts w:ascii="Arial" w:cs="Arial" w:eastAsia="Arial" w:hAnsi="Arial"/>
                <w:sz w:val="18"/>
                <w:szCs w:val="18"/>
                <w:color w:val="auto"/>
              </w:rPr>
              <w:t>3.1</w:t>
            </w:r>
          </w:p>
        </w:tc>
        <w:tc>
          <w:tcPr>
            <w:tcW w:w="6200" w:type="dxa"/>
            <w:vAlign w:val="bottom"/>
            <w:gridSpan w:val="3"/>
          </w:tcPr>
          <w:p>
            <w:pPr>
              <w:ind w:left="220"/>
              <w:spacing w:after="0"/>
              <w:rPr>
                <w:sz w:val="20"/>
                <w:szCs w:val="20"/>
                <w:color w:val="auto"/>
              </w:rPr>
            </w:pPr>
            <w:r>
              <w:rPr>
                <w:rFonts w:ascii="Arial" w:cs="Arial" w:eastAsia="Arial" w:hAnsi="Arial"/>
                <w:sz w:val="18"/>
                <w:szCs w:val="18"/>
                <w:color w:val="auto"/>
              </w:rPr>
              <w:t>Eighth Amended and Restated Certificate of Incorporation of Fluidigm</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6200" w:type="dxa"/>
            <w:vAlign w:val="bottom"/>
            <w:gridSpan w:val="3"/>
          </w:tcPr>
          <w:p>
            <w:pPr>
              <w:ind w:left="220"/>
              <w:spacing w:after="0"/>
              <w:rPr>
                <w:sz w:val="20"/>
                <w:szCs w:val="20"/>
                <w:color w:val="auto"/>
              </w:rPr>
            </w:pPr>
            <w:r>
              <w:rPr>
                <w:rFonts w:ascii="Arial" w:cs="Arial" w:eastAsia="Arial" w:hAnsi="Arial"/>
                <w:sz w:val="18"/>
                <w:szCs w:val="18"/>
                <w:color w:val="auto"/>
              </w:rPr>
              <w:t>Corporation filed on February 15, 2011.</w:t>
            </w:r>
          </w:p>
        </w:tc>
        <w:tc>
          <w:tcPr>
            <w:tcW w:w="70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10-K</w:t>
            </w:r>
          </w:p>
        </w:tc>
        <w:tc>
          <w:tcPr>
            <w:tcW w:w="840" w:type="dxa"/>
            <w:vAlign w:val="bottom"/>
          </w:tcPr>
          <w:p>
            <w:pPr>
              <w:jc w:val="right"/>
              <w:spacing w:after="0"/>
              <w:rPr>
                <w:sz w:val="20"/>
                <w:szCs w:val="20"/>
                <w:color w:val="auto"/>
              </w:rPr>
            </w:pPr>
            <w:r>
              <w:rPr>
                <w:rFonts w:ascii="Arial" w:cs="Arial" w:eastAsia="Arial" w:hAnsi="Arial"/>
                <w:sz w:val="18"/>
                <w:szCs w:val="18"/>
                <w:color w:val="auto"/>
                <w:w w:val="95"/>
              </w:rPr>
              <w:t>001-34180</w:t>
            </w:r>
          </w:p>
        </w:tc>
        <w:tc>
          <w:tcPr>
            <w:tcW w:w="280" w:type="dxa"/>
            <w:vAlign w:val="bottom"/>
          </w:tcPr>
          <w:p>
            <w:pPr>
              <w:spacing w:after="0"/>
              <w:rPr>
                <w:sz w:val="20"/>
                <w:szCs w:val="20"/>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26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3/28/2011</w:t>
            </w: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540" w:type="dxa"/>
            <w:vAlign w:val="bottom"/>
          </w:tcPr>
          <w:p>
            <w:pPr>
              <w:jc w:val="right"/>
              <w:ind w:right="131"/>
              <w:spacing w:after="0"/>
              <w:rPr>
                <w:sz w:val="20"/>
                <w:szCs w:val="20"/>
                <w:color w:val="auto"/>
              </w:rPr>
            </w:pPr>
            <w:r>
              <w:rPr>
                <w:rFonts w:ascii="Arial" w:cs="Arial" w:eastAsia="Arial" w:hAnsi="Arial"/>
                <w:sz w:val="18"/>
                <w:szCs w:val="18"/>
                <w:color w:val="auto"/>
              </w:rPr>
              <w:t>3.2</w:t>
            </w:r>
          </w:p>
        </w:tc>
        <w:tc>
          <w:tcPr>
            <w:tcW w:w="6200" w:type="dxa"/>
            <w:vAlign w:val="bottom"/>
            <w:gridSpan w:val="3"/>
          </w:tcPr>
          <w:p>
            <w:pPr>
              <w:ind w:left="220"/>
              <w:spacing w:after="0"/>
              <w:rPr>
                <w:sz w:val="20"/>
                <w:szCs w:val="20"/>
                <w:color w:val="auto"/>
              </w:rPr>
            </w:pPr>
            <w:r>
              <w:rPr>
                <w:rFonts w:ascii="Arial" w:cs="Arial" w:eastAsia="Arial" w:hAnsi="Arial"/>
                <w:sz w:val="18"/>
                <w:szCs w:val="18"/>
                <w:color w:val="auto"/>
              </w:rPr>
              <w:t>Amended and Restated Bylaws of Fluidigm Corporation effective as of</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6200" w:type="dxa"/>
            <w:vAlign w:val="bottom"/>
            <w:gridSpan w:val="3"/>
          </w:tcPr>
          <w:p>
            <w:pPr>
              <w:ind w:left="220"/>
              <w:spacing w:after="0"/>
              <w:rPr>
                <w:sz w:val="20"/>
                <w:szCs w:val="20"/>
                <w:color w:val="auto"/>
              </w:rPr>
            </w:pPr>
            <w:r>
              <w:rPr>
                <w:rFonts w:ascii="Arial" w:cs="Arial" w:eastAsia="Arial" w:hAnsi="Arial"/>
                <w:sz w:val="18"/>
                <w:szCs w:val="18"/>
                <w:color w:val="auto"/>
              </w:rPr>
              <w:t>February 9, 2011.</w:t>
            </w:r>
          </w:p>
        </w:tc>
        <w:tc>
          <w:tcPr>
            <w:tcW w:w="70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10-K</w:t>
            </w:r>
          </w:p>
        </w:tc>
        <w:tc>
          <w:tcPr>
            <w:tcW w:w="840" w:type="dxa"/>
            <w:vAlign w:val="bottom"/>
          </w:tcPr>
          <w:p>
            <w:pPr>
              <w:jc w:val="right"/>
              <w:spacing w:after="0"/>
              <w:rPr>
                <w:sz w:val="20"/>
                <w:szCs w:val="20"/>
                <w:color w:val="auto"/>
              </w:rPr>
            </w:pPr>
            <w:r>
              <w:rPr>
                <w:rFonts w:ascii="Arial" w:cs="Arial" w:eastAsia="Arial" w:hAnsi="Arial"/>
                <w:sz w:val="18"/>
                <w:szCs w:val="18"/>
                <w:color w:val="auto"/>
                <w:w w:val="95"/>
              </w:rPr>
              <w:t>001-34180</w:t>
            </w:r>
          </w:p>
        </w:tc>
        <w:tc>
          <w:tcPr>
            <w:tcW w:w="280" w:type="dxa"/>
            <w:vAlign w:val="bottom"/>
          </w:tcPr>
          <w:p>
            <w:pPr>
              <w:spacing w:after="0"/>
              <w:rPr>
                <w:sz w:val="20"/>
                <w:szCs w:val="20"/>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26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3/28/2011</w:t>
            </w: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540" w:type="dxa"/>
            <w:vAlign w:val="bottom"/>
          </w:tcPr>
          <w:p>
            <w:pPr>
              <w:jc w:val="right"/>
              <w:ind w:right="131"/>
              <w:spacing w:after="0"/>
              <w:rPr>
                <w:sz w:val="20"/>
                <w:szCs w:val="20"/>
                <w:color w:val="auto"/>
              </w:rPr>
            </w:pPr>
            <w:r>
              <w:rPr>
                <w:rFonts w:ascii="Arial" w:cs="Arial" w:eastAsia="Arial" w:hAnsi="Arial"/>
                <w:sz w:val="18"/>
                <w:szCs w:val="18"/>
                <w:color w:val="auto"/>
              </w:rPr>
              <w:t>3.3</w:t>
            </w:r>
          </w:p>
        </w:tc>
        <w:tc>
          <w:tcPr>
            <w:tcW w:w="6200" w:type="dxa"/>
            <w:vAlign w:val="bottom"/>
            <w:gridSpan w:val="3"/>
          </w:tcPr>
          <w:p>
            <w:pPr>
              <w:ind w:left="220"/>
              <w:spacing w:after="0"/>
              <w:rPr>
                <w:sz w:val="20"/>
                <w:szCs w:val="20"/>
                <w:color w:val="auto"/>
              </w:rPr>
            </w:pPr>
            <w:r>
              <w:rPr>
                <w:rFonts w:ascii="Arial" w:cs="Arial" w:eastAsia="Arial" w:hAnsi="Arial"/>
                <w:sz w:val="18"/>
                <w:szCs w:val="18"/>
                <w:color w:val="auto"/>
              </w:rPr>
              <w:t>Certificate of Designation of Rights, Preferences and Privileges of Series A</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6200" w:type="dxa"/>
            <w:vAlign w:val="bottom"/>
            <w:gridSpan w:val="3"/>
          </w:tcPr>
          <w:p>
            <w:pPr>
              <w:ind w:left="220"/>
              <w:spacing w:after="0"/>
              <w:rPr>
                <w:sz w:val="20"/>
                <w:szCs w:val="20"/>
                <w:color w:val="auto"/>
              </w:rPr>
            </w:pPr>
            <w:r>
              <w:rPr>
                <w:rFonts w:ascii="Arial" w:cs="Arial" w:eastAsia="Arial" w:hAnsi="Arial"/>
                <w:sz w:val="18"/>
                <w:szCs w:val="18"/>
                <w:color w:val="auto"/>
              </w:rPr>
              <w:t>Participating Preferred Stock.</w:t>
            </w:r>
          </w:p>
        </w:tc>
        <w:tc>
          <w:tcPr>
            <w:tcW w:w="70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8-K</w:t>
            </w:r>
          </w:p>
        </w:tc>
        <w:tc>
          <w:tcPr>
            <w:tcW w:w="840" w:type="dxa"/>
            <w:vAlign w:val="bottom"/>
          </w:tcPr>
          <w:p>
            <w:pPr>
              <w:jc w:val="right"/>
              <w:spacing w:after="0"/>
              <w:rPr>
                <w:sz w:val="20"/>
                <w:szCs w:val="20"/>
                <w:color w:val="auto"/>
              </w:rPr>
            </w:pPr>
            <w:r>
              <w:rPr>
                <w:rFonts w:ascii="Arial" w:cs="Arial" w:eastAsia="Arial" w:hAnsi="Arial"/>
                <w:sz w:val="18"/>
                <w:szCs w:val="18"/>
                <w:color w:val="auto"/>
                <w:w w:val="95"/>
              </w:rPr>
              <w:t>001-34180</w:t>
            </w:r>
          </w:p>
        </w:tc>
        <w:tc>
          <w:tcPr>
            <w:tcW w:w="280" w:type="dxa"/>
            <w:vAlign w:val="bottom"/>
          </w:tcPr>
          <w:p>
            <w:pPr>
              <w:spacing w:after="0"/>
              <w:rPr>
                <w:sz w:val="20"/>
                <w:szCs w:val="20"/>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26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11/22/2016</w:t>
            </w: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540" w:type="dxa"/>
            <w:vAlign w:val="bottom"/>
          </w:tcPr>
          <w:p>
            <w:pPr>
              <w:jc w:val="right"/>
              <w:ind w:right="131"/>
              <w:spacing w:after="0"/>
              <w:rPr>
                <w:sz w:val="20"/>
                <w:szCs w:val="20"/>
                <w:color w:val="auto"/>
              </w:rPr>
            </w:pPr>
            <w:r>
              <w:rPr>
                <w:rFonts w:ascii="Arial" w:cs="Arial" w:eastAsia="Arial" w:hAnsi="Arial"/>
                <w:sz w:val="18"/>
                <w:szCs w:val="18"/>
                <w:color w:val="auto"/>
              </w:rPr>
              <w:t>4.1</w:t>
            </w:r>
          </w:p>
        </w:tc>
        <w:tc>
          <w:tcPr>
            <w:tcW w:w="6200" w:type="dxa"/>
            <w:vAlign w:val="bottom"/>
            <w:gridSpan w:val="3"/>
          </w:tcPr>
          <w:p>
            <w:pPr>
              <w:ind w:left="220"/>
              <w:spacing w:after="0"/>
              <w:rPr>
                <w:sz w:val="20"/>
                <w:szCs w:val="20"/>
                <w:color w:val="auto"/>
              </w:rPr>
            </w:pPr>
            <w:r>
              <w:rPr>
                <w:rFonts w:ascii="Arial" w:cs="Arial" w:eastAsia="Arial" w:hAnsi="Arial"/>
                <w:sz w:val="18"/>
                <w:szCs w:val="18"/>
                <w:color w:val="auto"/>
              </w:rPr>
              <w:t>Specimen Common Stock Certificate of Fluidigm Corporation.</w:t>
            </w:r>
          </w:p>
        </w:tc>
        <w:tc>
          <w:tcPr>
            <w:tcW w:w="70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S-8</w:t>
            </w:r>
          </w:p>
        </w:tc>
        <w:tc>
          <w:tcPr>
            <w:tcW w:w="840" w:type="dxa"/>
            <w:vAlign w:val="bottom"/>
          </w:tcPr>
          <w:p>
            <w:pPr>
              <w:jc w:val="right"/>
              <w:spacing w:after="0"/>
              <w:rPr>
                <w:sz w:val="20"/>
                <w:szCs w:val="20"/>
                <w:color w:val="auto"/>
              </w:rPr>
            </w:pPr>
            <w:r>
              <w:rPr>
                <w:rFonts w:ascii="Arial" w:cs="Arial" w:eastAsia="Arial" w:hAnsi="Arial"/>
                <w:sz w:val="18"/>
                <w:szCs w:val="18"/>
                <w:color w:val="auto"/>
                <w:w w:val="95"/>
              </w:rPr>
              <w:t>001-34180</w:t>
            </w:r>
          </w:p>
        </w:tc>
        <w:tc>
          <w:tcPr>
            <w:tcW w:w="28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26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2"/>
              </w:rPr>
              <w:t>1/13/2017</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540" w:type="dxa"/>
            <w:vAlign w:val="bottom"/>
          </w:tcPr>
          <w:p>
            <w:pPr>
              <w:jc w:val="right"/>
              <w:ind w:right="131"/>
              <w:spacing w:after="0"/>
              <w:rPr>
                <w:sz w:val="20"/>
                <w:szCs w:val="20"/>
                <w:color w:val="auto"/>
              </w:rPr>
            </w:pPr>
            <w:r>
              <w:rPr>
                <w:rFonts w:ascii="Arial" w:cs="Arial" w:eastAsia="Arial" w:hAnsi="Arial"/>
                <w:sz w:val="18"/>
                <w:szCs w:val="18"/>
                <w:color w:val="auto"/>
              </w:rPr>
              <w:t>4.2</w:t>
            </w:r>
          </w:p>
        </w:tc>
        <w:tc>
          <w:tcPr>
            <w:tcW w:w="6200" w:type="dxa"/>
            <w:vAlign w:val="bottom"/>
            <w:gridSpan w:val="3"/>
          </w:tcPr>
          <w:p>
            <w:pPr>
              <w:ind w:left="220"/>
              <w:spacing w:after="0"/>
              <w:rPr>
                <w:sz w:val="20"/>
                <w:szCs w:val="20"/>
                <w:color w:val="auto"/>
              </w:rPr>
            </w:pPr>
            <w:r>
              <w:rPr>
                <w:rFonts w:ascii="Arial" w:cs="Arial" w:eastAsia="Arial" w:hAnsi="Arial"/>
                <w:sz w:val="18"/>
                <w:szCs w:val="18"/>
                <w:color w:val="auto"/>
                <w:w w:val="93"/>
              </w:rPr>
              <w:t>Tax Benefit Preservation Plan, dated as of November 21, 2016, by and between</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6200" w:type="dxa"/>
            <w:vAlign w:val="bottom"/>
            <w:gridSpan w:val="3"/>
          </w:tcPr>
          <w:p>
            <w:pPr>
              <w:ind w:left="220"/>
              <w:spacing w:after="0"/>
              <w:rPr>
                <w:sz w:val="20"/>
                <w:szCs w:val="20"/>
                <w:color w:val="auto"/>
              </w:rPr>
            </w:pPr>
            <w:r>
              <w:rPr>
                <w:rFonts w:ascii="Arial" w:cs="Arial" w:eastAsia="Arial" w:hAnsi="Arial"/>
                <w:sz w:val="18"/>
                <w:szCs w:val="18"/>
                <w:color w:val="auto"/>
              </w:rPr>
              <w:t>Fluidigm Corporation and Computershare Inc., as Rights Agent.</w:t>
            </w:r>
          </w:p>
        </w:tc>
        <w:tc>
          <w:tcPr>
            <w:tcW w:w="70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8-K</w:t>
            </w:r>
          </w:p>
        </w:tc>
        <w:tc>
          <w:tcPr>
            <w:tcW w:w="840" w:type="dxa"/>
            <w:vAlign w:val="bottom"/>
          </w:tcPr>
          <w:p>
            <w:pPr>
              <w:jc w:val="right"/>
              <w:spacing w:after="0"/>
              <w:rPr>
                <w:sz w:val="20"/>
                <w:szCs w:val="20"/>
                <w:color w:val="auto"/>
              </w:rPr>
            </w:pPr>
            <w:r>
              <w:rPr>
                <w:rFonts w:ascii="Arial" w:cs="Arial" w:eastAsia="Arial" w:hAnsi="Arial"/>
                <w:sz w:val="18"/>
                <w:szCs w:val="18"/>
                <w:color w:val="auto"/>
                <w:w w:val="95"/>
              </w:rPr>
              <w:t>001-34180</w:t>
            </w:r>
          </w:p>
        </w:tc>
        <w:tc>
          <w:tcPr>
            <w:tcW w:w="280" w:type="dxa"/>
            <w:vAlign w:val="bottom"/>
          </w:tcPr>
          <w:p>
            <w:pPr>
              <w:spacing w:after="0"/>
              <w:rPr>
                <w:sz w:val="20"/>
                <w:szCs w:val="20"/>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26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11/22/2016</w:t>
            </w: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540" w:type="dxa"/>
            <w:vAlign w:val="bottom"/>
          </w:tcPr>
          <w:p>
            <w:pPr>
              <w:jc w:val="right"/>
              <w:ind w:right="131"/>
              <w:spacing w:after="0"/>
              <w:rPr>
                <w:sz w:val="20"/>
                <w:szCs w:val="20"/>
                <w:color w:val="auto"/>
              </w:rPr>
            </w:pPr>
            <w:r>
              <w:rPr>
                <w:rFonts w:ascii="Arial" w:cs="Arial" w:eastAsia="Arial" w:hAnsi="Arial"/>
                <w:sz w:val="18"/>
                <w:szCs w:val="18"/>
                <w:color w:val="auto"/>
              </w:rPr>
              <w:t>4.3</w:t>
            </w:r>
          </w:p>
        </w:tc>
        <w:tc>
          <w:tcPr>
            <w:tcW w:w="6200" w:type="dxa"/>
            <w:vAlign w:val="bottom"/>
            <w:gridSpan w:val="3"/>
          </w:tcPr>
          <w:p>
            <w:pPr>
              <w:ind w:left="220"/>
              <w:spacing w:after="0"/>
              <w:rPr>
                <w:sz w:val="20"/>
                <w:szCs w:val="20"/>
                <w:color w:val="auto"/>
              </w:rPr>
            </w:pPr>
            <w:r>
              <w:rPr>
                <w:rFonts w:ascii="Arial" w:cs="Arial" w:eastAsia="Arial" w:hAnsi="Arial"/>
                <w:sz w:val="18"/>
                <w:szCs w:val="18"/>
                <w:color w:val="auto"/>
              </w:rPr>
              <w:t>Form of Senior Indenture.</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ind w:left="52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24"/>
        </w:trPr>
        <w:tc>
          <w:tcPr>
            <w:tcW w:w="540" w:type="dxa"/>
            <w:vAlign w:val="bottom"/>
          </w:tcPr>
          <w:p>
            <w:pPr>
              <w:jc w:val="right"/>
              <w:ind w:right="131"/>
              <w:spacing w:after="0"/>
              <w:rPr>
                <w:sz w:val="20"/>
                <w:szCs w:val="20"/>
                <w:color w:val="auto"/>
              </w:rPr>
            </w:pPr>
            <w:r>
              <w:rPr>
                <w:rFonts w:ascii="Arial" w:cs="Arial" w:eastAsia="Arial" w:hAnsi="Arial"/>
                <w:sz w:val="18"/>
                <w:szCs w:val="18"/>
                <w:color w:val="auto"/>
              </w:rPr>
              <w:t>4.4</w:t>
            </w:r>
          </w:p>
        </w:tc>
        <w:tc>
          <w:tcPr>
            <w:tcW w:w="6200" w:type="dxa"/>
            <w:vAlign w:val="bottom"/>
            <w:gridSpan w:val="3"/>
          </w:tcPr>
          <w:p>
            <w:pPr>
              <w:ind w:left="220"/>
              <w:spacing w:after="0"/>
              <w:rPr>
                <w:sz w:val="20"/>
                <w:szCs w:val="20"/>
                <w:color w:val="auto"/>
              </w:rPr>
            </w:pPr>
            <w:r>
              <w:rPr>
                <w:rFonts w:ascii="Arial" w:cs="Arial" w:eastAsia="Arial" w:hAnsi="Arial"/>
                <w:sz w:val="18"/>
                <w:szCs w:val="18"/>
                <w:color w:val="auto"/>
              </w:rPr>
              <w:t>Form of Subordinated Indenture.</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ind w:left="52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24"/>
        </w:trPr>
        <w:tc>
          <w:tcPr>
            <w:tcW w:w="540" w:type="dxa"/>
            <w:vAlign w:val="bottom"/>
          </w:tcPr>
          <w:p>
            <w:pPr>
              <w:jc w:val="right"/>
              <w:ind w:right="31"/>
              <w:spacing w:after="0"/>
              <w:rPr>
                <w:sz w:val="20"/>
                <w:szCs w:val="20"/>
                <w:color w:val="auto"/>
              </w:rPr>
            </w:pPr>
            <w:r>
              <w:rPr>
                <w:rFonts w:ascii="Arial" w:cs="Arial" w:eastAsia="Arial" w:hAnsi="Arial"/>
                <w:sz w:val="18"/>
                <w:szCs w:val="18"/>
                <w:color w:val="auto"/>
              </w:rPr>
              <w:t>4.5*</w:t>
            </w:r>
          </w:p>
        </w:tc>
        <w:tc>
          <w:tcPr>
            <w:tcW w:w="6200" w:type="dxa"/>
            <w:vAlign w:val="bottom"/>
            <w:gridSpan w:val="3"/>
          </w:tcPr>
          <w:p>
            <w:pPr>
              <w:ind w:left="220"/>
              <w:spacing w:after="0"/>
              <w:rPr>
                <w:sz w:val="20"/>
                <w:szCs w:val="20"/>
                <w:color w:val="auto"/>
              </w:rPr>
            </w:pPr>
            <w:r>
              <w:rPr>
                <w:rFonts w:ascii="Arial" w:cs="Arial" w:eastAsia="Arial" w:hAnsi="Arial"/>
                <w:sz w:val="18"/>
                <w:szCs w:val="18"/>
                <w:color w:val="auto"/>
              </w:rPr>
              <w:t>Form of Senior Debt Security.</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40" w:type="dxa"/>
            <w:vAlign w:val="bottom"/>
          </w:tcPr>
          <w:p>
            <w:pPr>
              <w:jc w:val="right"/>
              <w:ind w:right="31"/>
              <w:spacing w:after="0"/>
              <w:rPr>
                <w:sz w:val="20"/>
                <w:szCs w:val="20"/>
                <w:color w:val="auto"/>
              </w:rPr>
            </w:pPr>
            <w:r>
              <w:rPr>
                <w:rFonts w:ascii="Arial" w:cs="Arial" w:eastAsia="Arial" w:hAnsi="Arial"/>
                <w:sz w:val="18"/>
                <w:szCs w:val="18"/>
                <w:color w:val="auto"/>
              </w:rPr>
              <w:t>4.6*</w:t>
            </w:r>
          </w:p>
        </w:tc>
        <w:tc>
          <w:tcPr>
            <w:tcW w:w="6200" w:type="dxa"/>
            <w:vAlign w:val="bottom"/>
            <w:gridSpan w:val="3"/>
          </w:tcPr>
          <w:p>
            <w:pPr>
              <w:ind w:left="220"/>
              <w:spacing w:after="0"/>
              <w:rPr>
                <w:sz w:val="20"/>
                <w:szCs w:val="20"/>
                <w:color w:val="auto"/>
              </w:rPr>
            </w:pPr>
            <w:r>
              <w:rPr>
                <w:rFonts w:ascii="Arial" w:cs="Arial" w:eastAsia="Arial" w:hAnsi="Arial"/>
                <w:sz w:val="18"/>
                <w:szCs w:val="18"/>
                <w:color w:val="auto"/>
              </w:rPr>
              <w:t>Form of Subordinated Debt Security.</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40" w:type="dxa"/>
            <w:vAlign w:val="bottom"/>
          </w:tcPr>
          <w:p>
            <w:pPr>
              <w:jc w:val="right"/>
              <w:ind w:right="31"/>
              <w:spacing w:after="0"/>
              <w:rPr>
                <w:sz w:val="20"/>
                <w:szCs w:val="20"/>
                <w:color w:val="auto"/>
              </w:rPr>
            </w:pPr>
            <w:r>
              <w:rPr>
                <w:rFonts w:ascii="Arial" w:cs="Arial" w:eastAsia="Arial" w:hAnsi="Arial"/>
                <w:sz w:val="18"/>
                <w:szCs w:val="18"/>
                <w:color w:val="auto"/>
              </w:rPr>
              <w:t>4.7*</w:t>
            </w:r>
          </w:p>
        </w:tc>
        <w:tc>
          <w:tcPr>
            <w:tcW w:w="6200" w:type="dxa"/>
            <w:vAlign w:val="bottom"/>
            <w:gridSpan w:val="3"/>
          </w:tcPr>
          <w:p>
            <w:pPr>
              <w:ind w:left="220"/>
              <w:spacing w:after="0"/>
              <w:rPr>
                <w:sz w:val="20"/>
                <w:szCs w:val="20"/>
                <w:color w:val="auto"/>
              </w:rPr>
            </w:pPr>
            <w:r>
              <w:rPr>
                <w:rFonts w:ascii="Arial" w:cs="Arial" w:eastAsia="Arial" w:hAnsi="Arial"/>
                <w:sz w:val="18"/>
                <w:szCs w:val="18"/>
                <w:color w:val="auto"/>
              </w:rPr>
              <w:t>Form of Certificate of Designation.</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40" w:type="dxa"/>
            <w:vAlign w:val="bottom"/>
          </w:tcPr>
          <w:p>
            <w:pPr>
              <w:jc w:val="right"/>
              <w:ind w:right="31"/>
              <w:spacing w:after="0"/>
              <w:rPr>
                <w:sz w:val="20"/>
                <w:szCs w:val="20"/>
                <w:color w:val="auto"/>
              </w:rPr>
            </w:pPr>
            <w:r>
              <w:rPr>
                <w:rFonts w:ascii="Arial" w:cs="Arial" w:eastAsia="Arial" w:hAnsi="Arial"/>
                <w:sz w:val="18"/>
                <w:szCs w:val="18"/>
                <w:color w:val="auto"/>
              </w:rPr>
              <w:t>4.8*</w:t>
            </w:r>
          </w:p>
        </w:tc>
        <w:tc>
          <w:tcPr>
            <w:tcW w:w="6200" w:type="dxa"/>
            <w:vAlign w:val="bottom"/>
            <w:gridSpan w:val="3"/>
          </w:tcPr>
          <w:p>
            <w:pPr>
              <w:ind w:left="220"/>
              <w:spacing w:after="0"/>
              <w:rPr>
                <w:sz w:val="20"/>
                <w:szCs w:val="20"/>
                <w:color w:val="auto"/>
              </w:rPr>
            </w:pPr>
            <w:r>
              <w:rPr>
                <w:rFonts w:ascii="Arial" w:cs="Arial" w:eastAsia="Arial" w:hAnsi="Arial"/>
                <w:sz w:val="18"/>
                <w:szCs w:val="18"/>
                <w:color w:val="auto"/>
              </w:rPr>
              <w:t>Form of Preferred Stock Certificate.</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40" w:type="dxa"/>
            <w:vAlign w:val="bottom"/>
          </w:tcPr>
          <w:p>
            <w:pPr>
              <w:jc w:val="right"/>
              <w:ind w:right="31"/>
              <w:spacing w:after="0"/>
              <w:rPr>
                <w:sz w:val="20"/>
                <w:szCs w:val="20"/>
                <w:color w:val="auto"/>
              </w:rPr>
            </w:pPr>
            <w:r>
              <w:rPr>
                <w:rFonts w:ascii="Arial" w:cs="Arial" w:eastAsia="Arial" w:hAnsi="Arial"/>
                <w:sz w:val="18"/>
                <w:szCs w:val="18"/>
                <w:color w:val="auto"/>
              </w:rPr>
              <w:t>4.9*</w:t>
            </w:r>
          </w:p>
        </w:tc>
        <w:tc>
          <w:tcPr>
            <w:tcW w:w="6200" w:type="dxa"/>
            <w:vAlign w:val="bottom"/>
            <w:gridSpan w:val="3"/>
          </w:tcPr>
          <w:p>
            <w:pPr>
              <w:ind w:left="220"/>
              <w:spacing w:after="0"/>
              <w:rPr>
                <w:sz w:val="20"/>
                <w:szCs w:val="20"/>
                <w:color w:val="auto"/>
              </w:rPr>
            </w:pPr>
            <w:r>
              <w:rPr>
                <w:rFonts w:ascii="Arial" w:cs="Arial" w:eastAsia="Arial" w:hAnsi="Arial"/>
                <w:sz w:val="18"/>
                <w:szCs w:val="18"/>
                <w:color w:val="auto"/>
              </w:rPr>
              <w:t>Form of Warrant Agreement.</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40" w:type="dxa"/>
            <w:vAlign w:val="bottom"/>
          </w:tcPr>
          <w:p>
            <w:pPr>
              <w:jc w:val="right"/>
              <w:spacing w:after="0"/>
              <w:rPr>
                <w:sz w:val="20"/>
                <w:szCs w:val="20"/>
                <w:color w:val="auto"/>
              </w:rPr>
            </w:pPr>
            <w:r>
              <w:rPr>
                <w:rFonts w:ascii="Arial" w:cs="Arial" w:eastAsia="Arial" w:hAnsi="Arial"/>
                <w:sz w:val="18"/>
                <w:szCs w:val="18"/>
                <w:color w:val="auto"/>
              </w:rPr>
              <w:t>4.10*</w:t>
            </w:r>
          </w:p>
        </w:tc>
        <w:tc>
          <w:tcPr>
            <w:tcW w:w="6200" w:type="dxa"/>
            <w:vAlign w:val="bottom"/>
            <w:gridSpan w:val="3"/>
          </w:tcPr>
          <w:p>
            <w:pPr>
              <w:ind w:left="220"/>
              <w:spacing w:after="0"/>
              <w:rPr>
                <w:sz w:val="20"/>
                <w:szCs w:val="20"/>
                <w:color w:val="auto"/>
              </w:rPr>
            </w:pPr>
            <w:r>
              <w:rPr>
                <w:rFonts w:ascii="Arial" w:cs="Arial" w:eastAsia="Arial" w:hAnsi="Arial"/>
                <w:sz w:val="18"/>
                <w:szCs w:val="18"/>
                <w:color w:val="auto"/>
              </w:rPr>
              <w:t>Form of Warrant/Subscription Agreement.</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40" w:type="dxa"/>
            <w:vAlign w:val="bottom"/>
          </w:tcPr>
          <w:p>
            <w:pPr>
              <w:jc w:val="right"/>
              <w:ind w:right="131"/>
              <w:spacing w:after="0"/>
              <w:rPr>
                <w:sz w:val="20"/>
                <w:szCs w:val="20"/>
                <w:color w:val="auto"/>
              </w:rPr>
            </w:pPr>
            <w:r>
              <w:rPr>
                <w:rFonts w:ascii="Arial" w:cs="Arial" w:eastAsia="Arial" w:hAnsi="Arial"/>
                <w:sz w:val="18"/>
                <w:szCs w:val="18"/>
                <w:color w:val="auto"/>
              </w:rPr>
              <w:t>5.1</w:t>
            </w:r>
          </w:p>
        </w:tc>
        <w:tc>
          <w:tcPr>
            <w:tcW w:w="6200" w:type="dxa"/>
            <w:vAlign w:val="bottom"/>
            <w:gridSpan w:val="3"/>
          </w:tcPr>
          <w:p>
            <w:pPr>
              <w:ind w:left="220"/>
              <w:spacing w:after="0"/>
              <w:rPr>
                <w:sz w:val="20"/>
                <w:szCs w:val="20"/>
                <w:color w:val="auto"/>
              </w:rPr>
            </w:pPr>
            <w:r>
              <w:rPr>
                <w:rFonts w:ascii="Arial" w:cs="Arial" w:eastAsia="Arial" w:hAnsi="Arial"/>
                <w:sz w:val="18"/>
                <w:szCs w:val="18"/>
                <w:color w:val="auto"/>
              </w:rPr>
              <w:t>Opinion of Wilson Sonsini Goodrich &amp; Rosati, Professional Corporation.</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ind w:left="52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24"/>
        </w:trPr>
        <w:tc>
          <w:tcPr>
            <w:tcW w:w="540" w:type="dxa"/>
            <w:vAlign w:val="bottom"/>
          </w:tcPr>
          <w:p>
            <w:pPr>
              <w:jc w:val="right"/>
              <w:ind w:right="131"/>
              <w:spacing w:after="0"/>
              <w:rPr>
                <w:sz w:val="20"/>
                <w:szCs w:val="20"/>
                <w:color w:val="auto"/>
              </w:rPr>
            </w:pPr>
            <w:r>
              <w:rPr>
                <w:rFonts w:ascii="Arial" w:cs="Arial" w:eastAsia="Arial" w:hAnsi="Arial"/>
                <w:sz w:val="18"/>
                <w:szCs w:val="18"/>
                <w:color w:val="auto"/>
                <w:w w:val="85"/>
              </w:rPr>
              <w:t>12.1</w:t>
            </w:r>
          </w:p>
        </w:tc>
        <w:tc>
          <w:tcPr>
            <w:tcW w:w="6200" w:type="dxa"/>
            <w:vAlign w:val="bottom"/>
            <w:gridSpan w:val="3"/>
          </w:tcPr>
          <w:p>
            <w:pPr>
              <w:ind w:left="220"/>
              <w:spacing w:after="0"/>
              <w:rPr>
                <w:sz w:val="20"/>
                <w:szCs w:val="20"/>
                <w:color w:val="auto"/>
              </w:rPr>
            </w:pPr>
            <w:r>
              <w:rPr>
                <w:rFonts w:ascii="Arial" w:cs="Arial" w:eastAsia="Arial" w:hAnsi="Arial"/>
                <w:sz w:val="18"/>
                <w:szCs w:val="18"/>
                <w:color w:val="auto"/>
              </w:rPr>
              <w:t>Statement re Computation of Ratio of Earnings to Fixed Charges.</w:t>
            </w:r>
          </w:p>
        </w:tc>
        <w:tc>
          <w:tcPr>
            <w:tcW w:w="70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10-K</w:t>
            </w:r>
          </w:p>
        </w:tc>
        <w:tc>
          <w:tcPr>
            <w:tcW w:w="840" w:type="dxa"/>
            <w:vAlign w:val="bottom"/>
          </w:tcPr>
          <w:p>
            <w:pPr>
              <w:jc w:val="right"/>
              <w:spacing w:after="0"/>
              <w:rPr>
                <w:sz w:val="20"/>
                <w:szCs w:val="20"/>
                <w:color w:val="auto"/>
              </w:rPr>
            </w:pPr>
            <w:r>
              <w:rPr>
                <w:rFonts w:ascii="Arial" w:cs="Arial" w:eastAsia="Arial" w:hAnsi="Arial"/>
                <w:sz w:val="18"/>
                <w:szCs w:val="18"/>
                <w:color w:val="auto"/>
                <w:w w:val="95"/>
              </w:rPr>
              <w:t>001-34180</w:t>
            </w:r>
          </w:p>
        </w:tc>
        <w:tc>
          <w:tcPr>
            <w:tcW w:w="28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91"/>
              </w:rPr>
              <w:t>12.1</w:t>
            </w:r>
          </w:p>
        </w:tc>
        <w:tc>
          <w:tcPr>
            <w:tcW w:w="26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3/3/2017</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540" w:type="dxa"/>
            <w:vAlign w:val="bottom"/>
          </w:tcPr>
          <w:p>
            <w:pPr>
              <w:jc w:val="right"/>
              <w:ind w:right="131"/>
              <w:spacing w:after="0"/>
              <w:rPr>
                <w:sz w:val="20"/>
                <w:szCs w:val="20"/>
                <w:color w:val="auto"/>
              </w:rPr>
            </w:pPr>
            <w:r>
              <w:rPr>
                <w:rFonts w:ascii="Arial" w:cs="Arial" w:eastAsia="Arial" w:hAnsi="Arial"/>
                <w:sz w:val="18"/>
                <w:szCs w:val="18"/>
                <w:color w:val="auto"/>
                <w:w w:val="85"/>
              </w:rPr>
              <w:t>23.1</w:t>
            </w:r>
          </w:p>
        </w:tc>
        <w:tc>
          <w:tcPr>
            <w:tcW w:w="6200" w:type="dxa"/>
            <w:vAlign w:val="bottom"/>
            <w:gridSpan w:val="3"/>
          </w:tcPr>
          <w:p>
            <w:pPr>
              <w:ind w:left="220"/>
              <w:spacing w:after="0"/>
              <w:rPr>
                <w:sz w:val="20"/>
                <w:szCs w:val="20"/>
                <w:color w:val="auto"/>
              </w:rPr>
            </w:pPr>
            <w:r>
              <w:rPr>
                <w:rFonts w:ascii="Arial" w:cs="Arial" w:eastAsia="Arial" w:hAnsi="Arial"/>
                <w:sz w:val="18"/>
                <w:szCs w:val="18"/>
                <w:color w:val="auto"/>
              </w:rPr>
              <w:t>Consent of PricewaterhouseCoopers LLP, independent registered public</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6200" w:type="dxa"/>
            <w:vAlign w:val="bottom"/>
            <w:gridSpan w:val="3"/>
          </w:tcPr>
          <w:p>
            <w:pPr>
              <w:ind w:left="220"/>
              <w:spacing w:after="0"/>
              <w:rPr>
                <w:sz w:val="20"/>
                <w:szCs w:val="20"/>
                <w:color w:val="auto"/>
              </w:rPr>
            </w:pPr>
            <w:r>
              <w:rPr>
                <w:rFonts w:ascii="Arial" w:cs="Arial" w:eastAsia="Arial" w:hAnsi="Arial"/>
                <w:sz w:val="18"/>
                <w:szCs w:val="18"/>
                <w:color w:val="auto"/>
              </w:rPr>
              <w:t>accounting firm.</w:t>
            </w: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ind w:left="52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24"/>
        </w:trPr>
        <w:tc>
          <w:tcPr>
            <w:tcW w:w="540" w:type="dxa"/>
            <w:vAlign w:val="bottom"/>
          </w:tcPr>
          <w:p>
            <w:pPr>
              <w:jc w:val="right"/>
              <w:ind w:right="131"/>
              <w:spacing w:after="0"/>
              <w:rPr>
                <w:sz w:val="20"/>
                <w:szCs w:val="20"/>
                <w:color w:val="auto"/>
              </w:rPr>
            </w:pPr>
            <w:r>
              <w:rPr>
                <w:rFonts w:ascii="Arial" w:cs="Arial" w:eastAsia="Arial" w:hAnsi="Arial"/>
                <w:sz w:val="18"/>
                <w:szCs w:val="18"/>
                <w:color w:val="auto"/>
                <w:w w:val="85"/>
              </w:rPr>
              <w:t>23.2</w:t>
            </w:r>
          </w:p>
        </w:tc>
        <w:tc>
          <w:tcPr>
            <w:tcW w:w="6200" w:type="dxa"/>
            <w:vAlign w:val="bottom"/>
            <w:gridSpan w:val="3"/>
          </w:tcPr>
          <w:p>
            <w:pPr>
              <w:ind w:left="220"/>
              <w:spacing w:after="0"/>
              <w:rPr>
                <w:sz w:val="20"/>
                <w:szCs w:val="20"/>
                <w:color w:val="auto"/>
              </w:rPr>
            </w:pPr>
            <w:r>
              <w:rPr>
                <w:rFonts w:ascii="Arial" w:cs="Arial" w:eastAsia="Arial" w:hAnsi="Arial"/>
                <w:sz w:val="18"/>
                <w:szCs w:val="18"/>
                <w:color w:val="auto"/>
                <w:w w:val="95"/>
              </w:rPr>
              <w:t>Consent of Ernst &amp; Young LLP, independent registered public accounting firm.</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ind w:left="52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10"/>
        </w:trPr>
        <w:tc>
          <w:tcPr>
            <w:tcW w:w="540" w:type="dxa"/>
            <w:vAlign w:val="bottom"/>
          </w:tcPr>
          <w:p>
            <w:pPr>
              <w:jc w:val="right"/>
              <w:ind w:right="131"/>
              <w:spacing w:after="0"/>
              <w:rPr>
                <w:sz w:val="20"/>
                <w:szCs w:val="20"/>
                <w:color w:val="auto"/>
              </w:rPr>
            </w:pPr>
            <w:r>
              <w:rPr>
                <w:rFonts w:ascii="Arial" w:cs="Arial" w:eastAsia="Arial" w:hAnsi="Arial"/>
                <w:sz w:val="18"/>
                <w:szCs w:val="18"/>
                <w:color w:val="auto"/>
                <w:w w:val="85"/>
              </w:rPr>
              <w:t>23.3</w:t>
            </w:r>
          </w:p>
        </w:tc>
        <w:tc>
          <w:tcPr>
            <w:tcW w:w="6200" w:type="dxa"/>
            <w:vAlign w:val="bottom"/>
            <w:gridSpan w:val="3"/>
          </w:tcPr>
          <w:p>
            <w:pPr>
              <w:ind w:left="220"/>
              <w:spacing w:after="0"/>
              <w:rPr>
                <w:sz w:val="20"/>
                <w:szCs w:val="20"/>
                <w:color w:val="auto"/>
              </w:rPr>
            </w:pPr>
            <w:r>
              <w:rPr>
                <w:rFonts w:ascii="Arial" w:cs="Arial" w:eastAsia="Arial" w:hAnsi="Arial"/>
                <w:sz w:val="18"/>
                <w:szCs w:val="18"/>
                <w:color w:val="auto"/>
              </w:rPr>
              <w:t>Consent of Wilson Sonsini Goodrich &amp; Rosati, Professional Corporation</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6200" w:type="dxa"/>
            <w:vAlign w:val="bottom"/>
            <w:gridSpan w:val="3"/>
          </w:tcPr>
          <w:p>
            <w:pPr>
              <w:ind w:left="220"/>
              <w:spacing w:after="0"/>
              <w:rPr>
                <w:sz w:val="20"/>
                <w:szCs w:val="20"/>
                <w:color w:val="auto"/>
              </w:rPr>
            </w:pPr>
            <w:r>
              <w:rPr>
                <w:rFonts w:ascii="Arial" w:cs="Arial" w:eastAsia="Arial" w:hAnsi="Arial"/>
                <w:sz w:val="18"/>
                <w:szCs w:val="18"/>
                <w:color w:val="auto"/>
              </w:rPr>
              <w:t>(included in Exhibit 5.1).</w:t>
            </w: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ind w:left="52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24"/>
        </w:trPr>
        <w:tc>
          <w:tcPr>
            <w:tcW w:w="540" w:type="dxa"/>
            <w:vAlign w:val="bottom"/>
          </w:tcPr>
          <w:p>
            <w:pPr>
              <w:jc w:val="right"/>
              <w:ind w:right="131"/>
              <w:spacing w:after="0"/>
              <w:rPr>
                <w:sz w:val="20"/>
                <w:szCs w:val="20"/>
                <w:color w:val="auto"/>
              </w:rPr>
            </w:pPr>
            <w:r>
              <w:rPr>
                <w:rFonts w:ascii="Arial" w:cs="Arial" w:eastAsia="Arial" w:hAnsi="Arial"/>
                <w:sz w:val="18"/>
                <w:szCs w:val="18"/>
                <w:color w:val="auto"/>
                <w:w w:val="85"/>
              </w:rPr>
              <w:t>24.1</w:t>
            </w:r>
          </w:p>
        </w:tc>
        <w:tc>
          <w:tcPr>
            <w:tcW w:w="6200" w:type="dxa"/>
            <w:vAlign w:val="bottom"/>
            <w:gridSpan w:val="3"/>
          </w:tcPr>
          <w:p>
            <w:pPr>
              <w:ind w:left="220"/>
              <w:spacing w:after="0"/>
              <w:rPr>
                <w:sz w:val="20"/>
                <w:szCs w:val="20"/>
                <w:color w:val="auto"/>
              </w:rPr>
            </w:pPr>
            <w:r>
              <w:rPr>
                <w:rFonts w:ascii="Arial" w:cs="Arial" w:eastAsia="Arial" w:hAnsi="Arial"/>
                <w:sz w:val="18"/>
                <w:szCs w:val="18"/>
                <w:color w:val="auto"/>
              </w:rPr>
              <w:t>Power of Attorney (included on signature page).</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ind w:left="52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10"/>
        </w:trPr>
        <w:tc>
          <w:tcPr>
            <w:tcW w:w="540" w:type="dxa"/>
            <w:vAlign w:val="bottom"/>
          </w:tcPr>
          <w:p>
            <w:pPr>
              <w:jc w:val="right"/>
              <w:ind w:right="31"/>
              <w:spacing w:after="0"/>
              <w:rPr>
                <w:sz w:val="20"/>
                <w:szCs w:val="20"/>
                <w:color w:val="auto"/>
              </w:rPr>
            </w:pPr>
            <w:r>
              <w:rPr>
                <w:rFonts w:ascii="Arial" w:cs="Arial" w:eastAsia="Arial" w:hAnsi="Arial"/>
                <w:sz w:val="18"/>
                <w:szCs w:val="18"/>
                <w:color w:val="auto"/>
                <w:w w:val="95"/>
              </w:rPr>
              <w:t>25.1*</w:t>
            </w:r>
          </w:p>
        </w:tc>
        <w:tc>
          <w:tcPr>
            <w:tcW w:w="6200" w:type="dxa"/>
            <w:vAlign w:val="bottom"/>
            <w:gridSpan w:val="3"/>
          </w:tcPr>
          <w:p>
            <w:pPr>
              <w:ind w:left="220"/>
              <w:spacing w:after="0"/>
              <w:rPr>
                <w:sz w:val="20"/>
                <w:szCs w:val="20"/>
                <w:color w:val="auto"/>
              </w:rPr>
            </w:pPr>
            <w:r>
              <w:rPr>
                <w:rFonts w:ascii="Arial" w:cs="Arial" w:eastAsia="Arial" w:hAnsi="Arial"/>
                <w:sz w:val="18"/>
                <w:szCs w:val="18"/>
                <w:color w:val="auto"/>
              </w:rPr>
              <w:t>Form T-1 Statement of Eligibility of Trustee for Senior Indenture under the</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6200" w:type="dxa"/>
            <w:vAlign w:val="bottom"/>
            <w:gridSpan w:val="3"/>
          </w:tcPr>
          <w:p>
            <w:pPr>
              <w:ind w:left="220"/>
              <w:spacing w:after="0"/>
              <w:rPr>
                <w:sz w:val="20"/>
                <w:szCs w:val="20"/>
                <w:color w:val="auto"/>
              </w:rPr>
            </w:pPr>
            <w:r>
              <w:rPr>
                <w:rFonts w:ascii="Arial" w:cs="Arial" w:eastAsia="Arial" w:hAnsi="Arial"/>
                <w:sz w:val="18"/>
                <w:szCs w:val="18"/>
                <w:color w:val="auto"/>
              </w:rPr>
              <w:t>Trust Indenture Act of 1939.</w:t>
            </w: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540" w:type="dxa"/>
            <w:vAlign w:val="bottom"/>
          </w:tcPr>
          <w:p>
            <w:pPr>
              <w:jc w:val="right"/>
              <w:ind w:right="31"/>
              <w:spacing w:after="0"/>
              <w:rPr>
                <w:sz w:val="20"/>
                <w:szCs w:val="20"/>
                <w:color w:val="auto"/>
              </w:rPr>
            </w:pPr>
            <w:r>
              <w:rPr>
                <w:rFonts w:ascii="Arial" w:cs="Arial" w:eastAsia="Arial" w:hAnsi="Arial"/>
                <w:sz w:val="18"/>
                <w:szCs w:val="18"/>
                <w:color w:val="auto"/>
                <w:w w:val="95"/>
              </w:rPr>
              <w:t>25.2*</w:t>
            </w:r>
          </w:p>
        </w:tc>
        <w:tc>
          <w:tcPr>
            <w:tcW w:w="6200" w:type="dxa"/>
            <w:vAlign w:val="bottom"/>
            <w:gridSpan w:val="3"/>
          </w:tcPr>
          <w:p>
            <w:pPr>
              <w:ind w:left="220"/>
              <w:spacing w:after="0"/>
              <w:rPr>
                <w:sz w:val="20"/>
                <w:szCs w:val="20"/>
                <w:color w:val="auto"/>
              </w:rPr>
            </w:pPr>
            <w:r>
              <w:rPr>
                <w:rFonts w:ascii="Arial" w:cs="Arial" w:eastAsia="Arial" w:hAnsi="Arial"/>
                <w:sz w:val="18"/>
                <w:szCs w:val="18"/>
                <w:color w:val="auto"/>
                <w:w w:val="97"/>
              </w:rPr>
              <w:t>Form T-1 Statement of Eligibility of Trustee for Subordinated Indenture under</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6200" w:type="dxa"/>
            <w:vAlign w:val="bottom"/>
            <w:gridSpan w:val="3"/>
          </w:tcPr>
          <w:p>
            <w:pPr>
              <w:ind w:left="220"/>
              <w:spacing w:after="0"/>
              <w:rPr>
                <w:sz w:val="20"/>
                <w:szCs w:val="20"/>
                <w:color w:val="auto"/>
              </w:rPr>
            </w:pPr>
            <w:r>
              <w:rPr>
                <w:rFonts w:ascii="Arial" w:cs="Arial" w:eastAsia="Arial" w:hAnsi="Arial"/>
                <w:sz w:val="18"/>
                <w:szCs w:val="18"/>
                <w:color w:val="auto"/>
              </w:rPr>
              <w:t>the Trust Indenture Act of 1939.</w:t>
            </w: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220" w:right="720" w:hanging="212"/>
        <w:spacing w:after="0" w:line="277" w:lineRule="auto"/>
        <w:tabs>
          <w:tab w:leader="none" w:pos="2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be filed by amendment or as an exhibit to a report pursuant to Section 13(a) or 15(d) of the Securities Exchange Act of 1934, as amended and incorporated herein by reference.</w:t>
      </w:r>
    </w:p>
    <w:p>
      <w:pPr>
        <w:sectPr>
          <w:pgSz w:w="11900" w:h="16838" w:orient="portrait"/>
          <w:cols w:equalWidth="0" w:num="1">
            <w:col w:w="11360"/>
          </w:cols>
          <w:pgMar w:left="240" w:top="459" w:right="29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4.3</w:t>
      </w:r>
    </w:p>
    <w:p>
      <w:pPr>
        <w:spacing w:after="0" w:line="229"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FLUIDIGM CORPORATION</w:t>
      </w:r>
    </w:p>
    <w:p>
      <w:pPr>
        <w:spacing w:after="0" w:line="237"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238125</wp:posOffset>
            </wp:positionV>
            <wp:extent cx="151765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AS TRUSTEE</w:t>
      </w:r>
    </w:p>
    <w:p>
      <w:pPr>
        <w:spacing w:after="0" w:line="225"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INDENTURE</w:t>
      </w:r>
    </w:p>
    <w:p>
      <w:pPr>
        <w:spacing w:after="0" w:line="225" w:lineRule="exact"/>
        <w:rPr>
          <w:sz w:val="20"/>
          <w:szCs w:val="20"/>
          <w:color w:val="auto"/>
        </w:rPr>
      </w:pPr>
    </w:p>
    <w:p>
      <w:pPr>
        <w:ind w:left="3420"/>
        <w:spacing w:after="0"/>
        <w:tabs>
          <w:tab w:leader="none" w:pos="5140" w:val="left"/>
        </w:tabs>
        <w:rPr>
          <w:sz w:val="20"/>
          <w:szCs w:val="20"/>
          <w:color w:val="auto"/>
        </w:rPr>
      </w:pPr>
      <w:r>
        <w:rPr>
          <w:rFonts w:ascii="Arial" w:cs="Arial" w:eastAsia="Arial" w:hAnsi="Arial"/>
          <w:sz w:val="18"/>
          <w:szCs w:val="18"/>
          <w:color w:val="auto"/>
        </w:rPr>
        <w:t>DATED AS OF</w:t>
      </w:r>
      <w:r>
        <w:rPr>
          <w:sz w:val="20"/>
          <w:szCs w:val="20"/>
          <w:color w:val="auto"/>
        </w:rPr>
        <w:tab/>
      </w:r>
      <w:r>
        <w:rPr>
          <w:rFonts w:ascii="Arial" w:cs="Arial" w:eastAsia="Arial" w:hAnsi="Arial"/>
          <w:sz w:val="15"/>
          <w:szCs w:val="15"/>
          <w:color w:val="auto"/>
        </w:rPr>
        <w:t>, 20</w:t>
      </w:r>
    </w:p>
    <w:p>
      <w:pPr>
        <w:spacing w:after="0" w:line="225"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SENIOR DEBT SECURITIES</w:t>
      </w:r>
    </w:p>
    <w:p>
      <w:pPr>
        <w:sectPr>
          <w:pgSz w:w="11900" w:h="16838" w:orient="portrait"/>
          <w:cols w:equalWidth="0" w:num="1">
            <w:col w:w="10220"/>
          </w:cols>
          <w:pgMar w:left="1440" w:top="121" w:right="239" w:bottom="1440" w:gutter="0" w:footer="0" w:header="0"/>
        </w:sectPr>
      </w:pPr>
    </w:p>
    <w:bookmarkStart w:id="43" w:name="page44"/>
    <w:bookmarkEnd w:id="4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060" w:type="dxa"/>
            <w:vAlign w:val="bottom"/>
            <w:gridSpan w:val="2"/>
            <w:vMerge w:val="restart"/>
          </w:tcPr>
          <w:p>
            <w:pPr>
              <w:spacing w:after="0"/>
              <w:rPr>
                <w:sz w:val="20"/>
                <w:szCs w:val="20"/>
                <w:color w:val="auto"/>
              </w:rPr>
            </w:pPr>
            <w:r>
              <w:rPr>
                <w:rFonts w:ascii="Arial" w:cs="Arial" w:eastAsia="Arial" w:hAnsi="Arial"/>
                <w:sz w:val="18"/>
                <w:szCs w:val="18"/>
                <w:color w:val="auto"/>
              </w:rPr>
              <w:t>ARTICLE 1 DEFINITIONS AND OTHER PROVISIONS OF GENERAL APPLICATION</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224"/>
        </w:trPr>
        <w:tc>
          <w:tcPr>
            <w:tcW w:w="11060" w:type="dxa"/>
            <w:vAlign w:val="bottom"/>
            <w:gridSpan w:val="2"/>
            <w:vMerge w:val="continue"/>
          </w:tcPr>
          <w:p>
            <w:pPr>
              <w:spacing w:after="0"/>
              <w:rPr>
                <w:sz w:val="19"/>
                <w:szCs w:val="19"/>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5"/>
        </w:trPr>
        <w:tc>
          <w:tcPr>
            <w:tcW w:w="1840" w:type="dxa"/>
            <w:vAlign w:val="bottom"/>
          </w:tcPr>
          <w:p>
            <w:pPr>
              <w:ind w:left="360"/>
              <w:spacing w:after="0"/>
              <w:rPr>
                <w:sz w:val="20"/>
                <w:szCs w:val="20"/>
                <w:color w:val="auto"/>
              </w:rPr>
            </w:pPr>
            <w:r>
              <w:rPr>
                <w:rFonts w:ascii="Arial" w:cs="Arial" w:eastAsia="Arial" w:hAnsi="Arial"/>
                <w:sz w:val="18"/>
                <w:szCs w:val="18"/>
                <w:color w:val="auto"/>
              </w:rPr>
              <w:t>Section 1.1</w:t>
            </w:r>
          </w:p>
        </w:tc>
        <w:tc>
          <w:tcPr>
            <w:tcW w:w="9220" w:type="dxa"/>
            <w:vAlign w:val="bottom"/>
          </w:tcPr>
          <w:p>
            <w:pPr>
              <w:spacing w:after="0"/>
              <w:rPr>
                <w:sz w:val="20"/>
                <w:szCs w:val="20"/>
                <w:color w:val="auto"/>
              </w:rPr>
            </w:pPr>
            <w:r>
              <w:rPr>
                <w:rFonts w:ascii="Arial" w:cs="Arial" w:eastAsia="Arial" w:hAnsi="Arial"/>
                <w:sz w:val="18"/>
                <w:szCs w:val="18"/>
                <w:color w:val="auto"/>
              </w:rPr>
              <w:t>Definitions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840" w:type="dxa"/>
            <w:vAlign w:val="bottom"/>
          </w:tcPr>
          <w:p>
            <w:pPr>
              <w:ind w:left="360"/>
              <w:spacing w:after="0"/>
              <w:rPr>
                <w:sz w:val="20"/>
                <w:szCs w:val="20"/>
                <w:color w:val="auto"/>
              </w:rPr>
            </w:pPr>
            <w:r>
              <w:rPr>
                <w:rFonts w:ascii="Arial" w:cs="Arial" w:eastAsia="Arial" w:hAnsi="Arial"/>
                <w:sz w:val="18"/>
                <w:szCs w:val="18"/>
                <w:color w:val="auto"/>
              </w:rPr>
              <w:t>Section 1.2</w:t>
            </w:r>
          </w:p>
        </w:tc>
        <w:tc>
          <w:tcPr>
            <w:tcW w:w="9220" w:type="dxa"/>
            <w:vAlign w:val="bottom"/>
          </w:tcPr>
          <w:p>
            <w:pPr>
              <w:spacing w:after="0"/>
              <w:rPr>
                <w:sz w:val="20"/>
                <w:szCs w:val="20"/>
                <w:color w:val="auto"/>
              </w:rPr>
            </w:pPr>
            <w:r>
              <w:rPr>
                <w:rFonts w:ascii="Arial" w:cs="Arial" w:eastAsia="Arial" w:hAnsi="Arial"/>
                <w:sz w:val="18"/>
                <w:szCs w:val="18"/>
                <w:color w:val="auto"/>
              </w:rPr>
              <w:t>Compliance Certificates and Opinions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840" w:type="dxa"/>
            <w:vAlign w:val="bottom"/>
          </w:tcPr>
          <w:p>
            <w:pPr>
              <w:ind w:left="360"/>
              <w:spacing w:after="0"/>
              <w:rPr>
                <w:sz w:val="20"/>
                <w:szCs w:val="20"/>
                <w:color w:val="auto"/>
              </w:rPr>
            </w:pPr>
            <w:r>
              <w:rPr>
                <w:rFonts w:ascii="Arial" w:cs="Arial" w:eastAsia="Arial" w:hAnsi="Arial"/>
                <w:sz w:val="18"/>
                <w:szCs w:val="18"/>
                <w:color w:val="auto"/>
              </w:rPr>
              <w:t>Section 1.3</w:t>
            </w:r>
          </w:p>
        </w:tc>
        <w:tc>
          <w:tcPr>
            <w:tcW w:w="9220" w:type="dxa"/>
            <w:vAlign w:val="bottom"/>
          </w:tcPr>
          <w:p>
            <w:pPr>
              <w:spacing w:after="0"/>
              <w:rPr>
                <w:sz w:val="20"/>
                <w:szCs w:val="20"/>
                <w:color w:val="auto"/>
              </w:rPr>
            </w:pPr>
            <w:r>
              <w:rPr>
                <w:rFonts w:ascii="Arial" w:cs="Arial" w:eastAsia="Arial" w:hAnsi="Arial"/>
                <w:sz w:val="18"/>
                <w:szCs w:val="18"/>
                <w:color w:val="auto"/>
              </w:rPr>
              <w:t>Form of Documents Delivered to Trustee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840" w:type="dxa"/>
            <w:vAlign w:val="bottom"/>
          </w:tcPr>
          <w:p>
            <w:pPr>
              <w:ind w:left="360"/>
              <w:spacing w:after="0"/>
              <w:rPr>
                <w:sz w:val="20"/>
                <w:szCs w:val="20"/>
                <w:color w:val="auto"/>
              </w:rPr>
            </w:pPr>
            <w:r>
              <w:rPr>
                <w:rFonts w:ascii="Arial" w:cs="Arial" w:eastAsia="Arial" w:hAnsi="Arial"/>
                <w:sz w:val="18"/>
                <w:szCs w:val="18"/>
                <w:color w:val="auto"/>
              </w:rPr>
              <w:t>Section 1.4</w:t>
            </w:r>
          </w:p>
        </w:tc>
        <w:tc>
          <w:tcPr>
            <w:tcW w:w="9220" w:type="dxa"/>
            <w:vAlign w:val="bottom"/>
          </w:tcPr>
          <w:p>
            <w:pPr>
              <w:spacing w:after="0"/>
              <w:rPr>
                <w:sz w:val="20"/>
                <w:szCs w:val="20"/>
                <w:color w:val="auto"/>
              </w:rPr>
            </w:pPr>
            <w:r>
              <w:rPr>
                <w:rFonts w:ascii="Arial" w:cs="Arial" w:eastAsia="Arial" w:hAnsi="Arial"/>
                <w:sz w:val="18"/>
                <w:szCs w:val="18"/>
                <w:color w:val="auto"/>
              </w:rPr>
              <w:t>Acts of Holders; Record Dates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840" w:type="dxa"/>
            <w:vAlign w:val="bottom"/>
          </w:tcPr>
          <w:p>
            <w:pPr>
              <w:ind w:left="360"/>
              <w:spacing w:after="0"/>
              <w:rPr>
                <w:sz w:val="20"/>
                <w:szCs w:val="20"/>
                <w:color w:val="auto"/>
              </w:rPr>
            </w:pPr>
            <w:r>
              <w:rPr>
                <w:rFonts w:ascii="Arial" w:cs="Arial" w:eastAsia="Arial" w:hAnsi="Arial"/>
                <w:sz w:val="18"/>
                <w:szCs w:val="18"/>
                <w:color w:val="auto"/>
              </w:rPr>
              <w:t>Section 1.5</w:t>
            </w:r>
          </w:p>
        </w:tc>
        <w:tc>
          <w:tcPr>
            <w:tcW w:w="9220" w:type="dxa"/>
            <w:vAlign w:val="bottom"/>
          </w:tcPr>
          <w:p>
            <w:pPr>
              <w:spacing w:after="0"/>
              <w:rPr>
                <w:sz w:val="20"/>
                <w:szCs w:val="20"/>
                <w:color w:val="auto"/>
              </w:rPr>
            </w:pPr>
            <w:r>
              <w:rPr>
                <w:rFonts w:ascii="Arial" w:cs="Arial" w:eastAsia="Arial" w:hAnsi="Arial"/>
                <w:sz w:val="18"/>
                <w:szCs w:val="18"/>
                <w:color w:val="auto"/>
              </w:rPr>
              <w:t>Notices, etc., to Trustee and Company</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840" w:type="dxa"/>
            <w:vAlign w:val="bottom"/>
          </w:tcPr>
          <w:p>
            <w:pPr>
              <w:ind w:left="360"/>
              <w:spacing w:after="0"/>
              <w:rPr>
                <w:sz w:val="20"/>
                <w:szCs w:val="20"/>
                <w:color w:val="auto"/>
              </w:rPr>
            </w:pPr>
            <w:r>
              <w:rPr>
                <w:rFonts w:ascii="Arial" w:cs="Arial" w:eastAsia="Arial" w:hAnsi="Arial"/>
                <w:sz w:val="18"/>
                <w:szCs w:val="18"/>
                <w:color w:val="auto"/>
              </w:rPr>
              <w:t>Section 1.6</w:t>
            </w:r>
          </w:p>
        </w:tc>
        <w:tc>
          <w:tcPr>
            <w:tcW w:w="9220" w:type="dxa"/>
            <w:vAlign w:val="bottom"/>
          </w:tcPr>
          <w:p>
            <w:pPr>
              <w:spacing w:after="0"/>
              <w:rPr>
                <w:sz w:val="20"/>
                <w:szCs w:val="20"/>
                <w:color w:val="auto"/>
              </w:rPr>
            </w:pPr>
            <w:r>
              <w:rPr>
                <w:rFonts w:ascii="Arial" w:cs="Arial" w:eastAsia="Arial" w:hAnsi="Arial"/>
                <w:sz w:val="18"/>
                <w:szCs w:val="18"/>
                <w:color w:val="auto"/>
              </w:rPr>
              <w:t>Notice to Holders; Waiver</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840" w:type="dxa"/>
            <w:vAlign w:val="bottom"/>
          </w:tcPr>
          <w:p>
            <w:pPr>
              <w:ind w:left="360"/>
              <w:spacing w:after="0"/>
              <w:rPr>
                <w:sz w:val="20"/>
                <w:szCs w:val="20"/>
                <w:color w:val="auto"/>
              </w:rPr>
            </w:pPr>
            <w:r>
              <w:rPr>
                <w:rFonts w:ascii="Arial" w:cs="Arial" w:eastAsia="Arial" w:hAnsi="Arial"/>
                <w:sz w:val="18"/>
                <w:szCs w:val="18"/>
                <w:color w:val="auto"/>
              </w:rPr>
              <w:t>Section 1.7</w:t>
            </w:r>
          </w:p>
        </w:tc>
        <w:tc>
          <w:tcPr>
            <w:tcW w:w="9220" w:type="dxa"/>
            <w:vAlign w:val="bottom"/>
          </w:tcPr>
          <w:p>
            <w:pPr>
              <w:spacing w:after="0"/>
              <w:rPr>
                <w:sz w:val="20"/>
                <w:szCs w:val="20"/>
                <w:color w:val="auto"/>
              </w:rPr>
            </w:pPr>
            <w:r>
              <w:rPr>
                <w:rFonts w:ascii="Arial" w:cs="Arial" w:eastAsia="Arial" w:hAnsi="Arial"/>
                <w:sz w:val="18"/>
                <w:szCs w:val="18"/>
                <w:color w:val="auto"/>
              </w:rPr>
              <w:t>Conflict with Trust Indenture Act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840" w:type="dxa"/>
            <w:vAlign w:val="bottom"/>
          </w:tcPr>
          <w:p>
            <w:pPr>
              <w:ind w:left="360"/>
              <w:spacing w:after="0"/>
              <w:rPr>
                <w:sz w:val="20"/>
                <w:szCs w:val="20"/>
                <w:color w:val="auto"/>
              </w:rPr>
            </w:pPr>
            <w:r>
              <w:rPr>
                <w:rFonts w:ascii="Arial" w:cs="Arial" w:eastAsia="Arial" w:hAnsi="Arial"/>
                <w:sz w:val="18"/>
                <w:szCs w:val="18"/>
                <w:color w:val="auto"/>
              </w:rPr>
              <w:t>Section 1.8</w:t>
            </w:r>
          </w:p>
        </w:tc>
        <w:tc>
          <w:tcPr>
            <w:tcW w:w="9220" w:type="dxa"/>
            <w:vAlign w:val="bottom"/>
          </w:tcPr>
          <w:p>
            <w:pPr>
              <w:spacing w:after="0"/>
              <w:rPr>
                <w:sz w:val="20"/>
                <w:szCs w:val="20"/>
                <w:color w:val="auto"/>
              </w:rPr>
            </w:pPr>
            <w:r>
              <w:rPr>
                <w:rFonts w:ascii="Arial" w:cs="Arial" w:eastAsia="Arial" w:hAnsi="Arial"/>
                <w:sz w:val="18"/>
                <w:szCs w:val="18"/>
                <w:color w:val="auto"/>
              </w:rPr>
              <w:t>Effect of Headings and Table of Contents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840" w:type="dxa"/>
            <w:vAlign w:val="bottom"/>
          </w:tcPr>
          <w:p>
            <w:pPr>
              <w:ind w:left="360"/>
              <w:spacing w:after="0"/>
              <w:rPr>
                <w:sz w:val="20"/>
                <w:szCs w:val="20"/>
                <w:color w:val="auto"/>
              </w:rPr>
            </w:pPr>
            <w:r>
              <w:rPr>
                <w:rFonts w:ascii="Arial" w:cs="Arial" w:eastAsia="Arial" w:hAnsi="Arial"/>
                <w:sz w:val="18"/>
                <w:szCs w:val="18"/>
                <w:color w:val="auto"/>
              </w:rPr>
              <w:t>Section 1.9</w:t>
            </w:r>
          </w:p>
        </w:tc>
        <w:tc>
          <w:tcPr>
            <w:tcW w:w="9220" w:type="dxa"/>
            <w:vAlign w:val="bottom"/>
          </w:tcPr>
          <w:p>
            <w:pPr>
              <w:spacing w:after="0"/>
              <w:rPr>
                <w:sz w:val="20"/>
                <w:szCs w:val="20"/>
                <w:color w:val="auto"/>
              </w:rPr>
            </w:pPr>
            <w:r>
              <w:rPr>
                <w:rFonts w:ascii="Arial" w:cs="Arial" w:eastAsia="Arial" w:hAnsi="Arial"/>
                <w:sz w:val="18"/>
                <w:szCs w:val="18"/>
                <w:color w:val="auto"/>
              </w:rPr>
              <w:t>Successors and Assigns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840" w:type="dxa"/>
            <w:vAlign w:val="bottom"/>
          </w:tcPr>
          <w:p>
            <w:pPr>
              <w:ind w:left="360"/>
              <w:spacing w:after="0"/>
              <w:rPr>
                <w:sz w:val="20"/>
                <w:szCs w:val="20"/>
                <w:color w:val="auto"/>
              </w:rPr>
            </w:pPr>
            <w:r>
              <w:rPr>
                <w:rFonts w:ascii="Arial" w:cs="Arial" w:eastAsia="Arial" w:hAnsi="Arial"/>
                <w:sz w:val="18"/>
                <w:szCs w:val="18"/>
                <w:color w:val="auto"/>
              </w:rPr>
              <w:t>Section 1.10</w:t>
            </w:r>
          </w:p>
        </w:tc>
        <w:tc>
          <w:tcPr>
            <w:tcW w:w="9220" w:type="dxa"/>
            <w:vAlign w:val="bottom"/>
          </w:tcPr>
          <w:p>
            <w:pPr>
              <w:spacing w:after="0"/>
              <w:rPr>
                <w:sz w:val="20"/>
                <w:szCs w:val="20"/>
                <w:color w:val="auto"/>
              </w:rPr>
            </w:pPr>
            <w:r>
              <w:rPr>
                <w:rFonts w:ascii="Arial" w:cs="Arial" w:eastAsia="Arial" w:hAnsi="Arial"/>
                <w:sz w:val="18"/>
                <w:szCs w:val="18"/>
                <w:color w:val="auto"/>
              </w:rPr>
              <w:t>Separability Clause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840" w:type="dxa"/>
            <w:vAlign w:val="bottom"/>
          </w:tcPr>
          <w:p>
            <w:pPr>
              <w:ind w:left="360"/>
              <w:spacing w:after="0"/>
              <w:rPr>
                <w:sz w:val="20"/>
                <w:szCs w:val="20"/>
                <w:color w:val="auto"/>
              </w:rPr>
            </w:pPr>
            <w:r>
              <w:rPr>
                <w:rFonts w:ascii="Arial" w:cs="Arial" w:eastAsia="Arial" w:hAnsi="Arial"/>
                <w:sz w:val="18"/>
                <w:szCs w:val="18"/>
                <w:color w:val="auto"/>
              </w:rPr>
              <w:t>Section 1.11</w:t>
            </w:r>
          </w:p>
        </w:tc>
        <w:tc>
          <w:tcPr>
            <w:tcW w:w="9220" w:type="dxa"/>
            <w:vAlign w:val="bottom"/>
          </w:tcPr>
          <w:p>
            <w:pPr>
              <w:spacing w:after="0"/>
              <w:rPr>
                <w:sz w:val="20"/>
                <w:szCs w:val="20"/>
                <w:color w:val="auto"/>
              </w:rPr>
            </w:pPr>
            <w:r>
              <w:rPr>
                <w:rFonts w:ascii="Arial" w:cs="Arial" w:eastAsia="Arial" w:hAnsi="Arial"/>
                <w:sz w:val="18"/>
                <w:szCs w:val="18"/>
                <w:color w:val="auto"/>
              </w:rPr>
              <w:t>Benefits of Indenture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840" w:type="dxa"/>
            <w:vAlign w:val="bottom"/>
          </w:tcPr>
          <w:p>
            <w:pPr>
              <w:ind w:left="360"/>
              <w:spacing w:after="0"/>
              <w:rPr>
                <w:sz w:val="20"/>
                <w:szCs w:val="20"/>
                <w:color w:val="auto"/>
              </w:rPr>
            </w:pPr>
            <w:r>
              <w:rPr>
                <w:rFonts w:ascii="Arial" w:cs="Arial" w:eastAsia="Arial" w:hAnsi="Arial"/>
                <w:sz w:val="18"/>
                <w:szCs w:val="18"/>
                <w:color w:val="auto"/>
              </w:rPr>
              <w:t>Section 1.12</w:t>
            </w:r>
          </w:p>
        </w:tc>
        <w:tc>
          <w:tcPr>
            <w:tcW w:w="9220" w:type="dxa"/>
            <w:vAlign w:val="bottom"/>
          </w:tcPr>
          <w:p>
            <w:pPr>
              <w:spacing w:after="0"/>
              <w:rPr>
                <w:sz w:val="20"/>
                <w:szCs w:val="20"/>
                <w:color w:val="auto"/>
              </w:rPr>
            </w:pPr>
            <w:r>
              <w:rPr>
                <w:rFonts w:ascii="Arial" w:cs="Arial" w:eastAsia="Arial" w:hAnsi="Arial"/>
                <w:sz w:val="18"/>
                <w:szCs w:val="18"/>
                <w:color w:val="auto"/>
              </w:rPr>
              <w:t>Governing Law</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840" w:type="dxa"/>
            <w:vAlign w:val="bottom"/>
          </w:tcPr>
          <w:p>
            <w:pPr>
              <w:ind w:left="360"/>
              <w:spacing w:after="0"/>
              <w:rPr>
                <w:sz w:val="20"/>
                <w:szCs w:val="20"/>
                <w:color w:val="auto"/>
              </w:rPr>
            </w:pPr>
            <w:r>
              <w:rPr>
                <w:rFonts w:ascii="Arial" w:cs="Arial" w:eastAsia="Arial" w:hAnsi="Arial"/>
                <w:sz w:val="18"/>
                <w:szCs w:val="18"/>
                <w:color w:val="auto"/>
              </w:rPr>
              <w:t>Section 1.13</w:t>
            </w:r>
          </w:p>
        </w:tc>
        <w:tc>
          <w:tcPr>
            <w:tcW w:w="9220" w:type="dxa"/>
            <w:vAlign w:val="bottom"/>
          </w:tcPr>
          <w:p>
            <w:pPr>
              <w:spacing w:after="0"/>
              <w:rPr>
                <w:sz w:val="20"/>
                <w:szCs w:val="20"/>
                <w:color w:val="auto"/>
              </w:rPr>
            </w:pPr>
            <w:r>
              <w:rPr>
                <w:rFonts w:ascii="Arial" w:cs="Arial" w:eastAsia="Arial" w:hAnsi="Arial"/>
                <w:sz w:val="18"/>
                <w:szCs w:val="18"/>
                <w:color w:val="auto"/>
              </w:rPr>
              <w:t>Legal Holidays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840" w:type="dxa"/>
            <w:vAlign w:val="bottom"/>
          </w:tcPr>
          <w:p>
            <w:pPr>
              <w:ind w:left="360"/>
              <w:spacing w:after="0"/>
              <w:rPr>
                <w:sz w:val="20"/>
                <w:szCs w:val="20"/>
                <w:color w:val="auto"/>
              </w:rPr>
            </w:pPr>
            <w:r>
              <w:rPr>
                <w:rFonts w:ascii="Arial" w:cs="Arial" w:eastAsia="Arial" w:hAnsi="Arial"/>
                <w:sz w:val="18"/>
                <w:szCs w:val="18"/>
                <w:color w:val="auto"/>
              </w:rPr>
              <w:t>Section 1.14</w:t>
            </w:r>
          </w:p>
        </w:tc>
        <w:tc>
          <w:tcPr>
            <w:tcW w:w="9220" w:type="dxa"/>
            <w:vAlign w:val="bottom"/>
          </w:tcPr>
          <w:p>
            <w:pPr>
              <w:spacing w:after="0"/>
              <w:rPr>
                <w:sz w:val="20"/>
                <w:szCs w:val="20"/>
                <w:color w:val="auto"/>
              </w:rPr>
            </w:pPr>
            <w:r>
              <w:rPr>
                <w:rFonts w:ascii="Arial" w:cs="Arial" w:eastAsia="Arial" w:hAnsi="Arial"/>
                <w:sz w:val="18"/>
                <w:szCs w:val="18"/>
                <w:color w:val="auto"/>
              </w:rPr>
              <w:t>Indenture and Securities Solely Corporate Obligations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1840" w:type="dxa"/>
            <w:vAlign w:val="bottom"/>
          </w:tcPr>
          <w:p>
            <w:pPr>
              <w:ind w:left="360"/>
              <w:spacing w:after="0"/>
              <w:rPr>
                <w:sz w:val="20"/>
                <w:szCs w:val="20"/>
                <w:color w:val="auto"/>
              </w:rPr>
            </w:pPr>
            <w:r>
              <w:rPr>
                <w:rFonts w:ascii="Arial" w:cs="Arial" w:eastAsia="Arial" w:hAnsi="Arial"/>
                <w:sz w:val="18"/>
                <w:szCs w:val="18"/>
                <w:color w:val="auto"/>
              </w:rPr>
              <w:t>Section 1.15</w:t>
            </w:r>
          </w:p>
        </w:tc>
        <w:tc>
          <w:tcPr>
            <w:tcW w:w="9220" w:type="dxa"/>
            <w:vAlign w:val="bottom"/>
          </w:tcPr>
          <w:p>
            <w:pPr>
              <w:spacing w:after="0"/>
              <w:rPr>
                <w:sz w:val="20"/>
                <w:szCs w:val="20"/>
                <w:color w:val="auto"/>
              </w:rPr>
            </w:pPr>
            <w:r>
              <w:rPr>
                <w:rFonts w:ascii="Arial" w:cs="Arial" w:eastAsia="Arial" w:hAnsi="Arial"/>
                <w:sz w:val="18"/>
                <w:szCs w:val="18"/>
                <w:color w:val="auto"/>
              </w:rPr>
              <w:t>Indenture May be Executed in Counterparts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24"/>
        </w:trPr>
        <w:tc>
          <w:tcPr>
            <w:tcW w:w="11060" w:type="dxa"/>
            <w:vAlign w:val="bottom"/>
            <w:gridSpan w:val="2"/>
          </w:tcPr>
          <w:p>
            <w:pPr>
              <w:spacing w:after="0"/>
              <w:rPr>
                <w:sz w:val="20"/>
                <w:szCs w:val="20"/>
                <w:color w:val="auto"/>
              </w:rPr>
            </w:pPr>
            <w:r>
              <w:rPr>
                <w:rFonts w:ascii="Arial" w:cs="Arial" w:eastAsia="Arial" w:hAnsi="Arial"/>
                <w:sz w:val="18"/>
                <w:szCs w:val="18"/>
                <w:color w:val="auto"/>
              </w:rPr>
              <w:t>ARTICLE 2 SECURITY FORMS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10"/>
        </w:trPr>
        <w:tc>
          <w:tcPr>
            <w:tcW w:w="1840" w:type="dxa"/>
            <w:vAlign w:val="bottom"/>
          </w:tcPr>
          <w:p>
            <w:pPr>
              <w:ind w:left="360"/>
              <w:spacing w:after="0"/>
              <w:rPr>
                <w:sz w:val="20"/>
                <w:szCs w:val="20"/>
                <w:color w:val="auto"/>
              </w:rPr>
            </w:pPr>
            <w:r>
              <w:rPr>
                <w:rFonts w:ascii="Arial" w:cs="Arial" w:eastAsia="Arial" w:hAnsi="Arial"/>
                <w:sz w:val="18"/>
                <w:szCs w:val="18"/>
                <w:color w:val="auto"/>
              </w:rPr>
              <w:t>Section 2.1</w:t>
            </w:r>
          </w:p>
        </w:tc>
        <w:tc>
          <w:tcPr>
            <w:tcW w:w="9220" w:type="dxa"/>
            <w:vAlign w:val="bottom"/>
          </w:tcPr>
          <w:p>
            <w:pPr>
              <w:spacing w:after="0"/>
              <w:rPr>
                <w:sz w:val="20"/>
                <w:szCs w:val="20"/>
                <w:color w:val="auto"/>
              </w:rPr>
            </w:pPr>
            <w:r>
              <w:rPr>
                <w:rFonts w:ascii="Arial" w:cs="Arial" w:eastAsia="Arial" w:hAnsi="Arial"/>
                <w:sz w:val="18"/>
                <w:szCs w:val="18"/>
                <w:color w:val="auto"/>
              </w:rPr>
              <w:t>Forms Generally</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840" w:type="dxa"/>
            <w:vAlign w:val="bottom"/>
          </w:tcPr>
          <w:p>
            <w:pPr>
              <w:ind w:left="360"/>
              <w:spacing w:after="0"/>
              <w:rPr>
                <w:sz w:val="20"/>
                <w:szCs w:val="20"/>
                <w:color w:val="auto"/>
              </w:rPr>
            </w:pPr>
            <w:r>
              <w:rPr>
                <w:rFonts w:ascii="Arial" w:cs="Arial" w:eastAsia="Arial" w:hAnsi="Arial"/>
                <w:sz w:val="18"/>
                <w:szCs w:val="18"/>
                <w:color w:val="auto"/>
              </w:rPr>
              <w:t>Section 2.2</w:t>
            </w:r>
          </w:p>
        </w:tc>
        <w:tc>
          <w:tcPr>
            <w:tcW w:w="9220" w:type="dxa"/>
            <w:vAlign w:val="bottom"/>
          </w:tcPr>
          <w:p>
            <w:pPr>
              <w:spacing w:after="0"/>
              <w:rPr>
                <w:sz w:val="20"/>
                <w:szCs w:val="20"/>
                <w:color w:val="auto"/>
              </w:rPr>
            </w:pPr>
            <w:r>
              <w:rPr>
                <w:rFonts w:ascii="Arial" w:cs="Arial" w:eastAsia="Arial" w:hAnsi="Arial"/>
                <w:sz w:val="18"/>
                <w:szCs w:val="18"/>
                <w:color w:val="auto"/>
              </w:rPr>
              <w:t>Form of Legend for Global Securities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1840" w:type="dxa"/>
            <w:vAlign w:val="bottom"/>
          </w:tcPr>
          <w:p>
            <w:pPr>
              <w:ind w:left="360"/>
              <w:spacing w:after="0"/>
              <w:rPr>
                <w:sz w:val="20"/>
                <w:szCs w:val="20"/>
                <w:color w:val="auto"/>
              </w:rPr>
            </w:pPr>
            <w:r>
              <w:rPr>
                <w:rFonts w:ascii="Arial" w:cs="Arial" w:eastAsia="Arial" w:hAnsi="Arial"/>
                <w:sz w:val="18"/>
                <w:szCs w:val="18"/>
                <w:color w:val="auto"/>
              </w:rPr>
              <w:t>Section 2.3</w:t>
            </w:r>
          </w:p>
        </w:tc>
        <w:tc>
          <w:tcPr>
            <w:tcW w:w="9220" w:type="dxa"/>
            <w:vAlign w:val="bottom"/>
          </w:tcPr>
          <w:p>
            <w:pPr>
              <w:spacing w:after="0"/>
              <w:rPr>
                <w:sz w:val="20"/>
                <w:szCs w:val="20"/>
                <w:color w:val="auto"/>
              </w:rPr>
            </w:pPr>
            <w:r>
              <w:rPr>
                <w:rFonts w:ascii="Arial" w:cs="Arial" w:eastAsia="Arial" w:hAnsi="Arial"/>
                <w:sz w:val="18"/>
                <w:szCs w:val="18"/>
                <w:color w:val="auto"/>
              </w:rPr>
              <w:t>Form of Trustee’s Certificate of Authentication</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24"/>
        </w:trPr>
        <w:tc>
          <w:tcPr>
            <w:tcW w:w="11060" w:type="dxa"/>
            <w:vAlign w:val="bottom"/>
            <w:gridSpan w:val="2"/>
          </w:tcPr>
          <w:p>
            <w:pPr>
              <w:spacing w:after="0"/>
              <w:rPr>
                <w:sz w:val="20"/>
                <w:szCs w:val="20"/>
                <w:color w:val="auto"/>
              </w:rPr>
            </w:pPr>
            <w:r>
              <w:rPr>
                <w:rFonts w:ascii="Arial" w:cs="Arial" w:eastAsia="Arial" w:hAnsi="Arial"/>
                <w:sz w:val="18"/>
                <w:szCs w:val="18"/>
                <w:color w:val="auto"/>
              </w:rPr>
              <w:t>ARTICLE 3 THE SECURITIES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10"/>
        </w:trPr>
        <w:tc>
          <w:tcPr>
            <w:tcW w:w="1840" w:type="dxa"/>
            <w:vAlign w:val="bottom"/>
          </w:tcPr>
          <w:p>
            <w:pPr>
              <w:ind w:left="360"/>
              <w:spacing w:after="0"/>
              <w:rPr>
                <w:sz w:val="20"/>
                <w:szCs w:val="20"/>
                <w:color w:val="auto"/>
              </w:rPr>
            </w:pPr>
            <w:r>
              <w:rPr>
                <w:rFonts w:ascii="Arial" w:cs="Arial" w:eastAsia="Arial" w:hAnsi="Arial"/>
                <w:sz w:val="18"/>
                <w:szCs w:val="18"/>
                <w:color w:val="auto"/>
              </w:rPr>
              <w:t>Section 3.1</w:t>
            </w:r>
          </w:p>
        </w:tc>
        <w:tc>
          <w:tcPr>
            <w:tcW w:w="9220" w:type="dxa"/>
            <w:vAlign w:val="bottom"/>
          </w:tcPr>
          <w:p>
            <w:pPr>
              <w:spacing w:after="0"/>
              <w:rPr>
                <w:sz w:val="20"/>
                <w:szCs w:val="20"/>
                <w:color w:val="auto"/>
              </w:rPr>
            </w:pPr>
            <w:r>
              <w:rPr>
                <w:rFonts w:ascii="Arial" w:cs="Arial" w:eastAsia="Arial" w:hAnsi="Arial"/>
                <w:sz w:val="18"/>
                <w:szCs w:val="18"/>
                <w:color w:val="auto"/>
              </w:rPr>
              <w:t>Amount Unlimited; Issuable in Series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840" w:type="dxa"/>
            <w:vAlign w:val="bottom"/>
          </w:tcPr>
          <w:p>
            <w:pPr>
              <w:ind w:left="360"/>
              <w:spacing w:after="0"/>
              <w:rPr>
                <w:sz w:val="20"/>
                <w:szCs w:val="20"/>
                <w:color w:val="auto"/>
              </w:rPr>
            </w:pPr>
            <w:r>
              <w:rPr>
                <w:rFonts w:ascii="Arial" w:cs="Arial" w:eastAsia="Arial" w:hAnsi="Arial"/>
                <w:sz w:val="18"/>
                <w:szCs w:val="18"/>
                <w:color w:val="auto"/>
              </w:rPr>
              <w:t>Section 3.2</w:t>
            </w:r>
          </w:p>
        </w:tc>
        <w:tc>
          <w:tcPr>
            <w:tcW w:w="9220" w:type="dxa"/>
            <w:vAlign w:val="bottom"/>
          </w:tcPr>
          <w:p>
            <w:pPr>
              <w:spacing w:after="0"/>
              <w:rPr>
                <w:sz w:val="20"/>
                <w:szCs w:val="20"/>
                <w:color w:val="auto"/>
              </w:rPr>
            </w:pPr>
            <w:r>
              <w:rPr>
                <w:rFonts w:ascii="Arial" w:cs="Arial" w:eastAsia="Arial" w:hAnsi="Arial"/>
                <w:sz w:val="18"/>
                <w:szCs w:val="18"/>
                <w:color w:val="auto"/>
              </w:rPr>
              <w:t>Denominations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840" w:type="dxa"/>
            <w:vAlign w:val="bottom"/>
          </w:tcPr>
          <w:p>
            <w:pPr>
              <w:ind w:left="360"/>
              <w:spacing w:after="0"/>
              <w:rPr>
                <w:sz w:val="20"/>
                <w:szCs w:val="20"/>
                <w:color w:val="auto"/>
              </w:rPr>
            </w:pPr>
            <w:r>
              <w:rPr>
                <w:rFonts w:ascii="Arial" w:cs="Arial" w:eastAsia="Arial" w:hAnsi="Arial"/>
                <w:sz w:val="18"/>
                <w:szCs w:val="18"/>
                <w:color w:val="auto"/>
              </w:rPr>
              <w:t>Section 3.3</w:t>
            </w:r>
          </w:p>
        </w:tc>
        <w:tc>
          <w:tcPr>
            <w:tcW w:w="9220" w:type="dxa"/>
            <w:vAlign w:val="bottom"/>
          </w:tcPr>
          <w:p>
            <w:pPr>
              <w:spacing w:after="0"/>
              <w:rPr>
                <w:sz w:val="20"/>
                <w:szCs w:val="20"/>
                <w:color w:val="auto"/>
              </w:rPr>
            </w:pPr>
            <w:r>
              <w:rPr>
                <w:rFonts w:ascii="Arial" w:cs="Arial" w:eastAsia="Arial" w:hAnsi="Arial"/>
                <w:sz w:val="18"/>
                <w:szCs w:val="18"/>
                <w:color w:val="auto"/>
              </w:rPr>
              <w:t>Execution, Authentication, Delivery and Dating</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840" w:type="dxa"/>
            <w:vAlign w:val="bottom"/>
          </w:tcPr>
          <w:p>
            <w:pPr>
              <w:ind w:left="360"/>
              <w:spacing w:after="0"/>
              <w:rPr>
                <w:sz w:val="20"/>
                <w:szCs w:val="20"/>
                <w:color w:val="auto"/>
              </w:rPr>
            </w:pPr>
            <w:r>
              <w:rPr>
                <w:rFonts w:ascii="Arial" w:cs="Arial" w:eastAsia="Arial" w:hAnsi="Arial"/>
                <w:sz w:val="18"/>
                <w:szCs w:val="18"/>
                <w:color w:val="auto"/>
              </w:rPr>
              <w:t>Section 3.4</w:t>
            </w:r>
          </w:p>
        </w:tc>
        <w:tc>
          <w:tcPr>
            <w:tcW w:w="9220" w:type="dxa"/>
            <w:vAlign w:val="bottom"/>
          </w:tcPr>
          <w:p>
            <w:pPr>
              <w:spacing w:after="0"/>
              <w:rPr>
                <w:sz w:val="20"/>
                <w:szCs w:val="20"/>
                <w:color w:val="auto"/>
              </w:rPr>
            </w:pPr>
            <w:r>
              <w:rPr>
                <w:rFonts w:ascii="Arial" w:cs="Arial" w:eastAsia="Arial" w:hAnsi="Arial"/>
                <w:sz w:val="18"/>
                <w:szCs w:val="18"/>
                <w:color w:val="auto"/>
              </w:rPr>
              <w:t>Temporary Securities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840" w:type="dxa"/>
            <w:vAlign w:val="bottom"/>
          </w:tcPr>
          <w:p>
            <w:pPr>
              <w:ind w:left="360"/>
              <w:spacing w:after="0"/>
              <w:rPr>
                <w:sz w:val="20"/>
                <w:szCs w:val="20"/>
                <w:color w:val="auto"/>
              </w:rPr>
            </w:pPr>
            <w:r>
              <w:rPr>
                <w:rFonts w:ascii="Arial" w:cs="Arial" w:eastAsia="Arial" w:hAnsi="Arial"/>
                <w:sz w:val="18"/>
                <w:szCs w:val="18"/>
                <w:color w:val="auto"/>
              </w:rPr>
              <w:t>Section 3.5</w:t>
            </w:r>
          </w:p>
        </w:tc>
        <w:tc>
          <w:tcPr>
            <w:tcW w:w="9220" w:type="dxa"/>
            <w:vAlign w:val="bottom"/>
          </w:tcPr>
          <w:p>
            <w:pPr>
              <w:spacing w:after="0"/>
              <w:rPr>
                <w:sz w:val="20"/>
                <w:szCs w:val="20"/>
                <w:color w:val="auto"/>
              </w:rPr>
            </w:pPr>
            <w:r>
              <w:rPr>
                <w:rFonts w:ascii="Arial" w:cs="Arial" w:eastAsia="Arial" w:hAnsi="Arial"/>
                <w:sz w:val="18"/>
                <w:szCs w:val="18"/>
                <w:color w:val="auto"/>
              </w:rPr>
              <w:t>Registration; Registration of Transfer and Exchange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840" w:type="dxa"/>
            <w:vAlign w:val="bottom"/>
          </w:tcPr>
          <w:p>
            <w:pPr>
              <w:ind w:left="360"/>
              <w:spacing w:after="0"/>
              <w:rPr>
                <w:sz w:val="20"/>
                <w:szCs w:val="20"/>
                <w:color w:val="auto"/>
              </w:rPr>
            </w:pPr>
            <w:r>
              <w:rPr>
                <w:rFonts w:ascii="Arial" w:cs="Arial" w:eastAsia="Arial" w:hAnsi="Arial"/>
                <w:sz w:val="18"/>
                <w:szCs w:val="18"/>
                <w:color w:val="auto"/>
              </w:rPr>
              <w:t>Section 3.6</w:t>
            </w:r>
          </w:p>
        </w:tc>
        <w:tc>
          <w:tcPr>
            <w:tcW w:w="9220" w:type="dxa"/>
            <w:vAlign w:val="bottom"/>
          </w:tcPr>
          <w:p>
            <w:pPr>
              <w:spacing w:after="0"/>
              <w:rPr>
                <w:sz w:val="20"/>
                <w:szCs w:val="20"/>
                <w:color w:val="auto"/>
              </w:rPr>
            </w:pPr>
            <w:r>
              <w:rPr>
                <w:rFonts w:ascii="Arial" w:cs="Arial" w:eastAsia="Arial" w:hAnsi="Arial"/>
                <w:sz w:val="18"/>
                <w:szCs w:val="18"/>
                <w:color w:val="auto"/>
              </w:rPr>
              <w:t>Mutilated, Destroyed, Lost and Stolen Securities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1840" w:type="dxa"/>
            <w:vAlign w:val="bottom"/>
          </w:tcPr>
          <w:p>
            <w:pPr>
              <w:ind w:left="360"/>
              <w:spacing w:after="0"/>
              <w:rPr>
                <w:sz w:val="20"/>
                <w:szCs w:val="20"/>
                <w:color w:val="auto"/>
              </w:rPr>
            </w:pPr>
            <w:r>
              <w:rPr>
                <w:rFonts w:ascii="Arial" w:cs="Arial" w:eastAsia="Arial" w:hAnsi="Arial"/>
                <w:sz w:val="18"/>
                <w:szCs w:val="18"/>
                <w:color w:val="auto"/>
              </w:rPr>
              <w:t>Section 3.7</w:t>
            </w:r>
          </w:p>
        </w:tc>
        <w:tc>
          <w:tcPr>
            <w:tcW w:w="9220" w:type="dxa"/>
            <w:vAlign w:val="bottom"/>
          </w:tcPr>
          <w:p>
            <w:pPr>
              <w:spacing w:after="0"/>
              <w:rPr>
                <w:sz w:val="20"/>
                <w:szCs w:val="20"/>
                <w:color w:val="auto"/>
              </w:rPr>
            </w:pPr>
            <w:r>
              <w:rPr>
                <w:rFonts w:ascii="Arial" w:cs="Arial" w:eastAsia="Arial" w:hAnsi="Arial"/>
                <w:sz w:val="18"/>
                <w:szCs w:val="18"/>
                <w:color w:val="auto"/>
              </w:rPr>
              <w:t>Payment of Interest; Interest Rights Preserved</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1840" w:type="dxa"/>
            <w:vAlign w:val="bottom"/>
          </w:tcPr>
          <w:p>
            <w:pPr>
              <w:ind w:left="360"/>
              <w:spacing w:after="0"/>
              <w:rPr>
                <w:sz w:val="20"/>
                <w:szCs w:val="20"/>
                <w:color w:val="auto"/>
              </w:rPr>
            </w:pPr>
            <w:r>
              <w:rPr>
                <w:rFonts w:ascii="Arial" w:cs="Arial" w:eastAsia="Arial" w:hAnsi="Arial"/>
                <w:sz w:val="18"/>
                <w:szCs w:val="18"/>
                <w:color w:val="auto"/>
              </w:rPr>
              <w:t>Section 3.8</w:t>
            </w:r>
          </w:p>
        </w:tc>
        <w:tc>
          <w:tcPr>
            <w:tcW w:w="9220" w:type="dxa"/>
            <w:vAlign w:val="bottom"/>
          </w:tcPr>
          <w:p>
            <w:pPr>
              <w:spacing w:after="0"/>
              <w:rPr>
                <w:sz w:val="20"/>
                <w:szCs w:val="20"/>
                <w:color w:val="auto"/>
              </w:rPr>
            </w:pPr>
            <w:r>
              <w:rPr>
                <w:rFonts w:ascii="Arial" w:cs="Arial" w:eastAsia="Arial" w:hAnsi="Arial"/>
                <w:sz w:val="18"/>
                <w:szCs w:val="18"/>
                <w:color w:val="auto"/>
              </w:rPr>
              <w:t>Persons Deemed Owners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1840" w:type="dxa"/>
            <w:vAlign w:val="bottom"/>
          </w:tcPr>
          <w:p>
            <w:pPr>
              <w:ind w:left="360"/>
              <w:spacing w:after="0"/>
              <w:rPr>
                <w:sz w:val="20"/>
                <w:szCs w:val="20"/>
                <w:color w:val="auto"/>
              </w:rPr>
            </w:pPr>
            <w:r>
              <w:rPr>
                <w:rFonts w:ascii="Arial" w:cs="Arial" w:eastAsia="Arial" w:hAnsi="Arial"/>
                <w:sz w:val="18"/>
                <w:szCs w:val="18"/>
                <w:color w:val="auto"/>
              </w:rPr>
              <w:t>Section 3.9</w:t>
            </w:r>
          </w:p>
        </w:tc>
        <w:tc>
          <w:tcPr>
            <w:tcW w:w="9220" w:type="dxa"/>
            <w:vAlign w:val="bottom"/>
          </w:tcPr>
          <w:p>
            <w:pPr>
              <w:spacing w:after="0"/>
              <w:rPr>
                <w:sz w:val="20"/>
                <w:szCs w:val="20"/>
                <w:color w:val="auto"/>
              </w:rPr>
            </w:pPr>
            <w:r>
              <w:rPr>
                <w:rFonts w:ascii="Arial" w:cs="Arial" w:eastAsia="Arial" w:hAnsi="Arial"/>
                <w:sz w:val="18"/>
                <w:szCs w:val="18"/>
                <w:color w:val="auto"/>
              </w:rPr>
              <w:t>Cancellation</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1840" w:type="dxa"/>
            <w:vAlign w:val="bottom"/>
          </w:tcPr>
          <w:p>
            <w:pPr>
              <w:ind w:left="360"/>
              <w:spacing w:after="0"/>
              <w:rPr>
                <w:sz w:val="20"/>
                <w:szCs w:val="20"/>
                <w:color w:val="auto"/>
              </w:rPr>
            </w:pPr>
            <w:r>
              <w:rPr>
                <w:rFonts w:ascii="Arial" w:cs="Arial" w:eastAsia="Arial" w:hAnsi="Arial"/>
                <w:sz w:val="18"/>
                <w:szCs w:val="18"/>
                <w:color w:val="auto"/>
              </w:rPr>
              <w:t>Section 3.10</w:t>
            </w:r>
          </w:p>
        </w:tc>
        <w:tc>
          <w:tcPr>
            <w:tcW w:w="9220" w:type="dxa"/>
            <w:vAlign w:val="bottom"/>
          </w:tcPr>
          <w:p>
            <w:pPr>
              <w:spacing w:after="0"/>
              <w:rPr>
                <w:sz w:val="20"/>
                <w:szCs w:val="20"/>
                <w:color w:val="auto"/>
              </w:rPr>
            </w:pPr>
            <w:r>
              <w:rPr>
                <w:rFonts w:ascii="Arial" w:cs="Arial" w:eastAsia="Arial" w:hAnsi="Arial"/>
                <w:sz w:val="18"/>
                <w:szCs w:val="18"/>
                <w:color w:val="auto"/>
              </w:rPr>
              <w:t>Computation of Interest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24"/>
        </w:trPr>
        <w:tc>
          <w:tcPr>
            <w:tcW w:w="11060" w:type="dxa"/>
            <w:vAlign w:val="bottom"/>
            <w:gridSpan w:val="2"/>
          </w:tcPr>
          <w:p>
            <w:pPr>
              <w:spacing w:after="0"/>
              <w:rPr>
                <w:sz w:val="20"/>
                <w:szCs w:val="20"/>
                <w:color w:val="auto"/>
              </w:rPr>
            </w:pPr>
            <w:r>
              <w:rPr>
                <w:rFonts w:ascii="Arial" w:cs="Arial" w:eastAsia="Arial" w:hAnsi="Arial"/>
                <w:sz w:val="18"/>
                <w:szCs w:val="18"/>
                <w:color w:val="auto"/>
              </w:rPr>
              <w:t>ARTICLE 4 SATISFACTION AND DISCHARGE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10"/>
        </w:trPr>
        <w:tc>
          <w:tcPr>
            <w:tcW w:w="1840" w:type="dxa"/>
            <w:vAlign w:val="bottom"/>
          </w:tcPr>
          <w:p>
            <w:pPr>
              <w:ind w:left="360"/>
              <w:spacing w:after="0"/>
              <w:rPr>
                <w:sz w:val="20"/>
                <w:szCs w:val="20"/>
                <w:color w:val="auto"/>
              </w:rPr>
            </w:pPr>
            <w:r>
              <w:rPr>
                <w:rFonts w:ascii="Arial" w:cs="Arial" w:eastAsia="Arial" w:hAnsi="Arial"/>
                <w:sz w:val="18"/>
                <w:szCs w:val="18"/>
                <w:color w:val="auto"/>
              </w:rPr>
              <w:t>Section 4.1</w:t>
            </w:r>
          </w:p>
        </w:tc>
        <w:tc>
          <w:tcPr>
            <w:tcW w:w="9220" w:type="dxa"/>
            <w:vAlign w:val="bottom"/>
          </w:tcPr>
          <w:p>
            <w:pPr>
              <w:spacing w:after="0"/>
              <w:rPr>
                <w:sz w:val="20"/>
                <w:szCs w:val="20"/>
                <w:color w:val="auto"/>
              </w:rPr>
            </w:pPr>
            <w:r>
              <w:rPr>
                <w:rFonts w:ascii="Arial" w:cs="Arial" w:eastAsia="Arial" w:hAnsi="Arial"/>
                <w:sz w:val="18"/>
                <w:szCs w:val="18"/>
                <w:color w:val="auto"/>
              </w:rPr>
              <w:t>Satisfaction and Discharge of Indenture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1840" w:type="dxa"/>
            <w:vAlign w:val="bottom"/>
          </w:tcPr>
          <w:p>
            <w:pPr>
              <w:ind w:left="360"/>
              <w:spacing w:after="0"/>
              <w:rPr>
                <w:sz w:val="20"/>
                <w:szCs w:val="20"/>
                <w:color w:val="auto"/>
              </w:rPr>
            </w:pPr>
            <w:r>
              <w:rPr>
                <w:rFonts w:ascii="Arial" w:cs="Arial" w:eastAsia="Arial" w:hAnsi="Arial"/>
                <w:sz w:val="18"/>
                <w:szCs w:val="18"/>
                <w:color w:val="auto"/>
              </w:rPr>
              <w:t>Section 4.2</w:t>
            </w:r>
          </w:p>
        </w:tc>
        <w:tc>
          <w:tcPr>
            <w:tcW w:w="9220" w:type="dxa"/>
            <w:vAlign w:val="bottom"/>
          </w:tcPr>
          <w:p>
            <w:pPr>
              <w:spacing w:after="0"/>
              <w:rPr>
                <w:sz w:val="20"/>
                <w:szCs w:val="20"/>
                <w:color w:val="auto"/>
              </w:rPr>
            </w:pPr>
            <w:r>
              <w:rPr>
                <w:rFonts w:ascii="Arial" w:cs="Arial" w:eastAsia="Arial" w:hAnsi="Arial"/>
                <w:sz w:val="18"/>
                <w:szCs w:val="18"/>
                <w:color w:val="auto"/>
              </w:rPr>
              <w:t>Application of Trust Money</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24"/>
        </w:trPr>
        <w:tc>
          <w:tcPr>
            <w:tcW w:w="1840" w:type="dxa"/>
            <w:vAlign w:val="bottom"/>
          </w:tcPr>
          <w:p>
            <w:pPr>
              <w:spacing w:after="0"/>
              <w:rPr>
                <w:sz w:val="20"/>
                <w:szCs w:val="20"/>
                <w:color w:val="auto"/>
              </w:rPr>
            </w:pPr>
            <w:r>
              <w:rPr>
                <w:rFonts w:ascii="Arial" w:cs="Arial" w:eastAsia="Arial" w:hAnsi="Arial"/>
                <w:sz w:val="18"/>
                <w:szCs w:val="18"/>
                <w:color w:val="auto"/>
                <w:w w:val="95"/>
              </w:rPr>
              <w:t>ARTICLE 5 REMEDIES</w:t>
            </w:r>
          </w:p>
        </w:tc>
        <w:tc>
          <w:tcPr>
            <w:tcW w:w="922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10"/>
        </w:trPr>
        <w:tc>
          <w:tcPr>
            <w:tcW w:w="1840" w:type="dxa"/>
            <w:vAlign w:val="bottom"/>
          </w:tcPr>
          <w:p>
            <w:pPr>
              <w:ind w:left="360"/>
              <w:spacing w:after="0"/>
              <w:rPr>
                <w:sz w:val="20"/>
                <w:szCs w:val="20"/>
                <w:color w:val="auto"/>
              </w:rPr>
            </w:pPr>
            <w:r>
              <w:rPr>
                <w:rFonts w:ascii="Arial" w:cs="Arial" w:eastAsia="Arial" w:hAnsi="Arial"/>
                <w:sz w:val="18"/>
                <w:szCs w:val="18"/>
                <w:color w:val="auto"/>
              </w:rPr>
              <w:t>Section 5.1</w:t>
            </w:r>
          </w:p>
        </w:tc>
        <w:tc>
          <w:tcPr>
            <w:tcW w:w="9220" w:type="dxa"/>
            <w:vAlign w:val="bottom"/>
          </w:tcPr>
          <w:p>
            <w:pPr>
              <w:spacing w:after="0"/>
              <w:rPr>
                <w:sz w:val="20"/>
                <w:szCs w:val="20"/>
                <w:color w:val="auto"/>
              </w:rPr>
            </w:pPr>
            <w:r>
              <w:rPr>
                <w:rFonts w:ascii="Arial" w:cs="Arial" w:eastAsia="Arial" w:hAnsi="Arial"/>
                <w:sz w:val="18"/>
                <w:szCs w:val="18"/>
                <w:color w:val="auto"/>
              </w:rPr>
              <w:t>Events of Default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840" w:type="dxa"/>
            <w:vAlign w:val="bottom"/>
          </w:tcPr>
          <w:p>
            <w:pPr>
              <w:ind w:left="360"/>
              <w:spacing w:after="0"/>
              <w:rPr>
                <w:sz w:val="20"/>
                <w:szCs w:val="20"/>
                <w:color w:val="auto"/>
              </w:rPr>
            </w:pPr>
            <w:r>
              <w:rPr>
                <w:rFonts w:ascii="Arial" w:cs="Arial" w:eastAsia="Arial" w:hAnsi="Arial"/>
                <w:sz w:val="18"/>
                <w:szCs w:val="18"/>
                <w:color w:val="auto"/>
              </w:rPr>
              <w:t>Section 5.2</w:t>
            </w:r>
          </w:p>
        </w:tc>
        <w:tc>
          <w:tcPr>
            <w:tcW w:w="9220" w:type="dxa"/>
            <w:vAlign w:val="bottom"/>
          </w:tcPr>
          <w:p>
            <w:pPr>
              <w:spacing w:after="0"/>
              <w:rPr>
                <w:sz w:val="20"/>
                <w:szCs w:val="20"/>
                <w:color w:val="auto"/>
              </w:rPr>
            </w:pPr>
            <w:r>
              <w:rPr>
                <w:rFonts w:ascii="Arial" w:cs="Arial" w:eastAsia="Arial" w:hAnsi="Arial"/>
                <w:sz w:val="18"/>
                <w:szCs w:val="18"/>
                <w:color w:val="auto"/>
              </w:rPr>
              <w:t>Acceleration of Maturity; Rescission and Annulment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1840" w:type="dxa"/>
            <w:vAlign w:val="bottom"/>
          </w:tcPr>
          <w:p>
            <w:pPr>
              <w:ind w:left="360"/>
              <w:spacing w:after="0"/>
              <w:rPr>
                <w:sz w:val="20"/>
                <w:szCs w:val="20"/>
                <w:color w:val="auto"/>
              </w:rPr>
            </w:pPr>
            <w:r>
              <w:rPr>
                <w:rFonts w:ascii="Arial" w:cs="Arial" w:eastAsia="Arial" w:hAnsi="Arial"/>
                <w:sz w:val="18"/>
                <w:szCs w:val="18"/>
                <w:color w:val="auto"/>
              </w:rPr>
              <w:t>Section 5.3</w:t>
            </w:r>
          </w:p>
        </w:tc>
        <w:tc>
          <w:tcPr>
            <w:tcW w:w="9220" w:type="dxa"/>
            <w:vAlign w:val="bottom"/>
          </w:tcPr>
          <w:p>
            <w:pPr>
              <w:spacing w:after="0"/>
              <w:rPr>
                <w:sz w:val="20"/>
                <w:szCs w:val="20"/>
                <w:color w:val="auto"/>
              </w:rPr>
            </w:pPr>
            <w:r>
              <w:rPr>
                <w:rFonts w:ascii="Arial" w:cs="Arial" w:eastAsia="Arial" w:hAnsi="Arial"/>
                <w:sz w:val="18"/>
                <w:szCs w:val="18"/>
                <w:color w:val="auto"/>
              </w:rPr>
              <w:t>Collection of Indebtedness and Suits for Enforcement by Trustee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60"/>
          </w:cols>
          <w:pgMar w:left="240" w:top="270" w:right="299" w:bottom="1440" w:gutter="0" w:footer="0" w:header="0"/>
        </w:sectPr>
      </w:pPr>
    </w:p>
    <w:bookmarkStart w:id="44" w:name="page45"/>
    <w:bookmarkEnd w:id="44"/>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TABLE OF CONTENTS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(Continued)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560" w:type="dxa"/>
            <w:vAlign w:val="bottom"/>
            <w:vMerge w:val="restart"/>
          </w:tcPr>
          <w:p>
            <w:pPr>
              <w:ind w:left="360"/>
              <w:spacing w:after="0"/>
              <w:rPr>
                <w:sz w:val="20"/>
                <w:szCs w:val="20"/>
                <w:color w:val="auto"/>
              </w:rPr>
            </w:pPr>
            <w:r>
              <w:rPr>
                <w:rFonts w:ascii="Arial" w:cs="Arial" w:eastAsia="Arial" w:hAnsi="Arial"/>
                <w:sz w:val="18"/>
                <w:szCs w:val="18"/>
                <w:color w:val="auto"/>
              </w:rPr>
              <w:t>Section 5.4</w:t>
            </w:r>
          </w:p>
        </w:tc>
        <w:tc>
          <w:tcPr>
            <w:tcW w:w="9500" w:type="dxa"/>
            <w:vAlign w:val="bottom"/>
            <w:vMerge w:val="restart"/>
          </w:tcPr>
          <w:p>
            <w:pPr>
              <w:ind w:left="280"/>
              <w:spacing w:after="0"/>
              <w:rPr>
                <w:sz w:val="20"/>
                <w:szCs w:val="20"/>
                <w:color w:val="auto"/>
              </w:rPr>
            </w:pPr>
            <w:r>
              <w:rPr>
                <w:rFonts w:ascii="Arial" w:cs="Arial" w:eastAsia="Arial" w:hAnsi="Arial"/>
                <w:sz w:val="18"/>
                <w:szCs w:val="18"/>
                <w:color w:val="auto"/>
              </w:rPr>
              <w:t>Trustee May File Proofs of Claim</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95"/>
        </w:trPr>
        <w:tc>
          <w:tcPr>
            <w:tcW w:w="1560" w:type="dxa"/>
            <w:vAlign w:val="bottom"/>
            <w:vMerge w:val="continue"/>
          </w:tcPr>
          <w:p>
            <w:pPr>
              <w:spacing w:after="0"/>
              <w:rPr>
                <w:sz w:val="16"/>
                <w:szCs w:val="16"/>
                <w:color w:val="auto"/>
              </w:rPr>
            </w:pPr>
          </w:p>
        </w:tc>
        <w:tc>
          <w:tcPr>
            <w:tcW w:w="9500" w:type="dxa"/>
            <w:vAlign w:val="bottom"/>
            <w:vMerge w:val="continue"/>
          </w:tcPr>
          <w:p>
            <w:pPr>
              <w:spacing w:after="0"/>
              <w:rPr>
                <w:sz w:val="16"/>
                <w:szCs w:val="16"/>
                <w:color w:val="auto"/>
              </w:rPr>
            </w:pPr>
          </w:p>
        </w:tc>
        <w:tc>
          <w:tcPr>
            <w:tcW w:w="3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5.5</w:t>
            </w:r>
          </w:p>
        </w:tc>
        <w:tc>
          <w:tcPr>
            <w:tcW w:w="9500" w:type="dxa"/>
            <w:vAlign w:val="bottom"/>
          </w:tcPr>
          <w:p>
            <w:pPr>
              <w:ind w:left="280"/>
              <w:spacing w:after="0"/>
              <w:rPr>
                <w:sz w:val="20"/>
                <w:szCs w:val="20"/>
                <w:color w:val="auto"/>
              </w:rPr>
            </w:pPr>
            <w:r>
              <w:rPr>
                <w:rFonts w:ascii="Arial" w:cs="Arial" w:eastAsia="Arial" w:hAnsi="Arial"/>
                <w:sz w:val="18"/>
                <w:szCs w:val="18"/>
                <w:color w:val="auto"/>
              </w:rPr>
              <w:t>Trustee May Enforce Claims Without Possession of Securities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5.6</w:t>
            </w:r>
          </w:p>
        </w:tc>
        <w:tc>
          <w:tcPr>
            <w:tcW w:w="9500" w:type="dxa"/>
            <w:vAlign w:val="bottom"/>
          </w:tcPr>
          <w:p>
            <w:pPr>
              <w:ind w:left="280"/>
              <w:spacing w:after="0"/>
              <w:rPr>
                <w:sz w:val="20"/>
                <w:szCs w:val="20"/>
                <w:color w:val="auto"/>
              </w:rPr>
            </w:pPr>
            <w:r>
              <w:rPr>
                <w:rFonts w:ascii="Arial" w:cs="Arial" w:eastAsia="Arial" w:hAnsi="Arial"/>
                <w:sz w:val="18"/>
                <w:szCs w:val="18"/>
                <w:color w:val="auto"/>
              </w:rPr>
              <w:t>Application of Money Collected</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5.7</w:t>
            </w:r>
          </w:p>
        </w:tc>
        <w:tc>
          <w:tcPr>
            <w:tcW w:w="9500" w:type="dxa"/>
            <w:vAlign w:val="bottom"/>
          </w:tcPr>
          <w:p>
            <w:pPr>
              <w:ind w:left="280"/>
              <w:spacing w:after="0"/>
              <w:rPr>
                <w:sz w:val="20"/>
                <w:szCs w:val="20"/>
                <w:color w:val="auto"/>
              </w:rPr>
            </w:pPr>
            <w:r>
              <w:rPr>
                <w:rFonts w:ascii="Arial" w:cs="Arial" w:eastAsia="Arial" w:hAnsi="Arial"/>
                <w:sz w:val="18"/>
                <w:szCs w:val="18"/>
                <w:color w:val="auto"/>
              </w:rPr>
              <w:t>Limitation on Suits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5.8</w:t>
            </w:r>
          </w:p>
        </w:tc>
        <w:tc>
          <w:tcPr>
            <w:tcW w:w="9500" w:type="dxa"/>
            <w:vAlign w:val="bottom"/>
          </w:tcPr>
          <w:p>
            <w:pPr>
              <w:ind w:left="280"/>
              <w:spacing w:after="0"/>
              <w:rPr>
                <w:sz w:val="20"/>
                <w:szCs w:val="20"/>
                <w:color w:val="auto"/>
              </w:rPr>
            </w:pPr>
            <w:r>
              <w:rPr>
                <w:rFonts w:ascii="Arial" w:cs="Arial" w:eastAsia="Arial" w:hAnsi="Arial"/>
                <w:sz w:val="18"/>
                <w:szCs w:val="18"/>
                <w:color w:val="auto"/>
              </w:rPr>
              <w:t>Unconditional Right of Holders to Receive Principal, Premium and Interest and to Convert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5.9</w:t>
            </w:r>
          </w:p>
        </w:tc>
        <w:tc>
          <w:tcPr>
            <w:tcW w:w="9500" w:type="dxa"/>
            <w:vAlign w:val="bottom"/>
          </w:tcPr>
          <w:p>
            <w:pPr>
              <w:ind w:left="280"/>
              <w:spacing w:after="0"/>
              <w:rPr>
                <w:sz w:val="20"/>
                <w:szCs w:val="20"/>
                <w:color w:val="auto"/>
              </w:rPr>
            </w:pPr>
            <w:r>
              <w:rPr>
                <w:rFonts w:ascii="Arial" w:cs="Arial" w:eastAsia="Arial" w:hAnsi="Arial"/>
                <w:sz w:val="18"/>
                <w:szCs w:val="18"/>
                <w:color w:val="auto"/>
              </w:rPr>
              <w:t>Restoration of Rights and Remedies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5.10</w:t>
            </w:r>
          </w:p>
        </w:tc>
        <w:tc>
          <w:tcPr>
            <w:tcW w:w="9500" w:type="dxa"/>
            <w:vAlign w:val="bottom"/>
          </w:tcPr>
          <w:p>
            <w:pPr>
              <w:ind w:left="280"/>
              <w:spacing w:after="0"/>
              <w:rPr>
                <w:sz w:val="20"/>
                <w:szCs w:val="20"/>
                <w:color w:val="auto"/>
              </w:rPr>
            </w:pPr>
            <w:r>
              <w:rPr>
                <w:rFonts w:ascii="Arial" w:cs="Arial" w:eastAsia="Arial" w:hAnsi="Arial"/>
                <w:sz w:val="18"/>
                <w:szCs w:val="18"/>
                <w:color w:val="auto"/>
              </w:rPr>
              <w:t>Rights and Remedies Cumulative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5.11</w:t>
            </w:r>
          </w:p>
        </w:tc>
        <w:tc>
          <w:tcPr>
            <w:tcW w:w="9500" w:type="dxa"/>
            <w:vAlign w:val="bottom"/>
          </w:tcPr>
          <w:p>
            <w:pPr>
              <w:ind w:left="280"/>
              <w:spacing w:after="0"/>
              <w:rPr>
                <w:sz w:val="20"/>
                <w:szCs w:val="20"/>
                <w:color w:val="auto"/>
              </w:rPr>
            </w:pPr>
            <w:r>
              <w:rPr>
                <w:rFonts w:ascii="Arial" w:cs="Arial" w:eastAsia="Arial" w:hAnsi="Arial"/>
                <w:sz w:val="18"/>
                <w:szCs w:val="18"/>
                <w:color w:val="auto"/>
              </w:rPr>
              <w:t>Delay or Omission Not Waiver</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5.12</w:t>
            </w:r>
          </w:p>
        </w:tc>
        <w:tc>
          <w:tcPr>
            <w:tcW w:w="9500" w:type="dxa"/>
            <w:vAlign w:val="bottom"/>
          </w:tcPr>
          <w:p>
            <w:pPr>
              <w:ind w:left="280"/>
              <w:spacing w:after="0"/>
              <w:rPr>
                <w:sz w:val="20"/>
                <w:szCs w:val="20"/>
                <w:color w:val="auto"/>
              </w:rPr>
            </w:pPr>
            <w:r>
              <w:rPr>
                <w:rFonts w:ascii="Arial" w:cs="Arial" w:eastAsia="Arial" w:hAnsi="Arial"/>
                <w:sz w:val="18"/>
                <w:szCs w:val="18"/>
                <w:color w:val="auto"/>
              </w:rPr>
              <w:t>Control by Holders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5.13</w:t>
            </w:r>
          </w:p>
        </w:tc>
        <w:tc>
          <w:tcPr>
            <w:tcW w:w="9500" w:type="dxa"/>
            <w:vAlign w:val="bottom"/>
          </w:tcPr>
          <w:p>
            <w:pPr>
              <w:ind w:left="280"/>
              <w:spacing w:after="0"/>
              <w:rPr>
                <w:sz w:val="20"/>
                <w:szCs w:val="20"/>
                <w:color w:val="auto"/>
              </w:rPr>
            </w:pPr>
            <w:r>
              <w:rPr>
                <w:rFonts w:ascii="Arial" w:cs="Arial" w:eastAsia="Arial" w:hAnsi="Arial"/>
                <w:sz w:val="18"/>
                <w:szCs w:val="18"/>
                <w:color w:val="auto"/>
              </w:rPr>
              <w:t>Waiver of Past Defaults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5.14</w:t>
            </w:r>
          </w:p>
        </w:tc>
        <w:tc>
          <w:tcPr>
            <w:tcW w:w="9500" w:type="dxa"/>
            <w:vAlign w:val="bottom"/>
          </w:tcPr>
          <w:p>
            <w:pPr>
              <w:ind w:left="280"/>
              <w:spacing w:after="0"/>
              <w:rPr>
                <w:sz w:val="20"/>
                <w:szCs w:val="20"/>
                <w:color w:val="auto"/>
              </w:rPr>
            </w:pPr>
            <w:r>
              <w:rPr>
                <w:rFonts w:ascii="Arial" w:cs="Arial" w:eastAsia="Arial" w:hAnsi="Arial"/>
                <w:sz w:val="18"/>
                <w:szCs w:val="18"/>
                <w:color w:val="auto"/>
              </w:rPr>
              <w:t>Undertaking for Costs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1560" w:type="dxa"/>
            <w:vAlign w:val="bottom"/>
          </w:tcPr>
          <w:p>
            <w:pPr>
              <w:ind w:left="360"/>
              <w:spacing w:after="0"/>
              <w:rPr>
                <w:sz w:val="20"/>
                <w:szCs w:val="20"/>
                <w:color w:val="auto"/>
              </w:rPr>
            </w:pPr>
            <w:r>
              <w:rPr>
                <w:rFonts w:ascii="Arial" w:cs="Arial" w:eastAsia="Arial" w:hAnsi="Arial"/>
                <w:sz w:val="18"/>
                <w:szCs w:val="18"/>
                <w:color w:val="auto"/>
              </w:rPr>
              <w:t>Section 5.15</w:t>
            </w:r>
          </w:p>
        </w:tc>
        <w:tc>
          <w:tcPr>
            <w:tcW w:w="9500" w:type="dxa"/>
            <w:vAlign w:val="bottom"/>
          </w:tcPr>
          <w:p>
            <w:pPr>
              <w:ind w:left="280"/>
              <w:spacing w:after="0"/>
              <w:rPr>
                <w:sz w:val="20"/>
                <w:szCs w:val="20"/>
                <w:color w:val="auto"/>
              </w:rPr>
            </w:pPr>
            <w:r>
              <w:rPr>
                <w:rFonts w:ascii="Arial" w:cs="Arial" w:eastAsia="Arial" w:hAnsi="Arial"/>
                <w:sz w:val="18"/>
                <w:szCs w:val="18"/>
                <w:color w:val="auto"/>
              </w:rPr>
              <w:t>Waiver of Usury, Stay or Extension Laws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24"/>
        </w:trPr>
        <w:tc>
          <w:tcPr>
            <w:tcW w:w="11060" w:type="dxa"/>
            <w:vAlign w:val="bottom"/>
            <w:gridSpan w:val="2"/>
          </w:tcPr>
          <w:p>
            <w:pPr>
              <w:spacing w:after="0"/>
              <w:rPr>
                <w:sz w:val="20"/>
                <w:szCs w:val="20"/>
                <w:color w:val="auto"/>
              </w:rPr>
            </w:pPr>
            <w:r>
              <w:rPr>
                <w:rFonts w:ascii="Arial" w:cs="Arial" w:eastAsia="Arial" w:hAnsi="Arial"/>
                <w:sz w:val="18"/>
                <w:szCs w:val="18"/>
                <w:color w:val="auto"/>
              </w:rPr>
              <w:t>ARTICLE 6 THE TRUSTEE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10"/>
        </w:trPr>
        <w:tc>
          <w:tcPr>
            <w:tcW w:w="1560" w:type="dxa"/>
            <w:vAlign w:val="bottom"/>
          </w:tcPr>
          <w:p>
            <w:pPr>
              <w:ind w:left="360"/>
              <w:spacing w:after="0"/>
              <w:rPr>
                <w:sz w:val="20"/>
                <w:szCs w:val="20"/>
                <w:color w:val="auto"/>
              </w:rPr>
            </w:pPr>
            <w:r>
              <w:rPr>
                <w:rFonts w:ascii="Arial" w:cs="Arial" w:eastAsia="Arial" w:hAnsi="Arial"/>
                <w:sz w:val="18"/>
                <w:szCs w:val="18"/>
                <w:color w:val="auto"/>
              </w:rPr>
              <w:t>Section 6.1</w:t>
            </w:r>
          </w:p>
        </w:tc>
        <w:tc>
          <w:tcPr>
            <w:tcW w:w="9500" w:type="dxa"/>
            <w:vAlign w:val="bottom"/>
          </w:tcPr>
          <w:p>
            <w:pPr>
              <w:ind w:left="280"/>
              <w:spacing w:after="0"/>
              <w:rPr>
                <w:sz w:val="20"/>
                <w:szCs w:val="20"/>
                <w:color w:val="auto"/>
              </w:rPr>
            </w:pPr>
            <w:r>
              <w:rPr>
                <w:rFonts w:ascii="Arial" w:cs="Arial" w:eastAsia="Arial" w:hAnsi="Arial"/>
                <w:sz w:val="18"/>
                <w:szCs w:val="18"/>
                <w:color w:val="auto"/>
              </w:rPr>
              <w:t>Certain Duties and Responsibilities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6.2</w:t>
            </w:r>
          </w:p>
        </w:tc>
        <w:tc>
          <w:tcPr>
            <w:tcW w:w="9500" w:type="dxa"/>
            <w:vAlign w:val="bottom"/>
          </w:tcPr>
          <w:p>
            <w:pPr>
              <w:ind w:left="280"/>
              <w:spacing w:after="0"/>
              <w:rPr>
                <w:sz w:val="20"/>
                <w:szCs w:val="20"/>
                <w:color w:val="auto"/>
              </w:rPr>
            </w:pPr>
            <w:r>
              <w:rPr>
                <w:rFonts w:ascii="Arial" w:cs="Arial" w:eastAsia="Arial" w:hAnsi="Arial"/>
                <w:sz w:val="18"/>
                <w:szCs w:val="18"/>
                <w:color w:val="auto"/>
              </w:rPr>
              <w:t>Notice of Defaults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6.3</w:t>
            </w:r>
          </w:p>
        </w:tc>
        <w:tc>
          <w:tcPr>
            <w:tcW w:w="9500" w:type="dxa"/>
            <w:vAlign w:val="bottom"/>
          </w:tcPr>
          <w:p>
            <w:pPr>
              <w:ind w:left="280"/>
              <w:spacing w:after="0"/>
              <w:rPr>
                <w:sz w:val="20"/>
                <w:szCs w:val="20"/>
                <w:color w:val="auto"/>
              </w:rPr>
            </w:pPr>
            <w:r>
              <w:rPr>
                <w:rFonts w:ascii="Arial" w:cs="Arial" w:eastAsia="Arial" w:hAnsi="Arial"/>
                <w:sz w:val="18"/>
                <w:szCs w:val="18"/>
                <w:color w:val="auto"/>
              </w:rPr>
              <w:t>Certain Rights of Trustee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6.4</w:t>
            </w:r>
          </w:p>
        </w:tc>
        <w:tc>
          <w:tcPr>
            <w:tcW w:w="9500" w:type="dxa"/>
            <w:vAlign w:val="bottom"/>
          </w:tcPr>
          <w:p>
            <w:pPr>
              <w:ind w:left="280"/>
              <w:spacing w:after="0"/>
              <w:rPr>
                <w:sz w:val="20"/>
                <w:szCs w:val="20"/>
                <w:color w:val="auto"/>
              </w:rPr>
            </w:pPr>
            <w:r>
              <w:rPr>
                <w:rFonts w:ascii="Arial" w:cs="Arial" w:eastAsia="Arial" w:hAnsi="Arial"/>
                <w:sz w:val="18"/>
                <w:szCs w:val="18"/>
                <w:color w:val="auto"/>
              </w:rPr>
              <w:t>Not Responsible for Recitals or Issuance of Securities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6.5</w:t>
            </w:r>
          </w:p>
        </w:tc>
        <w:tc>
          <w:tcPr>
            <w:tcW w:w="9500" w:type="dxa"/>
            <w:vAlign w:val="bottom"/>
          </w:tcPr>
          <w:p>
            <w:pPr>
              <w:ind w:left="280"/>
              <w:spacing w:after="0"/>
              <w:rPr>
                <w:sz w:val="20"/>
                <w:szCs w:val="20"/>
                <w:color w:val="auto"/>
              </w:rPr>
            </w:pPr>
            <w:r>
              <w:rPr>
                <w:rFonts w:ascii="Arial" w:cs="Arial" w:eastAsia="Arial" w:hAnsi="Arial"/>
                <w:sz w:val="18"/>
                <w:szCs w:val="18"/>
                <w:color w:val="auto"/>
              </w:rPr>
              <w:t>May Hold Securities and Act as Trustee under Other Indentures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6.6</w:t>
            </w:r>
          </w:p>
        </w:tc>
        <w:tc>
          <w:tcPr>
            <w:tcW w:w="9500" w:type="dxa"/>
            <w:vAlign w:val="bottom"/>
          </w:tcPr>
          <w:p>
            <w:pPr>
              <w:ind w:left="280"/>
              <w:spacing w:after="0"/>
              <w:rPr>
                <w:sz w:val="20"/>
                <w:szCs w:val="20"/>
                <w:color w:val="auto"/>
              </w:rPr>
            </w:pPr>
            <w:r>
              <w:rPr>
                <w:rFonts w:ascii="Arial" w:cs="Arial" w:eastAsia="Arial" w:hAnsi="Arial"/>
                <w:sz w:val="18"/>
                <w:szCs w:val="18"/>
                <w:color w:val="auto"/>
              </w:rPr>
              <w:t>Money Held in Trust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6.7</w:t>
            </w:r>
          </w:p>
        </w:tc>
        <w:tc>
          <w:tcPr>
            <w:tcW w:w="9500" w:type="dxa"/>
            <w:vAlign w:val="bottom"/>
          </w:tcPr>
          <w:p>
            <w:pPr>
              <w:ind w:left="280"/>
              <w:spacing w:after="0"/>
              <w:rPr>
                <w:sz w:val="20"/>
                <w:szCs w:val="20"/>
                <w:color w:val="auto"/>
              </w:rPr>
            </w:pPr>
            <w:r>
              <w:rPr>
                <w:rFonts w:ascii="Arial" w:cs="Arial" w:eastAsia="Arial" w:hAnsi="Arial"/>
                <w:sz w:val="18"/>
                <w:szCs w:val="18"/>
                <w:color w:val="auto"/>
              </w:rPr>
              <w:t>Compensation and Reimbursement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6.8</w:t>
            </w:r>
          </w:p>
        </w:tc>
        <w:tc>
          <w:tcPr>
            <w:tcW w:w="9500" w:type="dxa"/>
            <w:vAlign w:val="bottom"/>
          </w:tcPr>
          <w:p>
            <w:pPr>
              <w:ind w:left="280"/>
              <w:spacing w:after="0"/>
              <w:rPr>
                <w:sz w:val="20"/>
                <w:szCs w:val="20"/>
                <w:color w:val="auto"/>
              </w:rPr>
            </w:pPr>
            <w:r>
              <w:rPr>
                <w:rFonts w:ascii="Arial" w:cs="Arial" w:eastAsia="Arial" w:hAnsi="Arial"/>
                <w:sz w:val="18"/>
                <w:szCs w:val="18"/>
                <w:color w:val="auto"/>
              </w:rPr>
              <w:t>Conflicting Interests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6.9</w:t>
            </w:r>
          </w:p>
        </w:tc>
        <w:tc>
          <w:tcPr>
            <w:tcW w:w="9500" w:type="dxa"/>
            <w:vAlign w:val="bottom"/>
          </w:tcPr>
          <w:p>
            <w:pPr>
              <w:ind w:left="280"/>
              <w:spacing w:after="0"/>
              <w:rPr>
                <w:sz w:val="20"/>
                <w:szCs w:val="20"/>
                <w:color w:val="auto"/>
              </w:rPr>
            </w:pPr>
            <w:r>
              <w:rPr>
                <w:rFonts w:ascii="Arial" w:cs="Arial" w:eastAsia="Arial" w:hAnsi="Arial"/>
                <w:sz w:val="18"/>
                <w:szCs w:val="18"/>
                <w:color w:val="auto"/>
              </w:rPr>
              <w:t>Corporate Trustee Required; Eligibility</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6.10</w:t>
            </w:r>
          </w:p>
        </w:tc>
        <w:tc>
          <w:tcPr>
            <w:tcW w:w="9500" w:type="dxa"/>
            <w:vAlign w:val="bottom"/>
          </w:tcPr>
          <w:p>
            <w:pPr>
              <w:ind w:left="280"/>
              <w:spacing w:after="0"/>
              <w:rPr>
                <w:sz w:val="20"/>
                <w:szCs w:val="20"/>
                <w:color w:val="auto"/>
              </w:rPr>
            </w:pPr>
            <w:r>
              <w:rPr>
                <w:rFonts w:ascii="Arial" w:cs="Arial" w:eastAsia="Arial" w:hAnsi="Arial"/>
                <w:sz w:val="18"/>
                <w:szCs w:val="18"/>
                <w:color w:val="auto"/>
              </w:rPr>
              <w:t>Resignation and Removal; Appointment of Successor</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6.11</w:t>
            </w:r>
          </w:p>
        </w:tc>
        <w:tc>
          <w:tcPr>
            <w:tcW w:w="9500" w:type="dxa"/>
            <w:vAlign w:val="bottom"/>
          </w:tcPr>
          <w:p>
            <w:pPr>
              <w:ind w:left="280"/>
              <w:spacing w:after="0"/>
              <w:rPr>
                <w:sz w:val="20"/>
                <w:szCs w:val="20"/>
                <w:color w:val="auto"/>
              </w:rPr>
            </w:pPr>
            <w:r>
              <w:rPr>
                <w:rFonts w:ascii="Arial" w:cs="Arial" w:eastAsia="Arial" w:hAnsi="Arial"/>
                <w:sz w:val="18"/>
                <w:szCs w:val="18"/>
                <w:color w:val="auto"/>
              </w:rPr>
              <w:t>Acceptance of Appointment by Successor</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6.12</w:t>
            </w:r>
          </w:p>
        </w:tc>
        <w:tc>
          <w:tcPr>
            <w:tcW w:w="9500" w:type="dxa"/>
            <w:vAlign w:val="bottom"/>
          </w:tcPr>
          <w:p>
            <w:pPr>
              <w:ind w:left="280"/>
              <w:spacing w:after="0"/>
              <w:rPr>
                <w:sz w:val="20"/>
                <w:szCs w:val="20"/>
                <w:color w:val="auto"/>
              </w:rPr>
            </w:pPr>
            <w:r>
              <w:rPr>
                <w:rFonts w:ascii="Arial" w:cs="Arial" w:eastAsia="Arial" w:hAnsi="Arial"/>
                <w:sz w:val="18"/>
                <w:szCs w:val="18"/>
                <w:color w:val="auto"/>
              </w:rPr>
              <w:t>Merger, Conversion, Consolidation or Succession to Business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6.13</w:t>
            </w:r>
          </w:p>
        </w:tc>
        <w:tc>
          <w:tcPr>
            <w:tcW w:w="9500" w:type="dxa"/>
            <w:vAlign w:val="bottom"/>
          </w:tcPr>
          <w:p>
            <w:pPr>
              <w:ind w:left="280"/>
              <w:spacing w:after="0"/>
              <w:rPr>
                <w:sz w:val="20"/>
                <w:szCs w:val="20"/>
                <w:color w:val="auto"/>
              </w:rPr>
            </w:pPr>
            <w:r>
              <w:rPr>
                <w:rFonts w:ascii="Arial" w:cs="Arial" w:eastAsia="Arial" w:hAnsi="Arial"/>
                <w:sz w:val="18"/>
                <w:szCs w:val="18"/>
                <w:color w:val="auto"/>
              </w:rPr>
              <w:t>Preferential Collection of Claims Against Company</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1560" w:type="dxa"/>
            <w:vAlign w:val="bottom"/>
          </w:tcPr>
          <w:p>
            <w:pPr>
              <w:ind w:left="360"/>
              <w:spacing w:after="0"/>
              <w:rPr>
                <w:sz w:val="20"/>
                <w:szCs w:val="20"/>
                <w:color w:val="auto"/>
              </w:rPr>
            </w:pPr>
            <w:r>
              <w:rPr>
                <w:rFonts w:ascii="Arial" w:cs="Arial" w:eastAsia="Arial" w:hAnsi="Arial"/>
                <w:sz w:val="18"/>
                <w:szCs w:val="18"/>
                <w:color w:val="auto"/>
              </w:rPr>
              <w:t>Section 6.14</w:t>
            </w:r>
          </w:p>
        </w:tc>
        <w:tc>
          <w:tcPr>
            <w:tcW w:w="9500" w:type="dxa"/>
            <w:vAlign w:val="bottom"/>
          </w:tcPr>
          <w:p>
            <w:pPr>
              <w:ind w:left="280"/>
              <w:spacing w:after="0"/>
              <w:rPr>
                <w:sz w:val="20"/>
                <w:szCs w:val="20"/>
                <w:color w:val="auto"/>
              </w:rPr>
            </w:pPr>
            <w:r>
              <w:rPr>
                <w:rFonts w:ascii="Arial" w:cs="Arial" w:eastAsia="Arial" w:hAnsi="Arial"/>
                <w:sz w:val="18"/>
                <w:szCs w:val="18"/>
                <w:color w:val="auto"/>
              </w:rPr>
              <w:t>Appointment of Authenticating Agent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324"/>
        </w:trPr>
        <w:tc>
          <w:tcPr>
            <w:tcW w:w="11060" w:type="dxa"/>
            <w:vAlign w:val="bottom"/>
            <w:gridSpan w:val="2"/>
          </w:tcPr>
          <w:p>
            <w:pPr>
              <w:spacing w:after="0"/>
              <w:rPr>
                <w:sz w:val="20"/>
                <w:szCs w:val="20"/>
                <w:color w:val="auto"/>
              </w:rPr>
            </w:pPr>
            <w:r>
              <w:rPr>
                <w:rFonts w:ascii="Arial" w:cs="Arial" w:eastAsia="Arial" w:hAnsi="Arial"/>
                <w:sz w:val="18"/>
                <w:szCs w:val="18"/>
                <w:color w:val="auto"/>
              </w:rPr>
              <w:t>ARTICLE 7 HOLDERS’ LISTS AND REPORTS BY TRUSTEE AND COMPANY</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310"/>
        </w:trPr>
        <w:tc>
          <w:tcPr>
            <w:tcW w:w="1560" w:type="dxa"/>
            <w:vAlign w:val="bottom"/>
          </w:tcPr>
          <w:p>
            <w:pPr>
              <w:ind w:left="360"/>
              <w:spacing w:after="0"/>
              <w:rPr>
                <w:sz w:val="20"/>
                <w:szCs w:val="20"/>
                <w:color w:val="auto"/>
              </w:rPr>
            </w:pPr>
            <w:r>
              <w:rPr>
                <w:rFonts w:ascii="Arial" w:cs="Arial" w:eastAsia="Arial" w:hAnsi="Arial"/>
                <w:sz w:val="18"/>
                <w:szCs w:val="18"/>
                <w:color w:val="auto"/>
              </w:rPr>
              <w:t>Section 7.1</w:t>
            </w:r>
          </w:p>
        </w:tc>
        <w:tc>
          <w:tcPr>
            <w:tcW w:w="9500" w:type="dxa"/>
            <w:vAlign w:val="bottom"/>
          </w:tcPr>
          <w:p>
            <w:pPr>
              <w:ind w:left="280"/>
              <w:spacing w:after="0"/>
              <w:rPr>
                <w:sz w:val="20"/>
                <w:szCs w:val="20"/>
                <w:color w:val="auto"/>
              </w:rPr>
            </w:pPr>
            <w:r>
              <w:rPr>
                <w:rFonts w:ascii="Arial" w:cs="Arial" w:eastAsia="Arial" w:hAnsi="Arial"/>
                <w:sz w:val="18"/>
                <w:szCs w:val="18"/>
                <w:color w:val="auto"/>
              </w:rPr>
              <w:t>Company to Furnish Trustee Names and Addresses of Holders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7.2</w:t>
            </w:r>
          </w:p>
        </w:tc>
        <w:tc>
          <w:tcPr>
            <w:tcW w:w="9500" w:type="dxa"/>
            <w:vAlign w:val="bottom"/>
          </w:tcPr>
          <w:p>
            <w:pPr>
              <w:ind w:left="280"/>
              <w:spacing w:after="0"/>
              <w:rPr>
                <w:sz w:val="20"/>
                <w:szCs w:val="20"/>
                <w:color w:val="auto"/>
              </w:rPr>
            </w:pPr>
            <w:r>
              <w:rPr>
                <w:rFonts w:ascii="Arial" w:cs="Arial" w:eastAsia="Arial" w:hAnsi="Arial"/>
                <w:sz w:val="18"/>
                <w:szCs w:val="18"/>
                <w:color w:val="auto"/>
              </w:rPr>
              <w:t>Preservation of Information; Communications to Holders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7.3</w:t>
            </w:r>
          </w:p>
        </w:tc>
        <w:tc>
          <w:tcPr>
            <w:tcW w:w="9500" w:type="dxa"/>
            <w:vAlign w:val="bottom"/>
          </w:tcPr>
          <w:p>
            <w:pPr>
              <w:ind w:left="280"/>
              <w:spacing w:after="0"/>
              <w:rPr>
                <w:sz w:val="20"/>
                <w:szCs w:val="20"/>
                <w:color w:val="auto"/>
              </w:rPr>
            </w:pPr>
            <w:r>
              <w:rPr>
                <w:rFonts w:ascii="Arial" w:cs="Arial" w:eastAsia="Arial" w:hAnsi="Arial"/>
                <w:sz w:val="18"/>
                <w:szCs w:val="18"/>
                <w:color w:val="auto"/>
              </w:rPr>
              <w:t>Reports by Trustee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1560" w:type="dxa"/>
            <w:vAlign w:val="bottom"/>
          </w:tcPr>
          <w:p>
            <w:pPr>
              <w:ind w:left="360"/>
              <w:spacing w:after="0"/>
              <w:rPr>
                <w:sz w:val="20"/>
                <w:szCs w:val="20"/>
                <w:color w:val="auto"/>
              </w:rPr>
            </w:pPr>
            <w:r>
              <w:rPr>
                <w:rFonts w:ascii="Arial" w:cs="Arial" w:eastAsia="Arial" w:hAnsi="Arial"/>
                <w:sz w:val="18"/>
                <w:szCs w:val="18"/>
                <w:color w:val="auto"/>
              </w:rPr>
              <w:t>Section 7.4</w:t>
            </w:r>
          </w:p>
        </w:tc>
        <w:tc>
          <w:tcPr>
            <w:tcW w:w="9500" w:type="dxa"/>
            <w:vAlign w:val="bottom"/>
          </w:tcPr>
          <w:p>
            <w:pPr>
              <w:ind w:left="280"/>
              <w:spacing w:after="0"/>
              <w:rPr>
                <w:sz w:val="20"/>
                <w:szCs w:val="20"/>
                <w:color w:val="auto"/>
              </w:rPr>
            </w:pPr>
            <w:r>
              <w:rPr>
                <w:rFonts w:ascii="Arial" w:cs="Arial" w:eastAsia="Arial" w:hAnsi="Arial"/>
                <w:sz w:val="18"/>
                <w:szCs w:val="18"/>
                <w:color w:val="auto"/>
              </w:rPr>
              <w:t>Reports by Company</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324"/>
        </w:trPr>
        <w:tc>
          <w:tcPr>
            <w:tcW w:w="11060" w:type="dxa"/>
            <w:vAlign w:val="bottom"/>
            <w:gridSpan w:val="2"/>
          </w:tcPr>
          <w:p>
            <w:pPr>
              <w:spacing w:after="0"/>
              <w:rPr>
                <w:sz w:val="20"/>
                <w:szCs w:val="20"/>
                <w:color w:val="auto"/>
              </w:rPr>
            </w:pPr>
            <w:r>
              <w:rPr>
                <w:rFonts w:ascii="Arial" w:cs="Arial" w:eastAsia="Arial" w:hAnsi="Arial"/>
                <w:sz w:val="18"/>
                <w:szCs w:val="18"/>
                <w:color w:val="auto"/>
              </w:rPr>
              <w:t>ARTICLE 8 CONSOLIDATION, MERGER, CONVEYANCE, TRANSFER OR LEASE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310"/>
        </w:trPr>
        <w:tc>
          <w:tcPr>
            <w:tcW w:w="1560" w:type="dxa"/>
            <w:vAlign w:val="bottom"/>
          </w:tcPr>
          <w:p>
            <w:pPr>
              <w:ind w:left="360"/>
              <w:spacing w:after="0"/>
              <w:rPr>
                <w:sz w:val="20"/>
                <w:szCs w:val="20"/>
                <w:color w:val="auto"/>
              </w:rPr>
            </w:pPr>
            <w:r>
              <w:rPr>
                <w:rFonts w:ascii="Arial" w:cs="Arial" w:eastAsia="Arial" w:hAnsi="Arial"/>
                <w:sz w:val="18"/>
                <w:szCs w:val="18"/>
                <w:color w:val="auto"/>
              </w:rPr>
              <w:t>Section 8.1</w:t>
            </w:r>
          </w:p>
        </w:tc>
        <w:tc>
          <w:tcPr>
            <w:tcW w:w="9500" w:type="dxa"/>
            <w:vAlign w:val="bottom"/>
          </w:tcPr>
          <w:p>
            <w:pPr>
              <w:ind w:left="280"/>
              <w:spacing w:after="0"/>
              <w:rPr>
                <w:sz w:val="20"/>
                <w:szCs w:val="20"/>
                <w:color w:val="auto"/>
              </w:rPr>
            </w:pPr>
            <w:r>
              <w:rPr>
                <w:rFonts w:ascii="Arial" w:cs="Arial" w:eastAsia="Arial" w:hAnsi="Arial"/>
                <w:sz w:val="18"/>
                <w:szCs w:val="18"/>
                <w:color w:val="auto"/>
              </w:rPr>
              <w:t>Company May Consolidate, etc., Only on Certain Terms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1560" w:type="dxa"/>
            <w:vAlign w:val="bottom"/>
          </w:tcPr>
          <w:p>
            <w:pPr>
              <w:ind w:left="360"/>
              <w:spacing w:after="0"/>
              <w:rPr>
                <w:sz w:val="20"/>
                <w:szCs w:val="20"/>
                <w:color w:val="auto"/>
              </w:rPr>
            </w:pPr>
            <w:r>
              <w:rPr>
                <w:rFonts w:ascii="Arial" w:cs="Arial" w:eastAsia="Arial" w:hAnsi="Arial"/>
                <w:sz w:val="18"/>
                <w:szCs w:val="18"/>
                <w:color w:val="auto"/>
              </w:rPr>
              <w:t>Section 8.2</w:t>
            </w:r>
          </w:p>
        </w:tc>
        <w:tc>
          <w:tcPr>
            <w:tcW w:w="9500" w:type="dxa"/>
            <w:vAlign w:val="bottom"/>
          </w:tcPr>
          <w:p>
            <w:pPr>
              <w:ind w:left="280"/>
              <w:spacing w:after="0"/>
              <w:rPr>
                <w:sz w:val="20"/>
                <w:szCs w:val="20"/>
                <w:color w:val="auto"/>
              </w:rPr>
            </w:pPr>
            <w:r>
              <w:rPr>
                <w:rFonts w:ascii="Arial" w:cs="Arial" w:eastAsia="Arial" w:hAnsi="Arial"/>
                <w:sz w:val="18"/>
                <w:szCs w:val="18"/>
                <w:color w:val="auto"/>
              </w:rPr>
              <w:t>Successor Substituted</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324"/>
        </w:trPr>
        <w:tc>
          <w:tcPr>
            <w:tcW w:w="11060" w:type="dxa"/>
            <w:vAlign w:val="bottom"/>
            <w:gridSpan w:val="2"/>
          </w:tcPr>
          <w:p>
            <w:pPr>
              <w:spacing w:after="0"/>
              <w:rPr>
                <w:sz w:val="20"/>
                <w:szCs w:val="20"/>
                <w:color w:val="auto"/>
              </w:rPr>
            </w:pPr>
            <w:r>
              <w:rPr>
                <w:rFonts w:ascii="Arial" w:cs="Arial" w:eastAsia="Arial" w:hAnsi="Arial"/>
                <w:sz w:val="18"/>
                <w:szCs w:val="18"/>
                <w:color w:val="auto"/>
              </w:rPr>
              <w:t>ARTICLE 9 SUPPLEMENTAL INDENTURES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310"/>
        </w:trPr>
        <w:tc>
          <w:tcPr>
            <w:tcW w:w="1560" w:type="dxa"/>
            <w:vAlign w:val="bottom"/>
          </w:tcPr>
          <w:p>
            <w:pPr>
              <w:ind w:left="360"/>
              <w:spacing w:after="0"/>
              <w:rPr>
                <w:sz w:val="20"/>
                <w:szCs w:val="20"/>
                <w:color w:val="auto"/>
              </w:rPr>
            </w:pPr>
            <w:r>
              <w:rPr>
                <w:rFonts w:ascii="Arial" w:cs="Arial" w:eastAsia="Arial" w:hAnsi="Arial"/>
                <w:sz w:val="18"/>
                <w:szCs w:val="18"/>
                <w:color w:val="auto"/>
              </w:rPr>
              <w:t>Section 9.1</w:t>
            </w:r>
          </w:p>
        </w:tc>
        <w:tc>
          <w:tcPr>
            <w:tcW w:w="9500" w:type="dxa"/>
            <w:vAlign w:val="bottom"/>
          </w:tcPr>
          <w:p>
            <w:pPr>
              <w:ind w:left="280"/>
              <w:spacing w:after="0"/>
              <w:rPr>
                <w:sz w:val="20"/>
                <w:szCs w:val="20"/>
                <w:color w:val="auto"/>
              </w:rPr>
            </w:pPr>
            <w:r>
              <w:rPr>
                <w:rFonts w:ascii="Arial" w:cs="Arial" w:eastAsia="Arial" w:hAnsi="Arial"/>
                <w:sz w:val="18"/>
                <w:szCs w:val="18"/>
                <w:color w:val="auto"/>
              </w:rPr>
              <w:t>Supplemental Indentures Without Consent of Holders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0"/>
        </w:trPr>
        <w:tc>
          <w:tcPr>
            <w:tcW w:w="1560" w:type="dxa"/>
            <w:vAlign w:val="bottom"/>
          </w:tcPr>
          <w:p>
            <w:pPr>
              <w:ind w:left="360"/>
              <w:spacing w:after="0"/>
              <w:rPr>
                <w:sz w:val="20"/>
                <w:szCs w:val="20"/>
                <w:color w:val="auto"/>
              </w:rPr>
            </w:pPr>
            <w:r>
              <w:rPr>
                <w:rFonts w:ascii="Arial" w:cs="Arial" w:eastAsia="Arial" w:hAnsi="Arial"/>
                <w:sz w:val="18"/>
                <w:szCs w:val="18"/>
                <w:color w:val="auto"/>
              </w:rPr>
              <w:t>Section 9.2</w:t>
            </w:r>
          </w:p>
        </w:tc>
        <w:tc>
          <w:tcPr>
            <w:tcW w:w="9500" w:type="dxa"/>
            <w:vAlign w:val="bottom"/>
          </w:tcPr>
          <w:p>
            <w:pPr>
              <w:ind w:left="280"/>
              <w:spacing w:after="0"/>
              <w:rPr>
                <w:sz w:val="20"/>
                <w:szCs w:val="20"/>
                <w:color w:val="auto"/>
              </w:rPr>
            </w:pPr>
            <w:r>
              <w:rPr>
                <w:rFonts w:ascii="Arial" w:cs="Arial" w:eastAsia="Arial" w:hAnsi="Arial"/>
                <w:sz w:val="18"/>
                <w:szCs w:val="18"/>
                <w:color w:val="auto"/>
              </w:rPr>
              <w:t>Supplemental Indentures with Consent of Holders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60"/>
          </w:cols>
          <w:pgMar w:left="240" w:top="270" w:right="299" w:bottom="1440" w:gutter="0" w:footer="0" w:header="0"/>
        </w:sectPr>
      </w:pPr>
    </w:p>
    <w:bookmarkStart w:id="45" w:name="page46"/>
    <w:bookmarkEnd w:id="45"/>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OF CONTENTS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(Continued)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560" w:type="dxa"/>
            <w:vAlign w:val="bottom"/>
            <w:vMerge w:val="restart"/>
          </w:tcPr>
          <w:p>
            <w:pPr>
              <w:ind w:left="360"/>
              <w:spacing w:after="0"/>
              <w:rPr>
                <w:sz w:val="20"/>
                <w:szCs w:val="20"/>
                <w:color w:val="auto"/>
              </w:rPr>
            </w:pPr>
            <w:r>
              <w:rPr>
                <w:rFonts w:ascii="Arial" w:cs="Arial" w:eastAsia="Arial" w:hAnsi="Arial"/>
                <w:sz w:val="18"/>
                <w:szCs w:val="18"/>
                <w:color w:val="auto"/>
              </w:rPr>
              <w:t>Section 9.3</w:t>
            </w:r>
          </w:p>
        </w:tc>
        <w:tc>
          <w:tcPr>
            <w:tcW w:w="9500" w:type="dxa"/>
            <w:vAlign w:val="bottom"/>
            <w:vMerge w:val="restart"/>
          </w:tcPr>
          <w:p>
            <w:pPr>
              <w:ind w:left="280"/>
              <w:spacing w:after="0"/>
              <w:rPr>
                <w:sz w:val="20"/>
                <w:szCs w:val="20"/>
                <w:color w:val="auto"/>
              </w:rPr>
            </w:pPr>
            <w:r>
              <w:rPr>
                <w:rFonts w:ascii="Arial" w:cs="Arial" w:eastAsia="Arial" w:hAnsi="Arial"/>
                <w:sz w:val="18"/>
                <w:szCs w:val="18"/>
                <w:color w:val="auto"/>
              </w:rPr>
              <w:t>Execution of Supplemental Indentures</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95"/>
        </w:trPr>
        <w:tc>
          <w:tcPr>
            <w:tcW w:w="1560" w:type="dxa"/>
            <w:vAlign w:val="bottom"/>
            <w:vMerge w:val="continue"/>
          </w:tcPr>
          <w:p>
            <w:pPr>
              <w:spacing w:after="0"/>
              <w:rPr>
                <w:sz w:val="16"/>
                <w:szCs w:val="16"/>
                <w:color w:val="auto"/>
              </w:rPr>
            </w:pPr>
          </w:p>
        </w:tc>
        <w:tc>
          <w:tcPr>
            <w:tcW w:w="9500" w:type="dxa"/>
            <w:vAlign w:val="bottom"/>
            <w:vMerge w:val="continue"/>
          </w:tcPr>
          <w:p>
            <w:pPr>
              <w:spacing w:after="0"/>
              <w:rPr>
                <w:sz w:val="16"/>
                <w:szCs w:val="16"/>
                <w:color w:val="auto"/>
              </w:rPr>
            </w:pPr>
          </w:p>
        </w:tc>
        <w:tc>
          <w:tcPr>
            <w:tcW w:w="3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9.4</w:t>
            </w:r>
          </w:p>
        </w:tc>
        <w:tc>
          <w:tcPr>
            <w:tcW w:w="9500" w:type="dxa"/>
            <w:vAlign w:val="bottom"/>
          </w:tcPr>
          <w:p>
            <w:pPr>
              <w:ind w:left="280"/>
              <w:spacing w:after="0"/>
              <w:rPr>
                <w:sz w:val="20"/>
                <w:szCs w:val="20"/>
                <w:color w:val="auto"/>
              </w:rPr>
            </w:pPr>
            <w:r>
              <w:rPr>
                <w:rFonts w:ascii="Arial" w:cs="Arial" w:eastAsia="Arial" w:hAnsi="Arial"/>
                <w:sz w:val="18"/>
                <w:szCs w:val="18"/>
                <w:color w:val="auto"/>
              </w:rPr>
              <w:t>Effect of Supplemental Indentures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9.5</w:t>
            </w:r>
          </w:p>
        </w:tc>
        <w:tc>
          <w:tcPr>
            <w:tcW w:w="9500" w:type="dxa"/>
            <w:vAlign w:val="bottom"/>
          </w:tcPr>
          <w:p>
            <w:pPr>
              <w:ind w:left="280"/>
              <w:spacing w:after="0"/>
              <w:rPr>
                <w:sz w:val="20"/>
                <w:szCs w:val="20"/>
                <w:color w:val="auto"/>
              </w:rPr>
            </w:pPr>
            <w:r>
              <w:rPr>
                <w:rFonts w:ascii="Arial" w:cs="Arial" w:eastAsia="Arial" w:hAnsi="Arial"/>
                <w:sz w:val="18"/>
                <w:szCs w:val="18"/>
                <w:color w:val="auto"/>
              </w:rPr>
              <w:t>Conformity with Trust Indenture Act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1560" w:type="dxa"/>
            <w:vAlign w:val="bottom"/>
          </w:tcPr>
          <w:p>
            <w:pPr>
              <w:ind w:left="360"/>
              <w:spacing w:after="0"/>
              <w:rPr>
                <w:sz w:val="20"/>
                <w:szCs w:val="20"/>
                <w:color w:val="auto"/>
              </w:rPr>
            </w:pPr>
            <w:r>
              <w:rPr>
                <w:rFonts w:ascii="Arial" w:cs="Arial" w:eastAsia="Arial" w:hAnsi="Arial"/>
                <w:sz w:val="18"/>
                <w:szCs w:val="18"/>
                <w:color w:val="auto"/>
              </w:rPr>
              <w:t>Section 9.6</w:t>
            </w:r>
          </w:p>
        </w:tc>
        <w:tc>
          <w:tcPr>
            <w:tcW w:w="9500" w:type="dxa"/>
            <w:vAlign w:val="bottom"/>
          </w:tcPr>
          <w:p>
            <w:pPr>
              <w:ind w:left="280"/>
              <w:spacing w:after="0"/>
              <w:rPr>
                <w:sz w:val="20"/>
                <w:szCs w:val="20"/>
                <w:color w:val="auto"/>
              </w:rPr>
            </w:pPr>
            <w:r>
              <w:rPr>
                <w:rFonts w:ascii="Arial" w:cs="Arial" w:eastAsia="Arial" w:hAnsi="Arial"/>
                <w:sz w:val="18"/>
                <w:szCs w:val="18"/>
                <w:color w:val="auto"/>
              </w:rPr>
              <w:t>Reference in Securities to Supplemental Indentures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324"/>
        </w:trPr>
        <w:tc>
          <w:tcPr>
            <w:tcW w:w="11060" w:type="dxa"/>
            <w:vAlign w:val="bottom"/>
            <w:gridSpan w:val="2"/>
          </w:tcPr>
          <w:p>
            <w:pPr>
              <w:spacing w:after="0"/>
              <w:rPr>
                <w:sz w:val="20"/>
                <w:szCs w:val="20"/>
                <w:color w:val="auto"/>
              </w:rPr>
            </w:pPr>
            <w:r>
              <w:rPr>
                <w:rFonts w:ascii="Arial" w:cs="Arial" w:eastAsia="Arial" w:hAnsi="Arial"/>
                <w:sz w:val="18"/>
                <w:szCs w:val="18"/>
                <w:color w:val="auto"/>
              </w:rPr>
              <w:t>ARTICLE 10 COVENANTS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310"/>
        </w:trPr>
        <w:tc>
          <w:tcPr>
            <w:tcW w:w="1560" w:type="dxa"/>
            <w:vAlign w:val="bottom"/>
          </w:tcPr>
          <w:p>
            <w:pPr>
              <w:ind w:left="360"/>
              <w:spacing w:after="0"/>
              <w:rPr>
                <w:sz w:val="20"/>
                <w:szCs w:val="20"/>
                <w:color w:val="auto"/>
              </w:rPr>
            </w:pPr>
            <w:r>
              <w:rPr>
                <w:rFonts w:ascii="Arial" w:cs="Arial" w:eastAsia="Arial" w:hAnsi="Arial"/>
                <w:sz w:val="18"/>
                <w:szCs w:val="18"/>
                <w:color w:val="auto"/>
              </w:rPr>
              <w:t>Section 10.1</w:t>
            </w:r>
          </w:p>
        </w:tc>
        <w:tc>
          <w:tcPr>
            <w:tcW w:w="9500" w:type="dxa"/>
            <w:vAlign w:val="bottom"/>
          </w:tcPr>
          <w:p>
            <w:pPr>
              <w:ind w:left="280"/>
              <w:spacing w:after="0"/>
              <w:rPr>
                <w:sz w:val="20"/>
                <w:szCs w:val="20"/>
                <w:color w:val="auto"/>
              </w:rPr>
            </w:pPr>
            <w:r>
              <w:rPr>
                <w:rFonts w:ascii="Arial" w:cs="Arial" w:eastAsia="Arial" w:hAnsi="Arial"/>
                <w:sz w:val="18"/>
                <w:szCs w:val="18"/>
                <w:color w:val="auto"/>
              </w:rPr>
              <w:t>Payment of Principal, Premium and Interest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10.2</w:t>
            </w:r>
          </w:p>
        </w:tc>
        <w:tc>
          <w:tcPr>
            <w:tcW w:w="9500" w:type="dxa"/>
            <w:vAlign w:val="bottom"/>
          </w:tcPr>
          <w:p>
            <w:pPr>
              <w:ind w:left="280"/>
              <w:spacing w:after="0"/>
              <w:rPr>
                <w:sz w:val="20"/>
                <w:szCs w:val="20"/>
                <w:color w:val="auto"/>
              </w:rPr>
            </w:pPr>
            <w:r>
              <w:rPr>
                <w:rFonts w:ascii="Arial" w:cs="Arial" w:eastAsia="Arial" w:hAnsi="Arial"/>
                <w:sz w:val="18"/>
                <w:szCs w:val="18"/>
                <w:color w:val="auto"/>
              </w:rPr>
              <w:t>Maintenance of Office or Agency</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10.3</w:t>
            </w:r>
          </w:p>
        </w:tc>
        <w:tc>
          <w:tcPr>
            <w:tcW w:w="9500" w:type="dxa"/>
            <w:vAlign w:val="bottom"/>
          </w:tcPr>
          <w:p>
            <w:pPr>
              <w:ind w:left="280"/>
              <w:spacing w:after="0"/>
              <w:rPr>
                <w:sz w:val="20"/>
                <w:szCs w:val="20"/>
                <w:color w:val="auto"/>
              </w:rPr>
            </w:pPr>
            <w:r>
              <w:rPr>
                <w:rFonts w:ascii="Arial" w:cs="Arial" w:eastAsia="Arial" w:hAnsi="Arial"/>
                <w:sz w:val="18"/>
                <w:szCs w:val="18"/>
                <w:color w:val="auto"/>
              </w:rPr>
              <w:t>Money for Securities Payments To Be Held in Trust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10.4</w:t>
            </w:r>
          </w:p>
        </w:tc>
        <w:tc>
          <w:tcPr>
            <w:tcW w:w="9500" w:type="dxa"/>
            <w:vAlign w:val="bottom"/>
          </w:tcPr>
          <w:p>
            <w:pPr>
              <w:ind w:left="280"/>
              <w:spacing w:after="0"/>
              <w:rPr>
                <w:sz w:val="20"/>
                <w:szCs w:val="20"/>
                <w:color w:val="auto"/>
              </w:rPr>
            </w:pPr>
            <w:r>
              <w:rPr>
                <w:rFonts w:ascii="Arial" w:cs="Arial" w:eastAsia="Arial" w:hAnsi="Arial"/>
                <w:sz w:val="18"/>
                <w:szCs w:val="18"/>
                <w:color w:val="auto"/>
              </w:rPr>
              <w:t>Statement by Officers as to Default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10.5</w:t>
            </w:r>
          </w:p>
        </w:tc>
        <w:tc>
          <w:tcPr>
            <w:tcW w:w="9500" w:type="dxa"/>
            <w:vAlign w:val="bottom"/>
          </w:tcPr>
          <w:p>
            <w:pPr>
              <w:ind w:left="280"/>
              <w:spacing w:after="0"/>
              <w:rPr>
                <w:sz w:val="20"/>
                <w:szCs w:val="20"/>
                <w:color w:val="auto"/>
              </w:rPr>
            </w:pPr>
            <w:r>
              <w:rPr>
                <w:rFonts w:ascii="Arial" w:cs="Arial" w:eastAsia="Arial" w:hAnsi="Arial"/>
                <w:sz w:val="18"/>
                <w:szCs w:val="18"/>
                <w:color w:val="auto"/>
              </w:rPr>
              <w:t>Existence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0"/>
        </w:trPr>
        <w:tc>
          <w:tcPr>
            <w:tcW w:w="1560" w:type="dxa"/>
            <w:vAlign w:val="bottom"/>
          </w:tcPr>
          <w:p>
            <w:pPr>
              <w:ind w:left="360"/>
              <w:spacing w:after="0"/>
              <w:rPr>
                <w:sz w:val="20"/>
                <w:szCs w:val="20"/>
                <w:color w:val="auto"/>
              </w:rPr>
            </w:pPr>
            <w:r>
              <w:rPr>
                <w:rFonts w:ascii="Arial" w:cs="Arial" w:eastAsia="Arial" w:hAnsi="Arial"/>
                <w:sz w:val="18"/>
                <w:szCs w:val="18"/>
                <w:color w:val="auto"/>
              </w:rPr>
              <w:t>Section 10.6</w:t>
            </w:r>
          </w:p>
        </w:tc>
        <w:tc>
          <w:tcPr>
            <w:tcW w:w="9500" w:type="dxa"/>
            <w:vAlign w:val="bottom"/>
          </w:tcPr>
          <w:p>
            <w:pPr>
              <w:ind w:left="280"/>
              <w:spacing w:after="0"/>
              <w:rPr>
                <w:sz w:val="20"/>
                <w:szCs w:val="20"/>
                <w:color w:val="auto"/>
              </w:rPr>
            </w:pPr>
            <w:r>
              <w:rPr>
                <w:rFonts w:ascii="Arial" w:cs="Arial" w:eastAsia="Arial" w:hAnsi="Arial"/>
                <w:sz w:val="18"/>
                <w:szCs w:val="18"/>
                <w:color w:val="auto"/>
              </w:rPr>
              <w:t>Waiver of Certain Covenants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324"/>
        </w:trPr>
        <w:tc>
          <w:tcPr>
            <w:tcW w:w="11060" w:type="dxa"/>
            <w:vAlign w:val="bottom"/>
            <w:gridSpan w:val="2"/>
          </w:tcPr>
          <w:p>
            <w:pPr>
              <w:spacing w:after="0"/>
              <w:rPr>
                <w:sz w:val="20"/>
                <w:szCs w:val="20"/>
                <w:color w:val="auto"/>
              </w:rPr>
            </w:pPr>
            <w:r>
              <w:rPr>
                <w:rFonts w:ascii="Arial" w:cs="Arial" w:eastAsia="Arial" w:hAnsi="Arial"/>
                <w:sz w:val="18"/>
                <w:szCs w:val="18"/>
                <w:color w:val="auto"/>
              </w:rPr>
              <w:t>ARTICLE 11 REDEMPTION OF SECURITIES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310"/>
        </w:trPr>
        <w:tc>
          <w:tcPr>
            <w:tcW w:w="1560" w:type="dxa"/>
            <w:vAlign w:val="bottom"/>
          </w:tcPr>
          <w:p>
            <w:pPr>
              <w:ind w:left="360"/>
              <w:spacing w:after="0"/>
              <w:rPr>
                <w:sz w:val="20"/>
                <w:szCs w:val="20"/>
                <w:color w:val="auto"/>
              </w:rPr>
            </w:pPr>
            <w:r>
              <w:rPr>
                <w:rFonts w:ascii="Arial" w:cs="Arial" w:eastAsia="Arial" w:hAnsi="Arial"/>
                <w:sz w:val="18"/>
                <w:szCs w:val="18"/>
                <w:color w:val="auto"/>
              </w:rPr>
              <w:t>Section 11.1</w:t>
            </w:r>
          </w:p>
        </w:tc>
        <w:tc>
          <w:tcPr>
            <w:tcW w:w="9500" w:type="dxa"/>
            <w:vAlign w:val="bottom"/>
          </w:tcPr>
          <w:p>
            <w:pPr>
              <w:ind w:left="280"/>
              <w:spacing w:after="0"/>
              <w:rPr>
                <w:sz w:val="20"/>
                <w:szCs w:val="20"/>
                <w:color w:val="auto"/>
              </w:rPr>
            </w:pPr>
            <w:r>
              <w:rPr>
                <w:rFonts w:ascii="Arial" w:cs="Arial" w:eastAsia="Arial" w:hAnsi="Arial"/>
                <w:sz w:val="18"/>
                <w:szCs w:val="18"/>
                <w:color w:val="auto"/>
              </w:rPr>
              <w:t>Applicability of Article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11.2</w:t>
            </w:r>
          </w:p>
        </w:tc>
        <w:tc>
          <w:tcPr>
            <w:tcW w:w="9500" w:type="dxa"/>
            <w:vAlign w:val="bottom"/>
          </w:tcPr>
          <w:p>
            <w:pPr>
              <w:ind w:left="280"/>
              <w:spacing w:after="0"/>
              <w:rPr>
                <w:sz w:val="20"/>
                <w:szCs w:val="20"/>
                <w:color w:val="auto"/>
              </w:rPr>
            </w:pPr>
            <w:r>
              <w:rPr>
                <w:rFonts w:ascii="Arial" w:cs="Arial" w:eastAsia="Arial" w:hAnsi="Arial"/>
                <w:sz w:val="18"/>
                <w:szCs w:val="18"/>
                <w:color w:val="auto"/>
              </w:rPr>
              <w:t>Election to Redeem; Notice to Trustee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11.3</w:t>
            </w:r>
          </w:p>
        </w:tc>
        <w:tc>
          <w:tcPr>
            <w:tcW w:w="9500" w:type="dxa"/>
            <w:vAlign w:val="bottom"/>
          </w:tcPr>
          <w:p>
            <w:pPr>
              <w:ind w:left="280"/>
              <w:spacing w:after="0"/>
              <w:rPr>
                <w:sz w:val="20"/>
                <w:szCs w:val="20"/>
                <w:color w:val="auto"/>
              </w:rPr>
            </w:pPr>
            <w:r>
              <w:rPr>
                <w:rFonts w:ascii="Arial" w:cs="Arial" w:eastAsia="Arial" w:hAnsi="Arial"/>
                <w:sz w:val="18"/>
                <w:szCs w:val="18"/>
                <w:color w:val="auto"/>
              </w:rPr>
              <w:t>Selection by Trustee of Securities to Be Redeemed</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11.4</w:t>
            </w:r>
          </w:p>
        </w:tc>
        <w:tc>
          <w:tcPr>
            <w:tcW w:w="9500" w:type="dxa"/>
            <w:vAlign w:val="bottom"/>
          </w:tcPr>
          <w:p>
            <w:pPr>
              <w:ind w:left="280"/>
              <w:spacing w:after="0"/>
              <w:rPr>
                <w:sz w:val="20"/>
                <w:szCs w:val="20"/>
                <w:color w:val="auto"/>
              </w:rPr>
            </w:pPr>
            <w:r>
              <w:rPr>
                <w:rFonts w:ascii="Arial" w:cs="Arial" w:eastAsia="Arial" w:hAnsi="Arial"/>
                <w:sz w:val="18"/>
                <w:szCs w:val="18"/>
                <w:color w:val="auto"/>
              </w:rPr>
              <w:t>Notice of Redemption</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11.5</w:t>
            </w:r>
          </w:p>
        </w:tc>
        <w:tc>
          <w:tcPr>
            <w:tcW w:w="9500" w:type="dxa"/>
            <w:vAlign w:val="bottom"/>
          </w:tcPr>
          <w:p>
            <w:pPr>
              <w:ind w:left="280"/>
              <w:spacing w:after="0"/>
              <w:rPr>
                <w:sz w:val="20"/>
                <w:szCs w:val="20"/>
                <w:color w:val="auto"/>
              </w:rPr>
            </w:pPr>
            <w:r>
              <w:rPr>
                <w:rFonts w:ascii="Arial" w:cs="Arial" w:eastAsia="Arial" w:hAnsi="Arial"/>
                <w:sz w:val="18"/>
                <w:szCs w:val="18"/>
                <w:color w:val="auto"/>
              </w:rPr>
              <w:t>Deposit of Redemption Price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11.6</w:t>
            </w:r>
          </w:p>
        </w:tc>
        <w:tc>
          <w:tcPr>
            <w:tcW w:w="9500" w:type="dxa"/>
            <w:vAlign w:val="bottom"/>
          </w:tcPr>
          <w:p>
            <w:pPr>
              <w:ind w:left="280"/>
              <w:spacing w:after="0"/>
              <w:rPr>
                <w:sz w:val="20"/>
                <w:szCs w:val="20"/>
                <w:color w:val="auto"/>
              </w:rPr>
            </w:pPr>
            <w:r>
              <w:rPr>
                <w:rFonts w:ascii="Arial" w:cs="Arial" w:eastAsia="Arial" w:hAnsi="Arial"/>
                <w:sz w:val="18"/>
                <w:szCs w:val="18"/>
                <w:color w:val="auto"/>
              </w:rPr>
              <w:t>Securities Payable on Redemption Date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0"/>
        </w:trPr>
        <w:tc>
          <w:tcPr>
            <w:tcW w:w="1560" w:type="dxa"/>
            <w:vAlign w:val="bottom"/>
          </w:tcPr>
          <w:p>
            <w:pPr>
              <w:ind w:left="360"/>
              <w:spacing w:after="0"/>
              <w:rPr>
                <w:sz w:val="20"/>
                <w:szCs w:val="20"/>
                <w:color w:val="auto"/>
              </w:rPr>
            </w:pPr>
            <w:r>
              <w:rPr>
                <w:rFonts w:ascii="Arial" w:cs="Arial" w:eastAsia="Arial" w:hAnsi="Arial"/>
                <w:sz w:val="18"/>
                <w:szCs w:val="18"/>
                <w:color w:val="auto"/>
              </w:rPr>
              <w:t>Section 11.7</w:t>
            </w:r>
          </w:p>
        </w:tc>
        <w:tc>
          <w:tcPr>
            <w:tcW w:w="9500" w:type="dxa"/>
            <w:vAlign w:val="bottom"/>
          </w:tcPr>
          <w:p>
            <w:pPr>
              <w:ind w:left="280"/>
              <w:spacing w:after="0"/>
              <w:rPr>
                <w:sz w:val="20"/>
                <w:szCs w:val="20"/>
                <w:color w:val="auto"/>
              </w:rPr>
            </w:pPr>
            <w:r>
              <w:rPr>
                <w:rFonts w:ascii="Arial" w:cs="Arial" w:eastAsia="Arial" w:hAnsi="Arial"/>
                <w:sz w:val="18"/>
                <w:szCs w:val="18"/>
                <w:color w:val="auto"/>
              </w:rPr>
              <w:t>Securities Redeemed in Part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324"/>
        </w:trPr>
        <w:tc>
          <w:tcPr>
            <w:tcW w:w="11060" w:type="dxa"/>
            <w:vAlign w:val="bottom"/>
            <w:gridSpan w:val="2"/>
          </w:tcPr>
          <w:p>
            <w:pPr>
              <w:spacing w:after="0"/>
              <w:rPr>
                <w:sz w:val="20"/>
                <w:szCs w:val="20"/>
                <w:color w:val="auto"/>
              </w:rPr>
            </w:pPr>
            <w:r>
              <w:rPr>
                <w:rFonts w:ascii="Arial" w:cs="Arial" w:eastAsia="Arial" w:hAnsi="Arial"/>
                <w:sz w:val="18"/>
                <w:szCs w:val="18"/>
                <w:color w:val="auto"/>
              </w:rPr>
              <w:t>ARTICLE 12 SINKING FUNDS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310"/>
        </w:trPr>
        <w:tc>
          <w:tcPr>
            <w:tcW w:w="1560" w:type="dxa"/>
            <w:vAlign w:val="bottom"/>
          </w:tcPr>
          <w:p>
            <w:pPr>
              <w:ind w:left="360"/>
              <w:spacing w:after="0"/>
              <w:rPr>
                <w:sz w:val="20"/>
                <w:szCs w:val="20"/>
                <w:color w:val="auto"/>
              </w:rPr>
            </w:pPr>
            <w:r>
              <w:rPr>
                <w:rFonts w:ascii="Arial" w:cs="Arial" w:eastAsia="Arial" w:hAnsi="Arial"/>
                <w:sz w:val="18"/>
                <w:szCs w:val="18"/>
                <w:color w:val="auto"/>
              </w:rPr>
              <w:t>Section 12.1</w:t>
            </w:r>
          </w:p>
        </w:tc>
        <w:tc>
          <w:tcPr>
            <w:tcW w:w="9500" w:type="dxa"/>
            <w:vAlign w:val="bottom"/>
          </w:tcPr>
          <w:p>
            <w:pPr>
              <w:ind w:left="280"/>
              <w:spacing w:after="0"/>
              <w:rPr>
                <w:sz w:val="20"/>
                <w:szCs w:val="20"/>
                <w:color w:val="auto"/>
              </w:rPr>
            </w:pPr>
            <w:r>
              <w:rPr>
                <w:rFonts w:ascii="Arial" w:cs="Arial" w:eastAsia="Arial" w:hAnsi="Arial"/>
                <w:sz w:val="18"/>
                <w:szCs w:val="18"/>
                <w:color w:val="auto"/>
              </w:rPr>
              <w:t>Applicability of Article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12.2</w:t>
            </w:r>
          </w:p>
        </w:tc>
        <w:tc>
          <w:tcPr>
            <w:tcW w:w="9500" w:type="dxa"/>
            <w:vAlign w:val="bottom"/>
          </w:tcPr>
          <w:p>
            <w:pPr>
              <w:ind w:left="280"/>
              <w:spacing w:after="0"/>
              <w:rPr>
                <w:sz w:val="20"/>
                <w:szCs w:val="20"/>
                <w:color w:val="auto"/>
              </w:rPr>
            </w:pPr>
            <w:r>
              <w:rPr>
                <w:rFonts w:ascii="Arial" w:cs="Arial" w:eastAsia="Arial" w:hAnsi="Arial"/>
                <w:sz w:val="18"/>
                <w:szCs w:val="18"/>
                <w:color w:val="auto"/>
              </w:rPr>
              <w:t>Satisfaction of Sinking Fund Payments with Securities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0"/>
        </w:trPr>
        <w:tc>
          <w:tcPr>
            <w:tcW w:w="1560" w:type="dxa"/>
            <w:vAlign w:val="bottom"/>
          </w:tcPr>
          <w:p>
            <w:pPr>
              <w:ind w:left="360"/>
              <w:spacing w:after="0"/>
              <w:rPr>
                <w:sz w:val="20"/>
                <w:szCs w:val="20"/>
                <w:color w:val="auto"/>
              </w:rPr>
            </w:pPr>
            <w:r>
              <w:rPr>
                <w:rFonts w:ascii="Arial" w:cs="Arial" w:eastAsia="Arial" w:hAnsi="Arial"/>
                <w:sz w:val="18"/>
                <w:szCs w:val="18"/>
                <w:color w:val="auto"/>
              </w:rPr>
              <w:t>Section 12.3</w:t>
            </w:r>
          </w:p>
        </w:tc>
        <w:tc>
          <w:tcPr>
            <w:tcW w:w="9500" w:type="dxa"/>
            <w:vAlign w:val="bottom"/>
          </w:tcPr>
          <w:p>
            <w:pPr>
              <w:ind w:left="280"/>
              <w:spacing w:after="0"/>
              <w:rPr>
                <w:sz w:val="20"/>
                <w:szCs w:val="20"/>
                <w:color w:val="auto"/>
              </w:rPr>
            </w:pPr>
            <w:r>
              <w:rPr>
                <w:rFonts w:ascii="Arial" w:cs="Arial" w:eastAsia="Arial" w:hAnsi="Arial"/>
                <w:sz w:val="18"/>
                <w:szCs w:val="18"/>
                <w:color w:val="auto"/>
              </w:rPr>
              <w:t>Redemption of Securities for Sinking Fund</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324"/>
        </w:trPr>
        <w:tc>
          <w:tcPr>
            <w:tcW w:w="11060" w:type="dxa"/>
            <w:vAlign w:val="bottom"/>
            <w:gridSpan w:val="2"/>
          </w:tcPr>
          <w:p>
            <w:pPr>
              <w:spacing w:after="0"/>
              <w:rPr>
                <w:sz w:val="20"/>
                <w:szCs w:val="20"/>
                <w:color w:val="auto"/>
              </w:rPr>
            </w:pPr>
            <w:r>
              <w:rPr>
                <w:rFonts w:ascii="Arial" w:cs="Arial" w:eastAsia="Arial" w:hAnsi="Arial"/>
                <w:sz w:val="18"/>
                <w:szCs w:val="18"/>
                <w:color w:val="auto"/>
              </w:rPr>
              <w:t>ARTICLE 13 DEFEASANCE AND COVENANT DEFEASANCE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310"/>
        </w:trPr>
        <w:tc>
          <w:tcPr>
            <w:tcW w:w="1560" w:type="dxa"/>
            <w:vAlign w:val="bottom"/>
          </w:tcPr>
          <w:p>
            <w:pPr>
              <w:ind w:left="360"/>
              <w:spacing w:after="0"/>
              <w:rPr>
                <w:sz w:val="20"/>
                <w:szCs w:val="20"/>
                <w:color w:val="auto"/>
              </w:rPr>
            </w:pPr>
            <w:r>
              <w:rPr>
                <w:rFonts w:ascii="Arial" w:cs="Arial" w:eastAsia="Arial" w:hAnsi="Arial"/>
                <w:sz w:val="18"/>
                <w:szCs w:val="18"/>
                <w:color w:val="auto"/>
              </w:rPr>
              <w:t>Section 13.1</w:t>
            </w:r>
          </w:p>
        </w:tc>
        <w:tc>
          <w:tcPr>
            <w:tcW w:w="9500" w:type="dxa"/>
            <w:vAlign w:val="bottom"/>
          </w:tcPr>
          <w:p>
            <w:pPr>
              <w:ind w:left="280"/>
              <w:spacing w:after="0"/>
              <w:rPr>
                <w:sz w:val="20"/>
                <w:szCs w:val="20"/>
                <w:color w:val="auto"/>
              </w:rPr>
            </w:pPr>
            <w:r>
              <w:rPr>
                <w:rFonts w:ascii="Arial" w:cs="Arial" w:eastAsia="Arial" w:hAnsi="Arial"/>
                <w:sz w:val="18"/>
                <w:szCs w:val="18"/>
                <w:color w:val="auto"/>
              </w:rPr>
              <w:t>Company’s Option to Effect Defeasance or Covenant Defeasance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13.2</w:t>
            </w:r>
          </w:p>
        </w:tc>
        <w:tc>
          <w:tcPr>
            <w:tcW w:w="9500" w:type="dxa"/>
            <w:vAlign w:val="bottom"/>
          </w:tcPr>
          <w:p>
            <w:pPr>
              <w:ind w:left="280"/>
              <w:spacing w:after="0"/>
              <w:rPr>
                <w:sz w:val="20"/>
                <w:szCs w:val="20"/>
                <w:color w:val="auto"/>
              </w:rPr>
            </w:pPr>
            <w:r>
              <w:rPr>
                <w:rFonts w:ascii="Arial" w:cs="Arial" w:eastAsia="Arial" w:hAnsi="Arial"/>
                <w:sz w:val="18"/>
                <w:szCs w:val="18"/>
                <w:color w:val="auto"/>
              </w:rPr>
              <w:t>Defeasance and Discharge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13.3</w:t>
            </w:r>
          </w:p>
        </w:tc>
        <w:tc>
          <w:tcPr>
            <w:tcW w:w="9500" w:type="dxa"/>
            <w:vAlign w:val="bottom"/>
          </w:tcPr>
          <w:p>
            <w:pPr>
              <w:ind w:left="280"/>
              <w:spacing w:after="0"/>
              <w:rPr>
                <w:sz w:val="20"/>
                <w:szCs w:val="20"/>
                <w:color w:val="auto"/>
              </w:rPr>
            </w:pPr>
            <w:r>
              <w:rPr>
                <w:rFonts w:ascii="Arial" w:cs="Arial" w:eastAsia="Arial" w:hAnsi="Arial"/>
                <w:sz w:val="18"/>
                <w:szCs w:val="18"/>
                <w:color w:val="auto"/>
              </w:rPr>
              <w:t>Covenant Defeasance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13.4</w:t>
            </w:r>
          </w:p>
        </w:tc>
        <w:tc>
          <w:tcPr>
            <w:tcW w:w="9500" w:type="dxa"/>
            <w:vAlign w:val="bottom"/>
          </w:tcPr>
          <w:p>
            <w:pPr>
              <w:ind w:left="280"/>
              <w:spacing w:after="0"/>
              <w:rPr>
                <w:sz w:val="20"/>
                <w:szCs w:val="20"/>
                <w:color w:val="auto"/>
              </w:rPr>
            </w:pPr>
            <w:r>
              <w:rPr>
                <w:rFonts w:ascii="Arial" w:cs="Arial" w:eastAsia="Arial" w:hAnsi="Arial"/>
                <w:sz w:val="18"/>
                <w:szCs w:val="18"/>
                <w:color w:val="auto"/>
              </w:rPr>
              <w:t>Conditions to Defeasance or Covenant Defeasance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13.5</w:t>
            </w:r>
          </w:p>
        </w:tc>
        <w:tc>
          <w:tcPr>
            <w:tcW w:w="9500" w:type="dxa"/>
            <w:vAlign w:val="bottom"/>
          </w:tcPr>
          <w:p>
            <w:pPr>
              <w:ind w:left="280"/>
              <w:spacing w:after="0"/>
              <w:rPr>
                <w:sz w:val="20"/>
                <w:szCs w:val="20"/>
                <w:color w:val="auto"/>
              </w:rPr>
            </w:pPr>
            <w:r>
              <w:rPr>
                <w:rFonts w:ascii="Arial" w:cs="Arial" w:eastAsia="Arial" w:hAnsi="Arial"/>
                <w:sz w:val="18"/>
                <w:szCs w:val="18"/>
                <w:color w:val="auto"/>
                <w:w w:val="95"/>
              </w:rPr>
              <w:t>Deposited Money, U.S. Government Obligations and Foreign Government Obligations to be Held in Trust; Miscellaneous</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9500" w:type="dxa"/>
            <w:vAlign w:val="bottom"/>
          </w:tcPr>
          <w:p>
            <w:pPr>
              <w:ind w:left="460"/>
              <w:spacing w:after="0"/>
              <w:rPr>
                <w:sz w:val="20"/>
                <w:szCs w:val="20"/>
                <w:color w:val="auto"/>
              </w:rPr>
            </w:pPr>
            <w:r>
              <w:rPr>
                <w:rFonts w:ascii="Arial" w:cs="Arial" w:eastAsia="Arial" w:hAnsi="Arial"/>
                <w:sz w:val="18"/>
                <w:szCs w:val="18"/>
                <w:color w:val="auto"/>
              </w:rPr>
              <w:t>Provisions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0"/>
        </w:trPr>
        <w:tc>
          <w:tcPr>
            <w:tcW w:w="1560" w:type="dxa"/>
            <w:vAlign w:val="bottom"/>
          </w:tcPr>
          <w:p>
            <w:pPr>
              <w:ind w:left="360"/>
              <w:spacing w:after="0"/>
              <w:rPr>
                <w:sz w:val="20"/>
                <w:szCs w:val="20"/>
                <w:color w:val="auto"/>
              </w:rPr>
            </w:pPr>
            <w:r>
              <w:rPr>
                <w:rFonts w:ascii="Arial" w:cs="Arial" w:eastAsia="Arial" w:hAnsi="Arial"/>
                <w:sz w:val="18"/>
                <w:szCs w:val="18"/>
                <w:color w:val="auto"/>
              </w:rPr>
              <w:t>Section 13.6</w:t>
            </w:r>
          </w:p>
        </w:tc>
        <w:tc>
          <w:tcPr>
            <w:tcW w:w="9500" w:type="dxa"/>
            <w:vAlign w:val="bottom"/>
          </w:tcPr>
          <w:p>
            <w:pPr>
              <w:ind w:left="280"/>
              <w:spacing w:after="0"/>
              <w:rPr>
                <w:sz w:val="20"/>
                <w:szCs w:val="20"/>
                <w:color w:val="auto"/>
              </w:rPr>
            </w:pPr>
            <w:r>
              <w:rPr>
                <w:rFonts w:ascii="Arial" w:cs="Arial" w:eastAsia="Arial" w:hAnsi="Arial"/>
                <w:sz w:val="18"/>
                <w:szCs w:val="18"/>
                <w:color w:val="auto"/>
              </w:rPr>
              <w:t>Reinstatement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324"/>
        </w:trPr>
        <w:tc>
          <w:tcPr>
            <w:tcW w:w="11060" w:type="dxa"/>
            <w:vAlign w:val="bottom"/>
            <w:gridSpan w:val="2"/>
          </w:tcPr>
          <w:p>
            <w:pPr>
              <w:spacing w:after="0"/>
              <w:rPr>
                <w:sz w:val="20"/>
                <w:szCs w:val="20"/>
                <w:color w:val="auto"/>
              </w:rPr>
            </w:pPr>
            <w:r>
              <w:rPr>
                <w:rFonts w:ascii="Arial" w:cs="Arial" w:eastAsia="Arial" w:hAnsi="Arial"/>
                <w:sz w:val="18"/>
                <w:szCs w:val="18"/>
                <w:color w:val="auto"/>
              </w:rPr>
              <w:t>ARTICLE 14 CONVERSION OF SECURITIES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324"/>
        </w:trPr>
        <w:tc>
          <w:tcPr>
            <w:tcW w:w="1560" w:type="dxa"/>
            <w:vAlign w:val="bottom"/>
          </w:tcPr>
          <w:p>
            <w:pPr>
              <w:ind w:left="360"/>
              <w:spacing w:after="0"/>
              <w:rPr>
                <w:sz w:val="20"/>
                <w:szCs w:val="20"/>
                <w:color w:val="auto"/>
              </w:rPr>
            </w:pPr>
            <w:r>
              <w:rPr>
                <w:rFonts w:ascii="Arial" w:cs="Arial" w:eastAsia="Arial" w:hAnsi="Arial"/>
                <w:sz w:val="18"/>
                <w:szCs w:val="18"/>
                <w:color w:val="auto"/>
              </w:rPr>
              <w:t>Section 14.1</w:t>
            </w:r>
          </w:p>
        </w:tc>
        <w:tc>
          <w:tcPr>
            <w:tcW w:w="9500" w:type="dxa"/>
            <w:vAlign w:val="bottom"/>
          </w:tcPr>
          <w:p>
            <w:pPr>
              <w:ind w:left="280"/>
              <w:spacing w:after="0"/>
              <w:rPr>
                <w:sz w:val="20"/>
                <w:szCs w:val="20"/>
                <w:color w:val="auto"/>
              </w:rPr>
            </w:pPr>
            <w:r>
              <w:rPr>
                <w:rFonts w:ascii="Arial" w:cs="Arial" w:eastAsia="Arial" w:hAnsi="Arial"/>
                <w:sz w:val="18"/>
                <w:szCs w:val="18"/>
                <w:color w:val="auto"/>
              </w:rPr>
              <w:t>Conversion</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365"/>
        </w:trPr>
        <w:tc>
          <w:tcPr>
            <w:tcW w:w="1560" w:type="dxa"/>
            <w:vAlign w:val="bottom"/>
          </w:tcPr>
          <w:p>
            <w:pPr>
              <w:spacing w:after="0"/>
              <w:rPr>
                <w:sz w:val="24"/>
                <w:szCs w:val="24"/>
                <w:color w:val="auto"/>
              </w:rPr>
            </w:pPr>
          </w:p>
        </w:tc>
        <w:tc>
          <w:tcPr>
            <w:tcW w:w="9500" w:type="dxa"/>
            <w:vAlign w:val="bottom"/>
          </w:tcPr>
          <w:p>
            <w:pPr>
              <w:ind w:left="4020"/>
              <w:spacing w:after="0"/>
              <w:rPr>
                <w:sz w:val="20"/>
                <w:szCs w:val="20"/>
                <w:color w:val="auto"/>
              </w:rPr>
            </w:pPr>
            <w:r>
              <w:rPr>
                <w:rFonts w:ascii="Arial" w:cs="Arial" w:eastAsia="Arial" w:hAnsi="Arial"/>
                <w:sz w:val="18"/>
                <w:szCs w:val="18"/>
                <w:color w:val="auto"/>
              </w:rPr>
              <w:t>-iii-</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270" w:right="299" w:bottom="1440" w:gutter="0" w:footer="0" w:header="0"/>
        </w:sectPr>
      </w:pPr>
    </w:p>
    <w:bookmarkStart w:id="46" w:name="page47"/>
    <w:bookmarkEnd w:id="4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9520" w:type="dxa"/>
            <w:vAlign w:val="bottom"/>
          </w:tcPr>
          <w:p>
            <w:pPr>
              <w:ind w:left="4920"/>
              <w:spacing w:after="0"/>
              <w:rPr>
                <w:sz w:val="20"/>
                <w:szCs w:val="20"/>
                <w:color w:val="auto"/>
              </w:rPr>
            </w:pPr>
            <w:r>
              <w:rPr>
                <w:rFonts w:ascii="Arial" w:cs="Arial" w:eastAsia="Arial" w:hAnsi="Arial"/>
                <w:sz w:val="18"/>
                <w:szCs w:val="18"/>
                <w:color w:val="auto"/>
              </w:rPr>
              <w:t>Fluidigm Corporation</w:t>
            </w:r>
          </w:p>
        </w:tc>
        <w:tc>
          <w:tcPr>
            <w:tcW w:w="1720" w:type="dxa"/>
            <w:vAlign w:val="bottom"/>
          </w:tcPr>
          <w:p>
            <w:pPr>
              <w:spacing w:after="0"/>
              <w:rPr>
                <w:sz w:val="20"/>
                <w:szCs w:val="20"/>
                <w:color w:val="auto"/>
              </w:rPr>
            </w:pPr>
          </w:p>
        </w:tc>
      </w:tr>
      <w:tr>
        <w:trPr>
          <w:trHeight w:val="432"/>
        </w:trPr>
        <w:tc>
          <w:tcPr>
            <w:tcW w:w="9520" w:type="dxa"/>
            <w:vAlign w:val="bottom"/>
          </w:tcPr>
          <w:p>
            <w:pPr>
              <w:ind w:left="460"/>
              <w:spacing w:after="0"/>
              <w:rPr>
                <w:sz w:val="20"/>
                <w:szCs w:val="20"/>
                <w:color w:val="auto"/>
              </w:rPr>
            </w:pPr>
            <w:r>
              <w:rPr>
                <w:rFonts w:ascii="Arial" w:cs="Arial" w:eastAsia="Arial" w:hAnsi="Arial"/>
                <w:sz w:val="18"/>
                <w:szCs w:val="18"/>
                <w:color w:val="auto"/>
                <w:w w:val="97"/>
              </w:rPr>
              <w:t>Certain Sections of this Indenture relating to Sections 310 through 318, inclusive, of the Trust Indenture Act of 1939:</w:t>
            </w:r>
          </w:p>
        </w:tc>
        <w:tc>
          <w:tcPr>
            <w:tcW w:w="1720" w:type="dxa"/>
            <w:vAlign w:val="bottom"/>
          </w:tcPr>
          <w:p>
            <w:pPr>
              <w:spacing w:after="0"/>
              <w:rPr>
                <w:sz w:val="24"/>
                <w:szCs w:val="24"/>
                <w:color w:val="auto"/>
              </w:rPr>
            </w:pPr>
          </w:p>
        </w:tc>
      </w:tr>
      <w:tr>
        <w:trPr>
          <w:trHeight w:val="445"/>
        </w:trPr>
        <w:tc>
          <w:tcPr>
            <w:tcW w:w="9520" w:type="dxa"/>
            <w:vAlign w:val="bottom"/>
          </w:tcPr>
          <w:p>
            <w:pPr>
              <w:spacing w:after="0"/>
              <w:rPr>
                <w:sz w:val="20"/>
                <w:szCs w:val="20"/>
                <w:color w:val="auto"/>
              </w:rPr>
            </w:pPr>
            <w:r>
              <w:rPr>
                <w:rFonts w:ascii="Arial" w:cs="Arial" w:eastAsia="Arial" w:hAnsi="Arial"/>
                <w:sz w:val="18"/>
                <w:szCs w:val="18"/>
                <w:color w:val="auto"/>
              </w:rPr>
              <w:t>Section 310(a)(1)</w:t>
            </w:r>
          </w:p>
        </w:tc>
        <w:tc>
          <w:tcPr>
            <w:tcW w:w="1720" w:type="dxa"/>
            <w:vAlign w:val="bottom"/>
          </w:tcPr>
          <w:p>
            <w:pPr>
              <w:ind w:left="620"/>
              <w:spacing w:after="0"/>
              <w:rPr>
                <w:sz w:val="20"/>
                <w:szCs w:val="20"/>
                <w:color w:val="auto"/>
              </w:rPr>
            </w:pPr>
            <w:r>
              <w:rPr>
                <w:rFonts w:ascii="Arial" w:cs="Arial" w:eastAsia="Arial" w:hAnsi="Arial"/>
                <w:sz w:val="18"/>
                <w:szCs w:val="18"/>
                <w:color w:val="auto"/>
              </w:rPr>
              <w:t>6.9</w:t>
            </w:r>
          </w:p>
        </w:tc>
      </w:tr>
      <w:tr>
        <w:trPr>
          <w:trHeight w:val="216"/>
        </w:trPr>
        <w:tc>
          <w:tcPr>
            <w:tcW w:w="9520" w:type="dxa"/>
            <w:vAlign w:val="bottom"/>
          </w:tcPr>
          <w:p>
            <w:pPr>
              <w:ind w:left="1020"/>
              <w:spacing w:after="0"/>
              <w:rPr>
                <w:sz w:val="20"/>
                <w:szCs w:val="20"/>
                <w:color w:val="auto"/>
              </w:rPr>
            </w:pPr>
            <w:r>
              <w:rPr>
                <w:rFonts w:ascii="Arial" w:cs="Arial" w:eastAsia="Arial" w:hAnsi="Arial"/>
                <w:sz w:val="18"/>
                <w:szCs w:val="18"/>
                <w:color w:val="auto"/>
              </w:rPr>
              <w:t>(a)(2)</w:t>
            </w:r>
          </w:p>
        </w:tc>
        <w:tc>
          <w:tcPr>
            <w:tcW w:w="1720" w:type="dxa"/>
            <w:vAlign w:val="bottom"/>
          </w:tcPr>
          <w:p>
            <w:pPr>
              <w:ind w:left="620"/>
              <w:spacing w:after="0"/>
              <w:rPr>
                <w:sz w:val="20"/>
                <w:szCs w:val="20"/>
                <w:color w:val="auto"/>
              </w:rPr>
            </w:pPr>
            <w:r>
              <w:rPr>
                <w:rFonts w:ascii="Arial" w:cs="Arial" w:eastAsia="Arial" w:hAnsi="Arial"/>
                <w:sz w:val="18"/>
                <w:szCs w:val="18"/>
                <w:color w:val="auto"/>
              </w:rPr>
              <w:t>6.9</w:t>
            </w:r>
          </w:p>
        </w:tc>
      </w:tr>
      <w:tr>
        <w:trPr>
          <w:trHeight w:val="216"/>
        </w:trPr>
        <w:tc>
          <w:tcPr>
            <w:tcW w:w="9520" w:type="dxa"/>
            <w:vAlign w:val="bottom"/>
          </w:tcPr>
          <w:p>
            <w:pPr>
              <w:ind w:left="1020"/>
              <w:spacing w:after="0"/>
              <w:rPr>
                <w:sz w:val="20"/>
                <w:szCs w:val="20"/>
                <w:color w:val="auto"/>
              </w:rPr>
            </w:pPr>
            <w:r>
              <w:rPr>
                <w:rFonts w:ascii="Arial" w:cs="Arial" w:eastAsia="Arial" w:hAnsi="Arial"/>
                <w:sz w:val="18"/>
                <w:szCs w:val="18"/>
                <w:color w:val="auto"/>
              </w:rPr>
              <w:t>(a)(3)</w:t>
            </w:r>
          </w:p>
        </w:tc>
        <w:tc>
          <w:tcPr>
            <w:tcW w:w="1720" w:type="dxa"/>
            <w:vAlign w:val="bottom"/>
          </w:tcPr>
          <w:p>
            <w:pPr>
              <w:ind w:left="620"/>
              <w:spacing w:after="0"/>
              <w:rPr>
                <w:sz w:val="20"/>
                <w:szCs w:val="20"/>
                <w:color w:val="auto"/>
              </w:rPr>
            </w:pPr>
            <w:r>
              <w:rPr>
                <w:rFonts w:ascii="Arial" w:cs="Arial" w:eastAsia="Arial" w:hAnsi="Arial"/>
                <w:sz w:val="18"/>
                <w:szCs w:val="18"/>
                <w:color w:val="auto"/>
                <w:w w:val="93"/>
              </w:rPr>
              <w:t>Not Applicable</w:t>
            </w:r>
          </w:p>
        </w:tc>
      </w:tr>
      <w:tr>
        <w:trPr>
          <w:trHeight w:val="216"/>
        </w:trPr>
        <w:tc>
          <w:tcPr>
            <w:tcW w:w="9520" w:type="dxa"/>
            <w:vAlign w:val="bottom"/>
          </w:tcPr>
          <w:p>
            <w:pPr>
              <w:ind w:left="1020"/>
              <w:spacing w:after="0"/>
              <w:rPr>
                <w:sz w:val="20"/>
                <w:szCs w:val="20"/>
                <w:color w:val="auto"/>
              </w:rPr>
            </w:pPr>
            <w:r>
              <w:rPr>
                <w:rFonts w:ascii="Arial" w:cs="Arial" w:eastAsia="Arial" w:hAnsi="Arial"/>
                <w:sz w:val="18"/>
                <w:szCs w:val="18"/>
                <w:color w:val="auto"/>
              </w:rPr>
              <w:t>(a)(4)</w:t>
            </w:r>
          </w:p>
        </w:tc>
        <w:tc>
          <w:tcPr>
            <w:tcW w:w="1720" w:type="dxa"/>
            <w:vAlign w:val="bottom"/>
          </w:tcPr>
          <w:p>
            <w:pPr>
              <w:ind w:left="620"/>
              <w:spacing w:after="0"/>
              <w:rPr>
                <w:sz w:val="20"/>
                <w:szCs w:val="20"/>
                <w:color w:val="auto"/>
              </w:rPr>
            </w:pPr>
            <w:r>
              <w:rPr>
                <w:rFonts w:ascii="Arial" w:cs="Arial" w:eastAsia="Arial" w:hAnsi="Arial"/>
                <w:sz w:val="18"/>
                <w:szCs w:val="18"/>
                <w:color w:val="auto"/>
                <w:w w:val="93"/>
              </w:rPr>
              <w:t>Not Applicable</w:t>
            </w:r>
          </w:p>
        </w:tc>
      </w:tr>
      <w:tr>
        <w:trPr>
          <w:trHeight w:val="216"/>
        </w:trPr>
        <w:tc>
          <w:tcPr>
            <w:tcW w:w="9520" w:type="dxa"/>
            <w:vAlign w:val="bottom"/>
          </w:tcPr>
          <w:p>
            <w:pPr>
              <w:ind w:left="1020"/>
              <w:spacing w:after="0"/>
              <w:rPr>
                <w:sz w:val="20"/>
                <w:szCs w:val="20"/>
                <w:color w:val="auto"/>
              </w:rPr>
            </w:pPr>
            <w:r>
              <w:rPr>
                <w:rFonts w:ascii="Arial" w:cs="Arial" w:eastAsia="Arial" w:hAnsi="Arial"/>
                <w:sz w:val="18"/>
                <w:szCs w:val="18"/>
                <w:color w:val="auto"/>
              </w:rPr>
              <w:t>(b)</w:t>
            </w:r>
          </w:p>
        </w:tc>
        <w:tc>
          <w:tcPr>
            <w:tcW w:w="1720" w:type="dxa"/>
            <w:vAlign w:val="bottom"/>
          </w:tcPr>
          <w:p>
            <w:pPr>
              <w:ind w:left="620"/>
              <w:spacing w:after="0"/>
              <w:rPr>
                <w:sz w:val="20"/>
                <w:szCs w:val="20"/>
                <w:color w:val="auto"/>
              </w:rPr>
            </w:pPr>
            <w:r>
              <w:rPr>
                <w:rFonts w:ascii="Arial" w:cs="Arial" w:eastAsia="Arial" w:hAnsi="Arial"/>
                <w:sz w:val="18"/>
                <w:szCs w:val="18"/>
                <w:color w:val="auto"/>
              </w:rPr>
              <w:t>6.8, 6.10</w:t>
            </w:r>
          </w:p>
        </w:tc>
      </w:tr>
      <w:tr>
        <w:trPr>
          <w:trHeight w:val="216"/>
        </w:trPr>
        <w:tc>
          <w:tcPr>
            <w:tcW w:w="9520" w:type="dxa"/>
            <w:vAlign w:val="bottom"/>
          </w:tcPr>
          <w:p>
            <w:pPr>
              <w:spacing w:after="0"/>
              <w:rPr>
                <w:sz w:val="20"/>
                <w:szCs w:val="20"/>
                <w:color w:val="auto"/>
              </w:rPr>
            </w:pPr>
            <w:r>
              <w:rPr>
                <w:rFonts w:ascii="Arial" w:cs="Arial" w:eastAsia="Arial" w:hAnsi="Arial"/>
                <w:sz w:val="18"/>
                <w:szCs w:val="18"/>
                <w:color w:val="auto"/>
              </w:rPr>
              <w:t>Section 311(a)</w:t>
            </w:r>
          </w:p>
        </w:tc>
        <w:tc>
          <w:tcPr>
            <w:tcW w:w="1720" w:type="dxa"/>
            <w:vAlign w:val="bottom"/>
          </w:tcPr>
          <w:p>
            <w:pPr>
              <w:ind w:left="620"/>
              <w:spacing w:after="0"/>
              <w:rPr>
                <w:sz w:val="20"/>
                <w:szCs w:val="20"/>
                <w:color w:val="auto"/>
              </w:rPr>
            </w:pPr>
            <w:r>
              <w:rPr>
                <w:rFonts w:ascii="Arial" w:cs="Arial" w:eastAsia="Arial" w:hAnsi="Arial"/>
                <w:sz w:val="18"/>
                <w:szCs w:val="18"/>
                <w:color w:val="auto"/>
              </w:rPr>
              <w:t>6.13</w:t>
            </w:r>
          </w:p>
        </w:tc>
      </w:tr>
      <w:tr>
        <w:trPr>
          <w:trHeight w:val="216"/>
        </w:trPr>
        <w:tc>
          <w:tcPr>
            <w:tcW w:w="9520" w:type="dxa"/>
            <w:vAlign w:val="bottom"/>
          </w:tcPr>
          <w:p>
            <w:pPr>
              <w:ind w:left="1020"/>
              <w:spacing w:after="0"/>
              <w:rPr>
                <w:sz w:val="20"/>
                <w:szCs w:val="20"/>
                <w:color w:val="auto"/>
              </w:rPr>
            </w:pPr>
            <w:r>
              <w:rPr>
                <w:rFonts w:ascii="Arial" w:cs="Arial" w:eastAsia="Arial" w:hAnsi="Arial"/>
                <w:sz w:val="18"/>
                <w:szCs w:val="18"/>
                <w:color w:val="auto"/>
              </w:rPr>
              <w:t>(b)</w:t>
            </w:r>
          </w:p>
        </w:tc>
        <w:tc>
          <w:tcPr>
            <w:tcW w:w="1720" w:type="dxa"/>
            <w:vAlign w:val="bottom"/>
          </w:tcPr>
          <w:p>
            <w:pPr>
              <w:ind w:left="620"/>
              <w:spacing w:after="0"/>
              <w:rPr>
                <w:sz w:val="20"/>
                <w:szCs w:val="20"/>
                <w:color w:val="auto"/>
              </w:rPr>
            </w:pPr>
            <w:r>
              <w:rPr>
                <w:rFonts w:ascii="Arial" w:cs="Arial" w:eastAsia="Arial" w:hAnsi="Arial"/>
                <w:sz w:val="18"/>
                <w:szCs w:val="18"/>
                <w:color w:val="auto"/>
              </w:rPr>
              <w:t>6.13</w:t>
            </w:r>
          </w:p>
        </w:tc>
      </w:tr>
      <w:tr>
        <w:trPr>
          <w:trHeight w:val="216"/>
        </w:trPr>
        <w:tc>
          <w:tcPr>
            <w:tcW w:w="9520" w:type="dxa"/>
            <w:vAlign w:val="bottom"/>
          </w:tcPr>
          <w:p>
            <w:pPr>
              <w:spacing w:after="0"/>
              <w:rPr>
                <w:sz w:val="20"/>
                <w:szCs w:val="20"/>
                <w:color w:val="auto"/>
              </w:rPr>
            </w:pPr>
            <w:r>
              <w:rPr>
                <w:rFonts w:ascii="Arial" w:cs="Arial" w:eastAsia="Arial" w:hAnsi="Arial"/>
                <w:sz w:val="18"/>
                <w:szCs w:val="18"/>
                <w:color w:val="auto"/>
              </w:rPr>
              <w:t>Section 312(a)</w:t>
            </w:r>
          </w:p>
        </w:tc>
        <w:tc>
          <w:tcPr>
            <w:tcW w:w="1720" w:type="dxa"/>
            <w:vAlign w:val="bottom"/>
          </w:tcPr>
          <w:p>
            <w:pPr>
              <w:ind w:left="620"/>
              <w:spacing w:after="0"/>
              <w:rPr>
                <w:sz w:val="20"/>
                <w:szCs w:val="20"/>
                <w:color w:val="auto"/>
              </w:rPr>
            </w:pPr>
            <w:r>
              <w:rPr>
                <w:rFonts w:ascii="Arial" w:cs="Arial" w:eastAsia="Arial" w:hAnsi="Arial"/>
                <w:sz w:val="18"/>
                <w:szCs w:val="18"/>
                <w:color w:val="auto"/>
              </w:rPr>
              <w:t>7.1, 7.2</w:t>
            </w:r>
          </w:p>
        </w:tc>
      </w:tr>
      <w:tr>
        <w:trPr>
          <w:trHeight w:val="216"/>
        </w:trPr>
        <w:tc>
          <w:tcPr>
            <w:tcW w:w="9520" w:type="dxa"/>
            <w:vAlign w:val="bottom"/>
          </w:tcPr>
          <w:p>
            <w:pPr>
              <w:ind w:left="1020"/>
              <w:spacing w:after="0"/>
              <w:rPr>
                <w:sz w:val="20"/>
                <w:szCs w:val="20"/>
                <w:color w:val="auto"/>
              </w:rPr>
            </w:pPr>
            <w:r>
              <w:rPr>
                <w:rFonts w:ascii="Arial" w:cs="Arial" w:eastAsia="Arial" w:hAnsi="Arial"/>
                <w:sz w:val="18"/>
                <w:szCs w:val="18"/>
                <w:color w:val="auto"/>
              </w:rPr>
              <w:t>(b)</w:t>
            </w:r>
          </w:p>
        </w:tc>
        <w:tc>
          <w:tcPr>
            <w:tcW w:w="1720" w:type="dxa"/>
            <w:vAlign w:val="bottom"/>
          </w:tcPr>
          <w:p>
            <w:pPr>
              <w:ind w:left="620"/>
              <w:spacing w:after="0"/>
              <w:rPr>
                <w:sz w:val="20"/>
                <w:szCs w:val="20"/>
                <w:color w:val="auto"/>
              </w:rPr>
            </w:pPr>
            <w:r>
              <w:rPr>
                <w:rFonts w:ascii="Arial" w:cs="Arial" w:eastAsia="Arial" w:hAnsi="Arial"/>
                <w:sz w:val="18"/>
                <w:szCs w:val="18"/>
                <w:color w:val="auto"/>
              </w:rPr>
              <w:t>7.2</w:t>
            </w:r>
          </w:p>
        </w:tc>
      </w:tr>
      <w:tr>
        <w:trPr>
          <w:trHeight w:val="216"/>
        </w:trPr>
        <w:tc>
          <w:tcPr>
            <w:tcW w:w="9520" w:type="dxa"/>
            <w:vAlign w:val="bottom"/>
          </w:tcPr>
          <w:p>
            <w:pPr>
              <w:ind w:left="1020"/>
              <w:spacing w:after="0"/>
              <w:rPr>
                <w:sz w:val="20"/>
                <w:szCs w:val="20"/>
                <w:color w:val="auto"/>
              </w:rPr>
            </w:pPr>
            <w:r>
              <w:rPr>
                <w:rFonts w:ascii="Arial" w:cs="Arial" w:eastAsia="Arial" w:hAnsi="Arial"/>
                <w:sz w:val="18"/>
                <w:szCs w:val="18"/>
                <w:color w:val="auto"/>
              </w:rPr>
              <w:t>(c)</w:t>
            </w:r>
          </w:p>
        </w:tc>
        <w:tc>
          <w:tcPr>
            <w:tcW w:w="1720" w:type="dxa"/>
            <w:vAlign w:val="bottom"/>
          </w:tcPr>
          <w:p>
            <w:pPr>
              <w:ind w:left="620"/>
              <w:spacing w:after="0"/>
              <w:rPr>
                <w:sz w:val="20"/>
                <w:szCs w:val="20"/>
                <w:color w:val="auto"/>
              </w:rPr>
            </w:pPr>
            <w:r>
              <w:rPr>
                <w:rFonts w:ascii="Arial" w:cs="Arial" w:eastAsia="Arial" w:hAnsi="Arial"/>
                <w:sz w:val="18"/>
                <w:szCs w:val="18"/>
                <w:color w:val="auto"/>
              </w:rPr>
              <w:t>7.2</w:t>
            </w:r>
          </w:p>
        </w:tc>
      </w:tr>
      <w:tr>
        <w:trPr>
          <w:trHeight w:val="216"/>
        </w:trPr>
        <w:tc>
          <w:tcPr>
            <w:tcW w:w="9520" w:type="dxa"/>
            <w:vAlign w:val="bottom"/>
          </w:tcPr>
          <w:p>
            <w:pPr>
              <w:spacing w:after="0"/>
              <w:rPr>
                <w:sz w:val="20"/>
                <w:szCs w:val="20"/>
                <w:color w:val="auto"/>
              </w:rPr>
            </w:pPr>
            <w:r>
              <w:rPr>
                <w:rFonts w:ascii="Arial" w:cs="Arial" w:eastAsia="Arial" w:hAnsi="Arial"/>
                <w:sz w:val="18"/>
                <w:szCs w:val="18"/>
                <w:color w:val="auto"/>
              </w:rPr>
              <w:t>Section 313(a)</w:t>
            </w:r>
          </w:p>
        </w:tc>
        <w:tc>
          <w:tcPr>
            <w:tcW w:w="1720" w:type="dxa"/>
            <w:vAlign w:val="bottom"/>
          </w:tcPr>
          <w:p>
            <w:pPr>
              <w:ind w:left="620"/>
              <w:spacing w:after="0"/>
              <w:rPr>
                <w:sz w:val="20"/>
                <w:szCs w:val="20"/>
                <w:color w:val="auto"/>
              </w:rPr>
            </w:pPr>
            <w:r>
              <w:rPr>
                <w:rFonts w:ascii="Arial" w:cs="Arial" w:eastAsia="Arial" w:hAnsi="Arial"/>
                <w:sz w:val="18"/>
                <w:szCs w:val="18"/>
                <w:color w:val="auto"/>
              </w:rPr>
              <w:t>7.3</w:t>
            </w:r>
          </w:p>
        </w:tc>
      </w:tr>
      <w:tr>
        <w:trPr>
          <w:trHeight w:val="216"/>
        </w:trPr>
        <w:tc>
          <w:tcPr>
            <w:tcW w:w="9520" w:type="dxa"/>
            <w:vAlign w:val="bottom"/>
          </w:tcPr>
          <w:p>
            <w:pPr>
              <w:ind w:left="1020"/>
              <w:spacing w:after="0"/>
              <w:rPr>
                <w:sz w:val="20"/>
                <w:szCs w:val="20"/>
                <w:color w:val="auto"/>
              </w:rPr>
            </w:pPr>
            <w:r>
              <w:rPr>
                <w:rFonts w:ascii="Arial" w:cs="Arial" w:eastAsia="Arial" w:hAnsi="Arial"/>
                <w:sz w:val="18"/>
                <w:szCs w:val="18"/>
                <w:color w:val="auto"/>
              </w:rPr>
              <w:t>(b)</w:t>
            </w:r>
          </w:p>
        </w:tc>
        <w:tc>
          <w:tcPr>
            <w:tcW w:w="1720" w:type="dxa"/>
            <w:vAlign w:val="bottom"/>
          </w:tcPr>
          <w:p>
            <w:pPr>
              <w:ind w:left="620"/>
              <w:spacing w:after="0"/>
              <w:rPr>
                <w:sz w:val="20"/>
                <w:szCs w:val="20"/>
                <w:color w:val="auto"/>
              </w:rPr>
            </w:pPr>
            <w:r>
              <w:rPr>
                <w:rFonts w:ascii="Arial" w:cs="Arial" w:eastAsia="Arial" w:hAnsi="Arial"/>
                <w:sz w:val="18"/>
                <w:szCs w:val="18"/>
                <w:color w:val="auto"/>
              </w:rPr>
              <w:t>7.3</w:t>
            </w:r>
          </w:p>
        </w:tc>
      </w:tr>
      <w:tr>
        <w:trPr>
          <w:trHeight w:val="216"/>
        </w:trPr>
        <w:tc>
          <w:tcPr>
            <w:tcW w:w="9520" w:type="dxa"/>
            <w:vAlign w:val="bottom"/>
          </w:tcPr>
          <w:p>
            <w:pPr>
              <w:ind w:left="1020"/>
              <w:spacing w:after="0"/>
              <w:rPr>
                <w:sz w:val="20"/>
                <w:szCs w:val="20"/>
                <w:color w:val="auto"/>
              </w:rPr>
            </w:pPr>
            <w:r>
              <w:rPr>
                <w:rFonts w:ascii="Arial" w:cs="Arial" w:eastAsia="Arial" w:hAnsi="Arial"/>
                <w:sz w:val="18"/>
                <w:szCs w:val="18"/>
                <w:color w:val="auto"/>
              </w:rPr>
              <w:t>(c)</w:t>
            </w:r>
          </w:p>
        </w:tc>
        <w:tc>
          <w:tcPr>
            <w:tcW w:w="1720" w:type="dxa"/>
            <w:vAlign w:val="bottom"/>
          </w:tcPr>
          <w:p>
            <w:pPr>
              <w:ind w:left="620"/>
              <w:spacing w:after="0"/>
              <w:rPr>
                <w:sz w:val="20"/>
                <w:szCs w:val="20"/>
                <w:color w:val="auto"/>
              </w:rPr>
            </w:pPr>
            <w:r>
              <w:rPr>
                <w:rFonts w:ascii="Arial" w:cs="Arial" w:eastAsia="Arial" w:hAnsi="Arial"/>
                <w:sz w:val="18"/>
                <w:szCs w:val="18"/>
                <w:color w:val="auto"/>
              </w:rPr>
              <w:t>7.3</w:t>
            </w:r>
          </w:p>
        </w:tc>
      </w:tr>
      <w:tr>
        <w:trPr>
          <w:trHeight w:val="216"/>
        </w:trPr>
        <w:tc>
          <w:tcPr>
            <w:tcW w:w="9520" w:type="dxa"/>
            <w:vAlign w:val="bottom"/>
          </w:tcPr>
          <w:p>
            <w:pPr>
              <w:ind w:left="1020"/>
              <w:spacing w:after="0"/>
              <w:rPr>
                <w:sz w:val="20"/>
                <w:szCs w:val="20"/>
                <w:color w:val="auto"/>
              </w:rPr>
            </w:pPr>
            <w:r>
              <w:rPr>
                <w:rFonts w:ascii="Arial" w:cs="Arial" w:eastAsia="Arial" w:hAnsi="Arial"/>
                <w:sz w:val="18"/>
                <w:szCs w:val="18"/>
                <w:color w:val="auto"/>
              </w:rPr>
              <w:t>(d)</w:t>
            </w:r>
          </w:p>
        </w:tc>
        <w:tc>
          <w:tcPr>
            <w:tcW w:w="1720" w:type="dxa"/>
            <w:vAlign w:val="bottom"/>
          </w:tcPr>
          <w:p>
            <w:pPr>
              <w:ind w:left="620"/>
              <w:spacing w:after="0"/>
              <w:rPr>
                <w:sz w:val="20"/>
                <w:szCs w:val="20"/>
                <w:color w:val="auto"/>
              </w:rPr>
            </w:pPr>
            <w:r>
              <w:rPr>
                <w:rFonts w:ascii="Arial" w:cs="Arial" w:eastAsia="Arial" w:hAnsi="Arial"/>
                <w:sz w:val="18"/>
                <w:szCs w:val="18"/>
                <w:color w:val="auto"/>
              </w:rPr>
              <w:t>7.3</w:t>
            </w:r>
          </w:p>
        </w:tc>
      </w:tr>
      <w:tr>
        <w:trPr>
          <w:trHeight w:val="216"/>
        </w:trPr>
        <w:tc>
          <w:tcPr>
            <w:tcW w:w="9520" w:type="dxa"/>
            <w:vAlign w:val="bottom"/>
          </w:tcPr>
          <w:p>
            <w:pPr>
              <w:spacing w:after="0"/>
              <w:rPr>
                <w:sz w:val="20"/>
                <w:szCs w:val="20"/>
                <w:color w:val="auto"/>
              </w:rPr>
            </w:pPr>
            <w:r>
              <w:rPr>
                <w:rFonts w:ascii="Arial" w:cs="Arial" w:eastAsia="Arial" w:hAnsi="Arial"/>
                <w:sz w:val="18"/>
                <w:szCs w:val="18"/>
                <w:color w:val="auto"/>
              </w:rPr>
              <w:t>Section 314(a)</w:t>
            </w:r>
          </w:p>
        </w:tc>
        <w:tc>
          <w:tcPr>
            <w:tcW w:w="1720" w:type="dxa"/>
            <w:vAlign w:val="bottom"/>
          </w:tcPr>
          <w:p>
            <w:pPr>
              <w:ind w:left="620"/>
              <w:spacing w:after="0"/>
              <w:rPr>
                <w:sz w:val="20"/>
                <w:szCs w:val="20"/>
                <w:color w:val="auto"/>
              </w:rPr>
            </w:pPr>
            <w:r>
              <w:rPr>
                <w:rFonts w:ascii="Arial" w:cs="Arial" w:eastAsia="Arial" w:hAnsi="Arial"/>
                <w:sz w:val="18"/>
                <w:szCs w:val="18"/>
                <w:color w:val="auto"/>
              </w:rPr>
              <w:t>7.4</w:t>
            </w:r>
          </w:p>
        </w:tc>
      </w:tr>
      <w:tr>
        <w:trPr>
          <w:trHeight w:val="216"/>
        </w:trPr>
        <w:tc>
          <w:tcPr>
            <w:tcW w:w="9520" w:type="dxa"/>
            <w:vAlign w:val="bottom"/>
          </w:tcPr>
          <w:p>
            <w:pPr>
              <w:ind w:left="1020"/>
              <w:spacing w:after="0"/>
              <w:rPr>
                <w:sz w:val="20"/>
                <w:szCs w:val="20"/>
                <w:color w:val="auto"/>
              </w:rPr>
            </w:pPr>
            <w:r>
              <w:rPr>
                <w:rFonts w:ascii="Arial" w:cs="Arial" w:eastAsia="Arial" w:hAnsi="Arial"/>
                <w:sz w:val="18"/>
                <w:szCs w:val="18"/>
                <w:color w:val="auto"/>
              </w:rPr>
              <w:t>(a)(4)</w:t>
            </w:r>
          </w:p>
        </w:tc>
        <w:tc>
          <w:tcPr>
            <w:tcW w:w="1720" w:type="dxa"/>
            <w:vAlign w:val="bottom"/>
          </w:tcPr>
          <w:p>
            <w:pPr>
              <w:ind w:left="620"/>
              <w:spacing w:after="0"/>
              <w:rPr>
                <w:sz w:val="20"/>
                <w:szCs w:val="20"/>
                <w:color w:val="auto"/>
              </w:rPr>
            </w:pPr>
            <w:r>
              <w:rPr>
                <w:rFonts w:ascii="Arial" w:cs="Arial" w:eastAsia="Arial" w:hAnsi="Arial"/>
                <w:sz w:val="18"/>
                <w:szCs w:val="18"/>
                <w:color w:val="auto"/>
              </w:rPr>
              <w:t>10.1, 10.4</w:t>
            </w:r>
          </w:p>
        </w:tc>
      </w:tr>
      <w:tr>
        <w:trPr>
          <w:trHeight w:val="216"/>
        </w:trPr>
        <w:tc>
          <w:tcPr>
            <w:tcW w:w="9520" w:type="dxa"/>
            <w:vAlign w:val="bottom"/>
          </w:tcPr>
          <w:p>
            <w:pPr>
              <w:ind w:left="1020"/>
              <w:spacing w:after="0"/>
              <w:rPr>
                <w:sz w:val="20"/>
                <w:szCs w:val="20"/>
                <w:color w:val="auto"/>
              </w:rPr>
            </w:pPr>
            <w:r>
              <w:rPr>
                <w:rFonts w:ascii="Arial" w:cs="Arial" w:eastAsia="Arial" w:hAnsi="Arial"/>
                <w:sz w:val="18"/>
                <w:szCs w:val="18"/>
                <w:color w:val="auto"/>
              </w:rPr>
              <w:t>(b)</w:t>
            </w:r>
          </w:p>
        </w:tc>
        <w:tc>
          <w:tcPr>
            <w:tcW w:w="1720" w:type="dxa"/>
            <w:vAlign w:val="bottom"/>
          </w:tcPr>
          <w:p>
            <w:pPr>
              <w:ind w:left="620"/>
              <w:spacing w:after="0"/>
              <w:rPr>
                <w:sz w:val="20"/>
                <w:szCs w:val="20"/>
                <w:color w:val="auto"/>
              </w:rPr>
            </w:pPr>
            <w:r>
              <w:rPr>
                <w:rFonts w:ascii="Arial" w:cs="Arial" w:eastAsia="Arial" w:hAnsi="Arial"/>
                <w:sz w:val="18"/>
                <w:szCs w:val="18"/>
                <w:color w:val="auto"/>
                <w:w w:val="93"/>
              </w:rPr>
              <w:t>Not Applicable</w:t>
            </w:r>
          </w:p>
        </w:tc>
      </w:tr>
      <w:tr>
        <w:trPr>
          <w:trHeight w:val="216"/>
        </w:trPr>
        <w:tc>
          <w:tcPr>
            <w:tcW w:w="9520" w:type="dxa"/>
            <w:vAlign w:val="bottom"/>
          </w:tcPr>
          <w:p>
            <w:pPr>
              <w:ind w:left="1020"/>
              <w:spacing w:after="0"/>
              <w:rPr>
                <w:sz w:val="20"/>
                <w:szCs w:val="20"/>
                <w:color w:val="auto"/>
              </w:rPr>
            </w:pPr>
            <w:r>
              <w:rPr>
                <w:rFonts w:ascii="Arial" w:cs="Arial" w:eastAsia="Arial" w:hAnsi="Arial"/>
                <w:sz w:val="18"/>
                <w:szCs w:val="18"/>
                <w:color w:val="auto"/>
              </w:rPr>
              <w:t>(c)(1)</w:t>
            </w:r>
          </w:p>
        </w:tc>
        <w:tc>
          <w:tcPr>
            <w:tcW w:w="1720" w:type="dxa"/>
            <w:vAlign w:val="bottom"/>
          </w:tcPr>
          <w:p>
            <w:pPr>
              <w:ind w:left="620"/>
              <w:spacing w:after="0"/>
              <w:rPr>
                <w:sz w:val="20"/>
                <w:szCs w:val="20"/>
                <w:color w:val="auto"/>
              </w:rPr>
            </w:pPr>
            <w:r>
              <w:rPr>
                <w:rFonts w:ascii="Arial" w:cs="Arial" w:eastAsia="Arial" w:hAnsi="Arial"/>
                <w:sz w:val="18"/>
                <w:szCs w:val="18"/>
                <w:color w:val="auto"/>
              </w:rPr>
              <w:t>1.2</w:t>
            </w:r>
          </w:p>
        </w:tc>
      </w:tr>
      <w:tr>
        <w:trPr>
          <w:trHeight w:val="216"/>
        </w:trPr>
        <w:tc>
          <w:tcPr>
            <w:tcW w:w="9520" w:type="dxa"/>
            <w:vAlign w:val="bottom"/>
          </w:tcPr>
          <w:p>
            <w:pPr>
              <w:ind w:left="1020"/>
              <w:spacing w:after="0"/>
              <w:rPr>
                <w:sz w:val="20"/>
                <w:szCs w:val="20"/>
                <w:color w:val="auto"/>
              </w:rPr>
            </w:pPr>
            <w:r>
              <w:rPr>
                <w:rFonts w:ascii="Arial" w:cs="Arial" w:eastAsia="Arial" w:hAnsi="Arial"/>
                <w:sz w:val="18"/>
                <w:szCs w:val="18"/>
                <w:color w:val="auto"/>
              </w:rPr>
              <w:t>(c)(2)</w:t>
            </w:r>
          </w:p>
        </w:tc>
        <w:tc>
          <w:tcPr>
            <w:tcW w:w="1720" w:type="dxa"/>
            <w:vAlign w:val="bottom"/>
          </w:tcPr>
          <w:p>
            <w:pPr>
              <w:ind w:left="620"/>
              <w:spacing w:after="0"/>
              <w:rPr>
                <w:sz w:val="20"/>
                <w:szCs w:val="20"/>
                <w:color w:val="auto"/>
              </w:rPr>
            </w:pPr>
            <w:r>
              <w:rPr>
                <w:rFonts w:ascii="Arial" w:cs="Arial" w:eastAsia="Arial" w:hAnsi="Arial"/>
                <w:sz w:val="18"/>
                <w:szCs w:val="18"/>
                <w:color w:val="auto"/>
              </w:rPr>
              <w:t>1.2</w:t>
            </w:r>
          </w:p>
        </w:tc>
      </w:tr>
      <w:tr>
        <w:trPr>
          <w:trHeight w:val="216"/>
        </w:trPr>
        <w:tc>
          <w:tcPr>
            <w:tcW w:w="9520" w:type="dxa"/>
            <w:vAlign w:val="bottom"/>
          </w:tcPr>
          <w:p>
            <w:pPr>
              <w:ind w:left="1020"/>
              <w:spacing w:after="0"/>
              <w:rPr>
                <w:sz w:val="20"/>
                <w:szCs w:val="20"/>
                <w:color w:val="auto"/>
              </w:rPr>
            </w:pPr>
            <w:r>
              <w:rPr>
                <w:rFonts w:ascii="Arial" w:cs="Arial" w:eastAsia="Arial" w:hAnsi="Arial"/>
                <w:sz w:val="18"/>
                <w:szCs w:val="18"/>
                <w:color w:val="auto"/>
              </w:rPr>
              <w:t>(c)(3)</w:t>
            </w:r>
          </w:p>
        </w:tc>
        <w:tc>
          <w:tcPr>
            <w:tcW w:w="1720" w:type="dxa"/>
            <w:vAlign w:val="bottom"/>
          </w:tcPr>
          <w:p>
            <w:pPr>
              <w:ind w:left="620"/>
              <w:spacing w:after="0"/>
              <w:rPr>
                <w:sz w:val="20"/>
                <w:szCs w:val="20"/>
                <w:color w:val="auto"/>
              </w:rPr>
            </w:pPr>
            <w:r>
              <w:rPr>
                <w:rFonts w:ascii="Arial" w:cs="Arial" w:eastAsia="Arial" w:hAnsi="Arial"/>
                <w:sz w:val="18"/>
                <w:szCs w:val="18"/>
                <w:color w:val="auto"/>
                <w:w w:val="93"/>
              </w:rPr>
              <w:t>Not Applicable</w:t>
            </w:r>
          </w:p>
        </w:tc>
      </w:tr>
      <w:tr>
        <w:trPr>
          <w:trHeight w:val="216"/>
        </w:trPr>
        <w:tc>
          <w:tcPr>
            <w:tcW w:w="9520" w:type="dxa"/>
            <w:vAlign w:val="bottom"/>
          </w:tcPr>
          <w:p>
            <w:pPr>
              <w:ind w:left="1020"/>
              <w:spacing w:after="0"/>
              <w:rPr>
                <w:sz w:val="20"/>
                <w:szCs w:val="20"/>
                <w:color w:val="auto"/>
              </w:rPr>
            </w:pPr>
            <w:r>
              <w:rPr>
                <w:rFonts w:ascii="Arial" w:cs="Arial" w:eastAsia="Arial" w:hAnsi="Arial"/>
                <w:sz w:val="18"/>
                <w:szCs w:val="18"/>
                <w:color w:val="auto"/>
              </w:rPr>
              <w:t>(d)</w:t>
            </w:r>
          </w:p>
        </w:tc>
        <w:tc>
          <w:tcPr>
            <w:tcW w:w="1720" w:type="dxa"/>
            <w:vAlign w:val="bottom"/>
          </w:tcPr>
          <w:p>
            <w:pPr>
              <w:ind w:left="620"/>
              <w:spacing w:after="0"/>
              <w:rPr>
                <w:sz w:val="20"/>
                <w:szCs w:val="20"/>
                <w:color w:val="auto"/>
              </w:rPr>
            </w:pPr>
            <w:r>
              <w:rPr>
                <w:rFonts w:ascii="Arial" w:cs="Arial" w:eastAsia="Arial" w:hAnsi="Arial"/>
                <w:sz w:val="18"/>
                <w:szCs w:val="18"/>
                <w:color w:val="auto"/>
                <w:w w:val="93"/>
              </w:rPr>
              <w:t>Not Applicable</w:t>
            </w:r>
          </w:p>
        </w:tc>
      </w:tr>
      <w:tr>
        <w:trPr>
          <w:trHeight w:val="216"/>
        </w:trPr>
        <w:tc>
          <w:tcPr>
            <w:tcW w:w="9520" w:type="dxa"/>
            <w:vAlign w:val="bottom"/>
          </w:tcPr>
          <w:p>
            <w:pPr>
              <w:ind w:left="1020"/>
              <w:spacing w:after="0"/>
              <w:rPr>
                <w:sz w:val="20"/>
                <w:szCs w:val="20"/>
                <w:color w:val="auto"/>
              </w:rPr>
            </w:pPr>
            <w:r>
              <w:rPr>
                <w:rFonts w:ascii="Arial" w:cs="Arial" w:eastAsia="Arial" w:hAnsi="Arial"/>
                <w:sz w:val="18"/>
                <w:szCs w:val="18"/>
                <w:color w:val="auto"/>
              </w:rPr>
              <w:t>(e)</w:t>
            </w:r>
          </w:p>
        </w:tc>
        <w:tc>
          <w:tcPr>
            <w:tcW w:w="1720" w:type="dxa"/>
            <w:vAlign w:val="bottom"/>
          </w:tcPr>
          <w:p>
            <w:pPr>
              <w:ind w:left="620"/>
              <w:spacing w:after="0"/>
              <w:rPr>
                <w:sz w:val="20"/>
                <w:szCs w:val="20"/>
                <w:color w:val="auto"/>
              </w:rPr>
            </w:pPr>
            <w:r>
              <w:rPr>
                <w:rFonts w:ascii="Arial" w:cs="Arial" w:eastAsia="Arial" w:hAnsi="Arial"/>
                <w:sz w:val="18"/>
                <w:szCs w:val="18"/>
                <w:color w:val="auto"/>
              </w:rPr>
              <w:t>1.2</w:t>
            </w:r>
          </w:p>
        </w:tc>
      </w:tr>
      <w:tr>
        <w:trPr>
          <w:trHeight w:val="216"/>
        </w:trPr>
        <w:tc>
          <w:tcPr>
            <w:tcW w:w="9520" w:type="dxa"/>
            <w:vAlign w:val="bottom"/>
          </w:tcPr>
          <w:p>
            <w:pPr>
              <w:spacing w:after="0"/>
              <w:rPr>
                <w:sz w:val="20"/>
                <w:szCs w:val="20"/>
                <w:color w:val="auto"/>
              </w:rPr>
            </w:pPr>
            <w:r>
              <w:rPr>
                <w:rFonts w:ascii="Arial" w:cs="Arial" w:eastAsia="Arial" w:hAnsi="Arial"/>
                <w:sz w:val="18"/>
                <w:szCs w:val="18"/>
                <w:color w:val="auto"/>
              </w:rPr>
              <w:t>Section 315(a)</w:t>
            </w:r>
          </w:p>
        </w:tc>
        <w:tc>
          <w:tcPr>
            <w:tcW w:w="1720" w:type="dxa"/>
            <w:vAlign w:val="bottom"/>
          </w:tcPr>
          <w:p>
            <w:pPr>
              <w:ind w:left="620"/>
              <w:spacing w:after="0"/>
              <w:rPr>
                <w:sz w:val="20"/>
                <w:szCs w:val="20"/>
                <w:color w:val="auto"/>
              </w:rPr>
            </w:pPr>
            <w:r>
              <w:rPr>
                <w:rFonts w:ascii="Arial" w:cs="Arial" w:eastAsia="Arial" w:hAnsi="Arial"/>
                <w:sz w:val="18"/>
                <w:szCs w:val="18"/>
                <w:color w:val="auto"/>
              </w:rPr>
              <w:t>6.1</w:t>
            </w:r>
          </w:p>
        </w:tc>
      </w:tr>
      <w:tr>
        <w:trPr>
          <w:trHeight w:val="216"/>
        </w:trPr>
        <w:tc>
          <w:tcPr>
            <w:tcW w:w="9520" w:type="dxa"/>
            <w:vAlign w:val="bottom"/>
          </w:tcPr>
          <w:p>
            <w:pPr>
              <w:ind w:left="1020"/>
              <w:spacing w:after="0"/>
              <w:rPr>
                <w:sz w:val="20"/>
                <w:szCs w:val="20"/>
                <w:color w:val="auto"/>
              </w:rPr>
            </w:pPr>
            <w:r>
              <w:rPr>
                <w:rFonts w:ascii="Arial" w:cs="Arial" w:eastAsia="Arial" w:hAnsi="Arial"/>
                <w:sz w:val="18"/>
                <w:szCs w:val="18"/>
                <w:color w:val="auto"/>
              </w:rPr>
              <w:t>(b)</w:t>
            </w:r>
          </w:p>
        </w:tc>
        <w:tc>
          <w:tcPr>
            <w:tcW w:w="1720" w:type="dxa"/>
            <w:vAlign w:val="bottom"/>
          </w:tcPr>
          <w:p>
            <w:pPr>
              <w:ind w:left="620"/>
              <w:spacing w:after="0"/>
              <w:rPr>
                <w:sz w:val="20"/>
                <w:szCs w:val="20"/>
                <w:color w:val="auto"/>
              </w:rPr>
            </w:pPr>
            <w:r>
              <w:rPr>
                <w:rFonts w:ascii="Arial" w:cs="Arial" w:eastAsia="Arial" w:hAnsi="Arial"/>
                <w:sz w:val="18"/>
                <w:szCs w:val="18"/>
                <w:color w:val="auto"/>
              </w:rPr>
              <w:t>6.2</w:t>
            </w:r>
          </w:p>
        </w:tc>
      </w:tr>
      <w:tr>
        <w:trPr>
          <w:trHeight w:val="216"/>
        </w:trPr>
        <w:tc>
          <w:tcPr>
            <w:tcW w:w="9520" w:type="dxa"/>
            <w:vAlign w:val="bottom"/>
          </w:tcPr>
          <w:p>
            <w:pPr>
              <w:ind w:left="1020"/>
              <w:spacing w:after="0"/>
              <w:rPr>
                <w:sz w:val="20"/>
                <w:szCs w:val="20"/>
                <w:color w:val="auto"/>
              </w:rPr>
            </w:pPr>
            <w:r>
              <w:rPr>
                <w:rFonts w:ascii="Arial" w:cs="Arial" w:eastAsia="Arial" w:hAnsi="Arial"/>
                <w:sz w:val="18"/>
                <w:szCs w:val="18"/>
                <w:color w:val="auto"/>
              </w:rPr>
              <w:t>(c)</w:t>
            </w:r>
          </w:p>
        </w:tc>
        <w:tc>
          <w:tcPr>
            <w:tcW w:w="1720" w:type="dxa"/>
            <w:vAlign w:val="bottom"/>
          </w:tcPr>
          <w:p>
            <w:pPr>
              <w:ind w:left="620"/>
              <w:spacing w:after="0"/>
              <w:rPr>
                <w:sz w:val="20"/>
                <w:szCs w:val="20"/>
                <w:color w:val="auto"/>
              </w:rPr>
            </w:pPr>
            <w:r>
              <w:rPr>
                <w:rFonts w:ascii="Arial" w:cs="Arial" w:eastAsia="Arial" w:hAnsi="Arial"/>
                <w:sz w:val="18"/>
                <w:szCs w:val="18"/>
                <w:color w:val="auto"/>
              </w:rPr>
              <w:t>6.1</w:t>
            </w:r>
          </w:p>
        </w:tc>
      </w:tr>
      <w:tr>
        <w:trPr>
          <w:trHeight w:val="216"/>
        </w:trPr>
        <w:tc>
          <w:tcPr>
            <w:tcW w:w="9520" w:type="dxa"/>
            <w:vAlign w:val="bottom"/>
          </w:tcPr>
          <w:p>
            <w:pPr>
              <w:ind w:left="1020"/>
              <w:spacing w:after="0"/>
              <w:rPr>
                <w:sz w:val="20"/>
                <w:szCs w:val="20"/>
                <w:color w:val="auto"/>
              </w:rPr>
            </w:pPr>
            <w:r>
              <w:rPr>
                <w:rFonts w:ascii="Arial" w:cs="Arial" w:eastAsia="Arial" w:hAnsi="Arial"/>
                <w:sz w:val="18"/>
                <w:szCs w:val="18"/>
                <w:color w:val="auto"/>
              </w:rPr>
              <w:t>(d)</w:t>
            </w:r>
          </w:p>
        </w:tc>
        <w:tc>
          <w:tcPr>
            <w:tcW w:w="1720" w:type="dxa"/>
            <w:vAlign w:val="bottom"/>
          </w:tcPr>
          <w:p>
            <w:pPr>
              <w:ind w:left="620"/>
              <w:spacing w:after="0"/>
              <w:rPr>
                <w:sz w:val="20"/>
                <w:szCs w:val="20"/>
                <w:color w:val="auto"/>
              </w:rPr>
            </w:pPr>
            <w:r>
              <w:rPr>
                <w:rFonts w:ascii="Arial" w:cs="Arial" w:eastAsia="Arial" w:hAnsi="Arial"/>
                <w:sz w:val="18"/>
                <w:szCs w:val="18"/>
                <w:color w:val="auto"/>
              </w:rPr>
              <w:t>6.1</w:t>
            </w:r>
          </w:p>
        </w:tc>
      </w:tr>
      <w:tr>
        <w:trPr>
          <w:trHeight w:val="216"/>
        </w:trPr>
        <w:tc>
          <w:tcPr>
            <w:tcW w:w="9520" w:type="dxa"/>
            <w:vAlign w:val="bottom"/>
          </w:tcPr>
          <w:p>
            <w:pPr>
              <w:ind w:left="1020"/>
              <w:spacing w:after="0"/>
              <w:rPr>
                <w:sz w:val="20"/>
                <w:szCs w:val="20"/>
                <w:color w:val="auto"/>
              </w:rPr>
            </w:pPr>
            <w:r>
              <w:rPr>
                <w:rFonts w:ascii="Arial" w:cs="Arial" w:eastAsia="Arial" w:hAnsi="Arial"/>
                <w:sz w:val="18"/>
                <w:szCs w:val="18"/>
                <w:color w:val="auto"/>
              </w:rPr>
              <w:t>(e)</w:t>
            </w:r>
          </w:p>
        </w:tc>
        <w:tc>
          <w:tcPr>
            <w:tcW w:w="1720" w:type="dxa"/>
            <w:vAlign w:val="bottom"/>
          </w:tcPr>
          <w:p>
            <w:pPr>
              <w:ind w:left="620"/>
              <w:spacing w:after="0"/>
              <w:rPr>
                <w:sz w:val="20"/>
                <w:szCs w:val="20"/>
                <w:color w:val="auto"/>
              </w:rPr>
            </w:pPr>
            <w:r>
              <w:rPr>
                <w:rFonts w:ascii="Arial" w:cs="Arial" w:eastAsia="Arial" w:hAnsi="Arial"/>
                <w:sz w:val="18"/>
                <w:szCs w:val="18"/>
                <w:color w:val="auto"/>
              </w:rPr>
              <w:t>5.14</w:t>
            </w:r>
          </w:p>
        </w:tc>
      </w:tr>
      <w:tr>
        <w:trPr>
          <w:trHeight w:val="216"/>
        </w:trPr>
        <w:tc>
          <w:tcPr>
            <w:tcW w:w="9520" w:type="dxa"/>
            <w:vAlign w:val="bottom"/>
          </w:tcPr>
          <w:p>
            <w:pPr>
              <w:spacing w:after="0"/>
              <w:rPr>
                <w:sz w:val="20"/>
                <w:szCs w:val="20"/>
                <w:color w:val="auto"/>
              </w:rPr>
            </w:pPr>
            <w:r>
              <w:rPr>
                <w:rFonts w:ascii="Arial" w:cs="Arial" w:eastAsia="Arial" w:hAnsi="Arial"/>
                <w:sz w:val="18"/>
                <w:szCs w:val="18"/>
                <w:color w:val="auto"/>
              </w:rPr>
              <w:t>Section 316(a)</w:t>
            </w:r>
          </w:p>
        </w:tc>
        <w:tc>
          <w:tcPr>
            <w:tcW w:w="1720" w:type="dxa"/>
            <w:vAlign w:val="bottom"/>
          </w:tcPr>
          <w:p>
            <w:pPr>
              <w:ind w:left="620"/>
              <w:spacing w:after="0"/>
              <w:rPr>
                <w:sz w:val="20"/>
                <w:szCs w:val="20"/>
                <w:color w:val="auto"/>
              </w:rPr>
            </w:pPr>
            <w:r>
              <w:rPr>
                <w:rFonts w:ascii="Arial" w:cs="Arial" w:eastAsia="Arial" w:hAnsi="Arial"/>
                <w:sz w:val="18"/>
                <w:szCs w:val="18"/>
                <w:color w:val="auto"/>
              </w:rPr>
              <w:t>1.1</w:t>
            </w:r>
          </w:p>
        </w:tc>
      </w:tr>
      <w:tr>
        <w:trPr>
          <w:trHeight w:val="216"/>
        </w:trPr>
        <w:tc>
          <w:tcPr>
            <w:tcW w:w="9520" w:type="dxa"/>
            <w:vAlign w:val="bottom"/>
          </w:tcPr>
          <w:p>
            <w:pPr>
              <w:ind w:left="1020"/>
              <w:spacing w:after="0"/>
              <w:rPr>
                <w:sz w:val="20"/>
                <w:szCs w:val="20"/>
                <w:color w:val="auto"/>
              </w:rPr>
            </w:pPr>
            <w:r>
              <w:rPr>
                <w:rFonts w:ascii="Arial" w:cs="Arial" w:eastAsia="Arial" w:hAnsi="Arial"/>
                <w:sz w:val="18"/>
                <w:szCs w:val="18"/>
                <w:color w:val="auto"/>
              </w:rPr>
              <w:t>(a)(1)(A)</w:t>
            </w:r>
          </w:p>
        </w:tc>
        <w:tc>
          <w:tcPr>
            <w:tcW w:w="1720" w:type="dxa"/>
            <w:vAlign w:val="bottom"/>
          </w:tcPr>
          <w:p>
            <w:pPr>
              <w:ind w:left="620"/>
              <w:spacing w:after="0"/>
              <w:rPr>
                <w:sz w:val="20"/>
                <w:szCs w:val="20"/>
                <w:color w:val="auto"/>
              </w:rPr>
            </w:pPr>
            <w:r>
              <w:rPr>
                <w:rFonts w:ascii="Arial" w:cs="Arial" w:eastAsia="Arial" w:hAnsi="Arial"/>
                <w:sz w:val="18"/>
                <w:szCs w:val="18"/>
                <w:color w:val="auto"/>
              </w:rPr>
              <w:t>5.2, 5.12</w:t>
            </w:r>
          </w:p>
        </w:tc>
      </w:tr>
      <w:tr>
        <w:trPr>
          <w:trHeight w:val="216"/>
        </w:trPr>
        <w:tc>
          <w:tcPr>
            <w:tcW w:w="9520" w:type="dxa"/>
            <w:vAlign w:val="bottom"/>
          </w:tcPr>
          <w:p>
            <w:pPr>
              <w:ind w:left="1020"/>
              <w:spacing w:after="0"/>
              <w:rPr>
                <w:sz w:val="20"/>
                <w:szCs w:val="20"/>
                <w:color w:val="auto"/>
              </w:rPr>
            </w:pPr>
            <w:r>
              <w:rPr>
                <w:rFonts w:ascii="Arial" w:cs="Arial" w:eastAsia="Arial" w:hAnsi="Arial"/>
                <w:sz w:val="18"/>
                <w:szCs w:val="18"/>
                <w:color w:val="auto"/>
              </w:rPr>
              <w:t>(a)(1)(B)</w:t>
            </w:r>
          </w:p>
        </w:tc>
        <w:tc>
          <w:tcPr>
            <w:tcW w:w="1720" w:type="dxa"/>
            <w:vAlign w:val="bottom"/>
          </w:tcPr>
          <w:p>
            <w:pPr>
              <w:ind w:left="620"/>
              <w:spacing w:after="0"/>
              <w:rPr>
                <w:sz w:val="20"/>
                <w:szCs w:val="20"/>
                <w:color w:val="auto"/>
              </w:rPr>
            </w:pPr>
            <w:r>
              <w:rPr>
                <w:rFonts w:ascii="Arial" w:cs="Arial" w:eastAsia="Arial" w:hAnsi="Arial"/>
                <w:sz w:val="18"/>
                <w:szCs w:val="18"/>
                <w:color w:val="auto"/>
              </w:rPr>
              <w:t>5.13</w:t>
            </w:r>
          </w:p>
        </w:tc>
      </w:tr>
      <w:tr>
        <w:trPr>
          <w:trHeight w:val="216"/>
        </w:trPr>
        <w:tc>
          <w:tcPr>
            <w:tcW w:w="9520" w:type="dxa"/>
            <w:vAlign w:val="bottom"/>
          </w:tcPr>
          <w:p>
            <w:pPr>
              <w:ind w:left="1020"/>
              <w:spacing w:after="0"/>
              <w:rPr>
                <w:sz w:val="20"/>
                <w:szCs w:val="20"/>
                <w:color w:val="auto"/>
              </w:rPr>
            </w:pPr>
            <w:r>
              <w:rPr>
                <w:rFonts w:ascii="Arial" w:cs="Arial" w:eastAsia="Arial" w:hAnsi="Arial"/>
                <w:sz w:val="18"/>
                <w:szCs w:val="18"/>
                <w:color w:val="auto"/>
              </w:rPr>
              <w:t>(a)(2)</w:t>
            </w:r>
          </w:p>
        </w:tc>
        <w:tc>
          <w:tcPr>
            <w:tcW w:w="1720" w:type="dxa"/>
            <w:vAlign w:val="bottom"/>
          </w:tcPr>
          <w:p>
            <w:pPr>
              <w:ind w:left="620"/>
              <w:spacing w:after="0"/>
              <w:rPr>
                <w:sz w:val="20"/>
                <w:szCs w:val="20"/>
                <w:color w:val="auto"/>
              </w:rPr>
            </w:pPr>
            <w:r>
              <w:rPr>
                <w:rFonts w:ascii="Arial" w:cs="Arial" w:eastAsia="Arial" w:hAnsi="Arial"/>
                <w:sz w:val="18"/>
                <w:szCs w:val="18"/>
                <w:color w:val="auto"/>
                <w:w w:val="93"/>
              </w:rPr>
              <w:t>Not Applicable</w:t>
            </w:r>
          </w:p>
        </w:tc>
      </w:tr>
      <w:tr>
        <w:trPr>
          <w:trHeight w:val="216"/>
        </w:trPr>
        <w:tc>
          <w:tcPr>
            <w:tcW w:w="9520" w:type="dxa"/>
            <w:vAlign w:val="bottom"/>
          </w:tcPr>
          <w:p>
            <w:pPr>
              <w:ind w:left="1020"/>
              <w:spacing w:after="0"/>
              <w:rPr>
                <w:sz w:val="20"/>
                <w:szCs w:val="20"/>
                <w:color w:val="auto"/>
              </w:rPr>
            </w:pPr>
            <w:r>
              <w:rPr>
                <w:rFonts w:ascii="Arial" w:cs="Arial" w:eastAsia="Arial" w:hAnsi="Arial"/>
                <w:sz w:val="18"/>
                <w:szCs w:val="18"/>
                <w:color w:val="auto"/>
              </w:rPr>
              <w:t>(b)</w:t>
            </w:r>
          </w:p>
        </w:tc>
        <w:tc>
          <w:tcPr>
            <w:tcW w:w="1720" w:type="dxa"/>
            <w:vAlign w:val="bottom"/>
          </w:tcPr>
          <w:p>
            <w:pPr>
              <w:ind w:left="620"/>
              <w:spacing w:after="0"/>
              <w:rPr>
                <w:sz w:val="20"/>
                <w:szCs w:val="20"/>
                <w:color w:val="auto"/>
              </w:rPr>
            </w:pPr>
            <w:r>
              <w:rPr>
                <w:rFonts w:ascii="Arial" w:cs="Arial" w:eastAsia="Arial" w:hAnsi="Arial"/>
                <w:sz w:val="18"/>
                <w:szCs w:val="18"/>
                <w:color w:val="auto"/>
              </w:rPr>
              <w:t>5.8</w:t>
            </w:r>
          </w:p>
        </w:tc>
      </w:tr>
      <w:tr>
        <w:trPr>
          <w:trHeight w:val="216"/>
        </w:trPr>
        <w:tc>
          <w:tcPr>
            <w:tcW w:w="9520" w:type="dxa"/>
            <w:vAlign w:val="bottom"/>
          </w:tcPr>
          <w:p>
            <w:pPr>
              <w:ind w:left="1020"/>
              <w:spacing w:after="0"/>
              <w:rPr>
                <w:sz w:val="20"/>
                <w:szCs w:val="20"/>
                <w:color w:val="auto"/>
              </w:rPr>
            </w:pPr>
            <w:r>
              <w:rPr>
                <w:rFonts w:ascii="Arial" w:cs="Arial" w:eastAsia="Arial" w:hAnsi="Arial"/>
                <w:sz w:val="18"/>
                <w:szCs w:val="18"/>
                <w:color w:val="auto"/>
              </w:rPr>
              <w:t>(c)</w:t>
            </w:r>
          </w:p>
        </w:tc>
        <w:tc>
          <w:tcPr>
            <w:tcW w:w="1720" w:type="dxa"/>
            <w:vAlign w:val="bottom"/>
          </w:tcPr>
          <w:p>
            <w:pPr>
              <w:ind w:left="620"/>
              <w:spacing w:after="0"/>
              <w:rPr>
                <w:sz w:val="20"/>
                <w:szCs w:val="20"/>
                <w:color w:val="auto"/>
              </w:rPr>
            </w:pPr>
            <w:r>
              <w:rPr>
                <w:rFonts w:ascii="Arial" w:cs="Arial" w:eastAsia="Arial" w:hAnsi="Arial"/>
                <w:sz w:val="18"/>
                <w:szCs w:val="18"/>
                <w:color w:val="auto"/>
              </w:rPr>
              <w:t>1.4</w:t>
            </w:r>
          </w:p>
        </w:tc>
      </w:tr>
      <w:tr>
        <w:trPr>
          <w:trHeight w:val="216"/>
        </w:trPr>
        <w:tc>
          <w:tcPr>
            <w:tcW w:w="9520" w:type="dxa"/>
            <w:vAlign w:val="bottom"/>
          </w:tcPr>
          <w:p>
            <w:pPr>
              <w:spacing w:after="0"/>
              <w:rPr>
                <w:sz w:val="20"/>
                <w:szCs w:val="20"/>
                <w:color w:val="auto"/>
              </w:rPr>
            </w:pPr>
            <w:r>
              <w:rPr>
                <w:rFonts w:ascii="Arial" w:cs="Arial" w:eastAsia="Arial" w:hAnsi="Arial"/>
                <w:sz w:val="18"/>
                <w:szCs w:val="18"/>
                <w:color w:val="auto"/>
              </w:rPr>
              <w:t>Section 317(a)(1)</w:t>
            </w:r>
          </w:p>
        </w:tc>
        <w:tc>
          <w:tcPr>
            <w:tcW w:w="1720" w:type="dxa"/>
            <w:vAlign w:val="bottom"/>
          </w:tcPr>
          <w:p>
            <w:pPr>
              <w:ind w:left="620"/>
              <w:spacing w:after="0"/>
              <w:rPr>
                <w:sz w:val="20"/>
                <w:szCs w:val="20"/>
                <w:color w:val="auto"/>
              </w:rPr>
            </w:pPr>
            <w:r>
              <w:rPr>
                <w:rFonts w:ascii="Arial" w:cs="Arial" w:eastAsia="Arial" w:hAnsi="Arial"/>
                <w:sz w:val="18"/>
                <w:szCs w:val="18"/>
                <w:color w:val="auto"/>
              </w:rPr>
              <w:t>5.3</w:t>
            </w:r>
          </w:p>
        </w:tc>
      </w:tr>
      <w:tr>
        <w:trPr>
          <w:trHeight w:val="216"/>
        </w:trPr>
        <w:tc>
          <w:tcPr>
            <w:tcW w:w="9520" w:type="dxa"/>
            <w:vAlign w:val="bottom"/>
          </w:tcPr>
          <w:p>
            <w:pPr>
              <w:ind w:left="1020"/>
              <w:spacing w:after="0"/>
              <w:rPr>
                <w:sz w:val="20"/>
                <w:szCs w:val="20"/>
                <w:color w:val="auto"/>
              </w:rPr>
            </w:pPr>
            <w:r>
              <w:rPr>
                <w:rFonts w:ascii="Arial" w:cs="Arial" w:eastAsia="Arial" w:hAnsi="Arial"/>
                <w:sz w:val="18"/>
                <w:szCs w:val="18"/>
                <w:color w:val="auto"/>
              </w:rPr>
              <w:t>(a)(2)</w:t>
            </w:r>
          </w:p>
        </w:tc>
        <w:tc>
          <w:tcPr>
            <w:tcW w:w="1720" w:type="dxa"/>
            <w:vAlign w:val="bottom"/>
          </w:tcPr>
          <w:p>
            <w:pPr>
              <w:ind w:left="620"/>
              <w:spacing w:after="0"/>
              <w:rPr>
                <w:sz w:val="20"/>
                <w:szCs w:val="20"/>
                <w:color w:val="auto"/>
              </w:rPr>
            </w:pPr>
            <w:r>
              <w:rPr>
                <w:rFonts w:ascii="Arial" w:cs="Arial" w:eastAsia="Arial" w:hAnsi="Arial"/>
                <w:sz w:val="18"/>
                <w:szCs w:val="18"/>
                <w:color w:val="auto"/>
              </w:rPr>
              <w:t>5.4</w:t>
            </w:r>
          </w:p>
        </w:tc>
      </w:tr>
      <w:tr>
        <w:trPr>
          <w:trHeight w:val="216"/>
        </w:trPr>
        <w:tc>
          <w:tcPr>
            <w:tcW w:w="9520" w:type="dxa"/>
            <w:vAlign w:val="bottom"/>
          </w:tcPr>
          <w:p>
            <w:pPr>
              <w:ind w:left="1020"/>
              <w:spacing w:after="0"/>
              <w:rPr>
                <w:sz w:val="20"/>
                <w:szCs w:val="20"/>
                <w:color w:val="auto"/>
              </w:rPr>
            </w:pPr>
            <w:r>
              <w:rPr>
                <w:rFonts w:ascii="Arial" w:cs="Arial" w:eastAsia="Arial" w:hAnsi="Arial"/>
                <w:sz w:val="18"/>
                <w:szCs w:val="18"/>
                <w:color w:val="auto"/>
              </w:rPr>
              <w:t>(b)</w:t>
            </w:r>
          </w:p>
        </w:tc>
        <w:tc>
          <w:tcPr>
            <w:tcW w:w="1720" w:type="dxa"/>
            <w:vAlign w:val="bottom"/>
          </w:tcPr>
          <w:p>
            <w:pPr>
              <w:ind w:left="620"/>
              <w:spacing w:after="0"/>
              <w:rPr>
                <w:sz w:val="20"/>
                <w:szCs w:val="20"/>
                <w:color w:val="auto"/>
              </w:rPr>
            </w:pPr>
            <w:r>
              <w:rPr>
                <w:rFonts w:ascii="Arial" w:cs="Arial" w:eastAsia="Arial" w:hAnsi="Arial"/>
                <w:sz w:val="18"/>
                <w:szCs w:val="18"/>
                <w:color w:val="auto"/>
              </w:rPr>
              <w:t>10.3</w:t>
            </w:r>
          </w:p>
        </w:tc>
      </w:tr>
      <w:tr>
        <w:trPr>
          <w:trHeight w:val="230"/>
        </w:trPr>
        <w:tc>
          <w:tcPr>
            <w:tcW w:w="9520" w:type="dxa"/>
            <w:vAlign w:val="bottom"/>
          </w:tcPr>
          <w:p>
            <w:pPr>
              <w:spacing w:after="0"/>
              <w:rPr>
                <w:sz w:val="20"/>
                <w:szCs w:val="20"/>
                <w:color w:val="auto"/>
              </w:rPr>
            </w:pPr>
            <w:r>
              <w:rPr>
                <w:rFonts w:ascii="Arial" w:cs="Arial" w:eastAsia="Arial" w:hAnsi="Arial"/>
                <w:sz w:val="18"/>
                <w:szCs w:val="18"/>
                <w:color w:val="auto"/>
              </w:rPr>
              <w:t>Section 318(a)</w:t>
            </w:r>
          </w:p>
        </w:tc>
        <w:tc>
          <w:tcPr>
            <w:tcW w:w="1720" w:type="dxa"/>
            <w:vAlign w:val="bottom"/>
          </w:tcPr>
          <w:p>
            <w:pPr>
              <w:ind w:left="620"/>
              <w:spacing w:after="0"/>
              <w:rPr>
                <w:sz w:val="20"/>
                <w:szCs w:val="20"/>
                <w:color w:val="auto"/>
              </w:rPr>
            </w:pPr>
            <w:r>
              <w:rPr>
                <w:rFonts w:ascii="Arial" w:cs="Arial" w:eastAsia="Arial" w:hAnsi="Arial"/>
                <w:sz w:val="18"/>
                <w:szCs w:val="18"/>
                <w:color w:val="auto"/>
              </w:rPr>
              <w:t>1.7</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This reconciliation and tie shall not, for any purpose, be deemed to be a part of the Indenture.</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240"/>
          </w:cols>
          <w:pgMar w:left="240" w:top="274" w:right="419" w:bottom="1440" w:gutter="0" w:footer="0" w:header="0"/>
        </w:sectPr>
      </w:pPr>
    </w:p>
    <w:bookmarkStart w:id="47" w:name="page48"/>
    <w:bookmarkEnd w:id="47"/>
    <w:p>
      <w:pPr>
        <w:ind w:firstLine="456"/>
        <w:spacing w:after="0" w:line="276"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INDENTURE</w:t>
      </w:r>
      <w:r>
        <w:rPr>
          <w:rFonts w:ascii="Arial" w:cs="Arial" w:eastAsia="Arial" w:hAnsi="Arial"/>
          <w:sz w:val="17"/>
          <w:szCs w:val="17"/>
          <w:color w:val="auto"/>
        </w:rPr>
        <w:t>, dated as of , 20 , between Fluidigm Corporation, a corporation duly organized and existing under the laws of the State of</w:t>
      </w:r>
      <w:r>
        <w:rPr>
          <w:rFonts w:ascii="Arial" w:cs="Arial" w:eastAsia="Arial" w:hAnsi="Arial"/>
          <w:sz w:val="17"/>
          <w:szCs w:val="17"/>
          <w:b w:val="1"/>
          <w:bCs w:val="1"/>
          <w:color w:val="auto"/>
        </w:rPr>
        <w:t xml:space="preserve"> </w:t>
      </w:r>
      <w:r>
        <w:rPr>
          <w:rFonts w:ascii="Arial" w:cs="Arial" w:eastAsia="Arial" w:hAnsi="Arial"/>
          <w:sz w:val="17"/>
          <w:szCs w:val="17"/>
          <w:color w:val="auto"/>
        </w:rPr>
        <w:t>Delaware (herein called the “Company”), having its principal executive office at 7000 Shoreline Court, Suite 100, South San Francisco, California, 94080 and</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as Trustee (herein called the “Trustee”).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 OF THE COMPANY</w:t>
      </w:r>
    </w:p>
    <w:p>
      <w:pPr>
        <w:spacing w:after="0" w:line="229" w:lineRule="exact"/>
        <w:rPr>
          <w:sz w:val="20"/>
          <w:szCs w:val="20"/>
          <w:color w:val="auto"/>
        </w:rPr>
      </w:pPr>
    </w:p>
    <w:p>
      <w:pPr>
        <w:ind w:right="720" w:firstLine="456"/>
        <w:spacing w:after="0" w:line="342" w:lineRule="auto"/>
        <w:rPr>
          <w:sz w:val="20"/>
          <w:szCs w:val="20"/>
          <w:color w:val="auto"/>
        </w:rPr>
      </w:pPr>
      <w:r>
        <w:rPr>
          <w:rFonts w:ascii="Arial" w:cs="Arial" w:eastAsia="Arial" w:hAnsi="Arial"/>
          <w:sz w:val="16"/>
          <w:szCs w:val="16"/>
          <w:color w:val="auto"/>
        </w:rPr>
        <w:t>The Company has duly authorized the execution and delivery of this Indenture to provide for the issuance from time to time of its unsecured debentures, notes or other evidences of indebtedness (herein called the “Securities”), to be issued in one or more series as provided in this Indenture.</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things necessary to make this Indenture a valid agreement of the Company, in accordance with its terms, have been done.</w:t>
      </w:r>
    </w:p>
    <w:p>
      <w:pPr>
        <w:spacing w:after="0" w:line="225"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The Indenture is subject to, and will be governed by, the provisions of the Trust Indenture Act that are required to be a part of and govern indentures qualified under the Trust Indenture Act.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NOW, THEREFORE, THIS INDENTURE WITNESSETH:</w:t>
      </w:r>
    </w:p>
    <w:p>
      <w:pPr>
        <w:spacing w:after="0" w:line="229"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For and in consideration of the premises and the purchase of the Securities by the Holders thereof, it is mutually covenanted and agreed, for the equal and proportionate benefit of all Holders of the Securities or of series thereof appertaining, as follows: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 AND OTHER PROVISIONS OF GENERAL APPLICATION</w:t>
      </w:r>
    </w:p>
    <w:p>
      <w:pPr>
        <w:spacing w:after="0" w:line="225" w:lineRule="exact"/>
        <w:rPr>
          <w:sz w:val="20"/>
          <w:szCs w:val="20"/>
          <w:color w:val="auto"/>
        </w:rPr>
      </w:pPr>
    </w:p>
    <w:p>
      <w:pPr>
        <w:ind w:left="460"/>
        <w:spacing w:after="0"/>
        <w:tabs>
          <w:tab w:leader="none" w:pos="1460" w:val="left"/>
        </w:tabs>
        <w:rPr>
          <w:sz w:val="20"/>
          <w:szCs w:val="20"/>
          <w:color w:val="auto"/>
        </w:rPr>
      </w:pPr>
      <w:r>
        <w:rPr>
          <w:rFonts w:ascii="Arial" w:cs="Arial" w:eastAsia="Arial" w:hAnsi="Arial"/>
          <w:sz w:val="18"/>
          <w:szCs w:val="18"/>
          <w:b w:val="1"/>
          <w:bCs w:val="1"/>
          <w:color w:val="auto"/>
        </w:rPr>
        <w:t>Section 1.1</w:t>
      </w:r>
      <w:r>
        <w:rPr>
          <w:sz w:val="20"/>
          <w:szCs w:val="20"/>
          <w:color w:val="auto"/>
        </w:rPr>
        <w:tab/>
      </w:r>
      <w:r>
        <w:rPr>
          <w:rFonts w:ascii="Arial" w:cs="Arial" w:eastAsia="Arial" w:hAnsi="Arial"/>
          <w:sz w:val="16"/>
          <w:szCs w:val="16"/>
          <w:b w:val="1"/>
          <w:bCs w:val="1"/>
          <w:color w:val="auto"/>
        </w:rPr>
        <w:t>Definitions</w:t>
      </w:r>
      <w:r>
        <w:rPr>
          <w:rFonts w:ascii="Arial" w:cs="Arial" w:eastAsia="Arial" w:hAnsi="Arial"/>
          <w:sz w:val="16"/>
          <w:szCs w:val="16"/>
          <w:color w:val="auto"/>
        </w:rPr>
        <w:t>. For all purposes of this Indenture, except as otherwise expressly provided or unless the context otherwise requires:</w:t>
      </w:r>
    </w:p>
    <w:p>
      <w:pPr>
        <w:spacing w:after="0" w:line="229" w:lineRule="exact"/>
        <w:rPr>
          <w:sz w:val="20"/>
          <w:szCs w:val="20"/>
          <w:color w:val="auto"/>
        </w:rPr>
      </w:pPr>
    </w:p>
    <w:p>
      <w:pPr>
        <w:ind w:left="1320" w:hanging="399"/>
        <w:spacing w:after="0"/>
        <w:tabs>
          <w:tab w:leader="none" w:pos="13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terms defined in this Article have the meanings assigned to them in this Article and include the plural as well as the singular;</w:t>
      </w:r>
    </w:p>
    <w:p>
      <w:pPr>
        <w:spacing w:after="0" w:line="236" w:lineRule="exact"/>
        <w:rPr>
          <w:rFonts w:ascii="Arial" w:cs="Arial" w:eastAsia="Arial" w:hAnsi="Arial"/>
          <w:sz w:val="17"/>
          <w:szCs w:val="17"/>
          <w:color w:val="auto"/>
        </w:rPr>
      </w:pPr>
    </w:p>
    <w:p>
      <w:pPr>
        <w:ind w:left="1320" w:hanging="399"/>
        <w:spacing w:after="0"/>
        <w:tabs>
          <w:tab w:leader="none" w:pos="13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all other terms used herein which are defined in the Trust Indenture Act, either directly or by reference therein, have the meanings assigned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to them therein;</w:t>
      </w:r>
    </w:p>
    <w:p>
      <w:pPr>
        <w:spacing w:after="0" w:line="210" w:lineRule="exact"/>
        <w:rPr>
          <w:rFonts w:ascii="Arial" w:cs="Arial" w:eastAsia="Arial" w:hAnsi="Arial"/>
          <w:sz w:val="16"/>
          <w:szCs w:val="16"/>
          <w:color w:val="auto"/>
        </w:rPr>
      </w:pPr>
    </w:p>
    <w:p>
      <w:pPr>
        <w:ind w:firstLine="921"/>
        <w:spacing w:after="0" w:line="259" w:lineRule="auto"/>
        <w:tabs>
          <w:tab w:leader="none" w:pos="1303" w:val="left"/>
        </w:tabs>
        <w:numPr>
          <w:ilvl w:val="0"/>
          <w:numId w:val="48"/>
        </w:numPr>
        <w:rPr>
          <w:rFonts w:ascii="Arial" w:cs="Arial" w:eastAsia="Arial" w:hAnsi="Arial"/>
          <w:sz w:val="18"/>
          <w:szCs w:val="18"/>
          <w:color w:val="auto"/>
        </w:rPr>
      </w:pPr>
      <w:r>
        <w:rPr>
          <w:rFonts w:ascii="Arial" w:cs="Arial" w:eastAsia="Arial" w:hAnsi="Arial"/>
          <w:sz w:val="18"/>
          <w:szCs w:val="18"/>
          <w:color w:val="auto"/>
        </w:rPr>
        <w:t>all accounting terms not otherwise defined herein have the meanings assigned to them in accordance with generally accepted accounting principles in the United States of America, and, except as otherwise herein expressly provided, the term “generally accepted accounting principles” with respect to any computation required or permitted hereunder shall mean such accounting principles in the United States of America as are generally accepted at the date of such computation;</w:t>
      </w:r>
    </w:p>
    <w:p>
      <w:pPr>
        <w:spacing w:after="0" w:line="186" w:lineRule="exact"/>
        <w:rPr>
          <w:rFonts w:ascii="Arial" w:cs="Arial" w:eastAsia="Arial" w:hAnsi="Arial"/>
          <w:sz w:val="18"/>
          <w:szCs w:val="18"/>
          <w:color w:val="auto"/>
        </w:rPr>
      </w:pPr>
    </w:p>
    <w:p>
      <w:pPr>
        <w:ind w:left="1320" w:hanging="399"/>
        <w:spacing w:after="0"/>
        <w:tabs>
          <w:tab w:leader="none" w:pos="13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all references to “$” refer to the lawful currency of the United States of America;</w:t>
      </w:r>
    </w:p>
    <w:p>
      <w:pPr>
        <w:sectPr>
          <w:pgSz w:w="11900" w:h="16838" w:orient="portrait"/>
          <w:cols w:equalWidth="0" w:num="1">
            <w:col w:w="11420"/>
          </w:cols>
          <w:pgMar w:left="240" w:top="270" w:right="239" w:bottom="1440" w:gutter="0" w:footer="0" w:header="0"/>
        </w:sectPr>
      </w:pPr>
    </w:p>
    <w:bookmarkStart w:id="48" w:name="page49"/>
    <w:bookmarkEnd w:id="48"/>
    <w:p>
      <w:pPr>
        <w:ind w:right="220" w:firstLine="921"/>
        <w:spacing w:after="0" w:line="277" w:lineRule="auto"/>
        <w:tabs>
          <w:tab w:leader="none" w:pos="1303" w:val="left"/>
        </w:tabs>
        <w:numPr>
          <w:ilvl w:val="0"/>
          <w:numId w:val="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unless the context otherwise requires, any reference to an “Article” or a “Section” refers to an Article or a Section, as the case may be, of this Indenture; and</w:t>
      </w:r>
    </w:p>
    <w:p>
      <w:pPr>
        <w:spacing w:after="0" w:line="170" w:lineRule="exact"/>
        <w:rPr>
          <w:rFonts w:ascii="Arial" w:cs="Arial" w:eastAsia="Arial" w:hAnsi="Arial"/>
          <w:sz w:val="18"/>
          <w:szCs w:val="18"/>
          <w:color w:val="auto"/>
        </w:rPr>
      </w:pPr>
    </w:p>
    <w:p>
      <w:pPr>
        <w:ind w:right="100" w:firstLine="921"/>
        <w:spacing w:after="0" w:line="277" w:lineRule="auto"/>
        <w:tabs>
          <w:tab w:leader="none" w:pos="1303"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words “herein,” “hereof” and “hereunder” and other words of similar import refer to this Indenture as a whole and not to any particular Article, Section or other subdivision.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“Act,” when used with respect to any Holder, has the meaning specified in Section 1.4.</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“Additional Interest” has the meaning specified in Section 5.2(b).</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“Affiliate” of any specified Person means any other Person directly or indirectly controlling or controlled by or under direct or indirect common control with such specified Person.</w:t>
      </w:r>
    </w:p>
    <w:p>
      <w:pPr>
        <w:spacing w:after="0" w:line="170"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“Authenticating Agent” means any Person authorized by the Trustee pursuant to Section 6.14 to act on behalf of the Trustee to authenticate Securities of one or more series.</w:t>
      </w:r>
    </w:p>
    <w:p>
      <w:pPr>
        <w:spacing w:after="0" w:line="170"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“Board of Directors” means either the board of directors of the Company or any duly authorized committee of that board empowered to act for it with respect to this Indenture.</w:t>
      </w:r>
    </w:p>
    <w:p>
      <w:pPr>
        <w:spacing w:after="0" w:line="17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“Board Resolution” means a copy of a resolution certified by the Secretary or an Assistant Secretary of the Company to have been duly adopted by the Board of Directors and to be in full force and effect on the date of such certification, and delivered to the Trustee.</w:t>
      </w:r>
    </w:p>
    <w:p>
      <w:pPr>
        <w:spacing w:after="0" w:line="170"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“Business Day,” when used with respect to any Place of Payment, means each Monday, Tuesday, Wednesday, Thursday and Friday which is not a day on which banking institutions in that Place of Payment are authorized or obligated by law or executive order to close.</w:t>
      </w:r>
    </w:p>
    <w:p>
      <w:pPr>
        <w:spacing w:after="0" w:line="170"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“Commission” means the Securities and Exchange Commission, from time to time constituted, created under the Exchange Act, or, if at any time after the execution of this instrument such Commission is not existing and performing the duties now assigned to it under the Trust Indenture Act, then the body performing such duties at such time.</w:t>
      </w:r>
    </w:p>
    <w:p>
      <w:pPr>
        <w:spacing w:after="0" w:line="181"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 xml:space="preserve">“Common Stock” includes any stock of any class of the Company which has no preference in respect of dividends or of amounts payable in the event of any voluntary or involuntary liquidation, dissolution or winding-up of the Company and which is not subject to redemption by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subject to the provisions of Article 14 and any indenture supplemental hereto, shares issuable upon conversion of Securities shall include only shares of the class designated as Common Stock of the Company at the date of this Indenture or shares of any class or classes resulting from any reclassification or reclassifications thereof and which have no preference in respect of dividends or of amounts payable in the event of any voluntary or involuntary liquidation, dissolution or winding-up of the Company and which are not subject to redemption by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if at any time there shall be more than one such resulting class, the shares of each such class then so issuable shall be substantially in the proportion which the total number of shares of such class resulting from all such reclassifications bears to the total number of shares of all such classes resulting from all such reclassifications.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49" w:name="page50"/>
    <w:bookmarkEnd w:id="49"/>
    <w:p>
      <w:pPr>
        <w:ind w:right="14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“Company” means the corporation named as the “Company” in the first paragraph of this instrument until a successor Person shall have become such pursuant to the applicable provisions of this Indenture, and thereafter “Company” shall mean such successor Person.</w:t>
      </w:r>
    </w:p>
    <w:p>
      <w:pPr>
        <w:spacing w:after="0" w:line="170"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“Company Request” or “Company Order” means a written request or order signed by any two of the following in the name of the Company: the Chairman of the Board, the Vice Chairman of the Board, the Chief Executive Officer, the President or any executive officer, the principal financial officer, the principal accounting officer, the Treasurer, an Assistant Treasurer, the Secretary or an Assistant Secretary of the Company, and delivered to the Trustee.</w:t>
      </w:r>
    </w:p>
    <w:p>
      <w:pPr>
        <w:spacing w:after="0" w:line="14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81" w:lineRule="exact"/>
        <w:rPr>
          <w:sz w:val="20"/>
          <w:szCs w:val="20"/>
          <w:color w:val="auto"/>
        </w:rPr>
      </w:pPr>
    </w:p>
    <w:p>
      <w:pPr>
        <w:ind w:right="200" w:firstLine="456"/>
        <w:spacing w:after="0" w:line="308" w:lineRule="auto"/>
        <w:rPr>
          <w:sz w:val="20"/>
          <w:szCs w:val="20"/>
          <w:color w:val="auto"/>
        </w:rPr>
      </w:pPr>
      <w:r>
        <w:rPr>
          <w:rFonts w:ascii="Arial" w:cs="Arial" w:eastAsia="Arial" w:hAnsi="Arial"/>
          <w:sz w:val="17"/>
          <w:szCs w:val="17"/>
          <w:color w:val="auto"/>
        </w:rPr>
        <w:t>“Corporate Trust Office” means the corporate trust office of the Trustee at , Attention: Corporate Trust Department, or such other office, designated by the Trustee by written notice to the Company, at which at any particular time its corporate trust business shall be administered.</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“corporation” means a corporation, association, company, joint-stock company or business trust.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“Covenant Defeasance” has the meaning specified in Section 13.3.</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“Defaulted Interest” has the meaning specified in Section 3.7.</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“Defeasance” has the meaning specified in Section 13.2.</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“Depositary” means, with respect to Securities of any series issuable in whole or in part in the form of one or more Global Securities, a clearing agency registered under the Exchange Act that is designated to act as Depositary for such Securities as contemplated by Section 3.1.</w:t>
      </w:r>
    </w:p>
    <w:p>
      <w:pPr>
        <w:spacing w:after="0" w:line="170"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“euro” or “euros” means the currency adopted by those nations participating in the third stage of the economic and monetary union provisions of the Treaty on European Union, signed at Maastricht on February 7, 1992.</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“European Economic Area” means the member nations of the European Economic Area pursuant to the Oporto Agreement on the European Economic Area dated May 2, 1992, as amended.</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“European Union” means the member nations of the European Union established by the Treaty of European Union, signed at Maastricht on February 7, 1992, which amended the Treaty of Rome establishing the European Community.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“Event of Default” has the meaning specified in Section 5.1.</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4" w:right="279" w:bottom="1440" w:gutter="0" w:footer="0" w:header="0"/>
        </w:sectPr>
      </w:pPr>
    </w:p>
    <w:bookmarkStart w:id="50" w:name="page51"/>
    <w:bookmarkEnd w:id="50"/>
    <w:p>
      <w:pPr>
        <w:ind w:left="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“Exchange Act” means the Securities Exchange Act of 1934 and any statute successor thereto, in each case as amended from time to time.</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“Expiration Date” has the meaning specified in Section 1.4.</w:t>
      </w:r>
    </w:p>
    <w:p>
      <w:pPr>
        <w:spacing w:after="0" w:line="225"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 xml:space="preserve">“Foreign Government Obligation” means with respect to Securities of any series which are not denominated in the currency of the United States of America (x) any security which is (i) a direct obligation of the government which issued or caused to be issued the currency in which such security is denominated and for the payment of which obligations its full faith and credit is pledged or, with respect to Securities of any series which are denominated in euros, a direct obligation of any member nation of the European Union for the payment of which obligation the full faith and credit of the respective nation is pledged so long as such nation has a credit rating at least equal to that of the highest rated member nation of the European Economic Area, or (ii) an obligation of a Person controlled or supervised by and acting as an agency or instrumentality of a government specified in clause (i) above the payment of which is unconditionally guaranteed as a full faith and credit obligation by the such government, which, in either case (i) or (ii), is not callable or redeemable at the option of the issuer thereof, and (y) any depositary receipt issued by a bank (as defined in Section 3(a)(2) of the Securities Act) as custodian with respect to any Foreign Government Obligation which is specified in clause (x) above and held by such bank for the account of the holder of such depositary receipt, or with respect to any specific payment of principal of or interest on any Foreign Government Obligation which is so specified and held,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(except as required by law) such custodian is not authorized to make any deduction from the amount payable to the holder of such depositary receipt from any amount received by the custodian in respect of the Foreign Government Obligation or the specific payment of principal or interest evidenced by such depositary receipt.</w:t>
      </w:r>
    </w:p>
    <w:p>
      <w:pPr>
        <w:spacing w:after="0" w:line="188" w:lineRule="exact"/>
        <w:rPr>
          <w:sz w:val="20"/>
          <w:szCs w:val="20"/>
          <w:color w:val="auto"/>
        </w:rPr>
      </w:pPr>
    </w:p>
    <w:p>
      <w:pPr>
        <w:jc w:val="both"/>
        <w:ind w:right="180" w:firstLine="456"/>
        <w:spacing w:after="0" w:line="286" w:lineRule="auto"/>
        <w:rPr>
          <w:sz w:val="20"/>
          <w:szCs w:val="20"/>
          <w:color w:val="auto"/>
        </w:rPr>
      </w:pPr>
      <w:r>
        <w:rPr>
          <w:rFonts w:ascii="Arial" w:cs="Arial" w:eastAsia="Arial" w:hAnsi="Arial"/>
          <w:sz w:val="17"/>
          <w:szCs w:val="17"/>
          <w:color w:val="auto"/>
        </w:rPr>
        <w:t>“Global Security” means, with respect to any series of Securities, a Security executed by the Company and delivered by the Trustee to the Depositary or held by the Trustee as custodian for the Depositary pursuant to a safekeeping agreement with the Depositary, all in accordance with the Indenture, which shall be registered in global form without interest coupons in the name of the Depositary or its nominee.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“Holder” means a Person in whose name a Security is registered in the Security Register.</w:t>
      </w:r>
    </w:p>
    <w:p>
      <w:pPr>
        <w:spacing w:after="0" w:line="225" w:lineRule="exact"/>
        <w:rPr>
          <w:sz w:val="20"/>
          <w:szCs w:val="20"/>
          <w:color w:val="auto"/>
        </w:rPr>
      </w:pPr>
    </w:p>
    <w:p>
      <w:pPr>
        <w:ind w:right="240" w:firstLine="456"/>
        <w:spacing w:after="0" w:line="290" w:lineRule="auto"/>
        <w:rPr>
          <w:sz w:val="20"/>
          <w:szCs w:val="20"/>
          <w:color w:val="auto"/>
        </w:rPr>
      </w:pPr>
      <w:r>
        <w:rPr>
          <w:rFonts w:ascii="Arial" w:cs="Arial" w:eastAsia="Arial" w:hAnsi="Arial"/>
          <w:sz w:val="16"/>
          <w:szCs w:val="16"/>
          <w:color w:val="auto"/>
        </w:rPr>
        <w:t xml:space="preserve">“Indenture” means this instrument as originally executed and as it may from time to time be supplemented or amended by one or more indentures supplemental hereto entered into pursuant to the applicable provisions hereof, including, for all purposes of this instrument and any such supplemental indenture, the provisions of the Trust Indenture Act that are deemed to be a part of and govern this instrument and any such supplemental indenture, respectively. The term “Indenture” shall also include the terms of particular series of Securities established as contemplated by Section 3.1;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at any time more than one Person is acting as Trustee under this Indenture due to the appointment of one or more separate Trustees for any one or more separate series of Securities, “Indenture” shall mean, with respect to such series of Securities for which any such Person is Trustee, this instrument as originally executed or as it may from time to time be supplemented or amended by one or more indentures supplemental hereto entered into pursuant to the applicable provisions hereof and shall include the terms of particular series of Securities for</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51" w:name="page52"/>
    <w:bookmarkEnd w:id="51"/>
    <w:p>
      <w:pPr>
        <w:ind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which such Person is Trustee established as contemplated by Section 3.1, exclusive, however, of any provisions or terms which relate solely to other series of Securities for which such Person is not Trustee, regardless of when such terms or provisions were adopted, and exclusive of any provisions or terms adopted by means of one or more indentures supplemental hereto executed and delivered after such Person had become such Trustee, but to which such person, as such Trustee, was not a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in the event that this Indenture is supplemented or amended by one or more indentures supplemental hereto which are only applicable to certain series of Securities, the term “Indenture” for a particular series of Securities shall only include the supplemental indentures applicable thereto.</w:t>
      </w:r>
    </w:p>
    <w:p>
      <w:pPr>
        <w:spacing w:after="0" w:line="193"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“interest,” when used with respect to an Original Issue Discount Security, which by its terms bears interest only at Maturity, means interest payable at Maturity.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“Interest Payment Date,” when used with respect to any Security, means the Stated Maturity of an installment of interest on such Security.</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“Investment Company Act” means the Investment Company Act of 1940 and any statute successor thereto, in each case as amended from time to time.</w:t>
      </w:r>
    </w:p>
    <w:p>
      <w:pPr>
        <w:spacing w:after="0" w:line="248"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“Maturity,” when used with respect to any Security, means the date on which the principal of such Security or an installment of principal becomes due and payable as therein or herein provided, whether at the Stated Maturity or by declaration of acceleration, repurchase at the option of the Holder, upon redemption or otherwise.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“Notice of Default” means a written notice of the kind specified in Section 5.1(4).</w:t>
      </w:r>
    </w:p>
    <w:p>
      <w:pPr>
        <w:spacing w:after="0" w:line="225" w:lineRule="exact"/>
        <w:rPr>
          <w:sz w:val="20"/>
          <w:szCs w:val="20"/>
          <w:color w:val="auto"/>
        </w:rPr>
      </w:pPr>
    </w:p>
    <w:p>
      <w:pPr>
        <w:ind w:right="200" w:firstLine="456"/>
        <w:spacing w:after="0" w:line="279" w:lineRule="auto"/>
        <w:rPr>
          <w:sz w:val="20"/>
          <w:szCs w:val="20"/>
          <w:color w:val="auto"/>
        </w:rPr>
      </w:pPr>
      <w:r>
        <w:rPr>
          <w:rFonts w:ascii="Arial" w:cs="Arial" w:eastAsia="Arial" w:hAnsi="Arial"/>
          <w:sz w:val="17"/>
          <w:szCs w:val="17"/>
          <w:color w:val="auto"/>
        </w:rPr>
        <w:t>“Officers’ Certificate” means a certificate signed by any two of the following in the name of the Company: the Chairman of the Board, a Vice Chairman of the Board, the Chief Executive Officer, the President, any executive officer, the principal financial officer, the principal accounting officer, the Treasurer, an Assistant Treasurer, the Secretary or an Assistant Secretary, of the Company, and delivered to the Trustee. One of the officers signing an Officers’ Certificate given pursuant to Section 10.4 shall be the principal executive or principal financial officer of the Company.</w:t>
      </w:r>
    </w:p>
    <w:p>
      <w:pPr>
        <w:spacing w:after="0" w:line="171"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“Opinion of Counsel” means a written opinion of counsel, who may be counsel for, or an employee of, the Company, and who shall be reasonably acceptable to the Trustee.</w:t>
      </w:r>
    </w:p>
    <w:p>
      <w:pPr>
        <w:spacing w:after="0" w:line="170"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“Original Issue Discount Security” means any Security that provides for an amount less than the principal amount thereof to be due and payable upon a declaration of acceleration of the Maturity thereof pursuant to Section 5.2.</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“Outstanding,” when used with respect to Securities, means, as of the date of determination, all Securities theretofore authenticated and delivered under this Indenture, except</w:t>
      </w:r>
    </w:p>
    <w:p>
      <w:pPr>
        <w:spacing w:after="0" w:line="170" w:lineRule="exact"/>
        <w:rPr>
          <w:sz w:val="20"/>
          <w:szCs w:val="20"/>
          <w:color w:val="auto"/>
        </w:rPr>
      </w:pPr>
    </w:p>
    <w:p>
      <w:pPr>
        <w:ind w:left="5600" w:right="3640" w:hanging="4679"/>
        <w:spacing w:after="0" w:line="449" w:lineRule="auto"/>
        <w:tabs>
          <w:tab w:leader="none" w:pos="1302" w:val="left"/>
        </w:tabs>
        <w:numPr>
          <w:ilvl w:val="0"/>
          <w:numId w:val="50"/>
        </w:numPr>
        <w:rPr>
          <w:rFonts w:ascii="Arial" w:cs="Arial" w:eastAsia="Arial" w:hAnsi="Arial"/>
          <w:sz w:val="18"/>
          <w:szCs w:val="18"/>
          <w:color w:val="auto"/>
        </w:rPr>
      </w:pPr>
      <w:r>
        <w:rPr>
          <w:rFonts w:ascii="Arial" w:cs="Arial" w:eastAsia="Arial" w:hAnsi="Arial"/>
          <w:sz w:val="18"/>
          <w:szCs w:val="18"/>
          <w:color w:val="auto"/>
        </w:rPr>
        <w:t>Securities theretofore canceled by the Trustee or delivered to the Trustee for cancellation; -5-</w:t>
      </w:r>
    </w:p>
    <w:p>
      <w:pPr>
        <w:sectPr>
          <w:pgSz w:w="11900" w:h="16838" w:orient="portrait"/>
          <w:cols w:equalWidth="0" w:num="1">
            <w:col w:w="11400"/>
          </w:cols>
          <w:pgMar w:left="240" w:top="274" w:right="259" w:bottom="1440" w:gutter="0" w:footer="0" w:header="0"/>
        </w:sectPr>
      </w:pPr>
    </w:p>
    <w:bookmarkStart w:id="52" w:name="page53"/>
    <w:bookmarkEnd w:id="52"/>
    <w:p>
      <w:pPr>
        <w:ind w:right="80" w:firstLine="921"/>
        <w:spacing w:after="0" w:line="259" w:lineRule="auto"/>
        <w:tabs>
          <w:tab w:leader="none" w:pos="1303" w:val="left"/>
        </w:tabs>
        <w:numPr>
          <w:ilvl w:val="0"/>
          <w:numId w:val="5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Securities for whose payment or redemption money in the necessary amount has been theretofore deposited with the Trustee or any Paying Agent (other than the Company) in trust or set aside and segregated in trust by the Company (if the Company shall act as its own Paying Agent) for the Holders of such Securities;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Securities are to be redeemed, notice of such redemption has been duly given pursuant to this Indenture or provision therefor satisfactory to the Trustee has been made;</w:t>
      </w:r>
    </w:p>
    <w:p>
      <w:pPr>
        <w:spacing w:after="0" w:line="186" w:lineRule="exact"/>
        <w:rPr>
          <w:rFonts w:ascii="Arial" w:cs="Arial" w:eastAsia="Arial" w:hAnsi="Arial"/>
          <w:sz w:val="18"/>
          <w:szCs w:val="18"/>
          <w:color w:val="auto"/>
        </w:rPr>
      </w:pPr>
    </w:p>
    <w:p>
      <w:pPr>
        <w:ind w:left="1320" w:hanging="399"/>
        <w:spacing w:after="0"/>
        <w:tabs>
          <w:tab w:leader="none" w:pos="13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Securities as to which Defeasance has been effected pursuant to Section 13.2; and</w:t>
      </w:r>
    </w:p>
    <w:p>
      <w:pPr>
        <w:spacing w:after="0" w:line="225" w:lineRule="exact"/>
        <w:rPr>
          <w:rFonts w:ascii="Arial" w:cs="Arial" w:eastAsia="Arial" w:hAnsi="Arial"/>
          <w:sz w:val="18"/>
          <w:szCs w:val="18"/>
          <w:color w:val="auto"/>
        </w:rPr>
      </w:pPr>
    </w:p>
    <w:p>
      <w:pPr>
        <w:ind w:right="80" w:firstLine="921"/>
        <w:spacing w:after="0" w:line="312" w:lineRule="auto"/>
        <w:tabs>
          <w:tab w:leader="none" w:pos="1303" w:val="left"/>
        </w:tabs>
        <w:numPr>
          <w:ilvl w:val="0"/>
          <w:numId w:val="51"/>
        </w:numPr>
        <w:rPr>
          <w:rFonts w:ascii="Arial" w:cs="Arial" w:eastAsia="Arial" w:hAnsi="Arial"/>
          <w:sz w:val="16"/>
          <w:szCs w:val="16"/>
          <w:color w:val="auto"/>
        </w:rPr>
      </w:pPr>
      <w:r>
        <w:rPr>
          <w:rFonts w:ascii="Arial" w:cs="Arial" w:eastAsia="Arial" w:hAnsi="Arial"/>
          <w:sz w:val="16"/>
          <w:szCs w:val="16"/>
          <w:color w:val="auto"/>
        </w:rPr>
        <w:t>Securities which have been paid pursuant to Section 3.6 or in exchange for or in lieu of which other Securities have been authenticated and delivered pursuant to this Indenture, other than any such Securities in respect of which there shall have been presented to the Trustee proof satisfactory to it that such Securities are held by a bona fide purchaser in whose hands such Securities are valid obligations of the Company;</w:t>
      </w:r>
    </w:p>
    <w:p>
      <w:pPr>
        <w:spacing w:after="0" w:line="147" w:lineRule="exact"/>
        <w:rPr>
          <w:sz w:val="20"/>
          <w:szCs w:val="20"/>
          <w:color w:val="auto"/>
        </w:rPr>
      </w:pPr>
    </w:p>
    <w:p>
      <w:pPr>
        <w:spacing w:after="0" w:line="268"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determining whether the Holders of the requisite principal amount of the Outstanding Securities have given, made or taken any request, demand, authorization, direction, notice, consent, waiver or other action hereunder as of any date, (A) the principal amount of an Original Issue Discount Security which shall be deemed to be Outstanding shall be the amount of the principal thereof which would be due and payable as of such date upon acceleration of the Maturity thereof to such date pursuant to Section 5.2, (B) if, as of such date, the principal amount payable at the Stated Maturity of a Security is not determinable, the principal amount of such Security which shall be deemed to be Outstanding shall be the amount as specified or determined as contemplated by Section 3.1, (C) the principal amount of a Security denominated in one or more non-U.S. dollar currencies or currency units which shall be deemed to be Outstanding shall be the U.S. dollar equivalent, determined as of such date in the manner provided as contemplated by Section 3.1, of the principal amount of such Security (or, in the case of a Security described in clause (A) or (B) above, of the amount determined as provided in such clause), and (D) Securities owned by the Company or any other obligor upon the Securities or any Affiliate of the Company or of such other obligor shall be disregarded and deemed not to be Outstanding, except that, in determining whether the Trustee shall be protected in relying upon any such request, demand, authorization, direction, notice, consent, waiver or other action, only Securities which the Trustee knows to be so owned shall be so disregarded. Securities so owned which have been pledged in good faith may be regarded as Outstanding if the pledgee establishes to the satisfaction of the Trustee the pledgee’s right so to act with respect to such Securities and that the pledgee is not the Company or any other obligor upon the Securities or any Affiliate of the Company or of such other obligor.</w:t>
      </w:r>
    </w:p>
    <w:p>
      <w:pPr>
        <w:spacing w:after="0" w:line="185"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“Paying Agent” means any Person authorized by the Company to pay the principal of or any premium or interest on any Securities on behalf of the Company.</w:t>
      </w:r>
    </w:p>
    <w:p>
      <w:pPr>
        <w:spacing w:after="0" w:line="170"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“Person” means any individual, corporation, limited liability company, partnership, joint venture, trust, unincorporated organization or government or any agency or political subdivision thereof.</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53" w:name="page54"/>
    <w:bookmarkEnd w:id="53"/>
    <w:p>
      <w:pPr>
        <w:ind w:right="42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“Place of Payment,” when used with respect to the Securities of any series, means the place or places where the principal of and any premium and interest on the Securities of that series are payable as specified as contemplated by Section 3.1.</w:t>
      </w:r>
    </w:p>
    <w:p>
      <w:pPr>
        <w:spacing w:after="0" w:line="170"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“Predecessor Security” of any particular Security means every previous Security evidencing all or a portion of the same debt as that evidenced by such particular Security; and, for the purposes of this definition, any Security authenticated and delivered under Section 3.6 in exchange for or in lieu of a mutilated, destroyed, lost or stolen Security shall be deemed to evidence the same debt as the mutilated, destroyed, lost or stolen Security.</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“Prospectus” means the prospectus (including any prospectus supplement) used with respect to the offer and sale of the Securities of any series.</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“Record Date” means any Regular Record Date or Special Record Date.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“Redemption Date,” when used with respect to any Security to be redeemed, means the date fixed for such redemption by or pursuant to this Indenture.</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“Redemption Price,” when used with respect to any Security to be redeemed, means the price at which it is to be redeemed pursuant to this Indenture.</w:t>
      </w:r>
    </w:p>
    <w:p>
      <w:pPr>
        <w:spacing w:after="0" w:line="248"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“Regular Record Date” for the interest payable on any Interest Payment Date on the Securities of any series means the date specified for that purpose as contemplated by Section 3.1.</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“Reporting Default” has the meaning specified in Section 5.2(b).</w:t>
      </w:r>
    </w:p>
    <w:p>
      <w:pPr>
        <w:spacing w:after="0" w:line="225" w:lineRule="exact"/>
        <w:rPr>
          <w:sz w:val="20"/>
          <w:szCs w:val="20"/>
          <w:color w:val="auto"/>
        </w:rPr>
      </w:pPr>
    </w:p>
    <w:p>
      <w:pPr>
        <w:ind w:right="740" w:firstLine="456"/>
        <w:spacing w:after="0" w:line="277" w:lineRule="auto"/>
        <w:rPr>
          <w:sz w:val="20"/>
          <w:szCs w:val="20"/>
          <w:color w:val="auto"/>
        </w:rPr>
      </w:pPr>
      <w:r>
        <w:rPr>
          <w:rFonts w:ascii="Arial" w:cs="Arial" w:eastAsia="Arial" w:hAnsi="Arial"/>
          <w:sz w:val="18"/>
          <w:szCs w:val="18"/>
          <w:color w:val="auto"/>
        </w:rPr>
        <w:t>“Responsible Officer” means, when used with respect to the Trustee, an officer of the Trustee in the Corporate Trust Office assigned and duly authorized by the Trustee to administer its corporate trust matters.</w:t>
      </w:r>
    </w:p>
    <w:p>
      <w:pPr>
        <w:spacing w:after="0" w:line="170"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“Securities” has the meaning stated in the first recital of this Indenture and more particularly means any Securities authenticated and delivered under this Indenture.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“Securities Act” means the Securities Act of 1933 and any statute successor thereto, in each case as amended from time to time.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“Security Register” and “Security Registrar” have the respective meanings specified in Section 3.5.</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“Special Record Date” for the payment of any Defaulted Interest means a date fixed by the Trustee pursuant to Section 3.7.</w:t>
      </w:r>
    </w:p>
    <w:p>
      <w:pPr>
        <w:spacing w:after="0" w:line="225" w:lineRule="exact"/>
        <w:rPr>
          <w:sz w:val="20"/>
          <w:szCs w:val="20"/>
          <w:color w:val="auto"/>
        </w:rPr>
      </w:pPr>
    </w:p>
    <w:p>
      <w:pPr>
        <w:ind w:right="200" w:firstLine="456"/>
        <w:spacing w:after="0" w:line="308" w:lineRule="auto"/>
        <w:rPr>
          <w:sz w:val="20"/>
          <w:szCs w:val="20"/>
          <w:color w:val="auto"/>
        </w:rPr>
      </w:pPr>
      <w:r>
        <w:rPr>
          <w:rFonts w:ascii="Arial" w:cs="Arial" w:eastAsia="Arial" w:hAnsi="Arial"/>
          <w:sz w:val="17"/>
          <w:szCs w:val="17"/>
          <w:color w:val="auto"/>
        </w:rPr>
        <w:t>“Stated Maturity,” when used with respect to any Security or any installment of principal thereof or interest thereon, means the date specified in such Security as the fixed date on which the principal of such Security or such installment of principal or interest is due and payable.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54" w:name="page55"/>
    <w:bookmarkEnd w:id="54"/>
    <w:p>
      <w:pPr>
        <w:ind w:right="20"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“Subsidiary” means a Person of which at least a majority of the outstanding voting stock having the power to elect a majority of the board of directors of such Person (in the case of a corporation) is, or of which at least a majority of the equity interests (in the case of a Person which is not a corporation) are, at the time owned, directly or indirectly, by the Company or by one or more other Subsidiaries, or by the Company and one or more other Subsidiaries. For the purposes of this definition, “voting stock” means stock or similar interests to the Company which ordinarily has or have voting power for the election of directors, or persons performing similar functions, whether at all times or only so long as no senior class of stock or other interests has or have such voting power by reason of any contingency.</w:t>
      </w:r>
    </w:p>
    <w:p>
      <w:pPr>
        <w:spacing w:after="0" w:line="193"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 xml:space="preserve">“Trust Indenture Act” means the Trust Indenture Act of 1939 as in force at the date as of which this instrument was executed;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event the Trust Indenture Act of 1939 is amended after such date, “Trust Indenture Act” means, to the extent required by any such amendment, the Trust Indenture Act of 1939 as so amended.</w:t>
      </w:r>
    </w:p>
    <w:p>
      <w:pPr>
        <w:spacing w:after="0" w:line="18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“Trustee” means the Person named as the “Trustee” in the first paragraph of this instrument until a successor Trustee shall have become such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w:t>
      </w:r>
    </w:p>
    <w:p>
      <w:pPr>
        <w:spacing w:after="0" w:line="18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“U.S. Government Obligation” means (x) any security which is (i) a direct obligation of the United States of America for the payment of which the full faith and credit of the United States of America is pledged or (ii) an obligation of a Person controlled or supervised by and acting as an agency or instrumentality of the United States of America the payment of which is unconditionally guaranteed as a full faith and credit obligation by the United States of America, which, in either case (i) or (ii), is not callable or redeemable at the option of the issuer thereof, and (y) any depositary receipt issued by a bank (as defined in Section 3(a)(2) of the Securities Act) as custodian with respect to any U.S. Government Obligation which is specified in clause (x) above and held by such bank for the account of the holder of such depositary receipt, or with respect to any specific payment of principal of or interest on any U.S. Government Obligation which is so specified and held,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(except as required by law) such custodian is not authorized to make any deduction from the amount payable to the holder of such depositary receipt from any amount received by the custodian in respect of the U.S. Government Obligation or the specific payment of principal or interest evidenced by such depositary receipt.</w:t>
      </w:r>
    </w:p>
    <w:p>
      <w:pPr>
        <w:spacing w:after="0" w:line="178" w:lineRule="exact"/>
        <w:rPr>
          <w:sz w:val="20"/>
          <w:szCs w:val="20"/>
          <w:color w:val="auto"/>
        </w:rPr>
      </w:pPr>
    </w:p>
    <w:p>
      <w:pPr>
        <w:ind w:firstLine="456"/>
        <w:spacing w:after="0" w:line="303" w:lineRule="auto"/>
        <w:rPr>
          <w:sz w:val="20"/>
          <w:szCs w:val="20"/>
          <w:color w:val="auto"/>
        </w:rPr>
      </w:pPr>
      <w:r>
        <w:rPr>
          <w:rFonts w:ascii="Arial" w:cs="Arial" w:eastAsia="Arial" w:hAnsi="Arial"/>
          <w:sz w:val="16"/>
          <w:szCs w:val="16"/>
          <w:b w:val="1"/>
          <w:bCs w:val="1"/>
          <w:color w:val="auto"/>
        </w:rPr>
        <w:t>Section 1.2 Compliance Certificates and Opinions</w:t>
      </w:r>
      <w:r>
        <w:rPr>
          <w:rFonts w:ascii="Arial" w:cs="Arial" w:eastAsia="Arial" w:hAnsi="Arial"/>
          <w:sz w:val="16"/>
          <w:szCs w:val="16"/>
          <w:color w:val="auto"/>
        </w:rPr>
        <w:t>. Upon any application or request by the Company to the Trustee to take any action under any</w:t>
      </w:r>
      <w:r>
        <w:rPr>
          <w:rFonts w:ascii="Arial" w:cs="Arial" w:eastAsia="Arial" w:hAnsi="Arial"/>
          <w:sz w:val="16"/>
          <w:szCs w:val="16"/>
          <w:b w:val="1"/>
          <w:bCs w:val="1"/>
          <w:color w:val="auto"/>
        </w:rPr>
        <w:t xml:space="preserve"> </w:t>
      </w:r>
      <w:r>
        <w:rPr>
          <w:rFonts w:ascii="Arial" w:cs="Arial" w:eastAsia="Arial" w:hAnsi="Arial"/>
          <w:sz w:val="16"/>
          <w:szCs w:val="16"/>
          <w:color w:val="auto"/>
        </w:rPr>
        <w:t>provision of this Indenture, the Company shall furnish to the Trustee such certificates and opinions as may be required under the Trust Indenture Act. Each such certificate or opinion shall be given in the form of an Officers’ Certificate, if to be given by an officer of the Company, or an Opinion of Counsel, if to be given by counsel, and shall comply with the requirements of the Trust Indenture Act and any other requirements set forth in this Indenture.</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Every certificate or opinion with respect to compliance with a condition or covenant provided for in this Indenture shall include,</w:t>
      </w:r>
    </w:p>
    <w:p>
      <w:pPr>
        <w:spacing w:after="0" w:line="15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55" w:name="page56"/>
    <w:bookmarkEnd w:id="55"/>
    <w:p>
      <w:pPr>
        <w:ind w:left="920"/>
        <w:spacing w:after="0"/>
        <w:tabs>
          <w:tab w:leader="none" w:pos="13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w:t>
      </w:r>
      <w:r>
        <w:rPr>
          <w:sz w:val="20"/>
          <w:szCs w:val="20"/>
          <w:color w:val="auto"/>
        </w:rPr>
        <w:tab/>
      </w:r>
      <w:r>
        <w:rPr>
          <w:rFonts w:ascii="Arial" w:cs="Arial" w:eastAsia="Arial" w:hAnsi="Arial"/>
          <w:sz w:val="16"/>
          <w:szCs w:val="16"/>
          <w:color w:val="auto"/>
        </w:rPr>
        <w:t>a statement that each individual signing such certificate or opinion has read such covenant or condition and the definitions herein relating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thereto;</w:t>
      </w:r>
    </w:p>
    <w:p>
      <w:pPr>
        <w:spacing w:after="0" w:line="211" w:lineRule="exact"/>
        <w:rPr>
          <w:sz w:val="20"/>
          <w:szCs w:val="20"/>
          <w:color w:val="auto"/>
        </w:rPr>
      </w:pPr>
    </w:p>
    <w:p>
      <w:pPr>
        <w:ind w:right="320" w:firstLine="921"/>
        <w:spacing w:after="0" w:line="277" w:lineRule="auto"/>
        <w:tabs>
          <w:tab w:leader="none" w:pos="1303"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170" w:lineRule="exact"/>
        <w:rPr>
          <w:rFonts w:ascii="Arial" w:cs="Arial" w:eastAsia="Arial" w:hAnsi="Arial"/>
          <w:sz w:val="18"/>
          <w:szCs w:val="18"/>
          <w:color w:val="auto"/>
        </w:rPr>
      </w:pPr>
    </w:p>
    <w:p>
      <w:pPr>
        <w:ind w:right="100" w:firstLine="921"/>
        <w:spacing w:after="0" w:line="277" w:lineRule="auto"/>
        <w:tabs>
          <w:tab w:leader="none" w:pos="1303"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statement that, in the opinion of each such individual, he or she has made such examination or investigation as is necessary to enable him or her to express an informed opinion as to whether or not such covenant or condition has been complied with; and</w:t>
      </w:r>
    </w:p>
    <w:p>
      <w:pPr>
        <w:spacing w:after="0" w:line="170" w:lineRule="exact"/>
        <w:rPr>
          <w:rFonts w:ascii="Arial" w:cs="Arial" w:eastAsia="Arial" w:hAnsi="Arial"/>
          <w:sz w:val="18"/>
          <w:szCs w:val="18"/>
          <w:color w:val="auto"/>
        </w:rPr>
      </w:pPr>
    </w:p>
    <w:p>
      <w:pPr>
        <w:ind w:left="1320" w:hanging="399"/>
        <w:spacing w:after="0"/>
        <w:tabs>
          <w:tab w:leader="none" w:pos="13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statement as to whether, in the opinion of each such individual, such condition or covenant has been complied with.</w:t>
      </w:r>
    </w:p>
    <w:p>
      <w:pPr>
        <w:spacing w:after="0" w:line="221" w:lineRule="exact"/>
        <w:rPr>
          <w:sz w:val="20"/>
          <w:szCs w:val="20"/>
          <w:color w:val="auto"/>
        </w:rPr>
      </w:pPr>
    </w:p>
    <w:p>
      <w:pPr>
        <w:ind w:firstLine="456"/>
        <w:spacing w:after="0" w:line="281" w:lineRule="auto"/>
        <w:rPr>
          <w:sz w:val="20"/>
          <w:szCs w:val="20"/>
          <w:color w:val="auto"/>
        </w:rPr>
      </w:pPr>
      <w:r>
        <w:rPr>
          <w:rFonts w:ascii="Arial" w:cs="Arial" w:eastAsia="Arial" w:hAnsi="Arial"/>
          <w:sz w:val="17"/>
          <w:szCs w:val="17"/>
          <w:b w:val="1"/>
          <w:bCs w:val="1"/>
          <w:color w:val="auto"/>
        </w:rPr>
        <w:t>Section 1.3 Form of Documents Delivered to Trustee</w:t>
      </w:r>
      <w:r>
        <w:rPr>
          <w:rFonts w:ascii="Arial" w:cs="Arial" w:eastAsia="Arial" w:hAnsi="Arial"/>
          <w:sz w:val="17"/>
          <w:szCs w:val="17"/>
          <w:color w:val="auto"/>
        </w:rPr>
        <w:t>. In any case where several matters are required to be certified by, or covered by an opinion of,</w:t>
      </w:r>
      <w:r>
        <w:rPr>
          <w:rFonts w:ascii="Arial" w:cs="Arial" w:eastAsia="Arial" w:hAnsi="Arial"/>
          <w:sz w:val="17"/>
          <w:szCs w:val="17"/>
          <w:b w:val="1"/>
          <w:bCs w:val="1"/>
          <w:color w:val="auto"/>
        </w:rPr>
        <w:t xml:space="preserve"> </w:t>
      </w:r>
      <w:r>
        <w:rPr>
          <w:rFonts w:ascii="Arial" w:cs="Arial" w:eastAsia="Arial" w:hAnsi="Arial"/>
          <w:sz w:val="17"/>
          <w:szCs w:val="17"/>
          <w:color w:val="auto"/>
        </w:rPr>
        <w:t>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16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Any certificate or opinion of an officer of the Company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his or her certificate or opinion is based are erroneous. Any such certificate or opinion of counsel may be based, insofar as it relates to factual matters, upon a certificate or opinion of, or representations by, an officer or officers of the Company stating that the information with respect to such factual matters is in the possession of the Company, unless such counsel knows, or in the exercise of reasonable care should know, that the certificate or opinion or representations with respect to such matters are erroneous.</w:t>
      </w:r>
    </w:p>
    <w:p>
      <w:pPr>
        <w:spacing w:after="0" w:line="193"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Any such certificate or opinion of an officer of the Company or of counsel may be based, insofar as it relates to accounting matters, upon a certificate or opinion of, or representations by, an accountant or firm of accountants in the employ of the Company, unless such officer or counsel, as the case may be, knows, that the certificate or opinion or representations with respect to the accounting matters upon which his or her certificate or opinion are based are erroneous.</w:t>
      </w:r>
    </w:p>
    <w:p>
      <w:pPr>
        <w:spacing w:after="0" w:line="187" w:lineRule="exact"/>
        <w:rPr>
          <w:sz w:val="20"/>
          <w:szCs w:val="20"/>
          <w:color w:val="auto"/>
        </w:rPr>
      </w:pPr>
    </w:p>
    <w:p>
      <w:pPr>
        <w:ind w:right="740" w:firstLine="456"/>
        <w:spacing w:after="0" w:line="277" w:lineRule="auto"/>
        <w:rPr>
          <w:sz w:val="20"/>
          <w:szCs w:val="20"/>
          <w:color w:val="auto"/>
        </w:rPr>
      </w:pPr>
      <w:r>
        <w:rPr>
          <w:rFonts w:ascii="Arial" w:cs="Arial" w:eastAsia="Arial" w:hAnsi="Arial"/>
          <w:sz w:val="18"/>
          <w:szCs w:val="18"/>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166" w:lineRule="exact"/>
        <w:rPr>
          <w:sz w:val="20"/>
          <w:szCs w:val="20"/>
          <w:color w:val="auto"/>
        </w:rPr>
      </w:pPr>
    </w:p>
    <w:p>
      <w:pPr>
        <w:ind w:firstLine="456"/>
        <w:spacing w:after="0" w:line="281" w:lineRule="auto"/>
        <w:rPr>
          <w:sz w:val="20"/>
          <w:szCs w:val="20"/>
          <w:color w:val="auto"/>
        </w:rPr>
      </w:pPr>
      <w:r>
        <w:rPr>
          <w:rFonts w:ascii="Arial" w:cs="Arial" w:eastAsia="Arial" w:hAnsi="Arial"/>
          <w:sz w:val="17"/>
          <w:szCs w:val="17"/>
          <w:b w:val="1"/>
          <w:bCs w:val="1"/>
          <w:color w:val="auto"/>
        </w:rPr>
        <w:t>Section 1.4 Acts of Holders; Record Dates</w:t>
      </w:r>
      <w:r>
        <w:rPr>
          <w:rFonts w:ascii="Arial" w:cs="Arial" w:eastAsia="Arial" w:hAnsi="Arial"/>
          <w:sz w:val="17"/>
          <w:szCs w:val="17"/>
          <w:color w:val="auto"/>
        </w:rPr>
        <w:t>. Any request, demand, authorization, direction, notice, consent, waiver or other action provided or</w:t>
      </w:r>
      <w:r>
        <w:rPr>
          <w:rFonts w:ascii="Arial" w:cs="Arial" w:eastAsia="Arial" w:hAnsi="Arial"/>
          <w:sz w:val="17"/>
          <w:szCs w:val="17"/>
          <w:b w:val="1"/>
          <w:bCs w:val="1"/>
          <w:color w:val="auto"/>
        </w:rPr>
        <w:t xml:space="preserve"> </w:t>
      </w:r>
      <w:r>
        <w:rPr>
          <w:rFonts w:ascii="Arial" w:cs="Arial" w:eastAsia="Arial" w:hAnsi="Arial"/>
          <w:sz w:val="17"/>
          <w:szCs w:val="17"/>
          <w:color w:val="auto"/>
        </w:rPr>
        <w:t>permitted by this Indenture to be given, made or taken by Holders may be embodied in and evidenced by one or more instruments of substantially similar tenor signed by such Holders in person or by an agent duly appointed in writing; and, except as herein otherwise expressly provided, such action shall become effective when such instrument or instruments are delivered to the Trustee and, where it is hereby expressly</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56" w:name="page57"/>
    <w:bookmarkEnd w:id="56"/>
    <w:p>
      <w:pPr>
        <w:ind w:right="10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required, to the Company. The Trustee shall promptly deliver to the Company copies of any such instrument or instruments delivered to the Trustee. Such instrument or instruments (and the action embodied therein and evidenced thereby) are herein sometimes referred to as the “Act” of the Holders signing such instrument or instruments. Proof of execution of any such instrument or of a writing appointing any such agent shall be sufficient for any purpose of this Indenture and (subject to Section 6.1) conclusive in favor of the Trustee and the Company, if made in the manner provided in this Section.</w:t>
      </w:r>
    </w:p>
    <w:p>
      <w:pPr>
        <w:spacing w:after="0" w:line="154"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him or her the execution thereof. Where such execution is by a signer acting in a capacity other than his or her individual capacity, such certificate or affidavit shall also constitute sufficient proof of his or her authority. The fact and date of the execution of any such instrument or writing, or the authority of the Person executing the same, may also be proved in any other manner that the Trustee deems sufficient.</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ownership of Securities shall be proved by the Security Register.</w:t>
      </w:r>
    </w:p>
    <w:p>
      <w:pPr>
        <w:spacing w:after="0" w:line="225"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Any request, demand, authorization, direction, notice, consent, waiver or other Act of the Holder of any Security shall bind every future Holder of the same Security and the Holder of every Security issued upon the registration of transfer thereof or in exchange therefor or in lieu thereof in respect of anything done, omitted or suffered to be done by the Trustee or the Company in reliance thereon, whether or not notation of such action is made upon such Security.</w:t>
      </w:r>
    </w:p>
    <w:p>
      <w:pPr>
        <w:spacing w:after="0" w:line="14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The Company may set any day as a record date for the purpose of determining the Holders of Outstanding Securities of any series entitled to give, make or take any request, demand, authorization, direction, vote, notice, consent, waiver or other action provided or permitted by this Indenture to be given, made or taken by Holders of Securities of such series. If any record date is set pursuant to this paragraph, the Holders of Outstanding Securities of the relevant series on such record date, and no other Holders, shall be entitled to take the relevant action, whether or not such Holders remain Holders after such record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action shall be effective hereunder unless taken on or prior to the applicable Expiration Date by Holders of the requisite principal amount of Outstanding Securities of such series on such record date. Nothing in this paragraph shall be construed to prevent the Company from setting a new record date for any action for which a record date has previously been set pursuant to this paragraph (whereupon the record date previously set shall automatically and with no action by any Person be canceled and of no effect), and nothing in this paragraph shall be construed to render ineffective any action taken by Holders of the requisite principal amount of Outstanding Securities of the relevant series on the date such action is taken. Promptly after any record date is set pursuant to this paragraph, the Company, at its own expense, shall cause notice of such record date, the proposed action by Holders and the applicable Expiration Date to be given to the Trustee in writing and to each Holder of Securities of the relevant series in the manner set forth in Section 1.6.</w:t>
      </w:r>
    </w:p>
    <w:p>
      <w:pPr>
        <w:spacing w:after="0" w:line="173"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With respect to any record date set pursuant to this Section, the Company may designate any day as the “Expiration Date” and from time to time may change the Expiration Date to any earlier or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57" w:name="page58"/>
    <w:bookmarkEnd w:id="57"/>
    <w:p>
      <w:pPr>
        <w:ind w:right="20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later day;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change shall be effective unless notice of the proposed new Expiration Date is given to the Trustee in writing, and to each Holder of Securities of the relevant series in the manner set forth in Section 1.6, on or prior to the existing Expiration Date. If an Expiration Date is not designated with respect to any record date set pursuant to this Section, the Company shall be deemed to have initially designated the 180th day after such record date as the Expiration Date with respect thereto, subject to its right to change the Expiration Date as provided in this paragraph. Notwithstanding the foregoing, no Expiration Date shall be later than the 180th day after the applicable record date.</w:t>
      </w:r>
    </w:p>
    <w:p>
      <w:pPr>
        <w:spacing w:after="0" w:line="173"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Without limiting the foregoing, a Holder entitled hereunder to take any action hereunder with regard to any particular Security may do so with regard to all or any part of the principal amount of such Security or by one or more duly appointed agents each of which may do so pursuant to such appointment with regard to all or any part of such principal amount.</w:t>
      </w:r>
    </w:p>
    <w:p>
      <w:pPr>
        <w:spacing w:after="0" w:line="177" w:lineRule="exact"/>
        <w:rPr>
          <w:sz w:val="20"/>
          <w:szCs w:val="20"/>
          <w:color w:val="auto"/>
        </w:rPr>
      </w:pPr>
    </w:p>
    <w:p>
      <w:pPr>
        <w:ind w:right="380" w:firstLine="456"/>
        <w:spacing w:after="0" w:line="282" w:lineRule="auto"/>
        <w:rPr>
          <w:sz w:val="20"/>
          <w:szCs w:val="20"/>
          <w:color w:val="auto"/>
        </w:rPr>
      </w:pPr>
      <w:r>
        <w:rPr>
          <w:rFonts w:ascii="Arial" w:cs="Arial" w:eastAsia="Arial" w:hAnsi="Arial"/>
          <w:sz w:val="18"/>
          <w:szCs w:val="18"/>
          <w:b w:val="1"/>
          <w:bCs w:val="1"/>
          <w:color w:val="auto"/>
        </w:rPr>
        <w:t xml:space="preserve">Section 1.5 Notices, etc., to Trustee and Company. </w:t>
      </w:r>
      <w:r>
        <w:rPr>
          <w:rFonts w:ascii="Arial" w:cs="Arial" w:eastAsia="Arial" w:hAnsi="Arial"/>
          <w:sz w:val="18"/>
          <w:szCs w:val="18"/>
          <w:color w:val="auto"/>
        </w:rPr>
        <w:t>Any request, demand, authorization, direction, notice, consent, waiver or Act of Holders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document provided or permitted by this Indenture to be made upon, given or furnished to, or filed with,</w:t>
      </w:r>
    </w:p>
    <w:p>
      <w:pPr>
        <w:spacing w:after="0" w:line="166" w:lineRule="exact"/>
        <w:rPr>
          <w:sz w:val="20"/>
          <w:szCs w:val="20"/>
          <w:color w:val="auto"/>
        </w:rPr>
      </w:pPr>
    </w:p>
    <w:p>
      <w:pPr>
        <w:ind w:right="220" w:firstLine="921"/>
        <w:spacing w:after="0" w:line="264" w:lineRule="auto"/>
        <w:tabs>
          <w:tab w:leader="none" w:pos="1303"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the Trustee by any Holder or by the Company shall be sufficient for every purpose hereunder if made, given, furnished or filed in writing (or by facsimile transmissions,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oral confirmation of receipt shall have been received) to or with the Trustee at its Corporate Trust Office, Attention: Corporate Trust Department, or</w:t>
      </w:r>
    </w:p>
    <w:p>
      <w:pPr>
        <w:spacing w:after="0" w:line="181" w:lineRule="exact"/>
        <w:rPr>
          <w:rFonts w:ascii="Arial" w:cs="Arial" w:eastAsia="Arial" w:hAnsi="Arial"/>
          <w:sz w:val="18"/>
          <w:szCs w:val="18"/>
          <w:color w:val="auto"/>
        </w:rPr>
      </w:pPr>
    </w:p>
    <w:p>
      <w:pPr>
        <w:ind w:right="120" w:firstLine="921"/>
        <w:spacing w:after="0" w:line="259" w:lineRule="auto"/>
        <w:tabs>
          <w:tab w:leader="none" w:pos="1303"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Company by the Trustee or by any Holder shall be sufficient for every purpose hereunder (unless otherwise herein expressly provided) if in writing and mailed by first-class postage prepaid, personally delivered or sent via overnight courier to the Company addressed to it at the address of its principal office specified in the first paragraph of this instrument or at any other address previously furnished in writing to the Trustee by the Company, Attention: Chief Financial Officer.</w:t>
      </w:r>
    </w:p>
    <w:p>
      <w:pPr>
        <w:spacing w:after="0" w:line="183" w:lineRule="exact"/>
        <w:rPr>
          <w:sz w:val="20"/>
          <w:szCs w:val="20"/>
          <w:color w:val="auto"/>
        </w:rPr>
      </w:pPr>
    </w:p>
    <w:p>
      <w:pPr>
        <w:ind w:right="120" w:firstLine="456"/>
        <w:spacing w:after="0" w:line="272" w:lineRule="auto"/>
        <w:rPr>
          <w:sz w:val="20"/>
          <w:szCs w:val="20"/>
          <w:color w:val="auto"/>
        </w:rPr>
      </w:pPr>
      <w:r>
        <w:rPr>
          <w:rFonts w:ascii="Arial" w:cs="Arial" w:eastAsia="Arial" w:hAnsi="Arial"/>
          <w:sz w:val="17"/>
          <w:szCs w:val="17"/>
          <w:b w:val="1"/>
          <w:bCs w:val="1"/>
          <w:color w:val="auto"/>
        </w:rPr>
        <w:t>Section 1.6 Notice to Holders; Waiver</w:t>
      </w:r>
      <w:r>
        <w:rPr>
          <w:rFonts w:ascii="Arial" w:cs="Arial" w:eastAsia="Arial" w:hAnsi="Arial"/>
          <w:sz w:val="17"/>
          <w:szCs w:val="17"/>
          <w:color w:val="auto"/>
        </w:rPr>
        <w:t>. Where this Indenture provides for notice to Holders of any event, such notice shall be sufficiently given</w:t>
      </w:r>
      <w:r>
        <w:rPr>
          <w:rFonts w:ascii="Arial" w:cs="Arial" w:eastAsia="Arial" w:hAnsi="Arial"/>
          <w:sz w:val="17"/>
          <w:szCs w:val="17"/>
          <w:b w:val="1"/>
          <w:bCs w:val="1"/>
          <w:color w:val="auto"/>
        </w:rPr>
        <w:t xml:space="preserve"> </w:t>
      </w:r>
      <w:r>
        <w:rPr>
          <w:rFonts w:ascii="Arial" w:cs="Arial" w:eastAsia="Arial" w:hAnsi="Arial"/>
          <w:sz w:val="17"/>
          <w:szCs w:val="17"/>
          <w:color w:val="auto"/>
        </w:rPr>
        <w:t>(unless otherwise herein expressly provided) if in writing and mailed by first-class postage prepaid, or delivered by hand or overnight courier to each Holder affected by such event, at its address as it appears in the Security Register, not later than the latest date (if any), and not earlier than the earliest date (if any), prescribed for the giving of such notice. Neither the failure to mail or deliver by hand or overnight courier any notice, nor any defect in any notice so mailed or delivered by hand or overnight courier, to any particular Holder shall affect the sufficiency of such notice with respect to other Holders. 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4" w:right="259" w:bottom="1440" w:gutter="0" w:footer="0" w:header="0"/>
        </w:sectPr>
      </w:pPr>
    </w:p>
    <w:bookmarkStart w:id="58" w:name="page59"/>
    <w:bookmarkEnd w:id="58"/>
    <w:p>
      <w:pPr>
        <w:ind w:right="300" w:firstLine="456"/>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case by reason of the suspension of regular mail service or by reason of any other cause it shall be impracticable to give such notice by mail, then such notification as shall be made with the approval of the Trustee shall constitute a sufficient notification for every purpose hereunder.</w:t>
      </w:r>
    </w:p>
    <w:p>
      <w:pPr>
        <w:spacing w:after="0" w:line="143" w:lineRule="exact"/>
        <w:rPr>
          <w:sz w:val="20"/>
          <w:szCs w:val="20"/>
          <w:color w:val="auto"/>
        </w:rPr>
      </w:pPr>
    </w:p>
    <w:p>
      <w:pPr>
        <w:ind w:right="140" w:firstLine="456"/>
        <w:spacing w:after="0" w:line="261" w:lineRule="auto"/>
        <w:rPr>
          <w:sz w:val="20"/>
          <w:szCs w:val="20"/>
          <w:color w:val="auto"/>
        </w:rPr>
      </w:pPr>
      <w:r>
        <w:rPr>
          <w:rFonts w:ascii="Arial" w:cs="Arial" w:eastAsia="Arial" w:hAnsi="Arial"/>
          <w:sz w:val="18"/>
          <w:szCs w:val="18"/>
          <w:b w:val="1"/>
          <w:bCs w:val="1"/>
          <w:color w:val="auto"/>
        </w:rPr>
        <w:t>Section 1.7 Conflict with Trust Indenture Act</w:t>
      </w:r>
      <w:r>
        <w:rPr>
          <w:rFonts w:ascii="Arial" w:cs="Arial" w:eastAsia="Arial" w:hAnsi="Arial"/>
          <w:sz w:val="18"/>
          <w:szCs w:val="18"/>
          <w:color w:val="auto"/>
        </w:rPr>
        <w:t>. If any provision hereof limits, qualifies or conflicts with a provision of the Trust Indenture Act that</w:t>
      </w:r>
      <w:r>
        <w:rPr>
          <w:rFonts w:ascii="Arial" w:cs="Arial" w:eastAsia="Arial" w:hAnsi="Arial"/>
          <w:sz w:val="18"/>
          <w:szCs w:val="18"/>
          <w:b w:val="1"/>
          <w:bCs w:val="1"/>
          <w:color w:val="auto"/>
        </w:rPr>
        <w:t xml:space="preserve"> </w:t>
      </w:r>
      <w:r>
        <w:rPr>
          <w:rFonts w:ascii="Arial" w:cs="Arial" w:eastAsia="Arial" w:hAnsi="Arial"/>
          <w:sz w:val="18"/>
          <w:szCs w:val="18"/>
          <w:color w:val="auto"/>
        </w:rPr>
        <w:t>is required under the Trust Indenture Act to be a part of and govern this Indenture, the latter provision shall control. If any provision of this Indenture modifies or excludes any provision of the Trust Indenture Act, that may be so modified or excluded, the latter provision shall be deemed to apply to this Indenture as so modified or to be excluded, as the case may be.</w:t>
      </w:r>
    </w:p>
    <w:p>
      <w:pPr>
        <w:spacing w:after="0" w:line="180" w:lineRule="exact"/>
        <w:rPr>
          <w:sz w:val="20"/>
          <w:szCs w:val="20"/>
          <w:color w:val="auto"/>
        </w:rPr>
      </w:pPr>
    </w:p>
    <w:p>
      <w:pPr>
        <w:ind w:right="100" w:firstLine="456"/>
        <w:spacing w:after="0" w:line="282" w:lineRule="auto"/>
        <w:rPr>
          <w:sz w:val="20"/>
          <w:szCs w:val="20"/>
          <w:color w:val="auto"/>
        </w:rPr>
      </w:pPr>
      <w:r>
        <w:rPr>
          <w:rFonts w:ascii="Arial" w:cs="Arial" w:eastAsia="Arial" w:hAnsi="Arial"/>
          <w:sz w:val="18"/>
          <w:szCs w:val="18"/>
          <w:b w:val="1"/>
          <w:bCs w:val="1"/>
          <w:color w:val="auto"/>
        </w:rPr>
        <w:t>Section 1.8 Effect of Headings and Table of Contents</w:t>
      </w:r>
      <w:r>
        <w:rPr>
          <w:rFonts w:ascii="Arial" w:cs="Arial" w:eastAsia="Arial" w:hAnsi="Arial"/>
          <w:sz w:val="18"/>
          <w:szCs w:val="18"/>
          <w:color w:val="auto"/>
        </w:rPr>
        <w:t>. The Article and Section headings herein and the Table of Contents are for convenience only</w:t>
      </w:r>
      <w:r>
        <w:rPr>
          <w:rFonts w:ascii="Arial" w:cs="Arial" w:eastAsia="Arial" w:hAnsi="Arial"/>
          <w:sz w:val="18"/>
          <w:szCs w:val="18"/>
          <w:b w:val="1"/>
          <w:bCs w:val="1"/>
          <w:color w:val="auto"/>
        </w:rPr>
        <w:t xml:space="preserve"> </w:t>
      </w:r>
      <w:r>
        <w:rPr>
          <w:rFonts w:ascii="Arial" w:cs="Arial" w:eastAsia="Arial" w:hAnsi="Arial"/>
          <w:sz w:val="18"/>
          <w:szCs w:val="18"/>
          <w:color w:val="auto"/>
        </w:rPr>
        <w:t>and shall not affect the construction hereof.</w:t>
      </w:r>
    </w:p>
    <w:p>
      <w:pPr>
        <w:spacing w:after="0" w:line="162" w:lineRule="exact"/>
        <w:rPr>
          <w:sz w:val="20"/>
          <w:szCs w:val="20"/>
          <w:color w:val="auto"/>
        </w:rPr>
      </w:pPr>
    </w:p>
    <w:p>
      <w:pPr>
        <w:ind w:right="160" w:firstLine="456"/>
        <w:spacing w:after="0" w:line="282" w:lineRule="auto"/>
        <w:rPr>
          <w:sz w:val="20"/>
          <w:szCs w:val="20"/>
          <w:color w:val="auto"/>
        </w:rPr>
      </w:pPr>
      <w:r>
        <w:rPr>
          <w:rFonts w:ascii="Arial" w:cs="Arial" w:eastAsia="Arial" w:hAnsi="Arial"/>
          <w:sz w:val="18"/>
          <w:szCs w:val="18"/>
          <w:b w:val="1"/>
          <w:bCs w:val="1"/>
          <w:color w:val="auto"/>
        </w:rPr>
        <w:t>Section 1.9 Successors and Assigns</w:t>
      </w:r>
      <w:r>
        <w:rPr>
          <w:rFonts w:ascii="Arial" w:cs="Arial" w:eastAsia="Arial" w:hAnsi="Arial"/>
          <w:sz w:val="18"/>
          <w:szCs w:val="18"/>
          <w:color w:val="auto"/>
        </w:rPr>
        <w:t>. All covenants and agreements in this Indenture by the Company shall bind its successors and assigns, whether</w:t>
      </w:r>
      <w:r>
        <w:rPr>
          <w:rFonts w:ascii="Arial" w:cs="Arial" w:eastAsia="Arial" w:hAnsi="Arial"/>
          <w:sz w:val="18"/>
          <w:szCs w:val="18"/>
          <w:b w:val="1"/>
          <w:bCs w:val="1"/>
          <w:color w:val="auto"/>
        </w:rPr>
        <w:t xml:space="preserve"> </w:t>
      </w:r>
      <w:r>
        <w:rPr>
          <w:rFonts w:ascii="Arial" w:cs="Arial" w:eastAsia="Arial" w:hAnsi="Arial"/>
          <w:sz w:val="18"/>
          <w:szCs w:val="18"/>
          <w:color w:val="auto"/>
        </w:rPr>
        <w:t>so expressed or not.</w:t>
      </w:r>
    </w:p>
    <w:p>
      <w:pPr>
        <w:spacing w:after="0" w:line="162" w:lineRule="exact"/>
        <w:rPr>
          <w:sz w:val="20"/>
          <w:szCs w:val="20"/>
          <w:color w:val="auto"/>
        </w:rPr>
      </w:pPr>
    </w:p>
    <w:p>
      <w:pPr>
        <w:ind w:right="220" w:firstLine="456"/>
        <w:spacing w:after="0" w:line="282" w:lineRule="auto"/>
        <w:rPr>
          <w:sz w:val="20"/>
          <w:szCs w:val="20"/>
          <w:color w:val="auto"/>
        </w:rPr>
      </w:pPr>
      <w:r>
        <w:rPr>
          <w:rFonts w:ascii="Arial" w:cs="Arial" w:eastAsia="Arial" w:hAnsi="Arial"/>
          <w:sz w:val="18"/>
          <w:szCs w:val="18"/>
          <w:b w:val="1"/>
          <w:bCs w:val="1"/>
          <w:color w:val="auto"/>
        </w:rPr>
        <w:t>Section 1.10 Separability Clause</w:t>
      </w:r>
      <w:r>
        <w:rPr>
          <w:rFonts w:ascii="Arial" w:cs="Arial" w:eastAsia="Arial" w:hAnsi="Arial"/>
          <w:sz w:val="18"/>
          <w:szCs w:val="18"/>
          <w:color w:val="auto"/>
        </w:rPr>
        <w:t>. In case any provision in this Indenture or in the Securities shall be invalid, illegal or unenforceable, the validity,</w:t>
      </w:r>
      <w:r>
        <w:rPr>
          <w:rFonts w:ascii="Arial" w:cs="Arial" w:eastAsia="Arial" w:hAnsi="Arial"/>
          <w:sz w:val="18"/>
          <w:szCs w:val="18"/>
          <w:b w:val="1"/>
          <w:bCs w:val="1"/>
          <w:color w:val="auto"/>
        </w:rPr>
        <w:t xml:space="preserve"> </w:t>
      </w:r>
      <w:r>
        <w:rPr>
          <w:rFonts w:ascii="Arial" w:cs="Arial" w:eastAsia="Arial" w:hAnsi="Arial"/>
          <w:sz w:val="18"/>
          <w:szCs w:val="18"/>
          <w:color w:val="auto"/>
        </w:rPr>
        <w:t>legality and enforceability of the remaining provisions shall not in any way be affected or impaired thereby.</w:t>
      </w:r>
    </w:p>
    <w:p>
      <w:pPr>
        <w:spacing w:after="0" w:line="162" w:lineRule="exact"/>
        <w:rPr>
          <w:sz w:val="20"/>
          <w:szCs w:val="20"/>
          <w:color w:val="auto"/>
        </w:rPr>
      </w:pPr>
    </w:p>
    <w:p>
      <w:pPr>
        <w:ind w:right="100" w:firstLine="456"/>
        <w:spacing w:after="0" w:line="313" w:lineRule="auto"/>
        <w:rPr>
          <w:sz w:val="20"/>
          <w:szCs w:val="20"/>
          <w:color w:val="auto"/>
        </w:rPr>
      </w:pPr>
      <w:r>
        <w:rPr>
          <w:rFonts w:ascii="Arial" w:cs="Arial" w:eastAsia="Arial" w:hAnsi="Arial"/>
          <w:sz w:val="17"/>
          <w:szCs w:val="17"/>
          <w:b w:val="1"/>
          <w:bCs w:val="1"/>
          <w:color w:val="auto"/>
        </w:rPr>
        <w:t>Section 1.11 Benefits of Indenture</w:t>
      </w:r>
      <w:r>
        <w:rPr>
          <w:rFonts w:ascii="Arial" w:cs="Arial" w:eastAsia="Arial" w:hAnsi="Arial"/>
          <w:sz w:val="17"/>
          <w:szCs w:val="17"/>
          <w:color w:val="auto"/>
        </w:rPr>
        <w:t>. Nothing in this Indenture or in the Securities, express or implied, shall give to any Person, other than the parties</w:t>
      </w:r>
      <w:r>
        <w:rPr>
          <w:rFonts w:ascii="Arial" w:cs="Arial" w:eastAsia="Arial" w:hAnsi="Arial"/>
          <w:sz w:val="17"/>
          <w:szCs w:val="17"/>
          <w:b w:val="1"/>
          <w:bCs w:val="1"/>
          <w:color w:val="auto"/>
        </w:rPr>
        <w:t xml:space="preserve"> </w:t>
      </w:r>
      <w:r>
        <w:rPr>
          <w:rFonts w:ascii="Arial" w:cs="Arial" w:eastAsia="Arial" w:hAnsi="Arial"/>
          <w:sz w:val="17"/>
          <w:szCs w:val="17"/>
          <w:color w:val="auto"/>
        </w:rPr>
        <w:t>hereto and their successors hereunder and the Holders, any benefit or any legal or equitable right, remedy or claim under this Indenture.</w:t>
      </w:r>
    </w:p>
    <w:p>
      <w:pPr>
        <w:spacing w:after="0" w:line="138" w:lineRule="exact"/>
        <w:rPr>
          <w:sz w:val="20"/>
          <w:szCs w:val="20"/>
          <w:color w:val="auto"/>
        </w:rPr>
      </w:pPr>
    </w:p>
    <w:p>
      <w:pPr>
        <w:ind w:right="840" w:firstLine="456"/>
        <w:spacing w:after="0" w:line="282" w:lineRule="auto"/>
        <w:rPr>
          <w:sz w:val="20"/>
          <w:szCs w:val="20"/>
          <w:color w:val="auto"/>
        </w:rPr>
      </w:pPr>
      <w:r>
        <w:rPr>
          <w:rFonts w:ascii="Arial" w:cs="Arial" w:eastAsia="Arial" w:hAnsi="Arial"/>
          <w:sz w:val="18"/>
          <w:szCs w:val="18"/>
          <w:b w:val="1"/>
          <w:bCs w:val="1"/>
          <w:color w:val="auto"/>
        </w:rPr>
        <w:t>Section 1.12 Governing Law. THIS INDENTURE AND THE SECURITIES SHALL BE GOVERNED BY AND CONSTRUED IN ACCORDANCE WITH THE LAWS OF THE STATE OF NEW YORK.</w:t>
      </w:r>
    </w:p>
    <w:p>
      <w:pPr>
        <w:spacing w:after="0" w:line="162"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b w:val="1"/>
          <w:bCs w:val="1"/>
          <w:color w:val="auto"/>
        </w:rPr>
        <w:t>Section 1.13 Legal Holidays</w:t>
      </w:r>
      <w:r>
        <w:rPr>
          <w:rFonts w:ascii="Arial" w:cs="Arial" w:eastAsia="Arial" w:hAnsi="Arial"/>
          <w:sz w:val="18"/>
          <w:szCs w:val="18"/>
          <w:color w:val="auto"/>
        </w:rPr>
        <w:t>. In any case where any Interest Payment Date, Redemption Date or Stated Maturity of any Security or the last date on</w:t>
      </w:r>
      <w:r>
        <w:rPr>
          <w:rFonts w:ascii="Arial" w:cs="Arial" w:eastAsia="Arial" w:hAnsi="Arial"/>
          <w:sz w:val="18"/>
          <w:szCs w:val="18"/>
          <w:b w:val="1"/>
          <w:bCs w:val="1"/>
          <w:color w:val="auto"/>
        </w:rPr>
        <w:t xml:space="preserve"> </w:t>
      </w:r>
      <w:r>
        <w:rPr>
          <w:rFonts w:ascii="Arial" w:cs="Arial" w:eastAsia="Arial" w:hAnsi="Arial"/>
          <w:sz w:val="18"/>
          <w:szCs w:val="18"/>
          <w:color w:val="auto"/>
        </w:rPr>
        <w:t>which a Holder has the right to convert a Security at a particular conversion price or conversion rate, as the case may be, shall not be a Business Day at any Place of Payment, then (notwithstanding any other provision of this Indenture or of the Securities (other than a provision of any Security which specifically states that such provision shall apply in lieu of this Section)) payment of interest or principal (and premium, if any) or, if applicable to a particular series of Securities, conversion need not be made at such Place of Payment on such date, but may be made on the next succeeding Business Day at such Place of Payment with the same force and effect as if made on the Interest Payment Date or Redemption Date, at the Stated Maturity or on such last day for conversion, as the case may be.</w:t>
      </w:r>
    </w:p>
    <w:p>
      <w:pPr>
        <w:spacing w:after="0" w:line="189"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b w:val="1"/>
          <w:bCs w:val="1"/>
          <w:color w:val="auto"/>
        </w:rPr>
        <w:t>Section 1.14 Indenture and Securities Solely Corporate Obligations</w:t>
      </w:r>
      <w:r>
        <w:rPr>
          <w:rFonts w:ascii="Arial" w:cs="Arial" w:eastAsia="Arial" w:hAnsi="Arial"/>
          <w:sz w:val="18"/>
          <w:szCs w:val="18"/>
          <w:color w:val="auto"/>
        </w:rPr>
        <w:t>. No recourse for the payment of the principal of or premium, if any, or</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 on any Security, or for any claim based thereon or otherwise in respect thereof, and no recourse under or upon any obligation, covenant or agreement of the Company in this Indenture or in any supplemental indenture or in any Security, or because of the creation of any indebtedness represented thereby, shall be had against any</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59" w:name="page60"/>
    <w:bookmarkEnd w:id="59"/>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incorporator, stockholder, employee, agent, officer, or director or subsidiary, as such, past, present or future, of the Company or of any successor corporation, either directly or through the Company or any successor corporation, whether by virtue of any constitution, statute or rule of law, or by the enforcement of any assessment or penalty or otherwise; it being expressly understood that all such liability is hereby expressly waived and released as a condition of, and as a consideration for, the execution of this Indenture and the issue of the Securities.</w:t>
      </w:r>
    </w:p>
    <w:p>
      <w:pPr>
        <w:spacing w:after="0" w:line="183" w:lineRule="exact"/>
        <w:rPr>
          <w:sz w:val="20"/>
          <w:szCs w:val="20"/>
          <w:color w:val="auto"/>
        </w:rPr>
      </w:pPr>
    </w:p>
    <w:p>
      <w:pPr>
        <w:ind w:right="20" w:firstLine="456"/>
        <w:spacing w:after="0" w:line="282" w:lineRule="auto"/>
        <w:rPr>
          <w:sz w:val="20"/>
          <w:szCs w:val="20"/>
          <w:color w:val="auto"/>
        </w:rPr>
      </w:pPr>
      <w:r>
        <w:rPr>
          <w:rFonts w:ascii="Arial" w:cs="Arial" w:eastAsia="Arial" w:hAnsi="Arial"/>
          <w:sz w:val="18"/>
          <w:szCs w:val="18"/>
          <w:b w:val="1"/>
          <w:bCs w:val="1"/>
          <w:color w:val="auto"/>
        </w:rPr>
        <w:t>Section 1.15 Indenture May be Executed in Counterparts</w:t>
      </w:r>
      <w:r>
        <w:rPr>
          <w:rFonts w:ascii="Arial" w:cs="Arial" w:eastAsia="Arial" w:hAnsi="Arial"/>
          <w:sz w:val="18"/>
          <w:szCs w:val="18"/>
          <w:color w:val="auto"/>
        </w:rPr>
        <w:t>. This instrument may be executed in any number of counterparts, each of which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an original, but such counterparts shall together constitute but one and the same instrument.</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SECURITY FORMS</w:t>
      </w:r>
    </w:p>
    <w:p>
      <w:pPr>
        <w:spacing w:after="0" w:line="225"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b w:val="1"/>
          <w:bCs w:val="1"/>
          <w:color w:val="auto"/>
        </w:rPr>
        <w:t>Section 2.1 Forms Generally</w:t>
      </w:r>
      <w:r>
        <w:rPr>
          <w:rFonts w:ascii="Arial" w:cs="Arial" w:eastAsia="Arial" w:hAnsi="Arial"/>
          <w:sz w:val="17"/>
          <w:szCs w:val="17"/>
          <w:color w:val="auto"/>
        </w:rPr>
        <w:t>. The Securities of each series shall be in substantially such form as shall be established by or pursuant to a Board</w:t>
      </w:r>
      <w:r>
        <w:rPr>
          <w:rFonts w:ascii="Arial" w:cs="Arial" w:eastAsia="Arial" w:hAnsi="Arial"/>
          <w:sz w:val="17"/>
          <w:szCs w:val="17"/>
          <w:b w:val="1"/>
          <w:bCs w:val="1"/>
          <w:color w:val="auto"/>
        </w:rPr>
        <w:t xml:space="preserve"> </w:t>
      </w:r>
      <w:r>
        <w:rPr>
          <w:rFonts w:ascii="Arial" w:cs="Arial" w:eastAsia="Arial" w:hAnsi="Arial"/>
          <w:sz w:val="17"/>
          <w:szCs w:val="17"/>
          <w:color w:val="auto"/>
        </w:rPr>
        <w:t>Resolution and as set forth in such Board Resolution (including such terms as set forth in any form of Securities for each series approved by such Board Resolution) or, to the extent established pursuant to rather than set forth in a Board Resolution, in an Officers’ Certificate detailing such establishment (including any exhibit attached thereto), or in one or more indentures supplemental hereto, in each case with such appropriate insertions, omissions, substitutions and other variations as are required or permitted by this Indenture, and may have such letters, numbers or other marks of identification and such legends or endorsements placed thereon as may be required to comply with the rules of any securities exchange or Depositary therefor or as may, consistently herewith, be determined by the officers executing such Securities, as evidenced by their execution thereof. If the form of Securities of any series is established by action taken pursuant to a Board Resolution, a copy of an appropriate record of such action shall be certified by the Secretary or an Assistant Secretary of the Company and delivered to the Trustee at or prior to the delivery of the Company Order contemplated by Section 3.3 for the authentication and delivery of such Securities. Any such Board Resolution or record of such action shall have attached thereto a true and correct copy of the form of Security referred to therein approved by or pursuant to such Board Resolution.</w:t>
      </w:r>
    </w:p>
    <w:p>
      <w:pPr>
        <w:spacing w:after="0" w:line="178" w:lineRule="exact"/>
        <w:rPr>
          <w:sz w:val="20"/>
          <w:szCs w:val="20"/>
          <w:color w:val="auto"/>
        </w:rPr>
      </w:pPr>
    </w:p>
    <w:p>
      <w:pPr>
        <w:ind w:right="800" w:firstLine="456"/>
        <w:spacing w:after="0" w:line="277" w:lineRule="auto"/>
        <w:rPr>
          <w:sz w:val="20"/>
          <w:szCs w:val="20"/>
          <w:color w:val="auto"/>
        </w:rPr>
      </w:pPr>
      <w:r>
        <w:rPr>
          <w:rFonts w:ascii="Arial" w:cs="Arial" w:eastAsia="Arial" w:hAnsi="Arial"/>
          <w:sz w:val="18"/>
          <w:szCs w:val="18"/>
          <w:color w:val="auto"/>
        </w:rPr>
        <w:t>The definitive Securities shall be printed, lithographed or engraved on steel engraved borders or may be produced in any other manner, all as determined by the officers executing such Securities, as evidenced by their execution of such Securities.</w:t>
      </w:r>
    </w:p>
    <w:p>
      <w:pPr>
        <w:spacing w:after="0" w:line="166" w:lineRule="exact"/>
        <w:rPr>
          <w:sz w:val="20"/>
          <w:szCs w:val="20"/>
          <w:color w:val="auto"/>
        </w:rPr>
      </w:pPr>
    </w:p>
    <w:p>
      <w:pPr>
        <w:ind w:right="80" w:firstLine="456"/>
        <w:spacing w:after="0" w:line="282" w:lineRule="auto"/>
        <w:rPr>
          <w:sz w:val="20"/>
          <w:szCs w:val="20"/>
          <w:color w:val="auto"/>
        </w:rPr>
      </w:pPr>
      <w:r>
        <w:rPr>
          <w:rFonts w:ascii="Arial" w:cs="Arial" w:eastAsia="Arial" w:hAnsi="Arial"/>
          <w:sz w:val="18"/>
          <w:szCs w:val="18"/>
          <w:b w:val="1"/>
          <w:bCs w:val="1"/>
          <w:color w:val="auto"/>
        </w:rPr>
        <w:t>Section 2.2 Form of Legend for Global Securities</w:t>
      </w:r>
      <w:r>
        <w:rPr>
          <w:rFonts w:ascii="Arial" w:cs="Arial" w:eastAsia="Arial" w:hAnsi="Arial"/>
          <w:sz w:val="18"/>
          <w:szCs w:val="18"/>
          <w:color w:val="auto"/>
        </w:rPr>
        <w:t>. Unless otherwise specified as contemplated by Section 3.1 for the Securities evidenced thereby,</w:t>
      </w:r>
      <w:r>
        <w:rPr>
          <w:rFonts w:ascii="Arial" w:cs="Arial" w:eastAsia="Arial" w:hAnsi="Arial"/>
          <w:sz w:val="18"/>
          <w:szCs w:val="18"/>
          <w:b w:val="1"/>
          <w:bCs w:val="1"/>
          <w:color w:val="auto"/>
        </w:rPr>
        <w:t xml:space="preserve"> </w:t>
      </w:r>
      <w:r>
        <w:rPr>
          <w:rFonts w:ascii="Arial" w:cs="Arial" w:eastAsia="Arial" w:hAnsi="Arial"/>
          <w:sz w:val="18"/>
          <w:szCs w:val="18"/>
          <w:color w:val="auto"/>
        </w:rPr>
        <w:t>every Global Security authenticated and delivered hereunder shall bear a legend in substantially the following form:</w:t>
      </w:r>
    </w:p>
    <w:p>
      <w:pPr>
        <w:spacing w:after="0" w:line="54" w:lineRule="exact"/>
        <w:rPr>
          <w:sz w:val="20"/>
          <w:szCs w:val="20"/>
          <w:color w:val="auto"/>
        </w:rPr>
      </w:pPr>
    </w:p>
    <w:p>
      <w:pPr>
        <w:ind w:left="460" w:right="40"/>
        <w:spacing w:after="0" w:line="266" w:lineRule="auto"/>
        <w:rPr>
          <w:sz w:val="20"/>
          <w:szCs w:val="20"/>
          <w:color w:val="auto"/>
        </w:rPr>
      </w:pPr>
      <w:r>
        <w:rPr>
          <w:rFonts w:ascii="Arial" w:cs="Arial" w:eastAsia="Arial" w:hAnsi="Arial"/>
          <w:sz w:val="18"/>
          <w:szCs w:val="18"/>
          <w:b w:val="1"/>
          <w:bCs w:val="1"/>
          <w:color w:val="auto"/>
        </w:rPr>
        <w:t>THIS SECURITY IS A GLOBAL SECURITY WITHIN THE MEANING OF THE INDENTURE HEREINAFTER REFERRED TO AND IS REGISTERED IN THE NAME OF A DEPOSITARY OR A NOMINEE THEREOF. THIS SECURITY MAY NOT BE EXCHANGED IN WHOLE OR IN PART FOR A SECURITY REGISTERED, AND NO TRANSFER OF THIS SECURITY IN</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4" w:right="259" w:bottom="1440" w:gutter="0" w:footer="0" w:header="0"/>
        </w:sectPr>
      </w:pPr>
    </w:p>
    <w:bookmarkStart w:id="60" w:name="page61"/>
    <w:bookmarkEnd w:id="60"/>
    <w:p>
      <w:pPr>
        <w:ind w:left="460" w:right="86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WHOLE OR IN PART MAY BE REGISTERED, IN THE NAME OF ANY PERSON OTHER THAN SUCH DEPOSITARY OR A NOMINEE THEREOF, EXCEPT IN THE LIMITED CIRCUMSTANCES DESCRIBED IN THE INDENTURE.</w:t>
      </w:r>
    </w:p>
    <w:p>
      <w:pPr>
        <w:spacing w:after="0" w:line="162" w:lineRule="exact"/>
        <w:rPr>
          <w:sz w:val="20"/>
          <w:szCs w:val="20"/>
          <w:color w:val="auto"/>
        </w:rPr>
      </w:pPr>
    </w:p>
    <w:p>
      <w:pPr>
        <w:ind w:left="460"/>
        <w:spacing w:after="0"/>
        <w:tabs>
          <w:tab w:leader="none" w:pos="1460" w:val="left"/>
        </w:tabs>
        <w:rPr>
          <w:sz w:val="20"/>
          <w:szCs w:val="20"/>
          <w:color w:val="auto"/>
        </w:rPr>
      </w:pPr>
      <w:r>
        <w:rPr>
          <w:rFonts w:ascii="Arial" w:cs="Arial" w:eastAsia="Arial" w:hAnsi="Arial"/>
          <w:sz w:val="18"/>
          <w:szCs w:val="18"/>
          <w:b w:val="1"/>
          <w:bCs w:val="1"/>
          <w:color w:val="auto"/>
        </w:rPr>
        <w:t>Section 2.3</w:t>
      </w:r>
      <w:r>
        <w:rPr>
          <w:sz w:val="20"/>
          <w:szCs w:val="20"/>
          <w:color w:val="auto"/>
        </w:rPr>
        <w:tab/>
      </w:r>
      <w:r>
        <w:rPr>
          <w:rFonts w:ascii="Arial" w:cs="Arial" w:eastAsia="Arial" w:hAnsi="Arial"/>
          <w:sz w:val="16"/>
          <w:szCs w:val="16"/>
          <w:b w:val="1"/>
          <w:bCs w:val="1"/>
          <w:color w:val="auto"/>
        </w:rPr>
        <w:t>Form of Trustee’s Certificate of Authentication</w:t>
      </w:r>
      <w:r>
        <w:rPr>
          <w:rFonts w:ascii="Arial" w:cs="Arial" w:eastAsia="Arial" w:hAnsi="Arial"/>
          <w:sz w:val="16"/>
          <w:szCs w:val="16"/>
          <w:color w:val="auto"/>
        </w:rPr>
        <w:t>. The Trustee’s certificates of authentication shall be in substantially the following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form:</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is one of the Securities of the series designated herein referred to in the within-mentioned Indenture.</w:t>
      </w:r>
    </w:p>
    <w:p>
      <w:pPr>
        <w:spacing w:after="0" w:line="252" w:lineRule="exact"/>
        <w:rPr>
          <w:sz w:val="20"/>
          <w:szCs w:val="20"/>
          <w:color w:val="auto"/>
        </w:rPr>
      </w:pPr>
    </w:p>
    <w:p>
      <w:pPr>
        <w:ind w:left="103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-10160</wp:posOffset>
            </wp:positionV>
            <wp:extent cx="208597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0859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Authorized Officer</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3</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SECURITIES</w:t>
      </w:r>
    </w:p>
    <w:p>
      <w:pPr>
        <w:spacing w:after="0" w:line="225" w:lineRule="exact"/>
        <w:rPr>
          <w:sz w:val="20"/>
          <w:szCs w:val="20"/>
          <w:color w:val="auto"/>
        </w:rPr>
      </w:pPr>
    </w:p>
    <w:p>
      <w:pPr>
        <w:ind w:right="160" w:firstLine="456"/>
        <w:spacing w:after="0" w:line="282" w:lineRule="auto"/>
        <w:rPr>
          <w:sz w:val="20"/>
          <w:szCs w:val="20"/>
          <w:color w:val="auto"/>
        </w:rPr>
      </w:pPr>
      <w:r>
        <w:rPr>
          <w:rFonts w:ascii="Arial" w:cs="Arial" w:eastAsia="Arial" w:hAnsi="Arial"/>
          <w:sz w:val="18"/>
          <w:szCs w:val="18"/>
          <w:b w:val="1"/>
          <w:bCs w:val="1"/>
          <w:color w:val="auto"/>
        </w:rPr>
        <w:t>Section 3.1 Amount Unlimited; Issuable in Series</w:t>
      </w:r>
      <w:r>
        <w:rPr>
          <w:rFonts w:ascii="Arial" w:cs="Arial" w:eastAsia="Arial" w:hAnsi="Arial"/>
          <w:sz w:val="18"/>
          <w:szCs w:val="18"/>
          <w:color w:val="auto"/>
        </w:rPr>
        <w:t>. The aggregate principal amount of Securities which may be authenticated and delivered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this Indenture is unlimited.</w:t>
      </w:r>
    </w:p>
    <w:p>
      <w:pPr>
        <w:spacing w:after="0" w:line="166"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Securities may be issued in one or more series up to the aggregate principal amount of Securities of that series from time to time authorized by or pursuant to a Board Resolution of the Company, pursuant to one or more indentures supplemental hereto or pursuant to an Officers’ Certificate pursuant to authority granted under a Board Resolution. Prior to the initial issuance of Securities of any series, there shall be established in or pursuant to a Board Resolution of the Company and set forth in an Officers’ Certificate of the Company, established in one or more indentures supplemental hereto, or established in an Officers’ Certificate pursuant to authority granted under a Board Resolution with respect to the Securities of the series:</w:t>
      </w:r>
    </w:p>
    <w:p>
      <w:pPr>
        <w:spacing w:after="0" w:line="173" w:lineRule="exact"/>
        <w:rPr>
          <w:sz w:val="20"/>
          <w:szCs w:val="20"/>
          <w:color w:val="auto"/>
        </w:rPr>
      </w:pPr>
    </w:p>
    <w:p>
      <w:pPr>
        <w:ind w:left="1320" w:hanging="399"/>
        <w:spacing w:after="0"/>
        <w:tabs>
          <w:tab w:leader="none" w:pos="13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title of the Securities of the series (which shall distinguish the Securities of the series from Securities of any other series);</w:t>
      </w:r>
    </w:p>
    <w:p>
      <w:pPr>
        <w:spacing w:after="0" w:line="225" w:lineRule="exact"/>
        <w:rPr>
          <w:rFonts w:ascii="Arial" w:cs="Arial" w:eastAsia="Arial" w:hAnsi="Arial"/>
          <w:sz w:val="18"/>
          <w:szCs w:val="18"/>
          <w:color w:val="auto"/>
        </w:rPr>
      </w:pPr>
    </w:p>
    <w:p>
      <w:pPr>
        <w:ind w:right="40" w:firstLine="921"/>
        <w:spacing w:after="0" w:line="259" w:lineRule="auto"/>
        <w:tabs>
          <w:tab w:leader="none" w:pos="1303"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 3.4, 3.5, 3.6, 9.6 or 11.7 and except for any Securities which, pursuant to Section 3.3, are deemed never to have been authenticated and delivered hereunder);</w:t>
      </w:r>
    </w:p>
    <w:p>
      <w:pPr>
        <w:spacing w:after="0" w:line="186" w:lineRule="exact"/>
        <w:rPr>
          <w:rFonts w:ascii="Arial" w:cs="Arial" w:eastAsia="Arial" w:hAnsi="Arial"/>
          <w:sz w:val="18"/>
          <w:szCs w:val="18"/>
          <w:color w:val="auto"/>
        </w:rPr>
      </w:pPr>
    </w:p>
    <w:p>
      <w:pPr>
        <w:ind w:right="40" w:firstLine="921"/>
        <w:spacing w:after="0" w:line="277" w:lineRule="auto"/>
        <w:tabs>
          <w:tab w:leader="none" w:pos="1303"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Person to whom any interest on a Security of the series shall be payable, if other than the Person in whose name that Security (or one or more Predecessor Securities) is registered at the close of business on the Regular Record Date for such interest;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270" w:right="279" w:bottom="1440" w:gutter="0" w:footer="0" w:header="0"/>
        </w:sectPr>
      </w:pPr>
    </w:p>
    <w:bookmarkStart w:id="61" w:name="page62"/>
    <w:bookmarkEnd w:id="61"/>
    <w:p>
      <w:pPr>
        <w:ind w:left="1320" w:hanging="399"/>
        <w:spacing w:after="0"/>
        <w:tabs>
          <w:tab w:leader="none" w:pos="1320" w:val="left"/>
        </w:tabs>
        <w:numPr>
          <w:ilvl w:val="0"/>
          <w:numId w:val="5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date or dates on which the principal of any Securities of the series is payable;</w:t>
      </w:r>
    </w:p>
    <w:p>
      <w:pPr>
        <w:spacing w:after="0" w:line="225" w:lineRule="exact"/>
        <w:rPr>
          <w:rFonts w:ascii="Arial" w:cs="Arial" w:eastAsia="Arial" w:hAnsi="Arial"/>
          <w:sz w:val="18"/>
          <w:szCs w:val="18"/>
          <w:color w:val="auto"/>
        </w:rPr>
      </w:pPr>
    </w:p>
    <w:p>
      <w:pPr>
        <w:ind w:firstLine="921"/>
        <w:spacing w:after="0" w:line="264" w:lineRule="auto"/>
        <w:tabs>
          <w:tab w:leader="none" w:pos="1303"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rate or rates (which may be fixed or variable) at which any Securities of the series shall bear interest, if any, the date or dates from which any such interest shall accrue, the Interest Payment Dates on which any such interest shall be payable and the Regular Record Date for any such interest payable on any Interest Payment Date (or the method for determining the dates and rates);</w:t>
      </w:r>
    </w:p>
    <w:p>
      <w:pPr>
        <w:spacing w:after="0" w:line="181" w:lineRule="exact"/>
        <w:rPr>
          <w:rFonts w:ascii="Arial" w:cs="Arial" w:eastAsia="Arial" w:hAnsi="Arial"/>
          <w:sz w:val="18"/>
          <w:szCs w:val="18"/>
          <w:color w:val="auto"/>
        </w:rPr>
      </w:pPr>
    </w:p>
    <w:p>
      <w:pPr>
        <w:ind w:left="1320" w:hanging="399"/>
        <w:spacing w:after="0"/>
        <w:tabs>
          <w:tab w:leader="none" w:pos="13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place or places where the principal of and any premium and interest on any Securities of the series shall be payable;</w:t>
      </w:r>
    </w:p>
    <w:p>
      <w:pPr>
        <w:spacing w:after="0" w:line="225" w:lineRule="exact"/>
        <w:rPr>
          <w:rFonts w:ascii="Arial" w:cs="Arial" w:eastAsia="Arial" w:hAnsi="Arial"/>
          <w:sz w:val="18"/>
          <w:szCs w:val="18"/>
          <w:color w:val="auto"/>
        </w:rPr>
      </w:pPr>
    </w:p>
    <w:p>
      <w:pPr>
        <w:ind w:right="40" w:firstLine="921"/>
        <w:spacing w:after="0" w:line="264" w:lineRule="auto"/>
        <w:tabs>
          <w:tab w:leader="none" w:pos="1303"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period or periods within which, the price or prices at which and the terms and conditions upon which any Securities of the series may be redeemed, in whole or in part, at the option of the Company and, if other than by a Board Resolution, the manner in which any election by the Company to redeem the Securities shall be evidenced;</w:t>
      </w:r>
    </w:p>
    <w:p>
      <w:pPr>
        <w:spacing w:after="0" w:line="181" w:lineRule="exact"/>
        <w:rPr>
          <w:rFonts w:ascii="Arial" w:cs="Arial" w:eastAsia="Arial" w:hAnsi="Arial"/>
          <w:sz w:val="18"/>
          <w:szCs w:val="18"/>
          <w:color w:val="auto"/>
        </w:rPr>
      </w:pPr>
    </w:p>
    <w:p>
      <w:pPr>
        <w:ind w:right="20" w:firstLine="921"/>
        <w:spacing w:after="0" w:line="286" w:lineRule="auto"/>
        <w:tabs>
          <w:tab w:leader="none" w:pos="1303"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obligation, if any, of the Company to redeem or purchase any Securities of the series pursuant to any sinking fund or analogous provisions or any redemption or purchase at the option of the Holder thereof and the period or periods within which, the price or prices at which and the terms and conditions upon which any Securities of the series shall be redeemed or purchased, in whole or in part, pursuant to such obligation;</w:t>
      </w:r>
    </w:p>
    <w:p>
      <w:pPr>
        <w:spacing w:after="0" w:line="165" w:lineRule="exact"/>
        <w:rPr>
          <w:rFonts w:ascii="Arial" w:cs="Arial" w:eastAsia="Arial" w:hAnsi="Arial"/>
          <w:sz w:val="17"/>
          <w:szCs w:val="17"/>
          <w:color w:val="auto"/>
        </w:rPr>
      </w:pPr>
    </w:p>
    <w:p>
      <w:pPr>
        <w:ind w:left="1320" w:hanging="399"/>
        <w:spacing w:after="0"/>
        <w:tabs>
          <w:tab w:leader="none" w:pos="13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if other than denominations of $1,000 and any integral multiple thereof, the denominations in which any Securities of the series shall be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issuable;</w:t>
      </w:r>
    </w:p>
    <w:p>
      <w:pPr>
        <w:spacing w:after="0" w:line="210" w:lineRule="exact"/>
        <w:rPr>
          <w:rFonts w:ascii="Arial" w:cs="Arial" w:eastAsia="Arial" w:hAnsi="Arial"/>
          <w:sz w:val="16"/>
          <w:szCs w:val="16"/>
          <w:color w:val="auto"/>
        </w:rPr>
      </w:pPr>
    </w:p>
    <w:p>
      <w:pPr>
        <w:ind w:right="280" w:firstLine="921"/>
        <w:spacing w:after="0" w:line="277" w:lineRule="auto"/>
        <w:tabs>
          <w:tab w:leader="none" w:pos="1393" w:val="left"/>
        </w:tabs>
        <w:numPr>
          <w:ilvl w:val="0"/>
          <w:numId w:val="55"/>
        </w:numPr>
        <w:rPr>
          <w:rFonts w:ascii="Arial" w:cs="Arial" w:eastAsia="Arial" w:hAnsi="Arial"/>
          <w:sz w:val="18"/>
          <w:szCs w:val="18"/>
          <w:color w:val="auto"/>
        </w:rPr>
      </w:pPr>
      <w:r>
        <w:rPr>
          <w:rFonts w:ascii="Arial" w:cs="Arial" w:eastAsia="Arial" w:hAnsi="Arial"/>
          <w:sz w:val="18"/>
          <w:szCs w:val="18"/>
          <w:color w:val="auto"/>
        </w:rPr>
        <w:t>if the amount of principal of or any premium or interest on any Securities of the series may be determined with reference to an index or pursuant to a formula, the manner in which such amounts shall be determined;</w:t>
      </w:r>
    </w:p>
    <w:p>
      <w:pPr>
        <w:spacing w:after="0" w:line="170" w:lineRule="exact"/>
        <w:rPr>
          <w:rFonts w:ascii="Arial" w:cs="Arial" w:eastAsia="Arial" w:hAnsi="Arial"/>
          <w:sz w:val="18"/>
          <w:szCs w:val="18"/>
          <w:color w:val="auto"/>
        </w:rPr>
      </w:pPr>
    </w:p>
    <w:p>
      <w:pPr>
        <w:ind w:right="120" w:firstLine="921"/>
        <w:spacing w:after="0" w:line="264" w:lineRule="auto"/>
        <w:tabs>
          <w:tab w:leader="none" w:pos="1386" w:val="left"/>
        </w:tabs>
        <w:numPr>
          <w:ilvl w:val="0"/>
          <w:numId w:val="55"/>
        </w:numPr>
        <w:rPr>
          <w:rFonts w:ascii="Arial" w:cs="Arial" w:eastAsia="Arial" w:hAnsi="Arial"/>
          <w:sz w:val="18"/>
          <w:szCs w:val="18"/>
          <w:color w:val="auto"/>
        </w:rPr>
      </w:pPr>
      <w:r>
        <w:rPr>
          <w:rFonts w:ascii="Arial" w:cs="Arial" w:eastAsia="Arial" w:hAnsi="Arial"/>
          <w:sz w:val="18"/>
          <w:szCs w:val="18"/>
          <w:color w:val="auto"/>
        </w:rPr>
        <w:t>if other than the currency of the United States of America, the currency, currencies or currency units in which the principal of or any premium or interest on any Securities of the series shall be payable and the manner of determining the equivalent thereof in the currency of the United States of America for any purpose, including for purposes of the definition of “Outstanding” in Section 1.1;</w:t>
      </w:r>
    </w:p>
    <w:p>
      <w:pPr>
        <w:spacing w:after="0" w:line="181" w:lineRule="exact"/>
        <w:rPr>
          <w:rFonts w:ascii="Arial" w:cs="Arial" w:eastAsia="Arial" w:hAnsi="Arial"/>
          <w:sz w:val="18"/>
          <w:szCs w:val="18"/>
          <w:color w:val="auto"/>
        </w:rPr>
      </w:pPr>
    </w:p>
    <w:p>
      <w:pPr>
        <w:ind w:right="120" w:firstLine="921"/>
        <w:spacing w:after="0" w:line="257" w:lineRule="auto"/>
        <w:tabs>
          <w:tab w:leader="none" w:pos="1393" w:val="left"/>
        </w:tabs>
        <w:numPr>
          <w:ilvl w:val="0"/>
          <w:numId w:val="55"/>
        </w:numPr>
        <w:rPr>
          <w:rFonts w:ascii="Arial" w:cs="Arial" w:eastAsia="Arial" w:hAnsi="Arial"/>
          <w:sz w:val="18"/>
          <w:szCs w:val="18"/>
          <w:color w:val="auto"/>
        </w:rPr>
      </w:pPr>
      <w:r>
        <w:rPr>
          <w:rFonts w:ascii="Arial" w:cs="Arial" w:eastAsia="Arial" w:hAnsi="Arial"/>
          <w:sz w:val="18"/>
          <w:szCs w:val="18"/>
          <w:color w:val="auto"/>
        </w:rPr>
        <w:t>if the principal of or any premium or interest on any Securities of the series is to be payable, at the election of the Company or the Holder thereof, in one or more currencies or currency units other than that or those in which such Securities are stated to be payable, the currency, currencies or currency units in which the principal of or any premium or interest on such Securities as to which such election is made shall be payable, the periods within which and the terms and conditions upon which such election is to be made and the amount so payable (or the manner in which such amount shall be determined);</w:t>
      </w:r>
    </w:p>
    <w:p>
      <w:pPr>
        <w:spacing w:after="0" w:line="188" w:lineRule="exact"/>
        <w:rPr>
          <w:rFonts w:ascii="Arial" w:cs="Arial" w:eastAsia="Arial" w:hAnsi="Arial"/>
          <w:sz w:val="18"/>
          <w:szCs w:val="18"/>
          <w:color w:val="auto"/>
        </w:rPr>
      </w:pPr>
    </w:p>
    <w:p>
      <w:pPr>
        <w:jc w:val="both"/>
        <w:ind w:right="360" w:firstLine="921"/>
        <w:spacing w:after="0" w:line="264" w:lineRule="auto"/>
        <w:tabs>
          <w:tab w:leader="none" w:pos="1393"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percentage of the principal amount at which the Securities will be issued, and, if other than the entire principal amount thereof, the portion of the principal amount of any Securities of the series which shall be payable upon declaration of acceleration of the Maturity thereof pursuant to Section 5.2;</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62" w:name="page63"/>
    <w:bookmarkEnd w:id="62"/>
    <w:p>
      <w:pPr>
        <w:ind w:right="20" w:firstLine="921"/>
        <w:spacing w:after="0" w:line="257" w:lineRule="auto"/>
        <w:tabs>
          <w:tab w:leader="none" w:pos="1393" w:val="left"/>
        </w:tabs>
        <w:numPr>
          <w:ilvl w:val="0"/>
          <w:numId w:val="5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principal amount payable at the Stated Maturity of any Securities of the series will not be determinable as of any one or more dates prior to the Stated Maturity, the amount which shall be deemed to be the principal amount of such Securities as of any such date for any purpose thereunder or hereunder, including the principal amount thereof which shall be due and payable upon any Maturity other than the Stated Maturity or which shall be deemed to be Outstanding as of any date prior to the Stated Maturity (or, in any such case, the manner in which such amount deemed to be the principal amount shall be determined);</w:t>
      </w:r>
    </w:p>
    <w:p>
      <w:pPr>
        <w:spacing w:after="0" w:line="188" w:lineRule="exact"/>
        <w:rPr>
          <w:rFonts w:ascii="Arial" w:cs="Arial" w:eastAsia="Arial" w:hAnsi="Arial"/>
          <w:sz w:val="18"/>
          <w:szCs w:val="18"/>
          <w:color w:val="auto"/>
        </w:rPr>
      </w:pPr>
    </w:p>
    <w:p>
      <w:pPr>
        <w:ind w:right="40" w:firstLine="921"/>
        <w:spacing w:after="0" w:line="264" w:lineRule="auto"/>
        <w:tabs>
          <w:tab w:leader="none" w:pos="1393" w:val="left"/>
        </w:tabs>
        <w:numPr>
          <w:ilvl w:val="0"/>
          <w:numId w:val="56"/>
        </w:numPr>
        <w:rPr>
          <w:rFonts w:ascii="Arial" w:cs="Arial" w:eastAsia="Arial" w:hAnsi="Arial"/>
          <w:sz w:val="18"/>
          <w:szCs w:val="18"/>
          <w:color w:val="auto"/>
        </w:rPr>
      </w:pPr>
      <w:r>
        <w:rPr>
          <w:rFonts w:ascii="Arial" w:cs="Arial" w:eastAsia="Arial" w:hAnsi="Arial"/>
          <w:sz w:val="18"/>
          <w:szCs w:val="18"/>
          <w:color w:val="auto"/>
        </w:rPr>
        <w:t>if applicable, that the Securities of the series, in whole or any specified part, shall be defeasible pursuant to Section 13.2 or Section 13.3 or both such Sections, or any other defeasance provisions applicable to any Securities of the series, and, if other than by a Board Resolution, the manner in which any election by the Company to defease such Securities shall be evidenced;</w:t>
      </w:r>
    </w:p>
    <w:p>
      <w:pPr>
        <w:spacing w:after="0" w:line="181" w:lineRule="exact"/>
        <w:rPr>
          <w:rFonts w:ascii="Arial" w:cs="Arial" w:eastAsia="Arial" w:hAnsi="Arial"/>
          <w:sz w:val="18"/>
          <w:szCs w:val="18"/>
          <w:color w:val="auto"/>
        </w:rPr>
      </w:pPr>
    </w:p>
    <w:p>
      <w:pPr>
        <w:ind w:left="1400" w:hanging="479"/>
        <w:spacing w:after="0"/>
        <w:tabs>
          <w:tab w:leader="none" w:pos="14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if applicable, the terms of any right to convert or exchange Securities of the series;</w:t>
      </w:r>
    </w:p>
    <w:p>
      <w:pPr>
        <w:spacing w:after="0" w:line="225" w:lineRule="exact"/>
        <w:rPr>
          <w:rFonts w:ascii="Arial" w:cs="Arial" w:eastAsia="Arial" w:hAnsi="Arial"/>
          <w:sz w:val="18"/>
          <w:szCs w:val="18"/>
          <w:color w:val="auto"/>
        </w:rPr>
      </w:pPr>
    </w:p>
    <w:p>
      <w:pPr>
        <w:jc w:val="both"/>
        <w:ind w:firstLine="921"/>
        <w:spacing w:after="0" w:line="297" w:lineRule="auto"/>
        <w:tabs>
          <w:tab w:leader="none" w:pos="1393" w:val="left"/>
        </w:tabs>
        <w:numPr>
          <w:ilvl w:val="0"/>
          <w:numId w:val="56"/>
        </w:numPr>
        <w:rPr>
          <w:rFonts w:ascii="Arial" w:cs="Arial" w:eastAsia="Arial" w:hAnsi="Arial"/>
          <w:sz w:val="16"/>
          <w:szCs w:val="16"/>
          <w:color w:val="auto"/>
        </w:rPr>
      </w:pPr>
      <w:r>
        <w:rPr>
          <w:rFonts w:ascii="Arial" w:cs="Arial" w:eastAsia="Arial" w:hAnsi="Arial"/>
          <w:sz w:val="16"/>
          <w:szCs w:val="16"/>
          <w:color w:val="auto"/>
        </w:rPr>
        <w:t>if applicable, that any Securities of the series shall be issuable in whole or in part in the form of one or more Global Securities and, in such case, the respective Depositaries for such Global Securities, the form of any legend or legends which shall be borne by any such Global Security in addition to or in lieu of that set forth in Section 2.2 and any circumstances in addition to or in lieu of those set forth in clause (2) of the last paragraph of Section 3.5 in which any such Global Security may be exchanged in whole or in part for Securities registered, and any transfer of such Global Security in whole or in part may be registered, in the name or names of Persons other than the Depositary for such Global Security or a nominee thereof;</w:t>
      </w:r>
    </w:p>
    <w:p>
      <w:pPr>
        <w:spacing w:after="0" w:line="158" w:lineRule="exact"/>
        <w:rPr>
          <w:rFonts w:ascii="Arial" w:cs="Arial" w:eastAsia="Arial" w:hAnsi="Arial"/>
          <w:sz w:val="16"/>
          <w:szCs w:val="16"/>
          <w:color w:val="auto"/>
        </w:rPr>
      </w:pPr>
    </w:p>
    <w:p>
      <w:pPr>
        <w:ind w:right="20" w:firstLine="921"/>
        <w:spacing w:after="0" w:line="308" w:lineRule="auto"/>
        <w:tabs>
          <w:tab w:leader="none" w:pos="1393" w:val="left"/>
        </w:tabs>
        <w:numPr>
          <w:ilvl w:val="0"/>
          <w:numId w:val="56"/>
        </w:numPr>
        <w:rPr>
          <w:rFonts w:ascii="Arial" w:cs="Arial" w:eastAsia="Arial" w:hAnsi="Arial"/>
          <w:sz w:val="17"/>
          <w:szCs w:val="17"/>
          <w:color w:val="auto"/>
        </w:rPr>
      </w:pPr>
      <w:r>
        <w:rPr>
          <w:rFonts w:ascii="Arial" w:cs="Arial" w:eastAsia="Arial" w:hAnsi="Arial"/>
          <w:sz w:val="17"/>
          <w:szCs w:val="17"/>
          <w:color w:val="auto"/>
        </w:rPr>
        <w:t>any addition to or deletion of or change in the Events of Default which applies to any Securities of the series and any change in the right of the Trustee or the requisite Holders of such Securities to declare the principal amount thereof due and payable pursuant to Section 5.2;</w:t>
      </w:r>
    </w:p>
    <w:p>
      <w:pPr>
        <w:spacing w:after="0" w:line="146" w:lineRule="exact"/>
        <w:rPr>
          <w:rFonts w:ascii="Arial" w:cs="Arial" w:eastAsia="Arial" w:hAnsi="Arial"/>
          <w:sz w:val="17"/>
          <w:szCs w:val="17"/>
          <w:color w:val="auto"/>
        </w:rPr>
      </w:pPr>
    </w:p>
    <w:p>
      <w:pPr>
        <w:ind w:left="1400" w:hanging="479"/>
        <w:spacing w:after="0"/>
        <w:tabs>
          <w:tab w:leader="none" w:pos="14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addition to or deletion of or change in the covenants set forth in Article 10 which applies to Securities of the series;</w:t>
      </w:r>
    </w:p>
    <w:p>
      <w:pPr>
        <w:spacing w:after="0" w:line="225" w:lineRule="exact"/>
        <w:rPr>
          <w:rFonts w:ascii="Arial" w:cs="Arial" w:eastAsia="Arial" w:hAnsi="Arial"/>
          <w:sz w:val="18"/>
          <w:szCs w:val="18"/>
          <w:color w:val="auto"/>
        </w:rPr>
      </w:pPr>
    </w:p>
    <w:p>
      <w:pPr>
        <w:ind w:right="480" w:firstLine="921"/>
        <w:spacing w:after="0" w:line="277" w:lineRule="auto"/>
        <w:tabs>
          <w:tab w:leader="none" w:pos="1393"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Authenticating Agents, Paying Agents, Security Registrars or such other agents necessary in connection with the issuance of the Securities of such series, including, without limitation, exchange rate agents and calculation agents;</w:t>
      </w:r>
    </w:p>
    <w:p>
      <w:pPr>
        <w:spacing w:after="0" w:line="170" w:lineRule="exact"/>
        <w:rPr>
          <w:rFonts w:ascii="Arial" w:cs="Arial" w:eastAsia="Arial" w:hAnsi="Arial"/>
          <w:sz w:val="18"/>
          <w:szCs w:val="18"/>
          <w:color w:val="auto"/>
        </w:rPr>
      </w:pPr>
    </w:p>
    <w:p>
      <w:pPr>
        <w:ind w:right="1060" w:firstLine="921"/>
        <w:spacing w:after="0" w:line="277" w:lineRule="auto"/>
        <w:tabs>
          <w:tab w:leader="none" w:pos="1393" w:val="left"/>
        </w:tabs>
        <w:numPr>
          <w:ilvl w:val="0"/>
          <w:numId w:val="56"/>
        </w:numPr>
        <w:rPr>
          <w:rFonts w:ascii="Arial" w:cs="Arial" w:eastAsia="Arial" w:hAnsi="Arial"/>
          <w:sz w:val="18"/>
          <w:szCs w:val="18"/>
          <w:color w:val="auto"/>
        </w:rPr>
      </w:pPr>
      <w:r>
        <w:rPr>
          <w:rFonts w:ascii="Arial" w:cs="Arial" w:eastAsia="Arial" w:hAnsi="Arial"/>
          <w:sz w:val="18"/>
          <w:szCs w:val="18"/>
          <w:color w:val="auto"/>
        </w:rPr>
        <w:t>if applicable, the terms of any security that will be provided for a series of Securities, including any provisions regarding the circumstances under which collateral may be released or substituted;</w:t>
      </w:r>
    </w:p>
    <w:p>
      <w:pPr>
        <w:spacing w:after="0" w:line="170" w:lineRule="exact"/>
        <w:rPr>
          <w:rFonts w:ascii="Arial" w:cs="Arial" w:eastAsia="Arial" w:hAnsi="Arial"/>
          <w:sz w:val="18"/>
          <w:szCs w:val="18"/>
          <w:color w:val="auto"/>
        </w:rPr>
      </w:pPr>
    </w:p>
    <w:p>
      <w:pPr>
        <w:ind w:left="1400" w:hanging="479"/>
        <w:spacing w:after="0"/>
        <w:tabs>
          <w:tab w:leader="none" w:pos="14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if applicable, the terms of any guaranties for the Securities and any circumstances under which there may be additional obligors on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Securities;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63" w:name="page64"/>
    <w:bookmarkEnd w:id="63"/>
    <w:p>
      <w:pPr>
        <w:ind w:left="1400" w:hanging="479"/>
        <w:spacing w:after="0"/>
        <w:tabs>
          <w:tab w:leader="none" w:pos="1400" w:val="left"/>
        </w:tabs>
        <w:numPr>
          <w:ilvl w:val="0"/>
          <w:numId w:val="5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provisions granting special rights to holders when a specified event occurs;</w:t>
      </w:r>
    </w:p>
    <w:p>
      <w:pPr>
        <w:spacing w:after="0" w:line="225" w:lineRule="exact"/>
        <w:rPr>
          <w:rFonts w:ascii="Arial" w:cs="Arial" w:eastAsia="Arial" w:hAnsi="Arial"/>
          <w:sz w:val="18"/>
          <w:szCs w:val="18"/>
          <w:color w:val="auto"/>
        </w:rPr>
      </w:pPr>
    </w:p>
    <w:p>
      <w:pPr>
        <w:ind w:left="1400" w:hanging="479"/>
        <w:spacing w:after="0"/>
        <w:tabs>
          <w:tab w:leader="none" w:pos="14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provisions with respect to any special interest premium or other premium;</w:t>
      </w:r>
    </w:p>
    <w:p>
      <w:pPr>
        <w:spacing w:after="0" w:line="225" w:lineRule="exact"/>
        <w:rPr>
          <w:rFonts w:ascii="Arial" w:cs="Arial" w:eastAsia="Arial" w:hAnsi="Arial"/>
          <w:sz w:val="18"/>
          <w:szCs w:val="18"/>
          <w:color w:val="auto"/>
        </w:rPr>
      </w:pPr>
    </w:p>
    <w:p>
      <w:pPr>
        <w:ind w:left="1400" w:hanging="479"/>
        <w:spacing w:after="0"/>
        <w:tabs>
          <w:tab w:leader="none" w:pos="14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special tax provisions that apply to any series of Securities;</w:t>
      </w:r>
    </w:p>
    <w:p>
      <w:pPr>
        <w:spacing w:after="0" w:line="225" w:lineRule="exact"/>
        <w:rPr>
          <w:rFonts w:ascii="Arial" w:cs="Arial" w:eastAsia="Arial" w:hAnsi="Arial"/>
          <w:sz w:val="18"/>
          <w:szCs w:val="18"/>
          <w:color w:val="auto"/>
        </w:rPr>
      </w:pPr>
    </w:p>
    <w:p>
      <w:pPr>
        <w:ind w:left="1400" w:hanging="479"/>
        <w:spacing w:after="0"/>
        <w:tabs>
          <w:tab w:leader="none" w:pos="14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with respect to any series of Securities that do not bear interest, the date for certain required reports to the Trustee;</w:t>
      </w:r>
    </w:p>
    <w:p>
      <w:pPr>
        <w:spacing w:after="0" w:line="225" w:lineRule="exact"/>
        <w:rPr>
          <w:rFonts w:ascii="Arial" w:cs="Arial" w:eastAsia="Arial" w:hAnsi="Arial"/>
          <w:sz w:val="18"/>
          <w:szCs w:val="18"/>
          <w:color w:val="auto"/>
        </w:rPr>
      </w:pPr>
    </w:p>
    <w:p>
      <w:pPr>
        <w:ind w:left="1400" w:hanging="479"/>
        <w:spacing w:after="0"/>
        <w:tabs>
          <w:tab w:leader="none" w:pos="14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and all additional, eliminated or changed terms that will apply to such series of Securities; and</w:t>
      </w:r>
    </w:p>
    <w:p>
      <w:pPr>
        <w:spacing w:after="0" w:line="225" w:lineRule="exact"/>
        <w:rPr>
          <w:rFonts w:ascii="Arial" w:cs="Arial" w:eastAsia="Arial" w:hAnsi="Arial"/>
          <w:sz w:val="18"/>
          <w:szCs w:val="18"/>
          <w:color w:val="auto"/>
        </w:rPr>
      </w:pPr>
    </w:p>
    <w:p>
      <w:pPr>
        <w:ind w:left="1400" w:hanging="479"/>
        <w:spacing w:after="0"/>
        <w:tabs>
          <w:tab w:leader="none" w:pos="14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any other terms of the series of Securities (which terms shall not be inconsistent with the provisions of this Indenture, except as permitted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by Section 9.1(5)).</w:t>
      </w:r>
    </w:p>
    <w:p>
      <w:pPr>
        <w:spacing w:after="0" w:line="21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All Securities of any one series shall be substantially identical except as to denomination and except as may otherwise be provided in or pursuant to the Board Resolution referred to above and (subject to Section 3.3) set forth, or determined in the manner provided, in the Officers’ Certificate (including any exhibit attached thereto) referred to above or in any such indenture supplemental hereto.</w:t>
      </w:r>
    </w:p>
    <w:p>
      <w:pPr>
        <w:spacing w:after="0" w:line="18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If any of the terms of the series are established by action taken pursuant to a Board Resolution, a copy of an appropriate record of such action shall be certified by the Secretary or an Assistant Secretary of the Company and delivered to the Trustee at or prior to the delivery of the Officers’ Certificate (including any exhibit attached thereto) setting forth the terms of the series.</w:t>
      </w:r>
    </w:p>
    <w:p>
      <w:pPr>
        <w:spacing w:after="0" w:line="177" w:lineRule="exact"/>
        <w:rPr>
          <w:sz w:val="20"/>
          <w:szCs w:val="20"/>
          <w:color w:val="auto"/>
        </w:rPr>
      </w:pPr>
    </w:p>
    <w:p>
      <w:pPr>
        <w:ind w:right="80" w:firstLine="456"/>
        <w:spacing w:after="0" w:line="266" w:lineRule="auto"/>
        <w:rPr>
          <w:sz w:val="20"/>
          <w:szCs w:val="20"/>
          <w:color w:val="auto"/>
        </w:rPr>
      </w:pPr>
      <w:r>
        <w:rPr>
          <w:rFonts w:ascii="Arial" w:cs="Arial" w:eastAsia="Arial" w:hAnsi="Arial"/>
          <w:sz w:val="18"/>
          <w:szCs w:val="18"/>
          <w:b w:val="1"/>
          <w:bCs w:val="1"/>
          <w:color w:val="auto"/>
        </w:rPr>
        <w:t>Section 3.2 Denominations</w:t>
      </w:r>
      <w:r>
        <w:rPr>
          <w:rFonts w:ascii="Arial" w:cs="Arial" w:eastAsia="Arial" w:hAnsi="Arial"/>
          <w:sz w:val="18"/>
          <w:szCs w:val="18"/>
          <w:color w:val="auto"/>
        </w:rPr>
        <w:t>. The Securities of each series shall be issuable only in registered form without coupons and only in such denominations</w:t>
      </w:r>
      <w:r>
        <w:rPr>
          <w:rFonts w:ascii="Arial" w:cs="Arial" w:eastAsia="Arial" w:hAnsi="Arial"/>
          <w:sz w:val="18"/>
          <w:szCs w:val="18"/>
          <w:b w:val="1"/>
          <w:bCs w:val="1"/>
          <w:color w:val="auto"/>
        </w:rPr>
        <w:t xml:space="preserve"> </w:t>
      </w:r>
      <w:r>
        <w:rPr>
          <w:rFonts w:ascii="Arial" w:cs="Arial" w:eastAsia="Arial" w:hAnsi="Arial"/>
          <w:sz w:val="18"/>
          <w:szCs w:val="18"/>
          <w:color w:val="auto"/>
        </w:rPr>
        <w:t>as shall be specified as contemplated by Section 3.1. In the absence of any such specified denomination with respect to the Securities of any series, the Securities of such series shall be issuable in denominations of $1,000 and any integral multiple thereof.</w:t>
      </w:r>
    </w:p>
    <w:p>
      <w:pPr>
        <w:spacing w:after="0" w:line="176" w:lineRule="exact"/>
        <w:rPr>
          <w:sz w:val="20"/>
          <w:szCs w:val="20"/>
          <w:color w:val="auto"/>
        </w:rPr>
      </w:pPr>
    </w:p>
    <w:p>
      <w:pPr>
        <w:ind w:right="60" w:firstLine="456"/>
        <w:spacing w:after="0" w:line="261" w:lineRule="auto"/>
        <w:rPr>
          <w:sz w:val="20"/>
          <w:szCs w:val="20"/>
          <w:color w:val="auto"/>
        </w:rPr>
      </w:pPr>
      <w:r>
        <w:rPr>
          <w:rFonts w:ascii="Arial" w:cs="Arial" w:eastAsia="Arial" w:hAnsi="Arial"/>
          <w:sz w:val="18"/>
          <w:szCs w:val="18"/>
          <w:b w:val="1"/>
          <w:bCs w:val="1"/>
          <w:color w:val="auto"/>
        </w:rPr>
        <w:t>Section 3.3 Execution, Authentication, Delivery and Dating</w:t>
      </w:r>
      <w:r>
        <w:rPr>
          <w:rFonts w:ascii="Arial" w:cs="Arial" w:eastAsia="Arial" w:hAnsi="Arial"/>
          <w:sz w:val="18"/>
          <w:szCs w:val="18"/>
          <w:color w:val="auto"/>
        </w:rPr>
        <w:t>. The Securities shall be executed on behalf of the Company by its Chairman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its Vice Chairman of the Board, its Chief Executive Officer, its principal financial officer, its principal accounting officer, its President or one of its executive officers, and attested by its Treasurer, its Secretary or one of its Assistant Treasurers or Assistant Secretaries. The signature of any of these officers on the Securities may be manual or facsimile.</w:t>
      </w:r>
    </w:p>
    <w:p>
      <w:pPr>
        <w:spacing w:after="0" w:line="184"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Securities bearing the manual or facsimile signatures of individuals who were at any time the proper officers of the Company shall bind the Company, notwithstanding that such individuals or any of them have ceased to hold such offices prior to the authentication and delivery of such Securities or did not hold such offices at the date of such Securities.</w:t>
      </w:r>
    </w:p>
    <w:p>
      <w:pPr>
        <w:spacing w:after="0" w:line="18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At any time and from time to time after the execution and delivery of this Indenture, the Company may deliver Securities of any series executed by the Company to the Trustee for</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274" w:right="299" w:bottom="1440" w:gutter="0" w:footer="0" w:header="0"/>
        </w:sectPr>
      </w:pPr>
    </w:p>
    <w:bookmarkStart w:id="64" w:name="page65"/>
    <w:bookmarkEnd w:id="64"/>
    <w:p>
      <w:pPr>
        <w:ind w:right="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authentication, together with a Company Order for the authentication and delivery of such Securities, and the Trustee in accordance with the Company Order shall authenticate and deliver such Securities. If the form or terms of the Securities of the series have been established by or pursuant to one or more Board Resolutions as permitted by Sections 2.1 and 3.1, in authenticating such Securities, and accepting the additional responsibilities under this Indenture in relation to such Securities, the Trustee shall be entitled to receive, and (subject to Section 6.1) shall be fully protected in relying upon, a certified copy of such Board Resolution, an Officers’ Certificate or supplemental indenture hereto setting forth the terms of the series and an Opinion of Counsel (which opinion of Counsel may contain customary qualifications and exceptions), with such Opinion of Counsel stating,</w:t>
      </w:r>
    </w:p>
    <w:p>
      <w:pPr>
        <w:spacing w:after="0" w:line="178" w:lineRule="exact"/>
        <w:rPr>
          <w:sz w:val="20"/>
          <w:szCs w:val="20"/>
          <w:color w:val="auto"/>
        </w:rPr>
      </w:pPr>
    </w:p>
    <w:p>
      <w:pPr>
        <w:ind w:right="120" w:firstLine="921"/>
        <w:spacing w:after="0" w:line="277" w:lineRule="auto"/>
        <w:tabs>
          <w:tab w:leader="none" w:pos="1303" w:val="left"/>
        </w:tabs>
        <w:numPr>
          <w:ilvl w:val="0"/>
          <w:numId w:val="58"/>
        </w:numPr>
        <w:rPr>
          <w:rFonts w:ascii="Arial" w:cs="Arial" w:eastAsia="Arial" w:hAnsi="Arial"/>
          <w:sz w:val="18"/>
          <w:szCs w:val="18"/>
          <w:color w:val="auto"/>
        </w:rPr>
      </w:pPr>
      <w:r>
        <w:rPr>
          <w:rFonts w:ascii="Arial" w:cs="Arial" w:eastAsia="Arial" w:hAnsi="Arial"/>
          <w:sz w:val="18"/>
          <w:szCs w:val="18"/>
          <w:color w:val="auto"/>
        </w:rPr>
        <w:t>if the form of such Securities has been established by or pursuant to Board Resolution as permitted by Section 2.1, that such form has been established in conformity with the provisions of this Indenture;</w:t>
      </w:r>
    </w:p>
    <w:p>
      <w:pPr>
        <w:spacing w:after="0" w:line="170" w:lineRule="exact"/>
        <w:rPr>
          <w:rFonts w:ascii="Arial" w:cs="Arial" w:eastAsia="Arial" w:hAnsi="Arial"/>
          <w:sz w:val="18"/>
          <w:szCs w:val="18"/>
          <w:color w:val="auto"/>
        </w:rPr>
      </w:pPr>
    </w:p>
    <w:p>
      <w:pPr>
        <w:ind w:right="200" w:firstLine="921"/>
        <w:spacing w:after="0" w:line="277" w:lineRule="auto"/>
        <w:tabs>
          <w:tab w:leader="none" w:pos="1303" w:val="left"/>
        </w:tabs>
        <w:numPr>
          <w:ilvl w:val="0"/>
          <w:numId w:val="58"/>
        </w:numPr>
        <w:rPr>
          <w:rFonts w:ascii="Arial" w:cs="Arial" w:eastAsia="Arial" w:hAnsi="Arial"/>
          <w:sz w:val="18"/>
          <w:szCs w:val="18"/>
          <w:color w:val="auto"/>
        </w:rPr>
      </w:pPr>
      <w:r>
        <w:rPr>
          <w:rFonts w:ascii="Arial" w:cs="Arial" w:eastAsia="Arial" w:hAnsi="Arial"/>
          <w:sz w:val="18"/>
          <w:szCs w:val="18"/>
          <w:color w:val="auto"/>
        </w:rPr>
        <w:t>if the terms of such Securities have been established by or pursuant to Board Resolution as permitted by Section 3.1, that such terms have been established in conformity with the provisions of this Indenture; and</w:t>
      </w:r>
    </w:p>
    <w:p>
      <w:pPr>
        <w:spacing w:after="0" w:line="170" w:lineRule="exact"/>
        <w:rPr>
          <w:rFonts w:ascii="Arial" w:cs="Arial" w:eastAsia="Arial" w:hAnsi="Arial"/>
          <w:sz w:val="18"/>
          <w:szCs w:val="18"/>
          <w:color w:val="auto"/>
        </w:rPr>
      </w:pPr>
    </w:p>
    <w:p>
      <w:pPr>
        <w:ind w:right="200" w:firstLine="921"/>
        <w:spacing w:after="0" w:line="259" w:lineRule="auto"/>
        <w:tabs>
          <w:tab w:leader="none" w:pos="1303"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that such Securities, when authenticated and delivered by the Trustee and issued by the Company in the manner and subject to any conditions specified in such Opinion of Counsel, will constitute valid and binding obligations of the Company enforceable in accordance with their terms, subject to bankruptcy, insolvency, fraudulent transfer, reorganization, moratorium and similar laws of general applicability relating to or affecting creditors’ rights and to general equity principles.</w:t>
      </w:r>
    </w:p>
    <w:p>
      <w:pPr>
        <w:spacing w:after="0" w:line="18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If such form or terms have been so established, the Trustee shall not be required to authenticate such Securities if the issue of such Securities pursuant to this Indenture will affect the Trustee’s own rights, duties or immunities under the Securities and this Indenture or otherwise in a manner that is not reasonably acceptable to the Trustee.</w:t>
      </w:r>
    </w:p>
    <w:p>
      <w:pPr>
        <w:spacing w:after="0" w:line="181"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Notwithstanding the provisions of Section 3.1 and of this Section 3.3, if all Securities of a series are not to be originally issued at one time, it shall not be necessary to deliver an Officers’ Certificate or supplemental indenture hereto otherwise required pursuant to Section 3.1 or the Company Order and Opinion of Counsel otherwise required pursuant to this Section 3.3 at or prior to the authentication of each Security of such series if such documents are delivered at or prior to the authentication upon original issuance of the first Security of such series to be issued.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Security shall be dated the date of its authentication.</w:t>
      </w:r>
    </w:p>
    <w:p>
      <w:pPr>
        <w:spacing w:after="0" w:line="225"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No Security shall be entitled to any benefit under this Indenture or be valid or obligatory for any purpose unless there appears on such Security a certificate of authentication substantially in the form provided for herein executed by the Trustee by manual signature, and such certificate upon any Security shall be conclusive evidence, and the only evidence, that such Security has been duly authenticated and delivered hereunder. Notwithstanding the foregoing, if any Security shall have been authenticated and delivered hereunder but never issued and sold by the Company, and the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4" w:right="239" w:bottom="1440" w:gutter="0" w:footer="0" w:header="0"/>
        </w:sectPr>
      </w:pPr>
    </w:p>
    <w:bookmarkStart w:id="65" w:name="page66"/>
    <w:bookmarkEnd w:id="65"/>
    <w:p>
      <w:pPr>
        <w:ind w:right="58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Company shall deliver such Security to the Trustee for cancellation as provided in Section 3.9, for all purposes of this Indenture such Security shall be deemed never to have been authenticated and delivered hereunder and shall never be entitled to the benefits of this Indenture.</w:t>
      </w:r>
    </w:p>
    <w:p>
      <w:pPr>
        <w:spacing w:after="0" w:line="147" w:lineRule="exact"/>
        <w:rPr>
          <w:sz w:val="20"/>
          <w:szCs w:val="20"/>
          <w:color w:val="auto"/>
        </w:rPr>
      </w:pPr>
    </w:p>
    <w:p>
      <w:pPr>
        <w:ind w:right="200" w:firstLine="456"/>
        <w:spacing w:after="0" w:line="312" w:lineRule="auto"/>
        <w:rPr>
          <w:sz w:val="20"/>
          <w:szCs w:val="20"/>
          <w:color w:val="auto"/>
        </w:rPr>
      </w:pPr>
      <w:r>
        <w:rPr>
          <w:rFonts w:ascii="Arial" w:cs="Arial" w:eastAsia="Arial" w:hAnsi="Arial"/>
          <w:sz w:val="16"/>
          <w:szCs w:val="16"/>
          <w:color w:val="auto"/>
        </w:rPr>
        <w:t>Neither the Company nor the Trustee shall have any responsibility for any defect in the CUSIP number that appears on any Security, check, advice of payment or redemption notice, and any such document may contain a statement to the effect that CUSIP numbers have been assigned by an independent service for convenience of reference and that neither the Company nor the Trustee shall be liable for any inaccuracy in such numbers.</w:t>
      </w:r>
    </w:p>
    <w:p>
      <w:pPr>
        <w:spacing w:after="0" w:line="143" w:lineRule="exact"/>
        <w:rPr>
          <w:sz w:val="20"/>
          <w:szCs w:val="20"/>
          <w:color w:val="auto"/>
        </w:rPr>
      </w:pPr>
    </w:p>
    <w:p>
      <w:pPr>
        <w:ind w:right="160" w:firstLine="456"/>
        <w:spacing w:after="0" w:line="303" w:lineRule="auto"/>
        <w:rPr>
          <w:sz w:val="20"/>
          <w:szCs w:val="20"/>
          <w:color w:val="auto"/>
        </w:rPr>
      </w:pPr>
      <w:r>
        <w:rPr>
          <w:rFonts w:ascii="Arial" w:cs="Arial" w:eastAsia="Arial" w:hAnsi="Arial"/>
          <w:sz w:val="16"/>
          <w:szCs w:val="16"/>
          <w:b w:val="1"/>
          <w:bCs w:val="1"/>
          <w:color w:val="auto"/>
        </w:rPr>
        <w:t>Section 3.4 Temporary Securities</w:t>
      </w:r>
      <w:r>
        <w:rPr>
          <w:rFonts w:ascii="Arial" w:cs="Arial" w:eastAsia="Arial" w:hAnsi="Arial"/>
          <w:sz w:val="16"/>
          <w:szCs w:val="16"/>
          <w:color w:val="auto"/>
        </w:rPr>
        <w:t>. Pending the preparation of definitive Securities of any series, the Company may execute, and upon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Order the Trustee shall authenticate and deliver, temporary Securities which are printed, lithographed, typewritten, mimeographed or otherwise produced, in any authorized denomination, substantially of the tenor of the definitive Securities in lieu of which they are issued and with such appropriate insertions, omissions, substitutions and other variations as the officers executing such Securities may determine, as evidenced by their execution of such Securities.</w:t>
      </w:r>
    </w:p>
    <w:p>
      <w:pPr>
        <w:spacing w:after="0" w:line="15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temporary Securities of any series are issued, the Company will cause definitive Securities of that series to be prepared without unreasonable delay. After the preparation of definitive Securities of such series, the temporary Securities of such series shall be exchangeable for definitive Securities of such series upon surrender of the temporary Securities of such series at the office or agency of the Company in a Place of Payment for that series, without charge to the Holder. Upon surrender for cancellation of any one or more temporary Securities of any series, the Company shall execute and the Trustee shall authenticate and deliver in exchange therefor one or more definitive Securities of the same series, of any authorized denominations and of like tenor and aggregate principal amount. Until so exchanged, the temporary Securities of any series shall in all respects be entitled to the same benefits under this Indenture as definitive Securities of such series and tenor.</w:t>
      </w:r>
    </w:p>
    <w:p>
      <w:pPr>
        <w:spacing w:after="0" w:line="185" w:lineRule="exact"/>
        <w:rPr>
          <w:sz w:val="20"/>
          <w:szCs w:val="20"/>
          <w:color w:val="auto"/>
        </w:rPr>
      </w:pPr>
    </w:p>
    <w:p>
      <w:pPr>
        <w:ind w:right="40" w:firstLine="456"/>
        <w:spacing w:after="0" w:line="258" w:lineRule="auto"/>
        <w:rPr>
          <w:sz w:val="20"/>
          <w:szCs w:val="20"/>
          <w:color w:val="auto"/>
        </w:rPr>
      </w:pPr>
      <w:r>
        <w:rPr>
          <w:rFonts w:ascii="Arial" w:cs="Arial" w:eastAsia="Arial" w:hAnsi="Arial"/>
          <w:sz w:val="18"/>
          <w:szCs w:val="18"/>
          <w:b w:val="1"/>
          <w:bCs w:val="1"/>
          <w:color w:val="auto"/>
        </w:rPr>
        <w:t>Section 3.5 Registration; Registration of Transfer and Exchange</w:t>
      </w:r>
      <w:r>
        <w:rPr>
          <w:rFonts w:ascii="Arial" w:cs="Arial" w:eastAsia="Arial" w:hAnsi="Arial"/>
          <w:sz w:val="18"/>
          <w:szCs w:val="18"/>
          <w:color w:val="auto"/>
        </w:rPr>
        <w:t>. The Company shall cause to be kept at the Corporate Trust Office of the Trustee</w:t>
      </w:r>
      <w:r>
        <w:rPr>
          <w:rFonts w:ascii="Arial" w:cs="Arial" w:eastAsia="Arial" w:hAnsi="Arial"/>
          <w:sz w:val="18"/>
          <w:szCs w:val="18"/>
          <w:b w:val="1"/>
          <w:bCs w:val="1"/>
          <w:color w:val="auto"/>
        </w:rPr>
        <w:t xml:space="preserve"> </w:t>
      </w:r>
      <w:r>
        <w:rPr>
          <w:rFonts w:ascii="Arial" w:cs="Arial" w:eastAsia="Arial" w:hAnsi="Arial"/>
          <w:sz w:val="18"/>
          <w:szCs w:val="18"/>
          <w:color w:val="auto"/>
        </w:rPr>
        <w:t>a register (the register maintained in such office and in any other office or agency of the Company in a Place of Payment being herein sometimes collectively referred to as the “Security Register”) in which, subject to such reasonable regulations as it may prescribe, the Company shall provide for the registration of Securities and of transfers of Securities. The Trustee is hereby appointed “Security Registrar” for the purpose of registering Securities and transfers of Securities as herein provided.</w:t>
      </w:r>
    </w:p>
    <w:p>
      <w:pPr>
        <w:spacing w:after="0" w:line="188" w:lineRule="exact"/>
        <w:rPr>
          <w:sz w:val="20"/>
          <w:szCs w:val="20"/>
          <w:color w:val="auto"/>
        </w:rPr>
      </w:pPr>
    </w:p>
    <w:p>
      <w:pPr>
        <w:jc w:val="both"/>
        <w:ind w:right="160" w:firstLine="456"/>
        <w:spacing w:after="0" w:line="286" w:lineRule="auto"/>
        <w:rPr>
          <w:sz w:val="20"/>
          <w:szCs w:val="20"/>
          <w:color w:val="auto"/>
        </w:rPr>
      </w:pPr>
      <w:r>
        <w:rPr>
          <w:rFonts w:ascii="Arial" w:cs="Arial" w:eastAsia="Arial" w:hAnsi="Arial"/>
          <w:sz w:val="17"/>
          <w:szCs w:val="17"/>
          <w:color w:val="auto"/>
        </w:rPr>
        <w:t>Upon surrender for registration of transfer of any Security of a series at the office or agency of the Company in a Place of Payment for that series, the Company shall execute, and the Trustee shall authenticate and deliver, in the name of the designated transferee or transferees, one or more new Securities of the same series, of any authorized denominations and of like tenor and aggregate principal amount.</w:t>
      </w:r>
    </w:p>
    <w:p>
      <w:pPr>
        <w:spacing w:after="0" w:line="16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At the option of the Holder, Securities of any series may be exchanged for other Securities of the same series, of any authorized denominations and of like tenor and aggregate principal amount, upon surrender of the Securities to be exchanged at such office or agency. Whenever any Securities are so surrendered for exchange, the Company shall execute, and the Trustee shall authenticate and deliver, the Securities which the Holder making the exchange is entitled to receive.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66" w:name="page67"/>
    <w:bookmarkEnd w:id="66"/>
    <w:p>
      <w:pPr>
        <w:ind w:right="320" w:firstLine="456"/>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Securities issued upon any registration of transfer or exchange of Securities shall be the valid obligations of the Company, evidencing the same debt, and entitled to the same benefits under this Indenture, as the Securities surrendered upon such registration of transfer or exchange.</w:t>
      </w:r>
    </w:p>
    <w:p>
      <w:pPr>
        <w:spacing w:after="0" w:line="14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Every Security presented or surrendered for registration of transfer or for exchange shall (if so required by the Company or the Trustee) be duly endorsed, or be accompanied by a written instrument of transfer in form satisfactory to the Company and the Security Registrar duly executed, by the Holder thereof or its attorney duly authorized in writing.</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No service charge shall be made for any registration of transfer or exchange of Securities, but the Company may require payment of a sum sufficient to cover any tax or other governmental charge that may be imposed in connection with any registration of transfer or exchange of Securities, other than exchanges pursuant to Section 3.4, 9.6 or 11.7 not involving any transfer.</w:t>
      </w:r>
    </w:p>
    <w:p>
      <w:pPr>
        <w:spacing w:after="0" w:line="181" w:lineRule="exact"/>
        <w:rPr>
          <w:sz w:val="20"/>
          <w:szCs w:val="20"/>
          <w:color w:val="auto"/>
        </w:rPr>
      </w:pPr>
    </w:p>
    <w:p>
      <w:pPr>
        <w:jc w:val="both"/>
        <w:ind w:right="80" w:firstLine="456"/>
        <w:spacing w:after="0" w:line="257" w:lineRule="auto"/>
        <w:rPr>
          <w:sz w:val="20"/>
          <w:szCs w:val="20"/>
          <w:color w:val="auto"/>
        </w:rPr>
      </w:pPr>
      <w:r>
        <w:rPr>
          <w:rFonts w:ascii="Arial" w:cs="Arial" w:eastAsia="Arial" w:hAnsi="Arial"/>
          <w:sz w:val="18"/>
          <w:szCs w:val="18"/>
          <w:color w:val="auto"/>
        </w:rPr>
        <w:t>If the Securities of any series (or of any series and specified tenor) are to be redeemed in part, the Company shall not be required (A) to issue, register the transfer of or exchange any Securities of that series (or of that series and specified tenor, as the case may be) during a period beginning at the opening of business 15 days before the day of the mailing of a notice of redemption of any such Securities selected for redemption under Section 11.3 and ending at the close of business on the day of such mailing, or (B) to register the transfer of or exchange any Security so selected for redemption in whole or in part, except the unredeemed portion of any Security being redeemed in part.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provisions of clauses (1), (2), (3) and (4) below shall apply only to Global Securities:</w:t>
      </w:r>
    </w:p>
    <w:p>
      <w:pPr>
        <w:spacing w:after="0" w:line="225" w:lineRule="exact"/>
        <w:rPr>
          <w:sz w:val="20"/>
          <w:szCs w:val="20"/>
          <w:color w:val="auto"/>
        </w:rPr>
      </w:pPr>
    </w:p>
    <w:p>
      <w:pPr>
        <w:ind w:right="180" w:firstLine="921"/>
        <w:spacing w:after="0" w:line="264" w:lineRule="auto"/>
        <w:tabs>
          <w:tab w:leader="none" w:pos="1303" w:val="left"/>
        </w:tabs>
        <w:numPr>
          <w:ilvl w:val="1"/>
          <w:numId w:val="59"/>
        </w:numPr>
        <w:rPr>
          <w:rFonts w:ascii="Arial" w:cs="Arial" w:eastAsia="Arial" w:hAnsi="Arial"/>
          <w:sz w:val="18"/>
          <w:szCs w:val="18"/>
          <w:color w:val="auto"/>
        </w:rPr>
      </w:pPr>
      <w:r>
        <w:rPr>
          <w:rFonts w:ascii="Arial" w:cs="Arial" w:eastAsia="Arial" w:hAnsi="Arial"/>
          <w:sz w:val="18"/>
          <w:szCs w:val="18"/>
          <w:color w:val="auto"/>
        </w:rPr>
        <w:t>Each Global Security authenticated under this Indenture shall be registered in the name of the Depositary designated for such Global Security or a nominee thereof and delivered to such Depositary or a nominee thereof or custodian therefor, and each such Global Security shall constitute a single Security for all purposes of this Indenture.</w:t>
      </w:r>
    </w:p>
    <w:p>
      <w:pPr>
        <w:spacing w:after="0" w:line="181" w:lineRule="exact"/>
        <w:rPr>
          <w:rFonts w:ascii="Arial" w:cs="Arial" w:eastAsia="Arial" w:hAnsi="Arial"/>
          <w:sz w:val="18"/>
          <w:szCs w:val="18"/>
          <w:color w:val="auto"/>
        </w:rPr>
      </w:pPr>
    </w:p>
    <w:p>
      <w:pPr>
        <w:jc w:val="both"/>
        <w:ind w:right="100" w:firstLine="921"/>
        <w:spacing w:after="0" w:line="288" w:lineRule="auto"/>
        <w:tabs>
          <w:tab w:leader="none" w:pos="1303" w:val="left"/>
        </w:tabs>
        <w:numPr>
          <w:ilvl w:val="1"/>
          <w:numId w:val="59"/>
        </w:numPr>
        <w:rPr>
          <w:rFonts w:ascii="Arial" w:cs="Arial" w:eastAsia="Arial" w:hAnsi="Arial"/>
          <w:sz w:val="16"/>
          <w:szCs w:val="16"/>
          <w:color w:val="auto"/>
        </w:rPr>
      </w:pPr>
      <w:r>
        <w:rPr>
          <w:rFonts w:ascii="Arial" w:cs="Arial" w:eastAsia="Arial" w:hAnsi="Arial"/>
          <w:sz w:val="16"/>
          <w:szCs w:val="16"/>
          <w:color w:val="auto"/>
        </w:rPr>
        <w:t>Notwithstanding any other provision in this Indenture, no Global Security may be exchanged in whole or in part for Securities registered, and no transfer of a Global Security in whole or in part may be registered, in the name of any Person other than the Depositary for such Global Security or a nominee thereof unless (A) such Depositary (i) has notified the Company that it is unwilling or unable to continue as Depositary for such Global Security or</w:t>
      </w:r>
    </w:p>
    <w:p>
      <w:pPr>
        <w:ind w:firstLine="8"/>
        <w:spacing w:after="0" w:line="255" w:lineRule="auto"/>
        <w:tabs>
          <w:tab w:leader="none" w:pos="265" w:val="left"/>
        </w:tabs>
        <w:numPr>
          <w:ilvl w:val="0"/>
          <w:numId w:val="60"/>
        </w:numPr>
        <w:rPr>
          <w:rFonts w:ascii="Arial" w:cs="Arial" w:eastAsia="Arial" w:hAnsi="Arial"/>
          <w:sz w:val="18"/>
          <w:szCs w:val="18"/>
          <w:color w:val="auto"/>
        </w:rPr>
      </w:pPr>
      <w:r>
        <w:rPr>
          <w:rFonts w:ascii="Arial" w:cs="Arial" w:eastAsia="Arial" w:hAnsi="Arial"/>
          <w:sz w:val="18"/>
          <w:szCs w:val="18"/>
          <w:color w:val="auto"/>
        </w:rPr>
        <w:t>has ceased to be a clearing agency registered under the Exchange Act, (B) there shall have occurred and be continuing an Event of Default with respect to such Global Security or (C) there shall exist such circumstances, if any, in addition to or in lieu of the foregoing as have been specified for this purpose as contemplated by Section 3.1.</w:t>
      </w:r>
    </w:p>
    <w:p>
      <w:pPr>
        <w:spacing w:after="0" w:line="190" w:lineRule="exact"/>
        <w:rPr>
          <w:rFonts w:ascii="Arial" w:cs="Arial" w:eastAsia="Arial" w:hAnsi="Arial"/>
          <w:sz w:val="18"/>
          <w:szCs w:val="18"/>
          <w:color w:val="auto"/>
        </w:rPr>
      </w:pPr>
    </w:p>
    <w:p>
      <w:pPr>
        <w:jc w:val="both"/>
        <w:ind w:right="400" w:firstLine="921"/>
        <w:spacing w:after="0" w:line="342" w:lineRule="auto"/>
        <w:tabs>
          <w:tab w:leader="none" w:pos="1303" w:val="left"/>
        </w:tabs>
        <w:numPr>
          <w:ilvl w:val="1"/>
          <w:numId w:val="60"/>
        </w:numPr>
        <w:rPr>
          <w:rFonts w:ascii="Arial" w:cs="Arial" w:eastAsia="Arial" w:hAnsi="Arial"/>
          <w:sz w:val="16"/>
          <w:szCs w:val="16"/>
          <w:color w:val="auto"/>
        </w:rPr>
      </w:pPr>
      <w:r>
        <w:rPr>
          <w:rFonts w:ascii="Arial" w:cs="Arial" w:eastAsia="Arial" w:hAnsi="Arial"/>
          <w:sz w:val="16"/>
          <w:szCs w:val="16"/>
          <w:color w:val="auto"/>
        </w:rPr>
        <w:t>Subject to clause (2) above, any exchange of a Global Security for other Securities may be made in whole or in part, and all Securities issued in exchange for a Global Security or any portion thereof shall be registered in such names as the Depositary for such Global Security shall direct.</w:t>
      </w:r>
    </w:p>
    <w:p>
      <w:pPr>
        <w:spacing w:after="0" w:line="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274" w:right="299" w:bottom="1440" w:gutter="0" w:footer="0" w:header="0"/>
        </w:sectPr>
      </w:pPr>
    </w:p>
    <w:bookmarkStart w:id="67" w:name="page68"/>
    <w:bookmarkEnd w:id="67"/>
    <w:p>
      <w:pPr>
        <w:ind w:right="40" w:firstLine="921"/>
        <w:spacing w:after="0" w:line="312" w:lineRule="auto"/>
        <w:tabs>
          <w:tab w:leader="none" w:pos="1303" w:val="left"/>
        </w:tabs>
        <w:numPr>
          <w:ilvl w:val="0"/>
          <w:numId w:val="6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Every Security authenticated and delivered upon registration of transfer of, or in exchange for or in lieu of, a Global Security or any portion thereof, whether pursuant to this Section, Section 3.4, 3.6, 9.6 or 11.7 or otherwise, shall be authenticated and delivered in the form of, and shall be, a Global Security, unless such Security is registered in the name of a Person other than the Depositary for such Global Security or a nominee thereof.</w:t>
      </w:r>
    </w:p>
    <w:p>
      <w:pPr>
        <w:spacing w:after="0" w:line="143" w:lineRule="exact"/>
        <w:rPr>
          <w:sz w:val="20"/>
          <w:szCs w:val="20"/>
          <w:color w:val="auto"/>
        </w:rPr>
      </w:pPr>
    </w:p>
    <w:p>
      <w:pPr>
        <w:ind w:right="220" w:firstLine="456"/>
        <w:spacing w:after="0" w:line="266" w:lineRule="auto"/>
        <w:rPr>
          <w:sz w:val="20"/>
          <w:szCs w:val="20"/>
          <w:color w:val="auto"/>
        </w:rPr>
      </w:pPr>
      <w:r>
        <w:rPr>
          <w:rFonts w:ascii="Arial" w:cs="Arial" w:eastAsia="Arial" w:hAnsi="Arial"/>
          <w:sz w:val="18"/>
          <w:szCs w:val="18"/>
          <w:b w:val="1"/>
          <w:bCs w:val="1"/>
          <w:color w:val="auto"/>
        </w:rPr>
        <w:t>Section 3.6 Mutilated, Destroyed, Lost and Stolen Securities</w:t>
      </w:r>
      <w:r>
        <w:rPr>
          <w:rFonts w:ascii="Arial" w:cs="Arial" w:eastAsia="Arial" w:hAnsi="Arial"/>
          <w:sz w:val="18"/>
          <w:szCs w:val="18"/>
          <w:color w:val="auto"/>
        </w:rPr>
        <w:t>. If any mutilated Security is surrendered to the Trustee, the Company shall execute</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Trustee shall authenticate and deliver in exchange therefor a new Security of the same series and of like tenor and principal amount and bearing a number not contemporaneously outstanding.</w:t>
      </w:r>
    </w:p>
    <w:p>
      <w:pPr>
        <w:spacing w:after="0" w:line="180"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If there shall be delivered to the Company and the Trustee (i) evidence to their satisfaction of the destruction, loss or theft of any Security and (ii) such security or indemnity as may be required by them to save each of them and any agent of either of them harmless, then, in the absence of notice to the Company or the Trustee that such Security has been acquired by a bona fide purchaser, the Company shall execute and the Trustee shall authenticate and deliver, in lieu of any such destroyed, lost or stolen Security, a new Security of the same series and of like tenor and principal amount and bearing a number not contemporaneously outstanding.</w:t>
      </w:r>
    </w:p>
    <w:p>
      <w:pPr>
        <w:spacing w:after="0" w:line="188"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In case any such mutilated, destroyed, lost or stolen Security has become or is about to become due and payable, the Company in its discretion may, instead of issuing a new Security, pay such Security.</w:t>
      </w:r>
    </w:p>
    <w:p>
      <w:pPr>
        <w:spacing w:after="0" w:line="170" w:lineRule="exact"/>
        <w:rPr>
          <w:sz w:val="20"/>
          <w:szCs w:val="20"/>
          <w:color w:val="auto"/>
        </w:rPr>
      </w:pPr>
    </w:p>
    <w:p>
      <w:pPr>
        <w:jc w:val="center"/>
        <w:ind w:right="300"/>
        <w:spacing w:after="0" w:line="342" w:lineRule="auto"/>
        <w:rPr>
          <w:sz w:val="20"/>
          <w:szCs w:val="20"/>
          <w:color w:val="auto"/>
        </w:rPr>
      </w:pPr>
      <w:r>
        <w:rPr>
          <w:rFonts w:ascii="Arial" w:cs="Arial" w:eastAsia="Arial" w:hAnsi="Arial"/>
          <w:sz w:val="16"/>
          <w:szCs w:val="16"/>
          <w:color w:val="auto"/>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spacing w:after="0" w:line="124" w:lineRule="exact"/>
        <w:rPr>
          <w:sz w:val="20"/>
          <w:szCs w:val="20"/>
          <w:color w:val="auto"/>
        </w:rPr>
      </w:pPr>
    </w:p>
    <w:p>
      <w:pPr>
        <w:jc w:val="both"/>
        <w:ind w:right="180" w:firstLine="456"/>
        <w:spacing w:after="0" w:line="312" w:lineRule="auto"/>
        <w:rPr>
          <w:sz w:val="20"/>
          <w:szCs w:val="20"/>
          <w:color w:val="auto"/>
        </w:rPr>
      </w:pPr>
      <w:r>
        <w:rPr>
          <w:rFonts w:ascii="Arial" w:cs="Arial" w:eastAsia="Arial" w:hAnsi="Arial"/>
          <w:sz w:val="16"/>
          <w:szCs w:val="16"/>
          <w:color w:val="auto"/>
        </w:rPr>
        <w:t>Every new Security of any series issued pursuant to this Section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spacing w:after="0" w:line="147"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The provisions of this Section are exclusive and shall preclude (to the extent lawful) all other rights and remedies with respect to the replacement or payment of mutilated, destroyed, lost or stolen Securities.</w:t>
      </w:r>
    </w:p>
    <w:p>
      <w:pPr>
        <w:spacing w:after="0" w:line="166" w:lineRule="exact"/>
        <w:rPr>
          <w:sz w:val="20"/>
          <w:szCs w:val="20"/>
          <w:color w:val="auto"/>
        </w:rPr>
      </w:pPr>
    </w:p>
    <w:p>
      <w:pPr>
        <w:ind w:firstLine="456"/>
        <w:spacing w:after="0" w:line="314" w:lineRule="auto"/>
        <w:rPr>
          <w:sz w:val="20"/>
          <w:szCs w:val="20"/>
          <w:color w:val="auto"/>
        </w:rPr>
      </w:pPr>
      <w:r>
        <w:rPr>
          <w:rFonts w:ascii="Arial" w:cs="Arial" w:eastAsia="Arial" w:hAnsi="Arial"/>
          <w:sz w:val="16"/>
          <w:szCs w:val="16"/>
          <w:b w:val="1"/>
          <w:bCs w:val="1"/>
          <w:color w:val="auto"/>
        </w:rPr>
        <w:t>Section 3.7 Payment of Interest; Interest Rights Preserved</w:t>
      </w:r>
      <w:r>
        <w:rPr>
          <w:rFonts w:ascii="Arial" w:cs="Arial" w:eastAsia="Arial" w:hAnsi="Arial"/>
          <w:sz w:val="16"/>
          <w:szCs w:val="16"/>
          <w:color w:val="auto"/>
        </w:rPr>
        <w:t>. Except as otherwise provided as contemplated by Section 3.1 with respect to any series</w:t>
      </w:r>
      <w:r>
        <w:rPr>
          <w:rFonts w:ascii="Arial" w:cs="Arial" w:eastAsia="Arial" w:hAnsi="Arial"/>
          <w:sz w:val="16"/>
          <w:szCs w:val="16"/>
          <w:b w:val="1"/>
          <w:bCs w:val="1"/>
          <w:color w:val="auto"/>
        </w:rPr>
        <w:t xml:space="preserve"> </w:t>
      </w:r>
      <w:r>
        <w:rPr>
          <w:rFonts w:ascii="Arial" w:cs="Arial" w:eastAsia="Arial" w:hAnsi="Arial"/>
          <w:sz w:val="16"/>
          <w:szCs w:val="16"/>
          <w:color w:val="auto"/>
        </w:rPr>
        <w:t>of Securities, interest on any Security which is payable, and is punctually paid or duly provided for, on any Interest Payment Date shall be paid to the Person in whose name that Security (or one or more Predecessor Securities) is registered at the close of business on the Regular Record Date for such interest.</w:t>
      </w:r>
    </w:p>
    <w:p>
      <w:pPr>
        <w:spacing w:after="0" w:line="146"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Any interest on any Security of any series which is payable, but is not punctually paid or duly provided for, on any Interest Payment Date (herein called “Defaulted Interest”) shall forthwith cease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68" w:name="page69"/>
    <w:bookmarkEnd w:id="68"/>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be payable to the Holder on the relevant Regular Record Date by virtue of having been such Holder, and such Defaulted Interest may be paid by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 at its election in each case, as provided in clause (1) or (2) below:</w:t>
      </w:r>
    </w:p>
    <w:p>
      <w:pPr>
        <w:spacing w:after="0" w:line="211" w:lineRule="exact"/>
        <w:rPr>
          <w:sz w:val="20"/>
          <w:szCs w:val="20"/>
          <w:color w:val="auto"/>
        </w:rPr>
      </w:pPr>
    </w:p>
    <w:p>
      <w:pPr>
        <w:ind w:firstLine="921"/>
        <w:spacing w:after="0" w:line="268" w:lineRule="auto"/>
        <w:tabs>
          <w:tab w:leader="none" w:pos="13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Company may elect to make payment of any Defaulted Interest to the Persons in whose names the Securities of such series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Security of such series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be not more than 15 days and not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given to each Holder of Securities of such series in the manner set forth in Section 1.6, not less than 10 days prior to such Special Record Date. Notice of the proposed payment of such Defaulted Interest and the Special Record Date therefor having been so given, such Defaulted Interest shall be paid to the Persons in whose names the Securities of such series (or their respective Predecessor Securities) are registered at the close of business on such Special Record Date and shall no longer be payable pursuant to the following clause (2).</w:t>
      </w:r>
    </w:p>
    <w:p>
      <w:pPr>
        <w:spacing w:after="0" w:line="185" w:lineRule="exact"/>
        <w:rPr>
          <w:rFonts w:ascii="Arial" w:cs="Arial" w:eastAsia="Arial" w:hAnsi="Arial"/>
          <w:sz w:val="17"/>
          <w:szCs w:val="17"/>
          <w:color w:val="auto"/>
        </w:rPr>
      </w:pPr>
    </w:p>
    <w:p>
      <w:pPr>
        <w:ind w:right="40" w:firstLine="921"/>
        <w:spacing w:after="0" w:line="259" w:lineRule="auto"/>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Company may make payment of any Defaulted Interest on the Securities of any series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187"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Subject to the foregoing provisions of this Section, each Security delivered under this Indenture upon registration of transfer of or in exchange for or in lieu of any other Security shall carry the rights to interest accrued and unpaid, and to accrue, which were carried by such other Security.</w:t>
      </w:r>
    </w:p>
    <w:p>
      <w:pPr>
        <w:spacing w:after="0" w:line="143" w:lineRule="exact"/>
        <w:rPr>
          <w:sz w:val="20"/>
          <w:szCs w:val="20"/>
          <w:color w:val="auto"/>
        </w:rPr>
      </w:pPr>
    </w:p>
    <w:p>
      <w:pPr>
        <w:ind w:firstLine="456"/>
        <w:spacing w:after="0" w:line="303" w:lineRule="auto"/>
        <w:rPr>
          <w:sz w:val="20"/>
          <w:szCs w:val="20"/>
          <w:color w:val="auto"/>
        </w:rPr>
      </w:pPr>
      <w:r>
        <w:rPr>
          <w:rFonts w:ascii="Arial" w:cs="Arial" w:eastAsia="Arial" w:hAnsi="Arial"/>
          <w:sz w:val="16"/>
          <w:szCs w:val="16"/>
          <w:b w:val="1"/>
          <w:bCs w:val="1"/>
          <w:color w:val="auto"/>
        </w:rPr>
        <w:t>Section 3.8 Persons Deemed Owners</w:t>
      </w:r>
      <w:r>
        <w:rPr>
          <w:rFonts w:ascii="Arial" w:cs="Arial" w:eastAsia="Arial" w:hAnsi="Arial"/>
          <w:sz w:val="16"/>
          <w:szCs w:val="16"/>
          <w:color w:val="auto"/>
        </w:rPr>
        <w:t>. Prior to due presentment of a Security for registration of transfer, the Company, the Trustee and any agent of</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or the Trustee may treat the Person in whose name such Security is registered as the owner of such Security for the purpose of receiving payment of principal of and any premium and (subject to Section 3.7) any interest on such Security and for all other purposes whatsoever, whether or not such Security be overdue, and neither the Company, the Trustee nor any agent of the Company or the Trustee shall be affected by notice to the contrary.</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74" w:right="259" w:bottom="1440" w:gutter="0" w:footer="0" w:header="0"/>
        </w:sectPr>
      </w:pPr>
    </w:p>
    <w:bookmarkStart w:id="69" w:name="page70"/>
    <w:bookmarkEnd w:id="69"/>
    <w:p>
      <w:pPr>
        <w:ind w:right="100" w:firstLine="456"/>
        <w:spacing w:after="0" w:line="273"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3.9 Cancellation</w:t>
      </w:r>
      <w:r>
        <w:rPr>
          <w:rFonts w:ascii="Arial" w:cs="Arial" w:eastAsia="Arial" w:hAnsi="Arial"/>
          <w:sz w:val="17"/>
          <w:szCs w:val="17"/>
          <w:color w:val="auto"/>
        </w:rPr>
        <w:t>. All Securities surrendered for payment, redemption, registration of transfer or exchange or for credit against any sinking</w:t>
      </w:r>
      <w:r>
        <w:rPr>
          <w:rFonts w:ascii="Arial" w:cs="Arial" w:eastAsia="Arial" w:hAnsi="Arial"/>
          <w:sz w:val="17"/>
          <w:szCs w:val="17"/>
          <w:b w:val="1"/>
          <w:bCs w:val="1"/>
          <w:color w:val="auto"/>
        </w:rPr>
        <w:t xml:space="preserve"> </w:t>
      </w:r>
      <w:r>
        <w:rPr>
          <w:rFonts w:ascii="Arial" w:cs="Arial" w:eastAsia="Arial" w:hAnsi="Arial"/>
          <w:sz w:val="17"/>
          <w:szCs w:val="17"/>
          <w:color w:val="auto"/>
        </w:rPr>
        <w:t>fund payment shall, if surrendered to any Person other than the Trustee, be delivered to the Trustee and shall be promptly canceled by it. The Company may at any time deliver to the Trustee for cancellation any Securities previously authenticated and delivered hereunder which the Company may have acquired in any manner whatsoever, and may deliver to the Trustee (or to any other Person for delivery to the Trustee) for cancellation any Securities previously authenticated hereunder which the Company has not issued and sold, and all Securities so delivered shall be promptly canceled by the Trustee. No Securities shall be authenticated in lieu of or in exchange for any Securities canceled as provided in this Section, except as expressly permitted by this Indenture. All canceled Securities held by the Trustee shall be disposed of in accordance with its customary procedures.</w:t>
      </w:r>
    </w:p>
    <w:p>
      <w:pPr>
        <w:spacing w:after="0" w:line="172" w:lineRule="exact"/>
        <w:rPr>
          <w:sz w:val="20"/>
          <w:szCs w:val="20"/>
          <w:color w:val="auto"/>
        </w:rPr>
      </w:pPr>
    </w:p>
    <w:p>
      <w:pPr>
        <w:ind w:right="400" w:firstLine="456"/>
        <w:spacing w:after="0" w:line="282" w:lineRule="auto"/>
        <w:rPr>
          <w:sz w:val="20"/>
          <w:szCs w:val="20"/>
          <w:color w:val="auto"/>
        </w:rPr>
      </w:pPr>
      <w:r>
        <w:rPr>
          <w:rFonts w:ascii="Arial" w:cs="Arial" w:eastAsia="Arial" w:hAnsi="Arial"/>
          <w:sz w:val="18"/>
          <w:szCs w:val="18"/>
          <w:b w:val="1"/>
          <w:bCs w:val="1"/>
          <w:color w:val="auto"/>
        </w:rPr>
        <w:t>Section 3.10 Computation of Interest</w:t>
      </w:r>
      <w:r>
        <w:rPr>
          <w:rFonts w:ascii="Arial" w:cs="Arial" w:eastAsia="Arial" w:hAnsi="Arial"/>
          <w:sz w:val="18"/>
          <w:szCs w:val="18"/>
          <w:color w:val="auto"/>
        </w:rPr>
        <w:t>. Except as otherwise specified as contemplated by Section 3.1 for Securities of any series, interest on the</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of each series shall be computed on the basis of a 360-day year of twelve 30-day months.</w:t>
      </w: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4</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SATISFACTION AND DISCHARGE</w:t>
      </w:r>
    </w:p>
    <w:p>
      <w:pPr>
        <w:spacing w:after="0" w:line="225" w:lineRule="exact"/>
        <w:rPr>
          <w:sz w:val="20"/>
          <w:szCs w:val="20"/>
          <w:color w:val="auto"/>
        </w:rPr>
      </w:pPr>
    </w:p>
    <w:p>
      <w:pPr>
        <w:ind w:right="300" w:firstLine="456"/>
        <w:spacing w:after="0" w:line="266" w:lineRule="auto"/>
        <w:rPr>
          <w:sz w:val="20"/>
          <w:szCs w:val="20"/>
          <w:color w:val="auto"/>
        </w:rPr>
      </w:pPr>
      <w:r>
        <w:rPr>
          <w:rFonts w:ascii="Arial" w:cs="Arial" w:eastAsia="Arial" w:hAnsi="Arial"/>
          <w:sz w:val="18"/>
          <w:szCs w:val="18"/>
          <w:b w:val="1"/>
          <w:bCs w:val="1"/>
          <w:color w:val="auto"/>
        </w:rPr>
        <w:t>Section 4.1 Satisfaction and Discharge of Indenture</w:t>
      </w:r>
      <w:r>
        <w:rPr>
          <w:rFonts w:ascii="Arial" w:cs="Arial" w:eastAsia="Arial" w:hAnsi="Arial"/>
          <w:sz w:val="18"/>
          <w:szCs w:val="18"/>
          <w:color w:val="auto"/>
        </w:rPr>
        <w:t>. This Indenture shall upon Company Request cease to be of further effect (except as to any</w:t>
      </w:r>
      <w:r>
        <w:rPr>
          <w:rFonts w:ascii="Arial" w:cs="Arial" w:eastAsia="Arial" w:hAnsi="Arial"/>
          <w:sz w:val="18"/>
          <w:szCs w:val="18"/>
          <w:b w:val="1"/>
          <w:bCs w:val="1"/>
          <w:color w:val="auto"/>
        </w:rPr>
        <w:t xml:space="preserve"> </w:t>
      </w:r>
      <w:r>
        <w:rPr>
          <w:rFonts w:ascii="Arial" w:cs="Arial" w:eastAsia="Arial" w:hAnsi="Arial"/>
          <w:sz w:val="18"/>
          <w:szCs w:val="18"/>
          <w:color w:val="auto"/>
        </w:rPr>
        <w:t>surviving rights of registration of transfer or exchange of Securities herein expressly provided for), and the Trustee, at the expense of the Company, shall execute proper instruments acknowledging satisfaction and discharge of this Indenture, when</w:t>
      </w:r>
    </w:p>
    <w:p>
      <w:pPr>
        <w:spacing w:after="0" w:line="180" w:lineRule="exact"/>
        <w:rPr>
          <w:sz w:val="20"/>
          <w:szCs w:val="20"/>
          <w:color w:val="auto"/>
        </w:rPr>
      </w:pPr>
    </w:p>
    <w:p>
      <w:pPr>
        <w:ind w:left="1320" w:hanging="399"/>
        <w:spacing w:after="0"/>
        <w:tabs>
          <w:tab w:leader="none" w:pos="13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either</w:t>
      </w:r>
    </w:p>
    <w:p>
      <w:pPr>
        <w:spacing w:after="0" w:line="117" w:lineRule="exact"/>
        <w:rPr>
          <w:rFonts w:ascii="Arial" w:cs="Arial" w:eastAsia="Arial" w:hAnsi="Arial"/>
          <w:sz w:val="18"/>
          <w:szCs w:val="18"/>
          <w:color w:val="auto"/>
        </w:rPr>
      </w:pPr>
    </w:p>
    <w:p>
      <w:pPr>
        <w:ind w:left="460" w:firstLine="881"/>
        <w:spacing w:after="0" w:line="259" w:lineRule="auto"/>
        <w:tabs>
          <w:tab w:leader="none" w:pos="1766" w:val="left"/>
        </w:tabs>
        <w:numPr>
          <w:ilvl w:val="1"/>
          <w:numId w:val="63"/>
        </w:numPr>
        <w:rPr>
          <w:rFonts w:ascii="Arial" w:cs="Arial" w:eastAsia="Arial" w:hAnsi="Arial"/>
          <w:sz w:val="18"/>
          <w:szCs w:val="18"/>
          <w:color w:val="auto"/>
        </w:rPr>
      </w:pPr>
      <w:r>
        <w:rPr>
          <w:rFonts w:ascii="Arial" w:cs="Arial" w:eastAsia="Arial" w:hAnsi="Arial"/>
          <w:sz w:val="18"/>
          <w:szCs w:val="18"/>
          <w:color w:val="auto"/>
        </w:rPr>
        <w:t>all Securities theretofore authenticated and delivered (other than (i) Securities which have been destroyed, lost or stolen and which have been replaced or paid as provided in Section 3.6 and (ii) Securities for whose payment money has theretofore been deposited in trust or segregated and held in trust by the Trustee or the Company and thereafter repaid to the Company or discharged from such trust, as provided in Section 10.3) have been delivered to the Trustee for cancellation; or</w:t>
      </w:r>
    </w:p>
    <w:p>
      <w:pPr>
        <w:spacing w:after="0" w:line="78" w:lineRule="exact"/>
        <w:rPr>
          <w:rFonts w:ascii="Arial" w:cs="Arial" w:eastAsia="Arial" w:hAnsi="Arial"/>
          <w:sz w:val="18"/>
          <w:szCs w:val="18"/>
          <w:color w:val="auto"/>
        </w:rPr>
      </w:pPr>
    </w:p>
    <w:p>
      <w:pPr>
        <w:ind w:left="1760" w:hanging="419"/>
        <w:spacing w:after="0"/>
        <w:tabs>
          <w:tab w:leader="none" w:pos="176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all such Securities not theretofore delivered to the Trustee for cancellation</w:t>
      </w:r>
    </w:p>
    <w:p>
      <w:pPr>
        <w:spacing w:after="0" w:line="117" w:lineRule="exact"/>
        <w:rPr>
          <w:rFonts w:ascii="Arial" w:cs="Arial" w:eastAsia="Arial" w:hAnsi="Arial"/>
          <w:sz w:val="18"/>
          <w:szCs w:val="18"/>
          <w:color w:val="auto"/>
        </w:rPr>
      </w:pPr>
    </w:p>
    <w:p>
      <w:pPr>
        <w:ind w:left="2120" w:hanging="359"/>
        <w:spacing w:after="0"/>
        <w:tabs>
          <w:tab w:leader="none" w:pos="2120" w:val="left"/>
        </w:tabs>
        <w:numPr>
          <w:ilvl w:val="2"/>
          <w:numId w:val="63"/>
        </w:numPr>
        <w:rPr>
          <w:rFonts w:ascii="Arial" w:cs="Arial" w:eastAsia="Arial" w:hAnsi="Arial"/>
          <w:sz w:val="18"/>
          <w:szCs w:val="18"/>
          <w:color w:val="auto"/>
        </w:rPr>
      </w:pPr>
      <w:r>
        <w:rPr>
          <w:rFonts w:ascii="Arial" w:cs="Arial" w:eastAsia="Arial" w:hAnsi="Arial"/>
          <w:sz w:val="18"/>
          <w:szCs w:val="18"/>
          <w:color w:val="auto"/>
        </w:rPr>
        <w:t>have become due and payable, or</w:t>
      </w:r>
    </w:p>
    <w:p>
      <w:pPr>
        <w:spacing w:after="0" w:line="117" w:lineRule="exact"/>
        <w:rPr>
          <w:rFonts w:ascii="Arial" w:cs="Arial" w:eastAsia="Arial" w:hAnsi="Arial"/>
          <w:sz w:val="18"/>
          <w:szCs w:val="18"/>
          <w:color w:val="auto"/>
        </w:rPr>
      </w:pPr>
    </w:p>
    <w:p>
      <w:pPr>
        <w:ind w:left="2160" w:hanging="399"/>
        <w:spacing w:after="0"/>
        <w:tabs>
          <w:tab w:leader="none" w:pos="2160" w:val="left"/>
        </w:tabs>
        <w:numPr>
          <w:ilvl w:val="2"/>
          <w:numId w:val="63"/>
        </w:numPr>
        <w:rPr>
          <w:rFonts w:ascii="Arial" w:cs="Arial" w:eastAsia="Arial" w:hAnsi="Arial"/>
          <w:sz w:val="18"/>
          <w:szCs w:val="18"/>
          <w:color w:val="auto"/>
        </w:rPr>
      </w:pPr>
      <w:r>
        <w:rPr>
          <w:rFonts w:ascii="Arial" w:cs="Arial" w:eastAsia="Arial" w:hAnsi="Arial"/>
          <w:sz w:val="18"/>
          <w:szCs w:val="18"/>
          <w:color w:val="auto"/>
        </w:rPr>
        <w:t>will become due and payable at their Stated Maturity within one year, or</w:t>
      </w:r>
    </w:p>
    <w:p>
      <w:pPr>
        <w:spacing w:after="0" w:line="117" w:lineRule="exact"/>
        <w:rPr>
          <w:rFonts w:ascii="Arial" w:cs="Arial" w:eastAsia="Arial" w:hAnsi="Arial"/>
          <w:sz w:val="18"/>
          <w:szCs w:val="18"/>
          <w:color w:val="auto"/>
        </w:rPr>
      </w:pPr>
    </w:p>
    <w:p>
      <w:pPr>
        <w:ind w:left="920" w:right="540" w:firstLine="841"/>
        <w:spacing w:after="0" w:line="277" w:lineRule="auto"/>
        <w:tabs>
          <w:tab w:leader="none" w:pos="2210" w:val="left"/>
        </w:tabs>
        <w:numPr>
          <w:ilvl w:val="2"/>
          <w:numId w:val="63"/>
        </w:numPr>
        <w:rPr>
          <w:rFonts w:ascii="Arial" w:cs="Arial" w:eastAsia="Arial" w:hAnsi="Arial"/>
          <w:sz w:val="18"/>
          <w:szCs w:val="18"/>
          <w:color w:val="auto"/>
        </w:rPr>
      </w:pPr>
      <w:r>
        <w:rPr>
          <w:rFonts w:ascii="Arial" w:cs="Arial" w:eastAsia="Arial" w:hAnsi="Arial"/>
          <w:sz w:val="18"/>
          <w:szCs w:val="18"/>
          <w:color w:val="auto"/>
        </w:rPr>
        <w:t>are to be called for redemption within one year under arrangements satisfactory to the Trustee for the giving of notice of redemption by the Trustee in the name, and at the expense, of the Company,</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70" w:right="259" w:bottom="1440" w:gutter="0" w:footer="0" w:header="0"/>
        </w:sectPr>
      </w:pPr>
    </w:p>
    <w:bookmarkStart w:id="70" w:name="page71"/>
    <w:bookmarkEnd w:id="70"/>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the Company, in the case of (i), (ii) or (iii) above, has deposited or caused to be deposited with the Trustee as trust funds in trust for the purpose money in an amount sufficient to pay and discharge the entire indebtedness on such Securities not theretofore delivered to the Trustee for cancellation, for principal and any premium and interest to the date of such deposit (in the case of Securities which have become due and payable) or to the Stated Maturity or Redemption Date, as the case may be;</w:t>
      </w:r>
    </w:p>
    <w:p>
      <w:pPr>
        <w:spacing w:after="0" w:line="187" w:lineRule="exact"/>
        <w:rPr>
          <w:sz w:val="20"/>
          <w:szCs w:val="20"/>
          <w:color w:val="auto"/>
        </w:rPr>
      </w:pPr>
    </w:p>
    <w:p>
      <w:pPr>
        <w:ind w:left="1320" w:hanging="399"/>
        <w:spacing w:after="0"/>
        <w:tabs>
          <w:tab w:leader="none" w:pos="13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Company has paid or caused to be paid all other sums payable hereunder by the Company; and</w:t>
      </w:r>
    </w:p>
    <w:p>
      <w:pPr>
        <w:spacing w:after="0" w:line="225" w:lineRule="exact"/>
        <w:rPr>
          <w:rFonts w:ascii="Arial" w:cs="Arial" w:eastAsia="Arial" w:hAnsi="Arial"/>
          <w:sz w:val="18"/>
          <w:szCs w:val="18"/>
          <w:color w:val="auto"/>
        </w:rPr>
      </w:pPr>
    </w:p>
    <w:p>
      <w:pPr>
        <w:ind w:right="360" w:firstLine="921"/>
        <w:spacing w:after="0" w:line="277" w:lineRule="auto"/>
        <w:tabs>
          <w:tab w:leader="none" w:pos="1303"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Company has delivered to the Trustee an Officers’ Certificate and an Opinion of Counsel, each stating that all conditions precedent herein provided for relating to the satisfaction and discharge of this Indenture have been complied with.</w:t>
      </w:r>
    </w:p>
    <w:p>
      <w:pPr>
        <w:spacing w:after="0" w:line="170"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Notwithstanding the satisfaction and discharge of this Indenture, the obligations of the Company to the Trustee under Section 6.7, the obligations of the Trustee to any Authenticating Agent under Section 6.14 and, if money shall have been deposited with the Trustee pursuant to subclause (B) of clause (1) of this Section, the obligations of the Trustee under Section 4.2 and the last paragraph of Section 10.3 shall survive.</w:t>
      </w:r>
    </w:p>
    <w:p>
      <w:pPr>
        <w:spacing w:after="0" w:line="162" w:lineRule="exact"/>
        <w:rPr>
          <w:sz w:val="20"/>
          <w:szCs w:val="20"/>
          <w:color w:val="auto"/>
        </w:rPr>
      </w:pPr>
    </w:p>
    <w:p>
      <w:pPr>
        <w:ind w:right="120" w:firstLine="456"/>
        <w:spacing w:after="0" w:line="281" w:lineRule="auto"/>
        <w:rPr>
          <w:sz w:val="20"/>
          <w:szCs w:val="20"/>
          <w:color w:val="auto"/>
        </w:rPr>
      </w:pPr>
      <w:r>
        <w:rPr>
          <w:rFonts w:ascii="Arial" w:cs="Arial" w:eastAsia="Arial" w:hAnsi="Arial"/>
          <w:sz w:val="17"/>
          <w:szCs w:val="17"/>
          <w:b w:val="1"/>
          <w:bCs w:val="1"/>
          <w:color w:val="auto"/>
        </w:rPr>
        <w:t>Section 4.2 Application of Trust Money</w:t>
      </w:r>
      <w:r>
        <w:rPr>
          <w:rFonts w:ascii="Arial" w:cs="Arial" w:eastAsia="Arial" w:hAnsi="Arial"/>
          <w:sz w:val="17"/>
          <w:szCs w:val="17"/>
          <w:color w:val="auto"/>
        </w:rPr>
        <w:t>. Subject to the provisions of the last paragraph of Section 10.3, all money deposited with the Trustee</w:t>
      </w:r>
      <w:r>
        <w:rPr>
          <w:rFonts w:ascii="Arial" w:cs="Arial" w:eastAsia="Arial" w:hAnsi="Arial"/>
          <w:sz w:val="17"/>
          <w:szCs w:val="17"/>
          <w:b w:val="1"/>
          <w:bCs w:val="1"/>
          <w:color w:val="auto"/>
        </w:rPr>
        <w:t xml:space="preserve"> </w:t>
      </w:r>
      <w:r>
        <w:rPr>
          <w:rFonts w:ascii="Arial" w:cs="Arial" w:eastAsia="Arial" w:hAnsi="Arial"/>
          <w:sz w:val="17"/>
          <w:szCs w:val="17"/>
          <w:color w:val="auto"/>
        </w:rPr>
        <w:t>pursuant to Section 4.1 shall be held in trust and applied by it, in accordance with the provisions of the Securities and this Indenture, to the payment, either directly or through any Paying Agent (including the Company acting as its own Paying Agent) as the Trustee may determine, to the Persons entitled thereto, of the principal and any premium and interest for whose payment such money has been deposited with the Trustee.</w:t>
      </w:r>
    </w:p>
    <w:p>
      <w:pPr>
        <w:spacing w:after="0" w:line="38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5</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REMEDIES</w:t>
      </w:r>
    </w:p>
    <w:p>
      <w:pPr>
        <w:spacing w:after="0" w:line="225" w:lineRule="exact"/>
        <w:rPr>
          <w:sz w:val="20"/>
          <w:szCs w:val="20"/>
          <w:color w:val="auto"/>
        </w:rPr>
      </w:pPr>
    </w:p>
    <w:p>
      <w:pPr>
        <w:ind w:right="180" w:firstLine="456"/>
        <w:spacing w:after="0" w:line="277" w:lineRule="auto"/>
        <w:rPr>
          <w:sz w:val="20"/>
          <w:szCs w:val="20"/>
          <w:color w:val="auto"/>
        </w:rPr>
      </w:pPr>
      <w:r>
        <w:rPr>
          <w:rFonts w:ascii="Arial" w:cs="Arial" w:eastAsia="Arial" w:hAnsi="Arial"/>
          <w:sz w:val="17"/>
          <w:szCs w:val="17"/>
          <w:b w:val="1"/>
          <w:bCs w:val="1"/>
          <w:color w:val="auto"/>
        </w:rPr>
        <w:t>Section 5.1 Events of Default</w:t>
      </w:r>
      <w:r>
        <w:rPr>
          <w:rFonts w:ascii="Arial" w:cs="Arial" w:eastAsia="Arial" w:hAnsi="Arial"/>
          <w:sz w:val="17"/>
          <w:szCs w:val="17"/>
          <w:color w:val="auto"/>
        </w:rPr>
        <w:t>. “Event of Default</w:t>
      </w:r>
      <w:r>
        <w:rPr>
          <w:rFonts w:ascii="Arial" w:cs="Arial" w:eastAsia="Arial" w:hAnsi="Arial"/>
          <w:sz w:val="17"/>
          <w:szCs w:val="17"/>
          <w:u w:val="single" w:color="auto"/>
          <w:color w:val="auto"/>
        </w:rPr>
        <w:t>,</w:t>
      </w:r>
      <w:r>
        <w:rPr>
          <w:rFonts w:ascii="Arial" w:cs="Arial" w:eastAsia="Arial" w:hAnsi="Arial"/>
          <w:sz w:val="17"/>
          <w:szCs w:val="17"/>
          <w:color w:val="auto"/>
        </w:rPr>
        <w:t>” wherever used herein with respect to Securities of any series, means any one of the following</w:t>
      </w:r>
      <w:r>
        <w:rPr>
          <w:rFonts w:ascii="Arial" w:cs="Arial" w:eastAsia="Arial" w:hAnsi="Arial"/>
          <w:sz w:val="17"/>
          <w:szCs w:val="17"/>
          <w:b w:val="1"/>
          <w:bCs w:val="1"/>
          <w:color w:val="auto"/>
        </w:rPr>
        <w:t xml:space="preserve"> </w:t>
      </w:r>
      <w:r>
        <w:rPr>
          <w:rFonts w:ascii="Arial" w:cs="Arial" w:eastAsia="Arial" w:hAnsi="Arial"/>
          <w:sz w:val="17"/>
          <w:szCs w:val="17"/>
          <w:color w:val="auto"/>
        </w:rPr>
        <w:t>events (whatever the reason for such Event of Default and whether it shall be voluntary or involuntary or be effected by operation of law or pursuant to any judgment, decree or order of any court or any order, rule or regulation of any administrative or governmental body), unless in the Board Resolution (or an Officers’ Certificate detailing such establishment pursuant to such Board Resolution) or supplemental indenture establishing such series, it is provided that such series shall not have the benefit of said Event of Default:</w:t>
      </w:r>
    </w:p>
    <w:p>
      <w:pPr>
        <w:spacing w:after="0" w:line="172" w:lineRule="exact"/>
        <w:rPr>
          <w:sz w:val="20"/>
          <w:szCs w:val="20"/>
          <w:color w:val="auto"/>
        </w:rPr>
      </w:pPr>
    </w:p>
    <w:p>
      <w:pPr>
        <w:ind w:left="1320" w:hanging="399"/>
        <w:spacing w:after="0"/>
        <w:tabs>
          <w:tab w:leader="none" w:pos="1320" w:val="left"/>
        </w:tabs>
        <w:numPr>
          <w:ilvl w:val="0"/>
          <w:numId w:val="65"/>
        </w:numPr>
        <w:rPr>
          <w:rFonts w:ascii="Arial" w:cs="Arial" w:eastAsia="Arial" w:hAnsi="Arial"/>
          <w:sz w:val="17"/>
          <w:szCs w:val="17"/>
          <w:color w:val="auto"/>
        </w:rPr>
      </w:pPr>
      <w:r>
        <w:rPr>
          <w:rFonts w:ascii="Arial" w:cs="Arial" w:eastAsia="Arial" w:hAnsi="Arial"/>
          <w:sz w:val="17"/>
          <w:szCs w:val="17"/>
          <w:color w:val="auto"/>
        </w:rPr>
        <w:t>default in the payment of the principal or the Redemption Price of or any premium on any Security of that series at its Maturity; or</w:t>
      </w:r>
    </w:p>
    <w:p>
      <w:pPr>
        <w:spacing w:after="0" w:line="236" w:lineRule="exact"/>
        <w:rPr>
          <w:rFonts w:ascii="Arial" w:cs="Arial" w:eastAsia="Arial" w:hAnsi="Arial"/>
          <w:sz w:val="17"/>
          <w:szCs w:val="17"/>
          <w:color w:val="auto"/>
        </w:rPr>
      </w:pPr>
    </w:p>
    <w:p>
      <w:pPr>
        <w:ind w:right="220" w:firstLine="921"/>
        <w:spacing w:after="0" w:line="277" w:lineRule="auto"/>
        <w:tabs>
          <w:tab w:leader="none" w:pos="1303" w:val="left"/>
        </w:tabs>
        <w:numPr>
          <w:ilvl w:val="0"/>
          <w:numId w:val="65"/>
        </w:numPr>
        <w:rPr>
          <w:rFonts w:ascii="Arial" w:cs="Arial" w:eastAsia="Arial" w:hAnsi="Arial"/>
          <w:sz w:val="18"/>
          <w:szCs w:val="18"/>
          <w:color w:val="auto"/>
        </w:rPr>
      </w:pPr>
      <w:r>
        <w:rPr>
          <w:rFonts w:ascii="Arial" w:cs="Arial" w:eastAsia="Arial" w:hAnsi="Arial"/>
          <w:sz w:val="18"/>
          <w:szCs w:val="18"/>
          <w:color w:val="auto"/>
        </w:rPr>
        <w:t>default in the payment of any interest upon any Security of that series when it becomes due and payable, and continuance of such default for a period of 30 days; or</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274" w:right="279" w:bottom="1440" w:gutter="0" w:footer="0" w:header="0"/>
        </w:sectPr>
      </w:pPr>
    </w:p>
    <w:bookmarkStart w:id="71" w:name="page72"/>
    <w:bookmarkEnd w:id="71"/>
    <w:p>
      <w:pPr>
        <w:ind w:left="1320" w:hanging="399"/>
        <w:spacing w:after="0"/>
        <w:tabs>
          <w:tab w:leader="none" w:pos="1320" w:val="left"/>
        </w:tabs>
        <w:numPr>
          <w:ilvl w:val="0"/>
          <w:numId w:val="6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default in the deposit of any sinking fund payment, when and as due by the terms of a Security of that series; or</w:t>
      </w:r>
    </w:p>
    <w:p>
      <w:pPr>
        <w:spacing w:after="0" w:line="225" w:lineRule="exact"/>
        <w:rPr>
          <w:rFonts w:ascii="Arial" w:cs="Arial" w:eastAsia="Arial" w:hAnsi="Arial"/>
          <w:sz w:val="18"/>
          <w:szCs w:val="18"/>
          <w:color w:val="auto"/>
        </w:rPr>
      </w:pPr>
    </w:p>
    <w:p>
      <w:pPr>
        <w:ind w:firstLine="921"/>
        <w:spacing w:after="0" w:line="255" w:lineRule="auto"/>
        <w:tabs>
          <w:tab w:leader="none" w:pos="1303" w:val="left"/>
        </w:tabs>
        <w:numPr>
          <w:ilvl w:val="0"/>
          <w:numId w:val="66"/>
        </w:numPr>
        <w:rPr>
          <w:rFonts w:ascii="Arial" w:cs="Arial" w:eastAsia="Arial" w:hAnsi="Arial"/>
          <w:sz w:val="18"/>
          <w:szCs w:val="18"/>
          <w:color w:val="auto"/>
        </w:rPr>
      </w:pPr>
      <w:r>
        <w:rPr>
          <w:rFonts w:ascii="Arial" w:cs="Arial" w:eastAsia="Arial" w:hAnsi="Arial"/>
          <w:sz w:val="18"/>
          <w:szCs w:val="18"/>
          <w:color w:val="auto"/>
        </w:rPr>
        <w:t>default in the performance, or breach, of any covenant or warranty of the Company in this Indenture (other than a covenant or warranty a default in whose performance or whose breach is elsewhere in this Section specifically dealt with or which has expressly been included in this Indenture solely for the benefit of series of Securities other than that series), and continuance of such default or breach for a period of 90 days after there has been given, by registered or certified mail, to the Company by the Trustee or to the Company and the Trustee by the Holders of at least 25% in principal amount of the Outstanding Securities of that series a written notice specifying such default or breach and requiring it to be remedied and stating that such notice is a “Notice of Default” hereunder; or</w:t>
      </w:r>
    </w:p>
    <w:p>
      <w:pPr>
        <w:spacing w:after="0" w:line="193" w:lineRule="exact"/>
        <w:rPr>
          <w:rFonts w:ascii="Arial" w:cs="Arial" w:eastAsia="Arial" w:hAnsi="Arial"/>
          <w:sz w:val="18"/>
          <w:szCs w:val="18"/>
          <w:color w:val="auto"/>
        </w:rPr>
      </w:pPr>
    </w:p>
    <w:p>
      <w:pPr>
        <w:ind w:right="40" w:firstLine="921"/>
        <w:spacing w:after="0" w:line="273" w:lineRule="auto"/>
        <w:tabs>
          <w:tab w:leader="none" w:pos="1303"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entry by a court having jurisdiction in the premises of (A) a decree or order for relief in respect of the Company in an involuntary case or proceeding under any applicable Federal or State bankruptcy, insolvency, reorganization or other similar law or (B) a decree or order adjudging the Company a bankrupt or insolvent, or approving as properly filed a petition seeking reorganization, arrangement, adjustment or composition of or in respect of the Company under any applicable Federal or State law, or appointing a custodian, receiver, liquidator, assignee, trustee, sequestrator or other similar official of the Company or of any substantial part of its property, or ordering the winding up or liquidation of its affairs, and the continuance of any such decree or order for relief or any such other decree or order unstayed and in effect for a period of 90 consecutive days; or</w:t>
      </w:r>
    </w:p>
    <w:p>
      <w:pPr>
        <w:spacing w:after="0" w:line="178" w:lineRule="exact"/>
        <w:rPr>
          <w:rFonts w:ascii="Arial" w:cs="Arial" w:eastAsia="Arial" w:hAnsi="Arial"/>
          <w:sz w:val="17"/>
          <w:szCs w:val="17"/>
          <w:color w:val="auto"/>
        </w:rPr>
      </w:pPr>
    </w:p>
    <w:p>
      <w:pPr>
        <w:ind w:right="40" w:firstLine="921"/>
        <w:spacing w:after="0" w:line="271" w:lineRule="auto"/>
        <w:tabs>
          <w:tab w:leader="none" w:pos="1303"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commencement by the Company of a voluntary case or proceeding under any applicable Federal or State bankruptcy, insolvency, reorganization or other similar law or of any other case or proceeding to be adjudicated a bankrupt or insolvent, or the consent by it to the entry of a decree or order for relief in respect of the Company in an involuntary case or proceeding under any applicable Federal or State bankruptcy, insolvency, reorganization or other similar law or to the commencement of any bankruptcy or insolvency case or proceeding against it, or the filing by it of a petition or answer or consent seeking reorganization or relief under any applicable Federal or State law, or the consent by it to the filing of such petition or to the appointment of or taking possession by a custodian, receiver, liquidator, assignee, trustee, sequestrator or other similar official of the Company or of any substantial part of its property, or the making by it of an assignment for the benefit of creditors, or the admission by it in writing of its inability to pay its debts generally as they become due, or the taking of corporate action by the Company in furtherance of any such action; or</w:t>
      </w:r>
    </w:p>
    <w:p>
      <w:pPr>
        <w:spacing w:after="0" w:line="178" w:lineRule="exact"/>
        <w:rPr>
          <w:rFonts w:ascii="Arial" w:cs="Arial" w:eastAsia="Arial" w:hAnsi="Arial"/>
          <w:sz w:val="17"/>
          <w:szCs w:val="17"/>
          <w:color w:val="auto"/>
        </w:rPr>
      </w:pPr>
    </w:p>
    <w:p>
      <w:pPr>
        <w:ind w:right="100" w:firstLine="921"/>
        <w:spacing w:after="0" w:line="277" w:lineRule="auto"/>
        <w:tabs>
          <w:tab w:leader="none" w:pos="1303"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Securities of that series in the Board Resolution (or in an Officers’ Certificate detailing such establishment pursuant to such Board Resolution) or supplemental indenture establishing that series.</w:t>
      </w:r>
    </w:p>
    <w:p>
      <w:pPr>
        <w:spacing w:after="0" w:line="275" w:lineRule="exact"/>
        <w:rPr>
          <w:sz w:val="20"/>
          <w:szCs w:val="20"/>
          <w:color w:val="auto"/>
        </w:rPr>
      </w:pPr>
    </w:p>
    <w:p>
      <w:pPr>
        <w:ind w:left="460"/>
        <w:spacing w:after="0"/>
        <w:tabs>
          <w:tab w:leader="none" w:pos="1460" w:val="left"/>
        </w:tabs>
        <w:rPr>
          <w:sz w:val="20"/>
          <w:szCs w:val="20"/>
          <w:color w:val="auto"/>
        </w:rPr>
      </w:pPr>
      <w:r>
        <w:rPr>
          <w:rFonts w:ascii="Arial" w:cs="Arial" w:eastAsia="Arial" w:hAnsi="Arial"/>
          <w:sz w:val="18"/>
          <w:szCs w:val="18"/>
          <w:b w:val="1"/>
          <w:bCs w:val="1"/>
          <w:color w:val="auto"/>
        </w:rPr>
        <w:t>Section 5.2</w:t>
      </w:r>
      <w:r>
        <w:rPr>
          <w:sz w:val="20"/>
          <w:szCs w:val="20"/>
          <w:color w:val="auto"/>
        </w:rPr>
        <w:tab/>
      </w:r>
      <w:r>
        <w:rPr>
          <w:rFonts w:ascii="Arial" w:cs="Arial" w:eastAsia="Arial" w:hAnsi="Arial"/>
          <w:sz w:val="16"/>
          <w:szCs w:val="16"/>
          <w:b w:val="1"/>
          <w:bCs w:val="1"/>
          <w:color w:val="auto"/>
        </w:rPr>
        <w:t>Acceleration of Maturity; Rescission and Annulment</w:t>
      </w:r>
      <w:r>
        <w:rPr>
          <w:rFonts w:ascii="Arial" w:cs="Arial" w:eastAsia="Arial" w:hAnsi="Arial"/>
          <w:sz w:val="16"/>
          <w:szCs w:val="16"/>
          <w:color w:val="auto"/>
        </w:rPr>
        <w:t>.</w:t>
      </w:r>
    </w:p>
    <w:p>
      <w:pPr>
        <w:spacing w:after="0" w:line="121" w:lineRule="exact"/>
        <w:rPr>
          <w:sz w:val="20"/>
          <w:szCs w:val="20"/>
          <w:color w:val="auto"/>
        </w:rPr>
      </w:pPr>
    </w:p>
    <w:p>
      <w:pPr>
        <w:ind w:right="420" w:firstLine="921"/>
        <w:spacing w:after="0" w:line="342" w:lineRule="auto"/>
        <w:tabs>
          <w:tab w:leader="none" w:pos="1293" w:val="left"/>
        </w:tabs>
        <w:numPr>
          <w:ilvl w:val="0"/>
          <w:numId w:val="67"/>
        </w:numPr>
        <w:rPr>
          <w:rFonts w:ascii="Arial" w:cs="Arial" w:eastAsia="Arial" w:hAnsi="Arial"/>
          <w:sz w:val="16"/>
          <w:szCs w:val="16"/>
          <w:color w:val="auto"/>
        </w:rPr>
      </w:pPr>
      <w:r>
        <w:rPr>
          <w:rFonts w:ascii="Arial" w:cs="Arial" w:eastAsia="Arial" w:hAnsi="Arial"/>
          <w:sz w:val="16"/>
          <w:szCs w:val="16"/>
          <w:color w:val="auto"/>
        </w:rPr>
        <w:t>Unless the Board Resolution (or Officers’ Certificate detailing such establishment pursuant to such Board Resolution) or supplemental indenture establishing such series provides otherwise, if an Event of Default (other than an Event of Default specified in Section 5.1(5)</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4" w:right="239" w:bottom="1440" w:gutter="0" w:footer="0" w:header="0"/>
        </w:sectPr>
      </w:pPr>
    </w:p>
    <w:bookmarkStart w:id="72" w:name="page73"/>
    <w:bookmarkEnd w:id="72"/>
    <w:p>
      <w:pPr>
        <w:ind w:right="24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5.1(6)) with respect to Securities of any series at the time Outstanding occurs and is continuing, then in every such case the Trustee or the Holders of not less than 25% in principal amount of the Outstanding Securities of that series may declare the principal amount of all the Securities of that series (or, if any Securities of that series are Original Issue Discount Securities, such portion of the principal amount of such Securities as may be specified by the terms thereof), and premium, if any, together with accrued and unpaid interest, if any, thereon, to be due and payable immediately, by a notice in writing to the Company (and to the Trustee if given by the Holders), and upon any such declaration such principal amount (or specified amount), and premium, if any, together with accrued and unpaid interest, if any, thereon, shall become immediately due and payable. If an Event of Default specified in Section 5.1(5) or</w:t>
      </w:r>
    </w:p>
    <w:p>
      <w:pPr>
        <w:spacing w:after="0" w:line="5"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5.1(6) with respect to Securities of any series at the time Outstanding occurs, the principal amount of all the Securities of that series (or, if any Securities of that series are Original Issue Discount Securities, such portion of the principal amount of such Securities as may be specified by the terms thereof), and premium, if any, together with accrued and unpaid interest, if any, thereon, shall automatically, and without any declaration or other action on the part of the Trustee or any Holder, become immediately due and payable.</w:t>
      </w:r>
    </w:p>
    <w:p>
      <w:pPr>
        <w:spacing w:after="0" w:line="190" w:lineRule="exact"/>
        <w:rPr>
          <w:sz w:val="20"/>
          <w:szCs w:val="20"/>
          <w:color w:val="auto"/>
        </w:rPr>
      </w:pPr>
    </w:p>
    <w:p>
      <w:pPr>
        <w:ind w:firstLine="921"/>
        <w:spacing w:after="0" w:line="269" w:lineRule="auto"/>
        <w:tabs>
          <w:tab w:leader="none" w:pos="1303" w:val="left"/>
        </w:tabs>
        <w:numPr>
          <w:ilvl w:val="0"/>
          <w:numId w:val="68"/>
        </w:numPr>
        <w:rPr>
          <w:rFonts w:ascii="Arial" w:cs="Arial" w:eastAsia="Arial" w:hAnsi="Arial"/>
          <w:sz w:val="17"/>
          <w:szCs w:val="17"/>
          <w:color w:val="auto"/>
        </w:rPr>
      </w:pPr>
      <w:r>
        <w:rPr>
          <w:rFonts w:ascii="Arial" w:cs="Arial" w:eastAsia="Arial" w:hAnsi="Arial"/>
          <w:sz w:val="17"/>
          <w:szCs w:val="17"/>
          <w:color w:val="auto"/>
        </w:rPr>
        <w:t>Notwithstanding the foregoing, at the election of the Company, the sole remedy with respect to an Event of Default for the failure by the Company to comply with its obligations under Section 314(a)(1) of the Trust Indenture Act relating to the Company’s failure to file any documents or reports that the Company is required to file with the SEC pursuant to Section 13 or 15(d) of the Exchange Act or of its covenants set forth in Section 7.4 (any such Event of Default, a “Reporting Default”), shall for the first 180 calendar days after the occurrence of such Reporting Default consist exclusively of the right to receive additional interest (the “Additional Interest”) on the Securities at an annual rate equal to (i) 0.25% of the principal amount of the Securities for the first 90 calendar days after the occurrence of such Reporting Default and (ii) 0.50% of the principal amount of the Securities from the 91st day to, and including, the 180th day after the occurrence of such Reporting Default. If the Company so elects, the Additional Interest shall accrue on all Outstanding Securities from and including the date on which such Reporting Default first occurs until such violation is cured or waived and shall be payable as provided in Section 3.7. On the 181st day after such Reporting Default (if such violation is not cured or waived prior to such 181st calendar day), then the Trustee or the Holders of not less than 25% in principal amount of the Outstanding securities may declare the principal of, and premium, if any, together with accrued and unpaid interest, if any, on all such Securities to be due and payable immediately.</w:t>
      </w:r>
    </w:p>
    <w:p>
      <w:pPr>
        <w:spacing w:after="0" w:line="18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If the Company elects to pay the Additional Interest as the sole remedy for the Reporting Default, the Company shall notify in writing, by a certificate, the Holders, the Paying Agent and the Trustee of such election at any time on or before the close of business on the first Business Day following the date on which such Event of Default first occurs. Unless and until a Responsible Officer of the Trustee receives at the Corporate Trust Office such a certificate, the Trustee may assume without inquiry that Additional Interest is not payable. The Company shall pay the Additional Interest semi-annually in arrears, with the first semi-annual payment due on the first Interest Payment Date following the date of such Reporting Default, in the same manner as described on the face of the Security.</w:t>
      </w:r>
    </w:p>
    <w:p>
      <w:pPr>
        <w:spacing w:after="0" w:line="193" w:lineRule="exact"/>
        <w:rPr>
          <w:sz w:val="20"/>
          <w:szCs w:val="20"/>
          <w:color w:val="auto"/>
        </w:rPr>
      </w:pPr>
    </w:p>
    <w:p>
      <w:pPr>
        <w:ind w:right="160" w:firstLine="921"/>
        <w:spacing w:after="0" w:line="277" w:lineRule="auto"/>
        <w:tabs>
          <w:tab w:leader="none" w:pos="1283" w:val="left"/>
        </w:tabs>
        <w:numPr>
          <w:ilvl w:val="0"/>
          <w:numId w:val="69"/>
        </w:numPr>
        <w:rPr>
          <w:rFonts w:ascii="Arial" w:cs="Arial" w:eastAsia="Arial" w:hAnsi="Arial"/>
          <w:sz w:val="18"/>
          <w:szCs w:val="18"/>
          <w:color w:val="auto"/>
        </w:rPr>
      </w:pPr>
      <w:r>
        <w:rPr>
          <w:rFonts w:ascii="Arial" w:cs="Arial" w:eastAsia="Arial" w:hAnsi="Arial"/>
          <w:sz w:val="18"/>
          <w:szCs w:val="18"/>
          <w:color w:val="auto"/>
        </w:rPr>
        <w:t>At any time after such a declaration of acceleration with respect to Securities of any series has been made and before a judgment or decree for payment of the money due has been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4" w:right="239" w:bottom="1440" w:gutter="0" w:footer="0" w:header="0"/>
        </w:sectPr>
      </w:pPr>
    </w:p>
    <w:bookmarkStart w:id="73" w:name="page74"/>
    <w:bookmarkEnd w:id="73"/>
    <w:p>
      <w:pPr>
        <w:ind w:right="2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obtained by the Trustee as hereinafter in this Article provided, the Holders of a majority in principal amount of the Outstanding Securities of that series, by written notice to the Company and the Trustee, may rescind and annul such declaration and its consequences if</w:t>
      </w:r>
    </w:p>
    <w:p>
      <w:pPr>
        <w:spacing w:after="0" w:line="170" w:lineRule="exact"/>
        <w:rPr>
          <w:sz w:val="20"/>
          <w:szCs w:val="20"/>
          <w:color w:val="auto"/>
        </w:rPr>
      </w:pPr>
    </w:p>
    <w:p>
      <w:pPr>
        <w:ind w:left="1320" w:hanging="399"/>
        <w:spacing w:after="0"/>
        <w:tabs>
          <w:tab w:leader="none" w:pos="13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Company has paid or deposited with the Trustee a sum sufficient to pay</w:t>
      </w:r>
    </w:p>
    <w:p>
      <w:pPr>
        <w:spacing w:after="0" w:line="117" w:lineRule="exact"/>
        <w:rPr>
          <w:rFonts w:ascii="Arial" w:cs="Arial" w:eastAsia="Arial" w:hAnsi="Arial"/>
          <w:sz w:val="18"/>
          <w:szCs w:val="18"/>
          <w:color w:val="auto"/>
        </w:rPr>
      </w:pPr>
    </w:p>
    <w:p>
      <w:pPr>
        <w:ind w:left="1780" w:hanging="439"/>
        <w:spacing w:after="0"/>
        <w:tabs>
          <w:tab w:leader="none" w:pos="17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all overdue interest on all Securities of that series,</w:t>
      </w:r>
    </w:p>
    <w:p>
      <w:pPr>
        <w:spacing w:after="0" w:line="117" w:lineRule="exact"/>
        <w:rPr>
          <w:rFonts w:ascii="Arial" w:cs="Arial" w:eastAsia="Arial" w:hAnsi="Arial"/>
          <w:sz w:val="18"/>
          <w:szCs w:val="18"/>
          <w:color w:val="auto"/>
        </w:rPr>
      </w:pPr>
    </w:p>
    <w:p>
      <w:pPr>
        <w:ind w:left="460" w:right="100" w:firstLine="881"/>
        <w:spacing w:after="0" w:line="277" w:lineRule="auto"/>
        <w:tabs>
          <w:tab w:leader="none" w:pos="1756"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principal of (and premium, if any, on) any Securities of that series which have become due otherwise than by such declaration of acceleration and any interest thereon at the rate or rates prescribed therefor in such Securities,</w:t>
      </w:r>
    </w:p>
    <w:p>
      <w:pPr>
        <w:spacing w:after="0" w:line="62" w:lineRule="exact"/>
        <w:rPr>
          <w:rFonts w:ascii="Arial" w:cs="Arial" w:eastAsia="Arial" w:hAnsi="Arial"/>
          <w:sz w:val="18"/>
          <w:szCs w:val="18"/>
          <w:color w:val="auto"/>
        </w:rPr>
      </w:pPr>
    </w:p>
    <w:p>
      <w:pPr>
        <w:ind w:left="1760" w:hanging="419"/>
        <w:spacing w:after="0"/>
        <w:tabs>
          <w:tab w:leader="none" w:pos="1760" w:val="left"/>
        </w:tabs>
        <w:numPr>
          <w:ilvl w:val="1"/>
          <w:numId w:val="70"/>
        </w:numPr>
        <w:rPr>
          <w:rFonts w:ascii="Arial" w:cs="Arial" w:eastAsia="Arial" w:hAnsi="Arial"/>
          <w:sz w:val="16"/>
          <w:szCs w:val="16"/>
          <w:color w:val="auto"/>
        </w:rPr>
      </w:pPr>
      <w:r>
        <w:rPr>
          <w:rFonts w:ascii="Arial" w:cs="Arial" w:eastAsia="Arial" w:hAnsi="Arial"/>
          <w:sz w:val="16"/>
          <w:szCs w:val="16"/>
          <w:color w:val="auto"/>
        </w:rPr>
        <w:t>to the extent that payment of such interest is lawful, interest upon overdue interest at the rate or rates prescribed therefor in such</w:t>
      </w:r>
    </w:p>
    <w:p>
      <w:pPr>
        <w:spacing w:after="0" w:line="4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Securities, and</w:t>
      </w:r>
    </w:p>
    <w:p>
      <w:pPr>
        <w:spacing w:after="0" w:line="102" w:lineRule="exact"/>
        <w:rPr>
          <w:rFonts w:ascii="Arial" w:cs="Arial" w:eastAsia="Arial" w:hAnsi="Arial"/>
          <w:sz w:val="16"/>
          <w:szCs w:val="16"/>
          <w:color w:val="auto"/>
        </w:rPr>
      </w:pPr>
    </w:p>
    <w:p>
      <w:pPr>
        <w:ind w:left="460" w:right="140" w:firstLine="881"/>
        <w:spacing w:after="0" w:line="277" w:lineRule="auto"/>
        <w:tabs>
          <w:tab w:leader="none" w:pos="1766" w:val="left"/>
        </w:tabs>
        <w:numPr>
          <w:ilvl w:val="1"/>
          <w:numId w:val="70"/>
        </w:numPr>
        <w:rPr>
          <w:rFonts w:ascii="Arial" w:cs="Arial" w:eastAsia="Arial" w:hAnsi="Arial"/>
          <w:sz w:val="18"/>
          <w:szCs w:val="18"/>
          <w:color w:val="auto"/>
        </w:rPr>
      </w:pPr>
      <w:r>
        <w:rPr>
          <w:rFonts w:ascii="Arial" w:cs="Arial" w:eastAsia="Arial" w:hAnsi="Arial"/>
          <w:sz w:val="18"/>
          <w:szCs w:val="18"/>
          <w:color w:val="auto"/>
        </w:rPr>
        <w:t>all sums paid or advanced by the Trustee hereunder and the reasonable compensation, expenses, disbursements and advances of the Trustee, its agents and counsel; and</w:t>
      </w:r>
    </w:p>
    <w:p>
      <w:pPr>
        <w:spacing w:after="0" w:line="170" w:lineRule="exact"/>
        <w:rPr>
          <w:rFonts w:ascii="Arial" w:cs="Arial" w:eastAsia="Arial" w:hAnsi="Arial"/>
          <w:sz w:val="18"/>
          <w:szCs w:val="18"/>
          <w:color w:val="auto"/>
        </w:rPr>
      </w:pPr>
    </w:p>
    <w:p>
      <w:pPr>
        <w:ind w:right="140" w:firstLine="921"/>
        <w:spacing w:after="0" w:line="277" w:lineRule="auto"/>
        <w:tabs>
          <w:tab w:leader="none" w:pos="1303" w:val="left"/>
        </w:tabs>
        <w:numPr>
          <w:ilvl w:val="0"/>
          <w:numId w:val="70"/>
        </w:numPr>
        <w:rPr>
          <w:rFonts w:ascii="Arial" w:cs="Arial" w:eastAsia="Arial" w:hAnsi="Arial"/>
          <w:sz w:val="18"/>
          <w:szCs w:val="18"/>
          <w:color w:val="auto"/>
        </w:rPr>
      </w:pPr>
      <w:r>
        <w:rPr>
          <w:rFonts w:ascii="Arial" w:cs="Arial" w:eastAsia="Arial" w:hAnsi="Arial"/>
          <w:sz w:val="18"/>
          <w:szCs w:val="18"/>
          <w:color w:val="auto"/>
        </w:rPr>
        <w:t>all Events of Default with respect to Securities of that series, other than the non-payment of the principal of Securities of that series which have become due solely by such declaration of acceleration, have been cured or waived as provided in Section 5.13.</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such rescission shall affect any subsequent default or impair any right consequent thereon.</w:t>
      </w:r>
    </w:p>
    <w:p>
      <w:pPr>
        <w:spacing w:after="0" w:line="221" w:lineRule="exact"/>
        <w:rPr>
          <w:sz w:val="20"/>
          <w:szCs w:val="20"/>
          <w:color w:val="auto"/>
        </w:rPr>
      </w:pPr>
    </w:p>
    <w:p>
      <w:pPr>
        <w:ind w:left="460"/>
        <w:spacing w:after="0"/>
        <w:tabs>
          <w:tab w:leader="none" w:pos="1460" w:val="left"/>
        </w:tabs>
        <w:rPr>
          <w:sz w:val="20"/>
          <w:szCs w:val="20"/>
          <w:color w:val="auto"/>
        </w:rPr>
      </w:pPr>
      <w:r>
        <w:rPr>
          <w:rFonts w:ascii="Arial" w:cs="Arial" w:eastAsia="Arial" w:hAnsi="Arial"/>
          <w:sz w:val="18"/>
          <w:szCs w:val="18"/>
          <w:b w:val="1"/>
          <w:bCs w:val="1"/>
          <w:color w:val="auto"/>
        </w:rPr>
        <w:t>Section 5.3</w:t>
      </w:r>
      <w:r>
        <w:rPr>
          <w:sz w:val="20"/>
          <w:szCs w:val="20"/>
          <w:color w:val="auto"/>
        </w:rPr>
        <w:tab/>
      </w:r>
      <w:r>
        <w:rPr>
          <w:rFonts w:ascii="Arial" w:cs="Arial" w:eastAsia="Arial" w:hAnsi="Arial"/>
          <w:sz w:val="16"/>
          <w:szCs w:val="16"/>
          <w:b w:val="1"/>
          <w:bCs w:val="1"/>
          <w:color w:val="auto"/>
        </w:rPr>
        <w:t>Collection of Indebtedness and Suits for Enforcement by Trustee</w:t>
      </w:r>
      <w:r>
        <w:rPr>
          <w:rFonts w:ascii="Arial" w:cs="Arial" w:eastAsia="Arial" w:hAnsi="Arial"/>
          <w:sz w:val="16"/>
          <w:szCs w:val="16"/>
          <w:color w:val="auto"/>
        </w:rPr>
        <w:t>. The Company covenants that if</w:t>
      </w:r>
    </w:p>
    <w:p>
      <w:pPr>
        <w:spacing w:after="0" w:line="229" w:lineRule="exact"/>
        <w:rPr>
          <w:sz w:val="20"/>
          <w:szCs w:val="20"/>
          <w:color w:val="auto"/>
        </w:rPr>
      </w:pPr>
    </w:p>
    <w:p>
      <w:pPr>
        <w:ind w:left="1320" w:hanging="399"/>
        <w:spacing w:after="0"/>
        <w:tabs>
          <w:tab w:leader="none" w:pos="1320" w:val="left"/>
        </w:tabs>
        <w:numPr>
          <w:ilvl w:val="0"/>
          <w:numId w:val="71"/>
        </w:numPr>
        <w:rPr>
          <w:rFonts w:ascii="Arial" w:cs="Arial" w:eastAsia="Arial" w:hAnsi="Arial"/>
          <w:sz w:val="16"/>
          <w:szCs w:val="16"/>
          <w:color w:val="auto"/>
        </w:rPr>
      </w:pPr>
      <w:r>
        <w:rPr>
          <w:rFonts w:ascii="Arial" w:cs="Arial" w:eastAsia="Arial" w:hAnsi="Arial"/>
          <w:sz w:val="16"/>
          <w:szCs w:val="16"/>
          <w:color w:val="auto"/>
        </w:rPr>
        <w:t>default is made in the payment of the principal or the Redemption Price of (or premium, if any, on) any Security at the Maturity thereof, or</w:t>
      </w:r>
    </w:p>
    <w:p>
      <w:pPr>
        <w:spacing w:after="0" w:line="248" w:lineRule="exact"/>
        <w:rPr>
          <w:rFonts w:ascii="Arial" w:cs="Arial" w:eastAsia="Arial" w:hAnsi="Arial"/>
          <w:sz w:val="16"/>
          <w:szCs w:val="16"/>
          <w:color w:val="auto"/>
        </w:rPr>
      </w:pPr>
    </w:p>
    <w:p>
      <w:pPr>
        <w:ind w:left="1320" w:hanging="399"/>
        <w:spacing w:after="0"/>
        <w:tabs>
          <w:tab w:leader="none" w:pos="1320" w:val="left"/>
        </w:tabs>
        <w:numPr>
          <w:ilvl w:val="0"/>
          <w:numId w:val="71"/>
        </w:numPr>
        <w:rPr>
          <w:rFonts w:ascii="Arial" w:cs="Arial" w:eastAsia="Arial" w:hAnsi="Arial"/>
          <w:sz w:val="16"/>
          <w:szCs w:val="16"/>
          <w:color w:val="auto"/>
        </w:rPr>
      </w:pPr>
      <w:r>
        <w:rPr>
          <w:rFonts w:ascii="Arial" w:cs="Arial" w:eastAsia="Arial" w:hAnsi="Arial"/>
          <w:sz w:val="16"/>
          <w:szCs w:val="16"/>
          <w:color w:val="auto"/>
        </w:rPr>
        <w:t>default is made in the payment of any interest on any Security when such interest becomes due and payable and such default continues for a</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period of 30 days,</w:t>
      </w:r>
    </w:p>
    <w:p>
      <w:pPr>
        <w:spacing w:after="0" w:line="21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will, upon demand of the Trustee, pay to it, for the benefit of the Holders of such Securities, the whole amount then due and payable on such Securities for principal and any premium and interest and, to the extent that payment of such interest shall be legally enforceable, interest on any overdue principal and premium and on any overdue interest, at the rate or rates prescribed therefor in such Securities, and, in addition thereto, such further amount as shall be sufficient to cover the costs and expenses of collection, including the reasonable compensation, expenses, disbursements and advances of the Trustee, its agents and counsel.</w:t>
      </w:r>
    </w:p>
    <w:p>
      <w:pPr>
        <w:spacing w:after="0" w:line="18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If an Event of Default with respect to Securities of any series occurs and is continuing, the Trustee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274" w:right="279" w:bottom="1440" w:gutter="0" w:footer="0" w:header="0"/>
        </w:sectPr>
      </w:pPr>
    </w:p>
    <w:bookmarkStart w:id="74" w:name="page75"/>
    <w:bookmarkEnd w:id="74"/>
    <w:p>
      <w:pPr>
        <w:ind w:firstLine="456"/>
        <w:spacing w:after="0" w:line="25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5.4 Trustee May File Proofs of Claim</w:t>
      </w:r>
      <w:r>
        <w:rPr>
          <w:rFonts w:ascii="Arial" w:cs="Arial" w:eastAsia="Arial" w:hAnsi="Arial"/>
          <w:sz w:val="18"/>
          <w:szCs w:val="18"/>
          <w:color w:val="auto"/>
        </w:rPr>
        <w:t>. In case of any judicial proceeding relative to the Company (or any other obligor upon the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its property or its creditors, the Trustee shall be entitled and empowered, by intervention in such proceeding or otherwise, to take any and all actions authorized under the Trust Indenture Act in order to have claims of the Holders and the Trustee allowed in any such proceeding. In particular, the Trustee shall be authorized to collect and receive any moneys or other property payable or deliverable on any such claims and to distribute the same; 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reasonable compensation, expenses, disbursements and advances of the Trustee, its agents and counsel, and any other amounts due the Trustee under Section 6.7.</w:t>
      </w:r>
    </w:p>
    <w:p>
      <w:pPr>
        <w:spacing w:after="0" w:line="18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No provision of this Indenture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Trustee may, on behalf of the Holders, vote for the election of a trustee in bankruptcy or similar official and be a member of a creditors’ or other similar committee.</w:t>
      </w:r>
    </w:p>
    <w:p>
      <w:pPr>
        <w:spacing w:after="0" w:line="183" w:lineRule="exact"/>
        <w:rPr>
          <w:sz w:val="20"/>
          <w:szCs w:val="20"/>
          <w:color w:val="auto"/>
        </w:rPr>
      </w:pPr>
    </w:p>
    <w:p>
      <w:pPr>
        <w:ind w:right="220" w:firstLine="456"/>
        <w:spacing w:after="0" w:line="277" w:lineRule="auto"/>
        <w:rPr>
          <w:sz w:val="20"/>
          <w:szCs w:val="20"/>
          <w:color w:val="auto"/>
        </w:rPr>
      </w:pPr>
      <w:r>
        <w:rPr>
          <w:rFonts w:ascii="Arial" w:cs="Arial" w:eastAsia="Arial" w:hAnsi="Arial"/>
          <w:sz w:val="17"/>
          <w:szCs w:val="17"/>
          <w:b w:val="1"/>
          <w:bCs w:val="1"/>
          <w:color w:val="auto"/>
        </w:rPr>
        <w:t>Section 5.5 Trustee May Enforce Claims Without Possession of Securities</w:t>
      </w:r>
      <w:r>
        <w:rPr>
          <w:rFonts w:ascii="Arial" w:cs="Arial" w:eastAsia="Arial" w:hAnsi="Arial"/>
          <w:sz w:val="17"/>
          <w:szCs w:val="17"/>
          <w:color w:val="auto"/>
        </w:rPr>
        <w:t>. All rights of action and claims under this Indenture or the Securities</w:t>
      </w:r>
      <w:r>
        <w:rPr>
          <w:rFonts w:ascii="Arial" w:cs="Arial" w:eastAsia="Arial" w:hAnsi="Arial"/>
          <w:sz w:val="17"/>
          <w:szCs w:val="17"/>
          <w:b w:val="1"/>
          <w:bCs w:val="1"/>
          <w:color w:val="auto"/>
        </w:rPr>
        <w:t xml:space="preserve"> </w:t>
      </w:r>
      <w:r>
        <w:rPr>
          <w:rFonts w:ascii="Arial" w:cs="Arial" w:eastAsia="Arial" w:hAnsi="Arial"/>
          <w:sz w:val="17"/>
          <w:szCs w:val="17"/>
          <w:color w:val="auto"/>
        </w:rPr>
        <w:t>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Securities in respect of which such judgment has been recovered.</w:t>
      </w:r>
    </w:p>
    <w:p>
      <w:pPr>
        <w:spacing w:after="0" w:line="168" w:lineRule="exact"/>
        <w:rPr>
          <w:sz w:val="20"/>
          <w:szCs w:val="20"/>
          <w:color w:val="auto"/>
        </w:rPr>
      </w:pPr>
    </w:p>
    <w:p>
      <w:pPr>
        <w:jc w:val="both"/>
        <w:ind w:right="100" w:firstLine="456"/>
        <w:spacing w:after="0" w:line="289" w:lineRule="auto"/>
        <w:rPr>
          <w:sz w:val="20"/>
          <w:szCs w:val="20"/>
          <w:color w:val="auto"/>
        </w:rPr>
      </w:pPr>
      <w:r>
        <w:rPr>
          <w:rFonts w:ascii="Arial" w:cs="Arial" w:eastAsia="Arial" w:hAnsi="Arial"/>
          <w:sz w:val="17"/>
          <w:szCs w:val="17"/>
          <w:b w:val="1"/>
          <w:bCs w:val="1"/>
          <w:color w:val="auto"/>
        </w:rPr>
        <w:t>Section 5.6 Application of Money Collected</w:t>
      </w:r>
      <w:r>
        <w:rPr>
          <w:rFonts w:ascii="Arial" w:cs="Arial" w:eastAsia="Arial" w:hAnsi="Arial"/>
          <w:sz w:val="17"/>
          <w:szCs w:val="17"/>
          <w:color w:val="auto"/>
        </w:rPr>
        <w:t>. Any money collected by the Trustee pursuant to this Article shall be applied in the following order, at</w:t>
      </w:r>
      <w:r>
        <w:rPr>
          <w:rFonts w:ascii="Arial" w:cs="Arial" w:eastAsia="Arial" w:hAnsi="Arial"/>
          <w:sz w:val="17"/>
          <w:szCs w:val="17"/>
          <w:b w:val="1"/>
          <w:bCs w:val="1"/>
          <w:color w:val="auto"/>
        </w:rPr>
        <w:t xml:space="preserve"> </w:t>
      </w:r>
      <w:r>
        <w:rPr>
          <w:rFonts w:ascii="Arial" w:cs="Arial" w:eastAsia="Arial" w:hAnsi="Arial"/>
          <w:sz w:val="17"/>
          <w:szCs w:val="17"/>
          <w:color w:val="auto"/>
        </w:rPr>
        <w:t>the date or dates fixed by the Trustee and, in case of the distribution of such money on account of principal or any premium or interest, upon presentation of the Securities and the notation thereon of the payment if only partially paid and upon surrender thereof if fully paid:</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FIRST: To the payment of all amounts due the Trustee under Section 6.7;</w:t>
      </w:r>
    </w:p>
    <w:p>
      <w:pPr>
        <w:spacing w:after="0" w:line="225"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SECOND: To the payment of the amounts then due and unpaid for principal of and any premium, if any, and interest on the Securities in respect of which or for the benefit of which such money has been collected, ratably, without preference or priority of any kind, according to the amounts due and payable on such Securities for principal and any premium, if any, and interest, respectively; and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70" w:right="259" w:bottom="1440" w:gutter="0" w:footer="0" w:header="0"/>
        </w:sectPr>
      </w:pPr>
    </w:p>
    <w:bookmarkStart w:id="75" w:name="page76"/>
    <w:bookmarkEnd w:id="7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THIRD: The balance, if any, to the Company or any other Person or Persons entitled thereto.</w:t>
      </w:r>
    </w:p>
    <w:p>
      <w:pPr>
        <w:spacing w:after="0" w:line="221" w:lineRule="exact"/>
        <w:rPr>
          <w:sz w:val="20"/>
          <w:szCs w:val="20"/>
          <w:color w:val="auto"/>
        </w:rPr>
      </w:pPr>
    </w:p>
    <w:p>
      <w:pPr>
        <w:ind w:right="80" w:firstLine="456"/>
        <w:spacing w:after="0" w:line="282" w:lineRule="auto"/>
        <w:rPr>
          <w:sz w:val="20"/>
          <w:szCs w:val="20"/>
          <w:color w:val="auto"/>
        </w:rPr>
      </w:pPr>
      <w:r>
        <w:rPr>
          <w:rFonts w:ascii="Arial" w:cs="Arial" w:eastAsia="Arial" w:hAnsi="Arial"/>
          <w:sz w:val="18"/>
          <w:szCs w:val="18"/>
          <w:b w:val="1"/>
          <w:bCs w:val="1"/>
          <w:color w:val="auto"/>
        </w:rPr>
        <w:t>Section 5.7 Limitation on Suits</w:t>
      </w:r>
      <w:r>
        <w:rPr>
          <w:rFonts w:ascii="Arial" w:cs="Arial" w:eastAsia="Arial" w:hAnsi="Arial"/>
          <w:sz w:val="18"/>
          <w:szCs w:val="18"/>
          <w:color w:val="auto"/>
        </w:rPr>
        <w:t>. No Holder of any Security of any series shall have any right to institute any proceeding, judicial or otherwise,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this Indenture, or for the appointment of a receiver or trustee, or for any other remedy hereunder, unless</w:t>
      </w:r>
    </w:p>
    <w:p>
      <w:pPr>
        <w:spacing w:after="0" w:line="166" w:lineRule="exact"/>
        <w:rPr>
          <w:sz w:val="20"/>
          <w:szCs w:val="20"/>
          <w:color w:val="auto"/>
        </w:rPr>
      </w:pPr>
    </w:p>
    <w:p>
      <w:pPr>
        <w:ind w:left="1320" w:hanging="399"/>
        <w:spacing w:after="0"/>
        <w:tabs>
          <w:tab w:leader="none" w:pos="1320" w:val="left"/>
        </w:tabs>
        <w:numPr>
          <w:ilvl w:val="0"/>
          <w:numId w:val="72"/>
        </w:numPr>
        <w:rPr>
          <w:rFonts w:ascii="Arial" w:cs="Arial" w:eastAsia="Arial" w:hAnsi="Arial"/>
          <w:sz w:val="16"/>
          <w:szCs w:val="16"/>
          <w:color w:val="auto"/>
        </w:rPr>
      </w:pPr>
      <w:r>
        <w:rPr>
          <w:rFonts w:ascii="Arial" w:cs="Arial" w:eastAsia="Arial" w:hAnsi="Arial"/>
          <w:sz w:val="16"/>
          <w:szCs w:val="16"/>
          <w:color w:val="auto"/>
        </w:rPr>
        <w:t>such Holder has previously given written notice to the Trustee of a continuing Event of Default with respect to the Securities of that series;</w:t>
      </w:r>
    </w:p>
    <w:p>
      <w:pPr>
        <w:spacing w:after="0" w:line="248" w:lineRule="exact"/>
        <w:rPr>
          <w:rFonts w:ascii="Arial" w:cs="Arial" w:eastAsia="Arial" w:hAnsi="Arial"/>
          <w:sz w:val="16"/>
          <w:szCs w:val="16"/>
          <w:color w:val="auto"/>
        </w:rPr>
      </w:pPr>
    </w:p>
    <w:p>
      <w:pPr>
        <w:ind w:right="40" w:firstLine="921"/>
        <w:spacing w:after="0" w:line="277" w:lineRule="auto"/>
        <w:tabs>
          <w:tab w:leader="none" w:pos="1303"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the Outstanding Securities of that series shall have made written request to the Trustee to institute proceedings in respect of such Event of Default in its own name as Trustee hereunder;</w:t>
      </w:r>
    </w:p>
    <w:p>
      <w:pPr>
        <w:spacing w:after="0" w:line="170" w:lineRule="exact"/>
        <w:rPr>
          <w:rFonts w:ascii="Arial" w:cs="Arial" w:eastAsia="Arial" w:hAnsi="Arial"/>
          <w:sz w:val="18"/>
          <w:szCs w:val="18"/>
          <w:color w:val="auto"/>
        </w:rPr>
      </w:pPr>
    </w:p>
    <w:p>
      <w:pPr>
        <w:ind w:right="600" w:firstLine="921"/>
        <w:spacing w:after="0" w:line="277" w:lineRule="auto"/>
        <w:tabs>
          <w:tab w:leader="none" w:pos="1303" w:val="left"/>
        </w:tabs>
        <w:numPr>
          <w:ilvl w:val="0"/>
          <w:numId w:val="72"/>
        </w:numPr>
        <w:rPr>
          <w:rFonts w:ascii="Arial" w:cs="Arial" w:eastAsia="Arial" w:hAnsi="Arial"/>
          <w:sz w:val="18"/>
          <w:szCs w:val="18"/>
          <w:color w:val="auto"/>
        </w:rPr>
      </w:pPr>
      <w:r>
        <w:rPr>
          <w:rFonts w:ascii="Arial" w:cs="Arial" w:eastAsia="Arial" w:hAnsi="Arial"/>
          <w:sz w:val="18"/>
          <w:szCs w:val="18"/>
          <w:color w:val="auto"/>
        </w:rPr>
        <w:t>such Holder or Holders have offered to the Trustee reasonable indemnity against the costs, expenses and liabilities to be incurred in compliance with such request;</w:t>
      </w:r>
    </w:p>
    <w:p>
      <w:pPr>
        <w:spacing w:after="0" w:line="170" w:lineRule="exact"/>
        <w:rPr>
          <w:rFonts w:ascii="Arial" w:cs="Arial" w:eastAsia="Arial" w:hAnsi="Arial"/>
          <w:sz w:val="18"/>
          <w:szCs w:val="18"/>
          <w:color w:val="auto"/>
        </w:rPr>
      </w:pPr>
    </w:p>
    <w:p>
      <w:pPr>
        <w:ind w:left="1320" w:hanging="399"/>
        <w:spacing w:after="0"/>
        <w:tabs>
          <w:tab w:leader="none" w:pos="132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Trustee for 60 days after its receipt of such notice, request and offer of indemnity has failed to institute any such proceeding; and</w:t>
      </w:r>
    </w:p>
    <w:p>
      <w:pPr>
        <w:spacing w:after="0" w:line="236" w:lineRule="exact"/>
        <w:rPr>
          <w:rFonts w:ascii="Arial" w:cs="Arial" w:eastAsia="Arial" w:hAnsi="Arial"/>
          <w:sz w:val="17"/>
          <w:szCs w:val="17"/>
          <w:color w:val="auto"/>
        </w:rPr>
      </w:pPr>
    </w:p>
    <w:p>
      <w:pPr>
        <w:ind w:right="100" w:firstLine="921"/>
        <w:spacing w:after="0" w:line="277" w:lineRule="auto"/>
        <w:tabs>
          <w:tab w:leader="none" w:pos="1303" w:val="left"/>
        </w:tabs>
        <w:numPr>
          <w:ilvl w:val="0"/>
          <w:numId w:val="72"/>
        </w:numPr>
        <w:rPr>
          <w:rFonts w:ascii="Arial" w:cs="Arial" w:eastAsia="Arial" w:hAnsi="Arial"/>
          <w:sz w:val="18"/>
          <w:szCs w:val="18"/>
          <w:color w:val="auto"/>
        </w:rPr>
      </w:pPr>
      <w:r>
        <w:rPr>
          <w:rFonts w:ascii="Arial" w:cs="Arial" w:eastAsia="Arial" w:hAnsi="Arial"/>
          <w:sz w:val="18"/>
          <w:szCs w:val="18"/>
          <w:color w:val="auto"/>
        </w:rPr>
        <w:t>no direction inconsistent with such written request has been given to the Trustee during such 60-day period by the Holders of a majority in principal amount of the Outstanding Securities of that series;</w:t>
      </w:r>
    </w:p>
    <w:p>
      <w:pPr>
        <w:spacing w:after="0" w:line="17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it being understood and intended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of such Holders.</w:t>
      </w:r>
    </w:p>
    <w:p>
      <w:pPr>
        <w:spacing w:after="0" w:line="183" w:lineRule="exact"/>
        <w:rPr>
          <w:sz w:val="20"/>
          <w:szCs w:val="20"/>
          <w:color w:val="auto"/>
        </w:rPr>
      </w:pPr>
    </w:p>
    <w:p>
      <w:pPr>
        <w:ind w:firstLine="456"/>
        <w:spacing w:after="0" w:line="277" w:lineRule="auto"/>
        <w:rPr>
          <w:sz w:val="20"/>
          <w:szCs w:val="20"/>
          <w:color w:val="auto"/>
        </w:rPr>
      </w:pPr>
      <w:r>
        <w:rPr>
          <w:rFonts w:ascii="Arial" w:cs="Arial" w:eastAsia="Arial" w:hAnsi="Arial"/>
          <w:sz w:val="17"/>
          <w:szCs w:val="17"/>
          <w:b w:val="1"/>
          <w:bCs w:val="1"/>
          <w:color w:val="auto"/>
        </w:rPr>
        <w:t>Section 5.8 Unconditional Right of Holders to Receive Principal, Premium and Interest and to Convert</w:t>
      </w:r>
      <w:r>
        <w:rPr>
          <w:rFonts w:ascii="Arial" w:cs="Arial" w:eastAsia="Arial" w:hAnsi="Arial"/>
          <w:sz w:val="17"/>
          <w:szCs w:val="17"/>
          <w:color w:val="auto"/>
        </w:rPr>
        <w:t>. Notwithstanding any other provision in</w:t>
      </w:r>
      <w:r>
        <w:rPr>
          <w:rFonts w:ascii="Arial" w:cs="Arial" w:eastAsia="Arial" w:hAnsi="Arial"/>
          <w:sz w:val="17"/>
          <w:szCs w:val="17"/>
          <w:b w:val="1"/>
          <w:bCs w:val="1"/>
          <w:color w:val="auto"/>
        </w:rPr>
        <w:t xml:space="preserve"> </w:t>
      </w:r>
      <w:r>
        <w:rPr>
          <w:rFonts w:ascii="Arial" w:cs="Arial" w:eastAsia="Arial" w:hAnsi="Arial"/>
          <w:sz w:val="17"/>
          <w:szCs w:val="17"/>
          <w:color w:val="auto"/>
        </w:rPr>
        <w:t>this Indenture, the Holder of any Security shall have the right, which is absolute and unconditional, to receive payment of the principal of and any premium and (subject to Section 3.7) interest on such Security on the respective Stated Maturities expressed in such Security (or, in the case of redemption, on the Redemption Date), to convert such Securities in accordance with Article 14 to the extent that such right to convert is applicable to such Security, and to institute suit for the enforcement of any such payment, and such rights shall not be impaired without the consent of such Holder.</w:t>
      </w:r>
    </w:p>
    <w:p>
      <w:pPr>
        <w:spacing w:after="0" w:line="168" w:lineRule="exact"/>
        <w:rPr>
          <w:sz w:val="20"/>
          <w:szCs w:val="20"/>
          <w:color w:val="auto"/>
        </w:rPr>
      </w:pPr>
    </w:p>
    <w:p>
      <w:pPr>
        <w:ind w:right="200" w:firstLine="456"/>
        <w:spacing w:after="0" w:line="258" w:lineRule="auto"/>
        <w:rPr>
          <w:sz w:val="20"/>
          <w:szCs w:val="20"/>
          <w:color w:val="auto"/>
        </w:rPr>
      </w:pPr>
      <w:r>
        <w:rPr>
          <w:rFonts w:ascii="Arial" w:cs="Arial" w:eastAsia="Arial" w:hAnsi="Arial"/>
          <w:sz w:val="18"/>
          <w:szCs w:val="18"/>
          <w:b w:val="1"/>
          <w:bCs w:val="1"/>
          <w:color w:val="auto"/>
        </w:rPr>
        <w:t>Section 5.9 Restoration of Rights and Remedies</w:t>
      </w:r>
      <w:r>
        <w:rPr>
          <w:rFonts w:ascii="Arial" w:cs="Arial" w:eastAsia="Arial" w:hAnsi="Arial"/>
          <w:sz w:val="18"/>
          <w:szCs w:val="18"/>
          <w:color w:val="auto"/>
        </w:rPr>
        <w:t>. If the Trustee or any Holder has instituted any proceeding to enforce any right or remedy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274" w:right="279" w:bottom="1440" w:gutter="0" w:footer="0" w:header="0"/>
        </w:sectPr>
      </w:pPr>
    </w:p>
    <w:bookmarkStart w:id="76" w:name="page77"/>
    <w:bookmarkEnd w:id="76"/>
    <w:p>
      <w:pPr>
        <w:ind w:right="140" w:firstLine="456"/>
        <w:spacing w:after="0" w:line="277"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5.10 Rights and Remedies Cumulative</w:t>
      </w:r>
      <w:r>
        <w:rPr>
          <w:rFonts w:ascii="Arial" w:cs="Arial" w:eastAsia="Arial" w:hAnsi="Arial"/>
          <w:sz w:val="17"/>
          <w:szCs w:val="17"/>
          <w:color w:val="auto"/>
        </w:rPr>
        <w:t>. Except as otherwise provided with respect to the replacement or payment of mutilated, destroyed,</w:t>
      </w:r>
      <w:r>
        <w:rPr>
          <w:rFonts w:ascii="Arial" w:cs="Arial" w:eastAsia="Arial" w:hAnsi="Arial"/>
          <w:sz w:val="17"/>
          <w:szCs w:val="17"/>
          <w:b w:val="1"/>
          <w:bCs w:val="1"/>
          <w:color w:val="auto"/>
        </w:rPr>
        <w:t xml:space="preserve"> </w:t>
      </w:r>
      <w:r>
        <w:rPr>
          <w:rFonts w:ascii="Arial" w:cs="Arial" w:eastAsia="Arial" w:hAnsi="Arial"/>
          <w:sz w:val="17"/>
          <w:szCs w:val="17"/>
          <w:color w:val="auto"/>
        </w:rPr>
        <w:t>lost or stolen Securities in the last paragraph of Section 3.6,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68" w:lineRule="exact"/>
        <w:rPr>
          <w:sz w:val="20"/>
          <w:szCs w:val="20"/>
          <w:color w:val="auto"/>
        </w:rPr>
      </w:pPr>
    </w:p>
    <w:p>
      <w:pPr>
        <w:ind w:right="60" w:firstLine="456"/>
        <w:spacing w:after="0" w:line="281" w:lineRule="auto"/>
        <w:rPr>
          <w:sz w:val="20"/>
          <w:szCs w:val="20"/>
          <w:color w:val="auto"/>
        </w:rPr>
      </w:pPr>
      <w:r>
        <w:rPr>
          <w:rFonts w:ascii="Arial" w:cs="Arial" w:eastAsia="Arial" w:hAnsi="Arial"/>
          <w:sz w:val="17"/>
          <w:szCs w:val="17"/>
          <w:b w:val="1"/>
          <w:bCs w:val="1"/>
          <w:color w:val="auto"/>
        </w:rPr>
        <w:t>Section 5.11 Delay or Omission Not Waiver</w:t>
      </w:r>
      <w:r>
        <w:rPr>
          <w:rFonts w:ascii="Arial" w:cs="Arial" w:eastAsia="Arial" w:hAnsi="Arial"/>
          <w:sz w:val="17"/>
          <w:szCs w:val="17"/>
          <w:color w:val="auto"/>
        </w:rPr>
        <w:t>. No delay or omission of the Trustee or of any Holder of any Securities to exercise any right or remedy</w:t>
      </w:r>
      <w:r>
        <w:rPr>
          <w:rFonts w:ascii="Arial" w:cs="Arial" w:eastAsia="Arial" w:hAnsi="Arial"/>
          <w:sz w:val="17"/>
          <w:szCs w:val="17"/>
          <w:b w:val="1"/>
          <w:bCs w:val="1"/>
          <w:color w:val="auto"/>
        </w:rPr>
        <w:t xml:space="preserve"> </w:t>
      </w:r>
      <w:r>
        <w:rPr>
          <w:rFonts w:ascii="Arial" w:cs="Arial" w:eastAsia="Arial" w:hAnsi="Arial"/>
          <w:sz w:val="17"/>
          <w:szCs w:val="17"/>
          <w:color w:val="auto"/>
        </w:rPr>
        <w:t>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(subject to the limitations contained in this Indenture) or by the Holders, as the case may be.</w:t>
      </w:r>
    </w:p>
    <w:p>
      <w:pPr>
        <w:spacing w:after="0" w:line="165" w:lineRule="exact"/>
        <w:rPr>
          <w:sz w:val="20"/>
          <w:szCs w:val="20"/>
          <w:color w:val="auto"/>
        </w:rPr>
      </w:pPr>
    </w:p>
    <w:p>
      <w:pPr>
        <w:jc w:val="both"/>
        <w:ind w:right="260" w:firstLine="456"/>
        <w:spacing w:after="0" w:line="266" w:lineRule="auto"/>
        <w:rPr>
          <w:sz w:val="20"/>
          <w:szCs w:val="20"/>
          <w:color w:val="auto"/>
        </w:rPr>
      </w:pPr>
      <w:r>
        <w:rPr>
          <w:rFonts w:ascii="Arial" w:cs="Arial" w:eastAsia="Arial" w:hAnsi="Arial"/>
          <w:sz w:val="18"/>
          <w:szCs w:val="18"/>
          <w:b w:val="1"/>
          <w:bCs w:val="1"/>
          <w:color w:val="auto"/>
        </w:rPr>
        <w:t>Section 5.12 Control by Holders</w:t>
      </w:r>
      <w:r>
        <w:rPr>
          <w:rFonts w:ascii="Arial" w:cs="Arial" w:eastAsia="Arial" w:hAnsi="Arial"/>
          <w:sz w:val="18"/>
          <w:szCs w:val="18"/>
          <w:color w:val="auto"/>
        </w:rPr>
        <w:t>. The Holders of a majority in principal amount of the Outstanding Securities of any series shall have the right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direct the time, method and place of conducting any proceeding for any remedy available to the Trustee, or exercising any trust or power conferred on the Trustee, with respect to the Securities of such series,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80" w:lineRule="exact"/>
        <w:rPr>
          <w:sz w:val="20"/>
          <w:szCs w:val="20"/>
          <w:color w:val="auto"/>
        </w:rPr>
      </w:pPr>
    </w:p>
    <w:p>
      <w:pPr>
        <w:ind w:right="20" w:firstLine="921"/>
        <w:spacing w:after="0" w:line="308" w:lineRule="auto"/>
        <w:tabs>
          <w:tab w:leader="none" w:pos="1303" w:val="left"/>
        </w:tabs>
        <w:numPr>
          <w:ilvl w:val="0"/>
          <w:numId w:val="73"/>
        </w:numPr>
        <w:rPr>
          <w:rFonts w:ascii="Arial" w:cs="Arial" w:eastAsia="Arial" w:hAnsi="Arial"/>
          <w:sz w:val="17"/>
          <w:szCs w:val="17"/>
          <w:color w:val="auto"/>
        </w:rPr>
      </w:pPr>
      <w:r>
        <w:rPr>
          <w:rFonts w:ascii="Arial" w:cs="Arial" w:eastAsia="Arial" w:hAnsi="Arial"/>
          <w:sz w:val="17"/>
          <w:szCs w:val="17"/>
          <w:color w:val="auto"/>
        </w:rPr>
        <w:t>such direction shall not be in conflict with any rule of law or with this Indenture and the Trustee shall not have determined that the action so directed would be unjustly prejudicial to Holders of Securities of that series, or any other series, not taking part in such direction; and</w:t>
      </w:r>
    </w:p>
    <w:p>
      <w:pPr>
        <w:spacing w:after="0" w:line="146" w:lineRule="exact"/>
        <w:rPr>
          <w:rFonts w:ascii="Arial" w:cs="Arial" w:eastAsia="Arial" w:hAnsi="Arial"/>
          <w:sz w:val="17"/>
          <w:szCs w:val="17"/>
          <w:color w:val="auto"/>
        </w:rPr>
      </w:pPr>
    </w:p>
    <w:p>
      <w:pPr>
        <w:ind w:left="1320" w:hanging="399"/>
        <w:spacing w:after="0"/>
        <w:tabs>
          <w:tab w:leader="none" w:pos="132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Trustee may take any other action deemed proper by the Trustee which is not inconsistent with such direction or this Indenture.</w:t>
      </w:r>
    </w:p>
    <w:p>
      <w:pPr>
        <w:spacing w:after="0" w:line="233" w:lineRule="exact"/>
        <w:rPr>
          <w:sz w:val="20"/>
          <w:szCs w:val="20"/>
          <w:color w:val="auto"/>
        </w:rPr>
      </w:pPr>
    </w:p>
    <w:p>
      <w:pPr>
        <w:ind w:right="20" w:firstLine="456"/>
        <w:spacing w:after="0" w:line="347" w:lineRule="auto"/>
        <w:rPr>
          <w:sz w:val="20"/>
          <w:szCs w:val="20"/>
          <w:color w:val="auto"/>
        </w:rPr>
      </w:pPr>
      <w:r>
        <w:rPr>
          <w:rFonts w:ascii="Arial" w:cs="Arial" w:eastAsia="Arial" w:hAnsi="Arial"/>
          <w:sz w:val="16"/>
          <w:szCs w:val="16"/>
          <w:b w:val="1"/>
          <w:bCs w:val="1"/>
          <w:color w:val="auto"/>
        </w:rPr>
        <w:t>Section 5.13 Waiver of Past Defaults</w:t>
      </w:r>
      <w:r>
        <w:rPr>
          <w:rFonts w:ascii="Arial" w:cs="Arial" w:eastAsia="Arial" w:hAnsi="Arial"/>
          <w:sz w:val="16"/>
          <w:szCs w:val="16"/>
          <w:color w:val="auto"/>
        </w:rPr>
        <w:t>. The Holders of not less than a majority in principal amount of the Outstanding Securities of any series may on</w:t>
      </w:r>
      <w:r>
        <w:rPr>
          <w:rFonts w:ascii="Arial" w:cs="Arial" w:eastAsia="Arial" w:hAnsi="Arial"/>
          <w:sz w:val="16"/>
          <w:szCs w:val="16"/>
          <w:b w:val="1"/>
          <w:bCs w:val="1"/>
          <w:color w:val="auto"/>
        </w:rPr>
        <w:t xml:space="preserve"> </w:t>
      </w:r>
      <w:r>
        <w:rPr>
          <w:rFonts w:ascii="Arial" w:cs="Arial" w:eastAsia="Arial" w:hAnsi="Arial"/>
          <w:sz w:val="16"/>
          <w:szCs w:val="16"/>
          <w:color w:val="auto"/>
        </w:rPr>
        <w:t>behalf of the Holders of all the Securities of such series waive any past default hereunder with respect to such series and its consequences, except</w:t>
      </w:r>
    </w:p>
    <w:p>
      <w:pPr>
        <w:spacing w:after="0" w:line="120" w:lineRule="exact"/>
        <w:rPr>
          <w:sz w:val="20"/>
          <w:szCs w:val="20"/>
          <w:color w:val="auto"/>
        </w:rPr>
      </w:pPr>
    </w:p>
    <w:p>
      <w:pPr>
        <w:ind w:right="120" w:firstLine="921"/>
        <w:spacing w:after="0" w:line="264" w:lineRule="auto"/>
        <w:tabs>
          <w:tab w:leader="none" w:pos="1303"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default in the payment of the principal of or any premium or interest on any Security of such series as and when the same shall become due and payable by the terms thereof, otherwise than by acceleration (unless such default has been cured and a sum sufficient to pay all matured installments of interest, principal and premium, if any, has been deposited with the Trustee), or</w:t>
      </w:r>
    </w:p>
    <w:p>
      <w:pPr>
        <w:spacing w:after="0" w:line="181" w:lineRule="exact"/>
        <w:rPr>
          <w:rFonts w:ascii="Arial" w:cs="Arial" w:eastAsia="Arial" w:hAnsi="Arial"/>
          <w:sz w:val="18"/>
          <w:szCs w:val="18"/>
          <w:color w:val="auto"/>
        </w:rPr>
      </w:pPr>
    </w:p>
    <w:p>
      <w:pPr>
        <w:ind w:left="1320" w:hanging="399"/>
        <w:spacing w:after="0"/>
        <w:tabs>
          <w:tab w:leader="none" w:pos="132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to the extent such right is applicable to such Security, a failure by the Company on request to convert any Security into Common Stock; or</w:t>
      </w:r>
    </w:p>
    <w:p>
      <w:pPr>
        <w:spacing w:after="0" w:line="248" w:lineRule="exact"/>
        <w:rPr>
          <w:rFonts w:ascii="Arial" w:cs="Arial" w:eastAsia="Arial" w:hAnsi="Arial"/>
          <w:sz w:val="16"/>
          <w:szCs w:val="16"/>
          <w:color w:val="auto"/>
        </w:rPr>
      </w:pPr>
    </w:p>
    <w:p>
      <w:pPr>
        <w:ind w:firstLine="921"/>
        <w:spacing w:after="0" w:line="277" w:lineRule="auto"/>
        <w:tabs>
          <w:tab w:leader="none" w:pos="1303"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 respect of a covenant or provision hereof which under Article 9 cannot be modified or amended without the consent of the Holder of each Outstanding Security of such series affected.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70" w:right="239" w:bottom="1440" w:gutter="0" w:footer="0" w:header="0"/>
        </w:sectPr>
      </w:pPr>
    </w:p>
    <w:bookmarkStart w:id="77" w:name="page78"/>
    <w:bookmarkEnd w:id="77"/>
    <w:p>
      <w:pPr>
        <w:ind w:right="460" w:firstLine="456"/>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43"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b w:val="1"/>
          <w:bCs w:val="1"/>
          <w:color w:val="auto"/>
        </w:rPr>
        <w:t>Section 5.14 Undertaking for Costs</w:t>
      </w:r>
      <w:r>
        <w:rPr>
          <w:rFonts w:ascii="Arial" w:cs="Arial" w:eastAsia="Arial" w:hAnsi="Arial"/>
          <w:sz w:val="18"/>
          <w:szCs w:val="18"/>
          <w:color w:val="auto"/>
        </w:rPr>
        <w:t>. In any suit for the enforcement of any right or remedy under this Indenture, or in any suit against the Trustee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for any action taken, suffered or omitted by it as Trustee, a court may require any party litigant in such suit to file an undertaking to pay the costs of such suit, and may assess costs against any such party litigant, in the manner and to the extent provided in the Trust Indenture Act;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neither this Section nor the Trust Indenture Act shall be deemed to authorize any court to require such an undertaking or to make such an assessment in any suit instituted by the Company.</w:t>
      </w:r>
    </w:p>
    <w:p>
      <w:pPr>
        <w:spacing w:after="0" w:line="188"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This Section does not apply to a suit by a Holder to enforce payment of principal of or interest on any Security on the respective due dates, a suit by a Holder to enforce the right to convert in any suit for the enforcement of the right to convert any Security in accordance with Article 14 to the extent such right to convert is applicable to such Security, or a suit by Holders of more than 10% in principal amount of the Outstanding Securities.</w:t>
      </w:r>
    </w:p>
    <w:p>
      <w:pPr>
        <w:spacing w:after="0" w:line="162" w:lineRule="exact"/>
        <w:rPr>
          <w:sz w:val="20"/>
          <w:szCs w:val="20"/>
          <w:color w:val="auto"/>
        </w:rPr>
      </w:pPr>
    </w:p>
    <w:p>
      <w:pPr>
        <w:ind w:firstLine="456"/>
        <w:spacing w:after="0" w:line="277" w:lineRule="auto"/>
        <w:rPr>
          <w:sz w:val="20"/>
          <w:szCs w:val="20"/>
          <w:color w:val="auto"/>
        </w:rPr>
      </w:pPr>
      <w:r>
        <w:rPr>
          <w:rFonts w:ascii="Arial" w:cs="Arial" w:eastAsia="Arial" w:hAnsi="Arial"/>
          <w:sz w:val="17"/>
          <w:szCs w:val="17"/>
          <w:b w:val="1"/>
          <w:bCs w:val="1"/>
          <w:color w:val="auto"/>
        </w:rPr>
        <w:t>Section 5.15 Waiver of Usury, Stay or Extension Laws</w:t>
      </w:r>
      <w:r>
        <w:rPr>
          <w:rFonts w:ascii="Arial" w:cs="Arial" w:eastAsia="Arial" w:hAnsi="Arial"/>
          <w:sz w:val="17"/>
          <w:szCs w:val="17"/>
          <w:color w:val="auto"/>
        </w:rPr>
        <w:t>. The Company covenants (to the extent that it may lawfully do so) that it will not at any</w:t>
      </w:r>
      <w:r>
        <w:rPr>
          <w:rFonts w:ascii="Arial" w:cs="Arial" w:eastAsia="Arial" w:hAnsi="Arial"/>
          <w:sz w:val="17"/>
          <w:szCs w:val="17"/>
          <w:b w:val="1"/>
          <w:bCs w:val="1"/>
          <w:color w:val="auto"/>
        </w:rPr>
        <w:t xml:space="preserve"> </w:t>
      </w:r>
      <w:r>
        <w:rPr>
          <w:rFonts w:ascii="Arial" w:cs="Arial" w:eastAsia="Arial" w:hAnsi="Arial"/>
          <w:sz w:val="17"/>
          <w:szCs w:val="17"/>
          <w:color w:val="auto"/>
        </w:rPr>
        <w:t>time insist upon, or plead, or in any manner whatsoever claim or take the benefit or advantage of, any usury, stay or extension law wherever enacted, now or at any time hereafter in force, which may affect the covenants or the performance of this Indenture; and the Company (to the extent that it may lawfully do so) hereby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6</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TRUSTEE</w:t>
      </w:r>
    </w:p>
    <w:p>
      <w:pPr>
        <w:spacing w:after="0" w:line="22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b w:val="1"/>
          <w:bCs w:val="1"/>
          <w:color w:val="auto"/>
        </w:rPr>
        <w:t>Section 6.1 Certain Duties and Responsibilities</w:t>
      </w:r>
      <w:r>
        <w:rPr>
          <w:rFonts w:ascii="Arial" w:cs="Arial" w:eastAsia="Arial" w:hAnsi="Arial"/>
          <w:sz w:val="18"/>
          <w:szCs w:val="18"/>
          <w:color w:val="auto"/>
        </w:rPr>
        <w:t>. The duties and responsibilities of the Trustee shall be as provided by the Trust Indenture Act and</w:t>
      </w:r>
      <w:r>
        <w:rPr>
          <w:rFonts w:ascii="Arial" w:cs="Arial" w:eastAsia="Arial" w:hAnsi="Arial"/>
          <w:sz w:val="18"/>
          <w:szCs w:val="18"/>
          <w:b w:val="1"/>
          <w:bCs w:val="1"/>
          <w:color w:val="auto"/>
        </w:rPr>
        <w:t xml:space="preserve"> </w:t>
      </w:r>
      <w:r>
        <w:rPr>
          <w:rFonts w:ascii="Arial" w:cs="Arial" w:eastAsia="Arial" w:hAnsi="Arial"/>
          <w:sz w:val="18"/>
          <w:szCs w:val="18"/>
          <w:color w:val="auto"/>
        </w:rPr>
        <w:t>as set forth herein. Notwithstanding the foregoing, no provision of this Indenture shall require the Trustee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 Whether or not therein expressly so provided, every provision of this Indenture relating to the conduct or affecting the liability of or affording protection to the Trustee shall be subject to the provisions of this Section.</w:t>
      </w:r>
    </w:p>
    <w:p>
      <w:pPr>
        <w:spacing w:after="0" w:line="188" w:lineRule="exact"/>
        <w:rPr>
          <w:sz w:val="20"/>
          <w:szCs w:val="20"/>
          <w:color w:val="auto"/>
        </w:rPr>
      </w:pPr>
    </w:p>
    <w:p>
      <w:pPr>
        <w:ind w:right="140" w:firstLine="456"/>
        <w:spacing w:after="0" w:line="261" w:lineRule="auto"/>
        <w:rPr>
          <w:sz w:val="20"/>
          <w:szCs w:val="20"/>
          <w:color w:val="auto"/>
        </w:rPr>
      </w:pPr>
      <w:r>
        <w:rPr>
          <w:rFonts w:ascii="Arial" w:cs="Arial" w:eastAsia="Arial" w:hAnsi="Arial"/>
          <w:sz w:val="18"/>
          <w:szCs w:val="18"/>
          <w:b w:val="1"/>
          <w:bCs w:val="1"/>
          <w:color w:val="auto"/>
        </w:rPr>
        <w:t>Section 6.2 Notice of Defaults</w:t>
      </w:r>
      <w:r>
        <w:rPr>
          <w:rFonts w:ascii="Arial" w:cs="Arial" w:eastAsia="Arial" w:hAnsi="Arial"/>
          <w:sz w:val="18"/>
          <w:szCs w:val="18"/>
          <w:color w:val="auto"/>
        </w:rPr>
        <w:t>. If a default occurs hereunder with respect to Securities of any series, the Trustee shall give the Holders of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of such series notice of such default as and to the extent provided by the Trust Indenture Act;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except in the case of a default in the payment of principal or Redemption Price of (or premium, if any) or interest on any Securities of such series or in the payment of any sinking fund installment or any conversion right</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74" w:right="239" w:bottom="1440" w:gutter="0" w:footer="0" w:header="0"/>
        </w:sectPr>
      </w:pPr>
    </w:p>
    <w:bookmarkStart w:id="78" w:name="page79"/>
    <w:bookmarkEnd w:id="78"/>
    <w:p>
      <w:pPr>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applicable to Securities of such series, the Trustee shall be protected in withholding such notice if and so long as a trust committee of directors and/or Responsible Officers of the Trustee in good faith determine that the withholding of such notice is in the interests of the holders of Securities of such series;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case of any default of the character specified in Section 5.1(4) with respect to Securities of such series, no such notice to Holders shall be given until at least 60 days after the occurrence thereof. For the purpose of this Section, the term “default” means any event which is, or after notice or lapse of time or both would become, an Event of Default with respect to Securities of such series.</w:t>
      </w:r>
    </w:p>
    <w:p>
      <w:pPr>
        <w:spacing w:after="0" w:line="17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Except with respect to Section 10.1, the Trustee shall have no duty to inquire as to the performance of the Company with respect to the covenants contained in Article 10. In addition, the Trustee shall not be deemed to have knowledge of an Event of Default except (i) any Default or Event of Default occurring pursuant to Sections 5.1(1), 5.1(2) and 5.1(3) (defaults in payments on the Securities) or (ii) any Default or Event of Default of which the Trustee shall have received written notification or obtained actual knowledge.</w:t>
      </w:r>
    </w:p>
    <w:p>
      <w:pPr>
        <w:spacing w:after="0" w:line="187" w:lineRule="exact"/>
        <w:rPr>
          <w:sz w:val="20"/>
          <w:szCs w:val="20"/>
          <w:color w:val="auto"/>
        </w:rPr>
      </w:pPr>
    </w:p>
    <w:p>
      <w:pPr>
        <w:jc w:val="both"/>
        <w:ind w:right="260" w:firstLine="456"/>
        <w:spacing w:after="0" w:line="312" w:lineRule="auto"/>
        <w:rPr>
          <w:sz w:val="20"/>
          <w:szCs w:val="20"/>
          <w:color w:val="auto"/>
        </w:rPr>
      </w:pPr>
      <w:r>
        <w:rPr>
          <w:rFonts w:ascii="Arial" w:cs="Arial" w:eastAsia="Arial" w:hAnsi="Arial"/>
          <w:sz w:val="16"/>
          <w:szCs w:val="16"/>
          <w:color w:val="auto"/>
        </w:rPr>
        <w:t>Delivery of reports, information and documents to the Trustee under Section 7.4 is for informational purposes only and the Trustee’s receipt of the foregoing shall not constitute constructive notice of any information contained therein or determinable from information contained therein, including the Company’s compliance with any of their covenants hereunder (as to which the Trustee is entitled to rely conclusively on Officers’ Certificates).</w:t>
      </w:r>
    </w:p>
    <w:p>
      <w:pPr>
        <w:spacing w:after="0" w:line="143" w:lineRule="exact"/>
        <w:rPr>
          <w:sz w:val="20"/>
          <w:szCs w:val="20"/>
          <w:color w:val="auto"/>
        </w:rPr>
      </w:pPr>
    </w:p>
    <w:p>
      <w:pPr>
        <w:ind w:left="460"/>
        <w:spacing w:after="0"/>
        <w:tabs>
          <w:tab w:leader="none" w:pos="1460" w:val="left"/>
        </w:tabs>
        <w:rPr>
          <w:sz w:val="20"/>
          <w:szCs w:val="20"/>
          <w:color w:val="auto"/>
        </w:rPr>
      </w:pPr>
      <w:r>
        <w:rPr>
          <w:rFonts w:ascii="Arial" w:cs="Arial" w:eastAsia="Arial" w:hAnsi="Arial"/>
          <w:sz w:val="18"/>
          <w:szCs w:val="18"/>
          <w:b w:val="1"/>
          <w:bCs w:val="1"/>
          <w:color w:val="auto"/>
        </w:rPr>
        <w:t>Section 6.3</w:t>
      </w:r>
      <w:r>
        <w:rPr>
          <w:sz w:val="20"/>
          <w:szCs w:val="20"/>
          <w:color w:val="auto"/>
        </w:rPr>
        <w:tab/>
      </w:r>
      <w:r>
        <w:rPr>
          <w:rFonts w:ascii="Arial" w:cs="Arial" w:eastAsia="Arial" w:hAnsi="Arial"/>
          <w:sz w:val="16"/>
          <w:szCs w:val="16"/>
          <w:b w:val="1"/>
          <w:bCs w:val="1"/>
          <w:color w:val="auto"/>
        </w:rPr>
        <w:t>Certain Rights of Trustee</w:t>
      </w:r>
      <w:r>
        <w:rPr>
          <w:rFonts w:ascii="Arial" w:cs="Arial" w:eastAsia="Arial" w:hAnsi="Arial"/>
          <w:sz w:val="16"/>
          <w:szCs w:val="16"/>
          <w:color w:val="auto"/>
        </w:rPr>
        <w:t>. Subject to the provisions of Section 6.1:</w:t>
      </w:r>
    </w:p>
    <w:p>
      <w:pPr>
        <w:spacing w:after="0" w:line="229" w:lineRule="exact"/>
        <w:rPr>
          <w:sz w:val="20"/>
          <w:szCs w:val="20"/>
          <w:color w:val="auto"/>
        </w:rPr>
      </w:pPr>
    </w:p>
    <w:p>
      <w:pPr>
        <w:ind w:right="120" w:firstLine="921"/>
        <w:spacing w:after="0" w:line="312" w:lineRule="auto"/>
        <w:tabs>
          <w:tab w:leader="none" w:pos="1303" w:val="left"/>
        </w:tabs>
        <w:numPr>
          <w:ilvl w:val="0"/>
          <w:numId w:val="75"/>
        </w:numPr>
        <w:rPr>
          <w:rFonts w:ascii="Arial" w:cs="Arial" w:eastAsia="Arial" w:hAnsi="Arial"/>
          <w:sz w:val="16"/>
          <w:szCs w:val="16"/>
          <w:color w:val="auto"/>
        </w:rPr>
      </w:pPr>
      <w:r>
        <w:rPr>
          <w:rFonts w:ascii="Arial" w:cs="Arial" w:eastAsia="Arial" w:hAnsi="Arial"/>
          <w:sz w:val="16"/>
          <w:szCs w:val="16"/>
          <w:color w:val="auto"/>
        </w:rPr>
        <w:t>in the absence of bad faith on the part of the Trustee, the Trustee may rely and shall be protected in acting or refraining from acting upon any resolution, certificate, statement, instrument, opinion, report, notice, request, direction, consent, order, bond, debenture, note, other evidence of indebtedness or other paper or document believed by it to be genuine and to have been signed or presented by the proper party or parties;</w:t>
      </w:r>
    </w:p>
    <w:p>
      <w:pPr>
        <w:spacing w:after="0" w:line="146" w:lineRule="exact"/>
        <w:rPr>
          <w:rFonts w:ascii="Arial" w:cs="Arial" w:eastAsia="Arial" w:hAnsi="Arial"/>
          <w:sz w:val="16"/>
          <w:szCs w:val="16"/>
          <w:color w:val="auto"/>
        </w:rPr>
      </w:pPr>
    </w:p>
    <w:p>
      <w:pPr>
        <w:ind w:right="40" w:firstLine="921"/>
        <w:spacing w:after="0" w:line="277" w:lineRule="auto"/>
        <w:tabs>
          <w:tab w:leader="none" w:pos="1303"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request or direction of the Company mentioned herein shall be sufficiently evidenced by a Company Request or Company Order, and any resolution of the Board of Directors shall be sufficiently evidenced by a Board Resolution;</w:t>
      </w:r>
    </w:p>
    <w:p>
      <w:pPr>
        <w:spacing w:after="0" w:line="170" w:lineRule="exact"/>
        <w:rPr>
          <w:rFonts w:ascii="Arial" w:cs="Arial" w:eastAsia="Arial" w:hAnsi="Arial"/>
          <w:sz w:val="18"/>
          <w:szCs w:val="18"/>
          <w:color w:val="auto"/>
        </w:rPr>
      </w:pPr>
    </w:p>
    <w:p>
      <w:pPr>
        <w:ind w:right="40" w:firstLine="921"/>
        <w:spacing w:after="0" w:line="264" w:lineRule="auto"/>
        <w:tabs>
          <w:tab w:leader="none" w:pos="1303" w:val="left"/>
        </w:tabs>
        <w:numPr>
          <w:ilvl w:val="0"/>
          <w:numId w:val="75"/>
        </w:numPr>
        <w:rPr>
          <w:rFonts w:ascii="Arial" w:cs="Arial" w:eastAsia="Arial" w:hAnsi="Arial"/>
          <w:sz w:val="18"/>
          <w:szCs w:val="18"/>
          <w:color w:val="auto"/>
        </w:rPr>
      </w:pPr>
      <w:r>
        <w:rPr>
          <w:rFonts w:ascii="Arial" w:cs="Arial" w:eastAsia="Arial" w:hAnsi="Arial"/>
          <w:sz w:val="18"/>
          <w:szCs w:val="18"/>
          <w:color w:val="auto"/>
        </w:rPr>
        <w:t>whenever in the administration of this Indenture the Trustee shall deem it desirable that a matter be proved or established prior to taking, suffering or omitting any action hereunder, the Trustee (unless other evidence be herein specifically prescribed) is entitled to and may, in the absence of bad faith on its part, rely upon an Officers’ Certificate;</w:t>
      </w:r>
    </w:p>
    <w:p>
      <w:pPr>
        <w:spacing w:after="0" w:line="181" w:lineRule="exact"/>
        <w:rPr>
          <w:rFonts w:ascii="Arial" w:cs="Arial" w:eastAsia="Arial" w:hAnsi="Arial"/>
          <w:sz w:val="18"/>
          <w:szCs w:val="18"/>
          <w:color w:val="auto"/>
        </w:rPr>
      </w:pPr>
    </w:p>
    <w:p>
      <w:pPr>
        <w:ind w:right="600" w:firstLine="921"/>
        <w:spacing w:after="0" w:line="308" w:lineRule="auto"/>
        <w:tabs>
          <w:tab w:leader="none" w:pos="1303"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Trustee may consult with counsel and the written advice of such counsel or any Opinion of Counsel shall be full and complete authorization and protection in respect of any action taken, suffered or omitted by it hereunder in good faith and in reliance thereon;</w:t>
      </w:r>
    </w:p>
    <w:p>
      <w:pPr>
        <w:spacing w:after="0" w:line="146" w:lineRule="exact"/>
        <w:rPr>
          <w:rFonts w:ascii="Arial" w:cs="Arial" w:eastAsia="Arial" w:hAnsi="Arial"/>
          <w:sz w:val="17"/>
          <w:szCs w:val="17"/>
          <w:color w:val="auto"/>
        </w:rPr>
      </w:pPr>
    </w:p>
    <w:p>
      <w:pPr>
        <w:ind w:right="120" w:firstLine="921"/>
        <w:spacing w:after="0" w:line="264" w:lineRule="auto"/>
        <w:tabs>
          <w:tab w:leader="none" w:pos="1303"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Trustee shall be under no obligation to exercise any of the rights or powers vested in it by this Indenture at the request or direction of any of the Holders pursuant to this Indenture, unless such Holders shall have offered to the Trustee reasonable security or indemnity against the costs, expenses and liabilities which might be incurred by it in compliance with such request or direction;</w:t>
      </w:r>
    </w:p>
    <w:p>
      <w:pPr>
        <w:spacing w:after="0" w:line="1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60"/>
          </w:cols>
          <w:pgMar w:left="240" w:top="274" w:right="399" w:bottom="1440" w:gutter="0" w:footer="0" w:header="0"/>
        </w:sectPr>
      </w:pPr>
    </w:p>
    <w:bookmarkStart w:id="79" w:name="page80"/>
    <w:bookmarkEnd w:id="79"/>
    <w:p>
      <w:pPr>
        <w:ind w:firstLine="921"/>
        <w:spacing w:after="0" w:line="302" w:lineRule="auto"/>
        <w:tabs>
          <w:tab w:leader="none" w:pos="1303" w:val="left"/>
        </w:tabs>
        <w:numPr>
          <w:ilvl w:val="0"/>
          <w:numId w:val="7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and</w:t>
      </w:r>
    </w:p>
    <w:p>
      <w:pPr>
        <w:spacing w:after="0" w:line="154" w:lineRule="exact"/>
        <w:rPr>
          <w:rFonts w:ascii="Arial" w:cs="Arial" w:eastAsia="Arial" w:hAnsi="Arial"/>
          <w:sz w:val="16"/>
          <w:szCs w:val="16"/>
          <w:color w:val="auto"/>
        </w:rPr>
      </w:pPr>
    </w:p>
    <w:p>
      <w:pPr>
        <w:ind w:right="300" w:firstLine="921"/>
        <w:spacing w:after="0" w:line="264" w:lineRule="auto"/>
        <w:tabs>
          <w:tab w:leader="none" w:pos="1303"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177" w:lineRule="exact"/>
        <w:rPr>
          <w:sz w:val="20"/>
          <w:szCs w:val="20"/>
          <w:color w:val="auto"/>
        </w:rPr>
      </w:pPr>
    </w:p>
    <w:p>
      <w:pPr>
        <w:ind w:right="560" w:firstLine="456"/>
        <w:spacing w:after="0" w:line="303" w:lineRule="auto"/>
        <w:rPr>
          <w:sz w:val="20"/>
          <w:szCs w:val="20"/>
          <w:color w:val="auto"/>
        </w:rPr>
      </w:pPr>
      <w:r>
        <w:rPr>
          <w:rFonts w:ascii="Arial" w:cs="Arial" w:eastAsia="Arial" w:hAnsi="Arial"/>
          <w:sz w:val="16"/>
          <w:szCs w:val="16"/>
          <w:b w:val="1"/>
          <w:bCs w:val="1"/>
          <w:color w:val="auto"/>
        </w:rPr>
        <w:t>Section 6.4 Not Responsible for Recitals or Issuance of Securities</w:t>
      </w:r>
      <w:r>
        <w:rPr>
          <w:rFonts w:ascii="Arial" w:cs="Arial" w:eastAsia="Arial" w:hAnsi="Arial"/>
          <w:sz w:val="16"/>
          <w:szCs w:val="16"/>
          <w:color w:val="auto"/>
        </w:rPr>
        <w:t>. The recitals contained herein and in the Securities, except the Trustee’s</w:t>
      </w:r>
      <w:r>
        <w:rPr>
          <w:rFonts w:ascii="Arial" w:cs="Arial" w:eastAsia="Arial" w:hAnsi="Arial"/>
          <w:sz w:val="16"/>
          <w:szCs w:val="16"/>
          <w:b w:val="1"/>
          <w:bCs w:val="1"/>
          <w:color w:val="auto"/>
        </w:rPr>
        <w:t xml:space="preserve"> </w:t>
      </w:r>
      <w:r>
        <w:rPr>
          <w:rFonts w:ascii="Arial" w:cs="Arial" w:eastAsia="Arial" w:hAnsi="Arial"/>
          <w:sz w:val="16"/>
          <w:szCs w:val="16"/>
          <w:color w:val="auto"/>
        </w:rPr>
        <w:t>certificates of authentication, shall be taken as the statements of the Company, and neither the Trustee nor any Authenticating Agent assumes any responsibility for their correctness. The Trustee makes no representations as to the validity, sufficiency or priority of this Indenture or of the Securities. Neither the Trustee nor any Authenticating Agent shall be accountable for the use or application by the Company of Securities or the proceeds thereof.</w:t>
      </w:r>
    </w:p>
    <w:p>
      <w:pPr>
        <w:spacing w:after="0" w:line="151" w:lineRule="exact"/>
        <w:rPr>
          <w:sz w:val="20"/>
          <w:szCs w:val="20"/>
          <w:color w:val="auto"/>
        </w:rPr>
      </w:pPr>
    </w:p>
    <w:p>
      <w:pPr>
        <w:ind w:right="160" w:firstLine="456"/>
        <w:spacing w:after="0" w:line="261" w:lineRule="auto"/>
        <w:rPr>
          <w:sz w:val="20"/>
          <w:szCs w:val="20"/>
          <w:color w:val="auto"/>
        </w:rPr>
      </w:pPr>
      <w:r>
        <w:rPr>
          <w:rFonts w:ascii="Arial" w:cs="Arial" w:eastAsia="Arial" w:hAnsi="Arial"/>
          <w:sz w:val="18"/>
          <w:szCs w:val="18"/>
          <w:b w:val="1"/>
          <w:bCs w:val="1"/>
          <w:color w:val="auto"/>
        </w:rPr>
        <w:t xml:space="preserve">Section 6.5 May Hold Securities and Act as Trustee under Other Indentures. </w:t>
      </w:r>
      <w:r>
        <w:rPr>
          <w:rFonts w:ascii="Arial" w:cs="Arial" w:eastAsia="Arial" w:hAnsi="Arial"/>
          <w:sz w:val="18"/>
          <w:szCs w:val="18"/>
          <w:color w:val="auto"/>
        </w:rPr>
        <w:t>The Trustee, any Authenticating Agent, any Paying Agent, any</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Registrar or any other agent of the Company, in its individual or any other capacity, may become the owner or pledgee of Securities and, subject to Sections 6.8 and 6.13, may otherwise deal with the Company with the same rights it would have if it were not Trustee, Authenticating Agent, Paying Agent, Security Registrar or such other agent.</w:t>
      </w:r>
    </w:p>
    <w:p>
      <w:pPr>
        <w:spacing w:after="0" w:line="184"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Subject to the limitations imposed by the Trust Indenture Act, nothing in this Indenture shall prohibit the Trustee from becoming and acting as trustee under other indentures under which other securities, or certificates of interest of participation in other securities, of the Company are outstanding in the same manner as if it were not Trustee hereunder.</w:t>
      </w:r>
    </w:p>
    <w:p>
      <w:pPr>
        <w:spacing w:after="0" w:line="177" w:lineRule="exact"/>
        <w:rPr>
          <w:sz w:val="20"/>
          <w:szCs w:val="20"/>
          <w:color w:val="auto"/>
        </w:rPr>
      </w:pPr>
    </w:p>
    <w:p>
      <w:pPr>
        <w:ind w:right="400" w:firstLine="456"/>
        <w:spacing w:after="0" w:line="347" w:lineRule="auto"/>
        <w:rPr>
          <w:sz w:val="20"/>
          <w:szCs w:val="20"/>
          <w:color w:val="auto"/>
        </w:rPr>
      </w:pPr>
      <w:r>
        <w:rPr>
          <w:rFonts w:ascii="Arial" w:cs="Arial" w:eastAsia="Arial" w:hAnsi="Arial"/>
          <w:sz w:val="16"/>
          <w:szCs w:val="16"/>
          <w:b w:val="1"/>
          <w:bCs w:val="1"/>
          <w:color w:val="auto"/>
        </w:rPr>
        <w:t>Section 6.6 Money Held in Trust</w:t>
      </w:r>
      <w:r>
        <w:rPr>
          <w:rFonts w:ascii="Arial" w:cs="Arial" w:eastAsia="Arial" w:hAnsi="Arial"/>
          <w:sz w:val="16"/>
          <w:szCs w:val="16"/>
          <w:color w:val="auto"/>
        </w:rPr>
        <w:t>. Money held by the Trustee in trust hereunder need not be segregated from other funds except to the extent</w:t>
      </w:r>
      <w:r>
        <w:rPr>
          <w:rFonts w:ascii="Arial" w:cs="Arial" w:eastAsia="Arial" w:hAnsi="Arial"/>
          <w:sz w:val="16"/>
          <w:szCs w:val="16"/>
          <w:b w:val="1"/>
          <w:bCs w:val="1"/>
          <w:color w:val="auto"/>
        </w:rPr>
        <w:t xml:space="preserve"> </w:t>
      </w:r>
      <w:r>
        <w:rPr>
          <w:rFonts w:ascii="Arial" w:cs="Arial" w:eastAsia="Arial" w:hAnsi="Arial"/>
          <w:sz w:val="16"/>
          <w:szCs w:val="16"/>
          <w:color w:val="auto"/>
        </w:rPr>
        <w:t>required by law. The Trustee shall be under no liability for interest on any money received by it hereunder except as otherwise agreed with the Company.</w:t>
      </w:r>
    </w:p>
    <w:p>
      <w:pPr>
        <w:spacing w:after="0" w:line="116" w:lineRule="exact"/>
        <w:rPr>
          <w:sz w:val="20"/>
          <w:szCs w:val="20"/>
          <w:color w:val="auto"/>
        </w:rPr>
      </w:pPr>
    </w:p>
    <w:p>
      <w:pPr>
        <w:ind w:left="460"/>
        <w:spacing w:after="0"/>
        <w:tabs>
          <w:tab w:leader="none" w:pos="1460" w:val="left"/>
        </w:tabs>
        <w:rPr>
          <w:sz w:val="20"/>
          <w:szCs w:val="20"/>
          <w:color w:val="auto"/>
        </w:rPr>
      </w:pPr>
      <w:r>
        <w:rPr>
          <w:rFonts w:ascii="Arial" w:cs="Arial" w:eastAsia="Arial" w:hAnsi="Arial"/>
          <w:sz w:val="18"/>
          <w:szCs w:val="18"/>
          <w:b w:val="1"/>
          <w:bCs w:val="1"/>
          <w:color w:val="auto"/>
        </w:rPr>
        <w:t>Section 6.7</w:t>
      </w:r>
      <w:r>
        <w:rPr>
          <w:sz w:val="20"/>
          <w:szCs w:val="20"/>
          <w:color w:val="auto"/>
        </w:rPr>
        <w:tab/>
      </w:r>
      <w:r>
        <w:rPr>
          <w:rFonts w:ascii="Arial" w:cs="Arial" w:eastAsia="Arial" w:hAnsi="Arial"/>
          <w:sz w:val="16"/>
          <w:szCs w:val="16"/>
          <w:b w:val="1"/>
          <w:bCs w:val="1"/>
          <w:color w:val="auto"/>
        </w:rPr>
        <w:t>Compensation and Reimbursement</w:t>
      </w:r>
      <w:r>
        <w:rPr>
          <w:rFonts w:ascii="Arial" w:cs="Arial" w:eastAsia="Arial" w:hAnsi="Arial"/>
          <w:sz w:val="16"/>
          <w:szCs w:val="16"/>
          <w:color w:val="auto"/>
        </w:rPr>
        <w:t>. The Company agrees:</w:t>
      </w:r>
    </w:p>
    <w:p>
      <w:pPr>
        <w:spacing w:after="0" w:line="229" w:lineRule="exact"/>
        <w:rPr>
          <w:sz w:val="20"/>
          <w:szCs w:val="20"/>
          <w:color w:val="auto"/>
        </w:rPr>
      </w:pPr>
    </w:p>
    <w:p>
      <w:pPr>
        <w:ind w:right="80" w:firstLine="921"/>
        <w:spacing w:after="0" w:line="277" w:lineRule="auto"/>
        <w:tabs>
          <w:tab w:leader="none" w:pos="1303" w:val="left"/>
        </w:tabs>
        <w:numPr>
          <w:ilvl w:val="0"/>
          <w:numId w:val="77"/>
        </w:numPr>
        <w:rPr>
          <w:rFonts w:ascii="Arial" w:cs="Arial" w:eastAsia="Arial" w:hAnsi="Arial"/>
          <w:sz w:val="18"/>
          <w:szCs w:val="18"/>
          <w:color w:val="auto"/>
        </w:rPr>
      </w:pPr>
      <w:r>
        <w:rPr>
          <w:rFonts w:ascii="Arial" w:cs="Arial" w:eastAsia="Arial" w:hAnsi="Arial"/>
          <w:sz w:val="18"/>
          <w:szCs w:val="18"/>
          <w:color w:val="auto"/>
        </w:rPr>
        <w:t>to pay to the Trustee from time to time reasonable compensation for all services rendered by it hereunder (which compensation shall not be limited by any provision of law in regard to the compensation of a trustee of an express trust);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74" w:right="239" w:bottom="1440" w:gutter="0" w:footer="0" w:header="0"/>
        </w:sectPr>
      </w:pPr>
    </w:p>
    <w:bookmarkStart w:id="80" w:name="page81"/>
    <w:bookmarkEnd w:id="80"/>
    <w:p>
      <w:pPr>
        <w:ind w:right="220" w:firstLine="921"/>
        <w:spacing w:after="0" w:line="312" w:lineRule="auto"/>
        <w:tabs>
          <w:tab w:leader="none" w:pos="1303" w:val="left"/>
        </w:tabs>
        <w:numPr>
          <w:ilvl w:val="0"/>
          <w:numId w:val="7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except as otherwise expressly provided herein, to reimburse the Trustee upon its request for all reasonable expenses, disbursements and advances incurred or made by the Trustee in accordance with any provision of this Indenture (including the reasonable compensation and the expenses and disbursements of its agents and counsel), except any such expense, disbursement or advance as may be attributable to its negligence or bad faith; and</w:t>
      </w:r>
    </w:p>
    <w:p>
      <w:pPr>
        <w:spacing w:after="0" w:line="146" w:lineRule="exact"/>
        <w:rPr>
          <w:rFonts w:ascii="Arial" w:cs="Arial" w:eastAsia="Arial" w:hAnsi="Arial"/>
          <w:sz w:val="16"/>
          <w:szCs w:val="16"/>
          <w:color w:val="auto"/>
        </w:rPr>
      </w:pPr>
    </w:p>
    <w:p>
      <w:pPr>
        <w:ind w:right="60" w:firstLine="921"/>
        <w:spacing w:after="0" w:line="286" w:lineRule="auto"/>
        <w:tabs>
          <w:tab w:leader="none" w:pos="1303" w:val="left"/>
        </w:tabs>
        <w:numPr>
          <w:ilvl w:val="0"/>
          <w:numId w:val="78"/>
        </w:numPr>
        <w:rPr>
          <w:rFonts w:ascii="Arial" w:cs="Arial" w:eastAsia="Arial" w:hAnsi="Arial"/>
          <w:sz w:val="17"/>
          <w:szCs w:val="17"/>
          <w:color w:val="auto"/>
        </w:rPr>
      </w:pPr>
      <w:r>
        <w:rPr>
          <w:rFonts w:ascii="Arial" w:cs="Arial" w:eastAsia="Arial" w:hAnsi="Arial"/>
          <w:sz w:val="17"/>
          <w:szCs w:val="17"/>
          <w:color w:val="auto"/>
        </w:rPr>
        <w:t>to indemnify the Trustee for, and to hold it harmless against, any loss, liability or expense incurred without negligence or bad faith on its part, arising out of or in connection with the acceptance or administration of the trust or trusts hereunder, including the costs and expenses of defending itself against any claim or liability in connection with the exercise or performance of any of its powers or duties hereunder.</w:t>
      </w:r>
    </w:p>
    <w:p>
      <w:pPr>
        <w:spacing w:after="0" w:line="166"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When the Trustee incurs expenses or renders services after an Event of Default specified in Section 5.1(5) or Section 5.1(6) hereof occurs, the expenses and the compensation for the services (including the fees and expenses of its agents and counsel) are intended to constitute expenses of administration under any applicable bankruptcy, insolvency, reorganization or similar law.</w:t>
      </w:r>
    </w:p>
    <w:p>
      <w:pPr>
        <w:spacing w:after="0" w:line="177" w:lineRule="exact"/>
        <w:rPr>
          <w:sz w:val="20"/>
          <w:szCs w:val="20"/>
          <w:color w:val="auto"/>
        </w:rPr>
      </w:pPr>
    </w:p>
    <w:p>
      <w:pPr>
        <w:ind w:right="80" w:firstLine="456"/>
        <w:spacing w:after="0" w:line="303" w:lineRule="auto"/>
        <w:rPr>
          <w:sz w:val="20"/>
          <w:szCs w:val="20"/>
          <w:color w:val="auto"/>
        </w:rPr>
      </w:pPr>
      <w:r>
        <w:rPr>
          <w:rFonts w:ascii="Arial" w:cs="Arial" w:eastAsia="Arial" w:hAnsi="Arial"/>
          <w:sz w:val="16"/>
          <w:szCs w:val="16"/>
          <w:b w:val="1"/>
          <w:bCs w:val="1"/>
          <w:color w:val="auto"/>
        </w:rPr>
        <w:t>Section 6.8 Conflicting Interests</w:t>
      </w:r>
      <w:r>
        <w:rPr>
          <w:rFonts w:ascii="Arial" w:cs="Arial" w:eastAsia="Arial" w:hAnsi="Arial"/>
          <w:sz w:val="16"/>
          <w:szCs w:val="16"/>
          <w:color w:val="auto"/>
        </w:rPr>
        <w:t>. If the Trustee has or shall acquire a conflicting interest within the meaning of the Trust Indenture Act and there is</w:t>
      </w:r>
      <w:r>
        <w:rPr>
          <w:rFonts w:ascii="Arial" w:cs="Arial" w:eastAsia="Arial" w:hAnsi="Arial"/>
          <w:sz w:val="16"/>
          <w:szCs w:val="16"/>
          <w:b w:val="1"/>
          <w:bCs w:val="1"/>
          <w:color w:val="auto"/>
        </w:rPr>
        <w:t xml:space="preserve"> </w:t>
      </w:r>
      <w:r>
        <w:rPr>
          <w:rFonts w:ascii="Arial" w:cs="Arial" w:eastAsia="Arial" w:hAnsi="Arial"/>
          <w:sz w:val="16"/>
          <w:szCs w:val="16"/>
          <w:color w:val="auto"/>
        </w:rPr>
        <w:t>an Event of Default under the Securities of that series, the Trustee shall either eliminate such interest or resign, to the extent and in the manner provided by, and subject to the provisions of, the Trust Indenture Act and this Indenture. To the extent permitted by the Trust Indenture Act, the Trustee shall not be deemed to have a conflicting interest by virtue of being a trustee under this Indenture with respect to Securities of more than one series.</w:t>
      </w:r>
    </w:p>
    <w:p>
      <w:pPr>
        <w:spacing w:after="0" w:line="15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color w:val="auto"/>
        </w:rPr>
        <w:t>Section 6.9 Corporate Trustee Required; Eligibility</w:t>
      </w:r>
      <w:r>
        <w:rPr>
          <w:rFonts w:ascii="Arial" w:cs="Arial" w:eastAsia="Arial" w:hAnsi="Arial"/>
          <w:sz w:val="16"/>
          <w:szCs w:val="16"/>
          <w:color w:val="auto"/>
        </w:rPr>
        <w:t>. There shall at all times be one (and only one) Trustee hereunder with respect to the Securities</w:t>
      </w:r>
      <w:r>
        <w:rPr>
          <w:rFonts w:ascii="Arial" w:cs="Arial" w:eastAsia="Arial" w:hAnsi="Arial"/>
          <w:sz w:val="16"/>
          <w:szCs w:val="16"/>
          <w:b w:val="1"/>
          <w:bCs w:val="1"/>
          <w:color w:val="auto"/>
        </w:rPr>
        <w:t xml:space="preserve"> </w:t>
      </w:r>
      <w:r>
        <w:rPr>
          <w:rFonts w:ascii="Arial" w:cs="Arial" w:eastAsia="Arial" w:hAnsi="Arial"/>
          <w:sz w:val="16"/>
          <w:szCs w:val="16"/>
          <w:color w:val="auto"/>
        </w:rPr>
        <w:t>of each series, which may be Trustee hereunder for Securities of one or more other series. Each Trustee shall be a Person that is eligible pursuant to the Trust Indenture Act to act as such and has (or if the Trustee is a member of a bank holding company system, its bank holding company has) a combined capital and surplus of at least $50,000,000. If any such Person or bank holding company publishes reports of condition at least annually, pursuant to law or to the requirements of its supervising or examining authority, then for the purposes of this Section and to the extent permitted by the Trust Indenture Act, the combined capital and surplus of such Person or bank holding company shall be deemed to be its combined capital and surplus as set forth in its most recent report of condition so published. If at any time the Trustee with respect to the Securities of any series shall cease to be eligible in accordance with the provisions of this Section, it shall resign immediately in the manner and with the effect hereinafter specified in this Article.</w:t>
      </w:r>
    </w:p>
    <w:p>
      <w:pPr>
        <w:spacing w:after="0" w:line="160" w:lineRule="exact"/>
        <w:rPr>
          <w:sz w:val="20"/>
          <w:szCs w:val="20"/>
          <w:color w:val="auto"/>
        </w:rPr>
      </w:pPr>
    </w:p>
    <w:p>
      <w:pPr>
        <w:ind w:right="180" w:firstLine="456"/>
        <w:spacing w:after="0" w:line="266" w:lineRule="auto"/>
        <w:rPr>
          <w:sz w:val="20"/>
          <w:szCs w:val="20"/>
          <w:color w:val="auto"/>
        </w:rPr>
      </w:pPr>
      <w:r>
        <w:rPr>
          <w:rFonts w:ascii="Arial" w:cs="Arial" w:eastAsia="Arial" w:hAnsi="Arial"/>
          <w:sz w:val="18"/>
          <w:szCs w:val="18"/>
          <w:b w:val="1"/>
          <w:bCs w:val="1"/>
          <w:color w:val="auto"/>
        </w:rPr>
        <w:t>Section 6.10 Resignation and Removal; Appointment of Successor</w:t>
      </w:r>
      <w:r>
        <w:rPr>
          <w:rFonts w:ascii="Arial" w:cs="Arial" w:eastAsia="Arial" w:hAnsi="Arial"/>
          <w:sz w:val="18"/>
          <w:szCs w:val="18"/>
          <w:color w:val="auto"/>
        </w:rPr>
        <w:t>. No resignation or removal of the Trustee and no appointment of a successor</w:t>
      </w:r>
      <w:r>
        <w:rPr>
          <w:rFonts w:ascii="Arial" w:cs="Arial" w:eastAsia="Arial" w:hAnsi="Arial"/>
          <w:sz w:val="18"/>
          <w:szCs w:val="18"/>
          <w:b w:val="1"/>
          <w:bCs w:val="1"/>
          <w:color w:val="auto"/>
        </w:rPr>
        <w:t xml:space="preserve"> </w:t>
      </w:r>
      <w:r>
        <w:rPr>
          <w:rFonts w:ascii="Arial" w:cs="Arial" w:eastAsia="Arial" w:hAnsi="Arial"/>
          <w:sz w:val="18"/>
          <w:szCs w:val="18"/>
          <w:color w:val="auto"/>
        </w:rPr>
        <w:t>Trustee pursuant to this Article shall become effective until the acceptance of appointment by the successor Trustee in accordance with the applicable requirements of Section 6.11.</w:t>
      </w:r>
    </w:p>
    <w:p>
      <w:pPr>
        <w:spacing w:after="0" w:line="180"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The Trustee may resign at any time with respect to the Securities of one or more series by giving written notice thereof to the Company. If the instrument of acceptance by a successor Trustee</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274" w:right="279" w:bottom="1440" w:gutter="0" w:footer="0" w:header="0"/>
        </w:sectPr>
      </w:pPr>
    </w:p>
    <w:bookmarkStart w:id="81" w:name="page82"/>
    <w:bookmarkEnd w:id="81"/>
    <w:p>
      <w:pPr>
        <w:ind w:right="16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required by Section 6.11 shall not have been delivered to the Trustee within 30 days after the giving of such notice of resignation, the resigning Trustee may petition any court of competent jurisdiction for the appointment of a successor Trustee with respect to the Securities of such series.</w:t>
      </w:r>
    </w:p>
    <w:p>
      <w:pPr>
        <w:spacing w:after="0" w:line="147"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The Trustee may be removed at any time with respect to the Securities of any series by Act of the Holders of a majority in principal amount of the Outstanding Securities of such series, delivered to the Trustee and to the Company.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at any time:</w:t>
      </w:r>
    </w:p>
    <w:p>
      <w:pPr>
        <w:spacing w:after="0" w:line="225" w:lineRule="exact"/>
        <w:rPr>
          <w:sz w:val="20"/>
          <w:szCs w:val="20"/>
          <w:color w:val="auto"/>
        </w:rPr>
      </w:pPr>
    </w:p>
    <w:p>
      <w:pPr>
        <w:ind w:right="140" w:firstLine="921"/>
        <w:spacing w:after="0" w:line="277" w:lineRule="auto"/>
        <w:tabs>
          <w:tab w:leader="none" w:pos="1303"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Trustee shall fail to comply with Section 6.8 after written request therefor by the Company or by any Holder who has been a bona fide Holder of a Security for at least six months, or</w:t>
      </w:r>
    </w:p>
    <w:p>
      <w:pPr>
        <w:spacing w:after="0" w:line="170" w:lineRule="exact"/>
        <w:rPr>
          <w:rFonts w:ascii="Arial" w:cs="Arial" w:eastAsia="Arial" w:hAnsi="Arial"/>
          <w:sz w:val="18"/>
          <w:szCs w:val="18"/>
          <w:color w:val="auto"/>
        </w:rPr>
      </w:pPr>
    </w:p>
    <w:p>
      <w:pPr>
        <w:ind w:left="1320" w:hanging="399"/>
        <w:spacing w:after="0"/>
        <w:tabs>
          <w:tab w:leader="none" w:pos="132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Trustee shall cease to be eligible under Section 6.9 and shall fail to resign after written request therefor by the Company or by any such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Holder, or</w:t>
      </w:r>
    </w:p>
    <w:p>
      <w:pPr>
        <w:spacing w:after="0" w:line="210" w:lineRule="exact"/>
        <w:rPr>
          <w:rFonts w:ascii="Arial" w:cs="Arial" w:eastAsia="Arial" w:hAnsi="Arial"/>
          <w:sz w:val="16"/>
          <w:szCs w:val="16"/>
          <w:color w:val="auto"/>
        </w:rPr>
      </w:pPr>
    </w:p>
    <w:p>
      <w:pPr>
        <w:ind w:right="60" w:firstLine="921"/>
        <w:spacing w:after="0" w:line="264" w:lineRule="auto"/>
        <w:tabs>
          <w:tab w:leader="none" w:pos="1303"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181"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then, in any such case, (A) the Company by a Board Resolution may remove the Trustee with respect to all Securities, or (B) subject to Section 5.14, any Holder who has been a bona fide Holder of a Security for at least six months may, on behalf of himself and all others similarly situated, petition any court of competent jurisdiction for the removal of the Trustee with respect to all Securities and the appointment of a successor Trustee or Trustees.</w:t>
      </w:r>
    </w:p>
    <w:p>
      <w:pPr>
        <w:spacing w:after="0" w:line="14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If the Trustee shall resign, be removed or become incapable of acting, or if a vacancy shall occur in the office of Trustee for any cause, with respect to the Securities of one or more series, the Company, by a Board Resolution, shall promptly appoint a successor Trustee or Trustees with respect to the Securities of that or those series (it being understood that any such successor Trustee may be appointed with respect to the Securities of one or more or all of such series and that at any time there shall be only one Trustee with respect to the Securities of any particular series) and shall comply with the applicable requirements of Section 6.11. If, within one year after such resignation, removal or incapability, or the occurrence of such vacancy, a successor Trustee with respect to the Securities of any series shall be appointed by Act of the Holders of a majority in principal amount of the Outstanding Securities of such series delivered to the Company and the retiring Trustee, the successor Trustee so appointed shall, forthwith upon its acceptance of such appointment in accordance with the applicable requirements of Section 6.11, become the successor Trustee with respect to the Securities of such series and to that extent supersede the successor Trustee appointed by the Company. If no successor Trustee with respect to the Securities of any series shall have been so appointed by the Company or the Holders and accepted appointment in the manner required by Section 6.11, the retiring Trustee may petition, or any Holder who has been a bona fide Holder of a Security of such series for at least six months may petition, on behalf of himself and all others similarly situated, any court of competent jurisdiction for the appointment of a successor Trustee with respect to the Securities of such series.</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274" w:right="259" w:bottom="1440" w:gutter="0" w:footer="0" w:header="0"/>
        </w:sectPr>
      </w:pPr>
    </w:p>
    <w:bookmarkStart w:id="82" w:name="page83"/>
    <w:bookmarkEnd w:id="82"/>
    <w:p>
      <w:pPr>
        <w:ind w:right="20" w:firstLine="456"/>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shall give notice of each resignation and each removal of the Trustee with respect to the Securities of any series and each appointment of a successor Trustee with respect to the Securities of any series to all Holders of Securities of such series in the manner provided in Section 1.6. Each notice shall include the name of the successor Trustee with respect to the Securities of such series and the address of its Corporate Trust Office.</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color w:val="auto"/>
        </w:rPr>
        <w:t>Section 6.11 Acceptance of Appointment by Successor</w:t>
      </w:r>
      <w:r>
        <w:rPr>
          <w:rFonts w:ascii="Arial" w:cs="Arial" w:eastAsia="Arial" w:hAnsi="Arial"/>
          <w:sz w:val="18"/>
          <w:szCs w:val="18"/>
          <w:color w:val="auto"/>
        </w:rPr>
        <w:t>. In case of the appointment hereunder of a successor Trustee with respect to all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19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all property and money held by such retiring Trustee hereunder with respect to the Securities of that or those series to which the appointment of such successor Trustee relates.</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274" w:right="259" w:bottom="1440" w:gutter="0" w:footer="0" w:header="0"/>
        </w:sectPr>
      </w:pPr>
    </w:p>
    <w:bookmarkStart w:id="83" w:name="page84"/>
    <w:bookmarkEnd w:id="83"/>
    <w:p>
      <w:pPr>
        <w:ind w:right="100" w:firstLine="456"/>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Upon request of any such successor Trustee, the Company shall execute any and all instruments for more fully and certainly vesting in and confirming to such successor Trustee all such rights, powers and trusts referred to in the first or second preceding paragraph, as the case may be.</w:t>
      </w:r>
    </w:p>
    <w:p>
      <w:pPr>
        <w:spacing w:after="0" w:line="14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No successor Trustee shall accept its appointment unless at the time of such acceptance such successor Trustee shall be qualified and eligible under this Article.</w:t>
      </w:r>
    </w:p>
    <w:p>
      <w:pPr>
        <w:spacing w:after="0" w:line="16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color w:val="auto"/>
        </w:rPr>
        <w:t>Section 6.12 Merger, Conversion, Consolidation or Succession to Business</w:t>
      </w:r>
      <w:r>
        <w:rPr>
          <w:rFonts w:ascii="Arial" w:cs="Arial" w:eastAsia="Arial" w:hAnsi="Arial"/>
          <w:sz w:val="16"/>
          <w:szCs w:val="16"/>
          <w:color w:val="auto"/>
        </w:rPr>
        <w:t>. Any corporation into which the Trustee may be merged or converted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or with which it may be consolidated, or any corporation resulting from any merger, conversion or consolidation to which the Trustee shall be a party, or any corporation succeeding to all or substantially all the corporate trust business of the Trustee (including the administration of the trust created by this Indenture), shall be the successor of the Trustee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such corporation shall be otherwise qualified and eligible under this Article, without the execution or filing of any paper or any further act on the part of any of the parties hereto.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 In the event that any Securities shall not have been authenticated by such predecessor Trustee, any such successor Trustee may authenticate and deliver such Securities in either its own name or that of such predecessor Trustee, with the full force and effect which this Indenture provides for the certificate of authentication of the Trustee.</w:t>
      </w:r>
    </w:p>
    <w:p>
      <w:pPr>
        <w:spacing w:after="0" w:line="160" w:lineRule="exact"/>
        <w:rPr>
          <w:sz w:val="20"/>
          <w:szCs w:val="20"/>
          <w:color w:val="auto"/>
        </w:rPr>
      </w:pPr>
    </w:p>
    <w:p>
      <w:pPr>
        <w:ind w:right="200" w:firstLine="456"/>
        <w:spacing w:after="0" w:line="266" w:lineRule="auto"/>
        <w:rPr>
          <w:sz w:val="20"/>
          <w:szCs w:val="20"/>
          <w:color w:val="auto"/>
        </w:rPr>
      </w:pPr>
      <w:r>
        <w:rPr>
          <w:rFonts w:ascii="Arial" w:cs="Arial" w:eastAsia="Arial" w:hAnsi="Arial"/>
          <w:sz w:val="18"/>
          <w:szCs w:val="18"/>
          <w:b w:val="1"/>
          <w:bCs w:val="1"/>
          <w:color w:val="auto"/>
        </w:rPr>
        <w:t>Section 6.13 Preferential Collection of Claims Against Company</w:t>
      </w:r>
      <w:r>
        <w:rPr>
          <w:rFonts w:ascii="Arial" w:cs="Arial" w:eastAsia="Arial" w:hAnsi="Arial"/>
          <w:sz w:val="18"/>
          <w:szCs w:val="18"/>
          <w:color w:val="auto"/>
        </w:rPr>
        <w:t>. If and when the Trustee shall be or become a creditor of the Company (or any</w:t>
      </w:r>
      <w:r>
        <w:rPr>
          <w:rFonts w:ascii="Arial" w:cs="Arial" w:eastAsia="Arial" w:hAnsi="Arial"/>
          <w:sz w:val="18"/>
          <w:szCs w:val="18"/>
          <w:b w:val="1"/>
          <w:bCs w:val="1"/>
          <w:color w:val="auto"/>
        </w:rPr>
        <w:t xml:space="preserve"> </w:t>
      </w:r>
      <w:r>
        <w:rPr>
          <w:rFonts w:ascii="Arial" w:cs="Arial" w:eastAsia="Arial" w:hAnsi="Arial"/>
          <w:sz w:val="18"/>
          <w:szCs w:val="18"/>
          <w:color w:val="auto"/>
        </w:rPr>
        <w:t>other obligor upon the Securities), the Trustee shall be subject to the provisions of the Trust Indenture Act regarding the collection of claims against the Company (or any such other obligor).</w:t>
      </w:r>
    </w:p>
    <w:p>
      <w:pPr>
        <w:spacing w:after="0" w:line="176" w:lineRule="exact"/>
        <w:rPr>
          <w:sz w:val="20"/>
          <w:szCs w:val="20"/>
          <w:color w:val="auto"/>
        </w:rPr>
      </w:pPr>
    </w:p>
    <w:p>
      <w:pPr>
        <w:ind w:left="460"/>
        <w:spacing w:after="0"/>
        <w:tabs>
          <w:tab w:leader="none" w:pos="1540" w:val="left"/>
        </w:tabs>
        <w:rPr>
          <w:sz w:val="20"/>
          <w:szCs w:val="20"/>
          <w:color w:val="auto"/>
        </w:rPr>
      </w:pPr>
      <w:r>
        <w:rPr>
          <w:rFonts w:ascii="Arial" w:cs="Arial" w:eastAsia="Arial" w:hAnsi="Arial"/>
          <w:sz w:val="18"/>
          <w:szCs w:val="18"/>
          <w:b w:val="1"/>
          <w:bCs w:val="1"/>
          <w:color w:val="auto"/>
        </w:rPr>
        <w:t>Section 6.14</w:t>
      </w:r>
      <w:r>
        <w:rPr>
          <w:sz w:val="20"/>
          <w:szCs w:val="20"/>
          <w:color w:val="auto"/>
        </w:rPr>
        <w:tab/>
      </w:r>
      <w:r>
        <w:rPr>
          <w:rFonts w:ascii="Arial" w:cs="Arial" w:eastAsia="Arial" w:hAnsi="Arial"/>
          <w:sz w:val="16"/>
          <w:szCs w:val="16"/>
          <w:b w:val="1"/>
          <w:bCs w:val="1"/>
          <w:color w:val="auto"/>
        </w:rPr>
        <w:t>Appointment of Authenticating Agent</w:t>
      </w:r>
      <w:r>
        <w:rPr>
          <w:rFonts w:ascii="Arial" w:cs="Arial" w:eastAsia="Arial" w:hAnsi="Arial"/>
          <w:sz w:val="16"/>
          <w:szCs w:val="16"/>
          <w:color w:val="auto"/>
        </w:rPr>
        <w:t>. The Trustee may appoint an Authenticating Agent or Agents with respect to one or more series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of Securities which shall be authorized to act on behalf of the Trustee to authenticate Securities of such series issued upon original issue and upon exchange,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registration of transfer or partial redemption thereof or pursuant to Section 3.6, and Securities so authenticated shall be entitled to the benefits of this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Indenture and shall be valid and obligatory for all purposes as if authenticated by the Trustee hereunder. Wherever reference is made in this Indenture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authentication and delivery of Securities by the Trustee or the Trustee’s certificate of authentication, such reference shall be deemed to include authentication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delivery on behalf of the Trustee by an Authenticating Agent and a certificate of authentication executed on behalf of the Trustee by an Authenticating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Agent. Each Authenticating Agent shall be acceptable to the Company and shall at all times be a corporation organized and doing business under the laws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United States of America, any state thereof or the District of Columbia, authorized under such laws to act as Authenticating Agent, having (or if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Authenticating Agent is a member of a bank holding company system, its bank holding company has) a combined capital and surplus of not less than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$50,000,000 and subject to supervision or examination by Federal or State authority. If such Authenticating Agent publishes reports of condition at least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annually, pursuant to law or to the requirements of said supervising or examining authority, then for the purposes of this Section, the combined capital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surplus of such Authenticating Agent shall be deemed to be its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274" w:right="259" w:bottom="1440" w:gutter="0" w:footer="0" w:header="0"/>
        </w:sectPr>
      </w:pPr>
    </w:p>
    <w:bookmarkStart w:id="84" w:name="page85"/>
    <w:bookmarkEnd w:id="84"/>
    <w:p>
      <w:pPr>
        <w:ind w:right="1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combined capital and surplus as set forth in its most recent report of condition so published. If at any time an Authenticating Agent shall cease to be eligible in accordance with the provisions of this Section, such Authenticating Agent shall resign immediately in the manner and with the effect specified in this Section.</w:t>
      </w:r>
    </w:p>
    <w:p>
      <w:pPr>
        <w:spacing w:after="0" w:line="181"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 xml:space="preserve">Any corporation into which an Authenticating Agent may be merged or converted or with which it may be consolidated, or any corporation resulting from any merger, conversion or consolidation to which such Authenticating Agent shall be a party, or any corporation succeeding to the corporate agency or corporate trust business of an Authenticating Agent, shall continue to be an Authenticating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such corporation shall be otherwise eligible under this Section, without the execution or filing of any paper or any further act on the part of the Trustee or the Authenticating Agent.</w:t>
      </w:r>
    </w:p>
    <w:p>
      <w:pPr>
        <w:spacing w:after="0" w:line="154"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An Authenticating Agent may resign at any time by giving written notice thereof to the Trustee and to the Company. The Trustee may at any time terminate the agency of an Authenticating Agent by giving written notice thereof to such Authenticating Agent and to the Company. Upon receiving such a notice of resignation or upon such a termination, or in case at any time such Authenticating Agent shall cease to be eligible in accordance with the provisions of this Section, the Trustee may appoint a successor Authenticating Agent which shall be acceptable to the Company and shall give notice of such appointment in the manner provided in Section 1.6 to all Holders of Securities of the series with respect to which such Authenticating Agent will serve. Any successor Authenticating Agent upon acceptance of its appointment hereunder shall become vested with all the rights, powers and duties of its predecessor hereunder, with like effect as if originally named as an Authenticating Agent. No successor Authenticating Agent shall be appointed unless eligible under the provisions of this Section.</w:t>
      </w:r>
    </w:p>
    <w:p>
      <w:pPr>
        <w:spacing w:after="0" w:line="192"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Trustee agrees to pay to each Authenticating Agent from time to time reasonable compensation for its services under this Section, and the Trustee shall be entitled to be reimbursed for such payments, subject to the provisions of Section 6.7.</w:t>
      </w:r>
    </w:p>
    <w:p>
      <w:pPr>
        <w:spacing w:after="0" w:line="170"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If an appointment with respect to one or more series is made pursuant to this Section 6.14, the Securities of such series may have endorsed thereon, in lieu of the Trustee’s certificate of authentication, an alternative certificate of authentication in the following form:</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is one of the Securities of the series designated therein referred to in the within-mentioned Indenture.</w:t>
      </w:r>
    </w:p>
    <w:p>
      <w:pPr>
        <w:spacing w:after="0" w:line="252" w:lineRule="exact"/>
        <w:rPr>
          <w:sz w:val="20"/>
          <w:szCs w:val="20"/>
          <w:color w:val="auto"/>
        </w:rPr>
      </w:pPr>
    </w:p>
    <w:p>
      <w:pPr>
        <w:ind w:left="108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-10160</wp:posOffset>
            </wp:positionV>
            <wp:extent cx="25146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514600"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As Authenticating Agent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Authorized Officer</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274" w:right="259" w:bottom="1440" w:gutter="0" w:footer="0" w:header="0"/>
        </w:sectPr>
      </w:pPr>
    </w:p>
    <w:bookmarkStart w:id="85" w:name="page86"/>
    <w:bookmarkEnd w:id="8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7</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HOLDERS’ LISTS AND REPORTS BY TRUSTEE AND COMPANY</w:t>
      </w:r>
    </w:p>
    <w:p>
      <w:pPr>
        <w:spacing w:after="0" w:line="225" w:lineRule="exact"/>
        <w:rPr>
          <w:sz w:val="20"/>
          <w:szCs w:val="20"/>
          <w:color w:val="auto"/>
        </w:rPr>
      </w:pPr>
    </w:p>
    <w:p>
      <w:pPr>
        <w:ind w:left="460"/>
        <w:spacing w:after="0"/>
        <w:tabs>
          <w:tab w:leader="none" w:pos="1460" w:val="left"/>
        </w:tabs>
        <w:rPr>
          <w:sz w:val="20"/>
          <w:szCs w:val="20"/>
          <w:color w:val="auto"/>
        </w:rPr>
      </w:pPr>
      <w:r>
        <w:rPr>
          <w:rFonts w:ascii="Arial" w:cs="Arial" w:eastAsia="Arial" w:hAnsi="Arial"/>
          <w:sz w:val="18"/>
          <w:szCs w:val="18"/>
          <w:b w:val="1"/>
          <w:bCs w:val="1"/>
          <w:color w:val="auto"/>
        </w:rPr>
        <w:t>Section 7.1</w:t>
      </w:r>
      <w:r>
        <w:rPr>
          <w:sz w:val="20"/>
          <w:szCs w:val="20"/>
          <w:color w:val="auto"/>
        </w:rPr>
        <w:tab/>
      </w:r>
      <w:r>
        <w:rPr>
          <w:rFonts w:ascii="Arial" w:cs="Arial" w:eastAsia="Arial" w:hAnsi="Arial"/>
          <w:sz w:val="16"/>
          <w:szCs w:val="16"/>
          <w:b w:val="1"/>
          <w:bCs w:val="1"/>
          <w:color w:val="auto"/>
        </w:rPr>
        <w:t>Company to Furnish Trustee Names and Addresses of Holders</w:t>
      </w:r>
      <w:r>
        <w:rPr>
          <w:rFonts w:ascii="Arial" w:cs="Arial" w:eastAsia="Arial" w:hAnsi="Arial"/>
          <w:sz w:val="16"/>
          <w:szCs w:val="16"/>
          <w:color w:val="auto"/>
        </w:rPr>
        <w:t>. The Company will furnish or cause to be furnished to the Trustee</w:t>
      </w:r>
    </w:p>
    <w:p>
      <w:pPr>
        <w:spacing w:after="0" w:line="229" w:lineRule="exact"/>
        <w:rPr>
          <w:sz w:val="20"/>
          <w:szCs w:val="20"/>
          <w:color w:val="auto"/>
        </w:rPr>
      </w:pPr>
    </w:p>
    <w:p>
      <w:pPr>
        <w:ind w:right="20" w:firstLine="921"/>
        <w:spacing w:after="0" w:line="264" w:lineRule="auto"/>
        <w:tabs>
          <w:tab w:leader="none" w:pos="1303" w:val="left"/>
        </w:tabs>
        <w:numPr>
          <w:ilvl w:val="0"/>
          <w:numId w:val="80"/>
        </w:numPr>
        <w:rPr>
          <w:rFonts w:ascii="Arial" w:cs="Arial" w:eastAsia="Arial" w:hAnsi="Arial"/>
          <w:sz w:val="18"/>
          <w:szCs w:val="18"/>
          <w:color w:val="auto"/>
        </w:rPr>
      </w:pPr>
      <w:r>
        <w:rPr>
          <w:rFonts w:ascii="Arial" w:cs="Arial" w:eastAsia="Arial" w:hAnsi="Arial"/>
          <w:sz w:val="18"/>
          <w:szCs w:val="18"/>
          <w:color w:val="auto"/>
        </w:rPr>
        <w:t>semi-annually, not later than 15 days after the Regular Record Date for each respective series of Securities, a list, in such form as the Trustee may reasonably require, of the names and addresses of the Holders of Securities of each series as of such Regular Record Date, as the case may be, or if there is no Regular Record Date for such series of Securities, semi-annually, and</w:t>
      </w:r>
    </w:p>
    <w:p>
      <w:pPr>
        <w:spacing w:after="0" w:line="181" w:lineRule="exact"/>
        <w:rPr>
          <w:rFonts w:ascii="Arial" w:cs="Arial" w:eastAsia="Arial" w:hAnsi="Arial"/>
          <w:sz w:val="18"/>
          <w:szCs w:val="18"/>
          <w:color w:val="auto"/>
        </w:rPr>
      </w:pPr>
    </w:p>
    <w:p>
      <w:pPr>
        <w:ind w:right="400" w:firstLine="921"/>
        <w:spacing w:after="0" w:line="277" w:lineRule="auto"/>
        <w:tabs>
          <w:tab w:leader="none" w:pos="1303" w:val="left"/>
        </w:tabs>
        <w:numPr>
          <w:ilvl w:val="0"/>
          <w:numId w:val="80"/>
        </w:numPr>
        <w:rPr>
          <w:rFonts w:ascii="Arial" w:cs="Arial" w:eastAsia="Arial" w:hAnsi="Arial"/>
          <w:sz w:val="18"/>
          <w:szCs w:val="18"/>
          <w:color w:val="auto"/>
        </w:rPr>
      </w:pPr>
      <w:r>
        <w:rPr>
          <w:rFonts w:ascii="Arial" w:cs="Arial" w:eastAsia="Arial" w:hAnsi="Arial"/>
          <w:sz w:val="18"/>
          <w:szCs w:val="18"/>
          <w:color w:val="auto"/>
        </w:rPr>
        <w:t>at such other times as the Trustee may request in writing, within 30 days after the receipt by the Company of any such request, a list of similar form and content as of a date not more than 15 days prior to the time such list is furnished;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list need be furnished by the Company to the Trustee so long as the Trustee is acting as Security Registrar.</w:t>
      </w:r>
    </w:p>
    <w:p>
      <w:pPr>
        <w:spacing w:after="0" w:line="221" w:lineRule="exact"/>
        <w:rPr>
          <w:sz w:val="20"/>
          <w:szCs w:val="20"/>
          <w:color w:val="auto"/>
        </w:rPr>
      </w:pPr>
    </w:p>
    <w:p>
      <w:pPr>
        <w:ind w:right="180" w:firstLine="456"/>
        <w:spacing w:after="0" w:line="261" w:lineRule="auto"/>
        <w:rPr>
          <w:sz w:val="20"/>
          <w:szCs w:val="20"/>
          <w:color w:val="auto"/>
        </w:rPr>
      </w:pPr>
      <w:r>
        <w:rPr>
          <w:rFonts w:ascii="Arial" w:cs="Arial" w:eastAsia="Arial" w:hAnsi="Arial"/>
          <w:sz w:val="18"/>
          <w:szCs w:val="18"/>
          <w:b w:val="1"/>
          <w:bCs w:val="1"/>
          <w:color w:val="auto"/>
        </w:rPr>
        <w:t>Section 7.2 Preservation of Information; Communications to Holders</w:t>
      </w:r>
      <w:r>
        <w:rPr>
          <w:rFonts w:ascii="Arial" w:cs="Arial" w:eastAsia="Arial" w:hAnsi="Arial"/>
          <w:sz w:val="18"/>
          <w:szCs w:val="18"/>
          <w:color w:val="auto"/>
        </w:rPr>
        <w:t>. The Trustee shall preserve, in as current a form as is reasonably</w:t>
      </w:r>
      <w:r>
        <w:rPr>
          <w:rFonts w:ascii="Arial" w:cs="Arial" w:eastAsia="Arial" w:hAnsi="Arial"/>
          <w:sz w:val="18"/>
          <w:szCs w:val="18"/>
          <w:b w:val="1"/>
          <w:bCs w:val="1"/>
          <w:color w:val="auto"/>
        </w:rPr>
        <w:t xml:space="preserve"> </w:t>
      </w:r>
      <w:r>
        <w:rPr>
          <w:rFonts w:ascii="Arial" w:cs="Arial" w:eastAsia="Arial" w:hAnsi="Arial"/>
          <w:sz w:val="18"/>
          <w:szCs w:val="18"/>
          <w:color w:val="auto"/>
        </w:rPr>
        <w:t>practicable, the names and addresses of Holders contained in the most recent list furnished to the Trustee as provided in Section 7.1 and the names and addresses of Holders received by the Trustee in its capacity as Security Registrar. The Trustee may destroy any list furnished to it as provided in Section 7.1 upon receipt of a new list so furnished.</w:t>
      </w:r>
    </w:p>
    <w:p>
      <w:pPr>
        <w:spacing w:after="0" w:line="184"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rights of Holders to communicate with other Holders with respect to their rights under this Indenture or under the Securities, and the corresponding rights and privileges of the Trustee, shall be as provided by the Trust Indenture Act.</w:t>
      </w:r>
    </w:p>
    <w:p>
      <w:pPr>
        <w:spacing w:after="0" w:line="170"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Every Holder of Securities, by receiving and holding the same, agrees with the Company and the Trustee that neither the Company nor the Trustee nor any agent of either of them shall be held accountable by reason of any disclosure of information as to names and addresses of Holders made pursuant to the Trust Indenture Act.</w:t>
      </w:r>
    </w:p>
    <w:p>
      <w:pPr>
        <w:spacing w:after="0" w:line="177" w:lineRule="exact"/>
        <w:rPr>
          <w:sz w:val="20"/>
          <w:szCs w:val="20"/>
          <w:color w:val="auto"/>
        </w:rPr>
      </w:pPr>
    </w:p>
    <w:p>
      <w:pPr>
        <w:ind w:right="320" w:firstLine="456"/>
        <w:spacing w:after="0" w:line="282" w:lineRule="auto"/>
        <w:rPr>
          <w:sz w:val="20"/>
          <w:szCs w:val="20"/>
          <w:color w:val="auto"/>
        </w:rPr>
      </w:pPr>
      <w:r>
        <w:rPr>
          <w:rFonts w:ascii="Arial" w:cs="Arial" w:eastAsia="Arial" w:hAnsi="Arial"/>
          <w:sz w:val="18"/>
          <w:szCs w:val="18"/>
          <w:b w:val="1"/>
          <w:bCs w:val="1"/>
          <w:color w:val="auto"/>
        </w:rPr>
        <w:t>Section 7.3 Reports by Trustee</w:t>
      </w:r>
      <w:r>
        <w:rPr>
          <w:rFonts w:ascii="Arial" w:cs="Arial" w:eastAsia="Arial" w:hAnsi="Arial"/>
          <w:sz w:val="18"/>
          <w:szCs w:val="18"/>
          <w:color w:val="auto"/>
        </w:rPr>
        <w:t>. The Trustee shall transmit to Holders such reports concerning the Trustee and its actions under this Indenture as</w:t>
      </w:r>
      <w:r>
        <w:rPr>
          <w:rFonts w:ascii="Arial" w:cs="Arial" w:eastAsia="Arial" w:hAnsi="Arial"/>
          <w:sz w:val="18"/>
          <w:szCs w:val="18"/>
          <w:b w:val="1"/>
          <w:bCs w:val="1"/>
          <w:color w:val="auto"/>
        </w:rPr>
        <w:t xml:space="preserve"> </w:t>
      </w:r>
      <w:r>
        <w:rPr>
          <w:rFonts w:ascii="Arial" w:cs="Arial" w:eastAsia="Arial" w:hAnsi="Arial"/>
          <w:sz w:val="18"/>
          <w:szCs w:val="18"/>
          <w:color w:val="auto"/>
        </w:rPr>
        <w:t>may be required pursuant to the Trust Indenture Act at the times and in the manner provided pursuant thereto.</w:t>
      </w:r>
    </w:p>
    <w:p>
      <w:pPr>
        <w:spacing w:after="0" w:line="166"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Reports so required to be transmitted at stated intervals of not more than 12 months shall be transmitted no later than July 15 in each calendar year, commencing with the first July 15 after the first issuance of Securities pursuant to this Indenture.</w:t>
      </w:r>
    </w:p>
    <w:p>
      <w:pPr>
        <w:spacing w:after="0" w:line="170"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A copy of each such report shall, at the time of such transmission to Holders, be filed by the Trustee with each stock exchange upon which any Securities are listed, with the Commission and with the Company. The Company will notify the Trustee when any Securities are listed on any stock exchange.</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270" w:right="259" w:bottom="1440" w:gutter="0" w:footer="0" w:header="0"/>
        </w:sectPr>
      </w:pPr>
    </w:p>
    <w:bookmarkStart w:id="86" w:name="page87"/>
    <w:bookmarkEnd w:id="86"/>
    <w:p>
      <w:pPr>
        <w:ind w:right="280" w:firstLine="456"/>
        <w:spacing w:after="0" w:line="303"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7.4 Reports by Company</w:t>
      </w:r>
      <w:r>
        <w:rPr>
          <w:rFonts w:ascii="Arial" w:cs="Arial" w:eastAsia="Arial" w:hAnsi="Arial"/>
          <w:sz w:val="16"/>
          <w:szCs w:val="16"/>
          <w:color w:val="auto"/>
        </w:rPr>
        <w:t>. Any information, documents or other reports that the Company shall file with the Commission pursuant 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Section 13 or 15(d) of the Exchange Act shall be filed with the Trustee within 15 days after the same is filed with the Commission;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information, documents or reports filed or furnished with the Commission pursuant to its Electronic Data Gathering, Analysis and Retrieval (or EDGAR) system shall be deemed to be filed with the Trustee as of the time such information, documents or reports are filed or furnished via EDGAR.</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8</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CONSOLIDATION, MERGER, CONVEYANCE, TRANSFER OR LEASE</w:t>
      </w:r>
    </w:p>
    <w:p>
      <w:pPr>
        <w:spacing w:after="0" w:line="225" w:lineRule="exact"/>
        <w:rPr>
          <w:sz w:val="20"/>
          <w:szCs w:val="20"/>
          <w:color w:val="auto"/>
        </w:rPr>
      </w:pPr>
    </w:p>
    <w:p>
      <w:pPr>
        <w:ind w:right="180" w:firstLine="456"/>
        <w:spacing w:after="0" w:line="266" w:lineRule="auto"/>
        <w:rPr>
          <w:sz w:val="20"/>
          <w:szCs w:val="20"/>
          <w:color w:val="auto"/>
        </w:rPr>
      </w:pPr>
      <w:r>
        <w:rPr>
          <w:rFonts w:ascii="Arial" w:cs="Arial" w:eastAsia="Arial" w:hAnsi="Arial"/>
          <w:sz w:val="18"/>
          <w:szCs w:val="18"/>
          <w:b w:val="1"/>
          <w:bCs w:val="1"/>
          <w:color w:val="auto"/>
        </w:rPr>
        <w:t>Section 8.1 Company May Consolidate, etc., Only on Certain Terms</w:t>
      </w:r>
      <w:r>
        <w:rPr>
          <w:rFonts w:ascii="Arial" w:cs="Arial" w:eastAsia="Arial" w:hAnsi="Arial"/>
          <w:sz w:val="18"/>
          <w:szCs w:val="18"/>
          <w:color w:val="auto"/>
        </w:rPr>
        <w:t>. The Company shall not consolidate with or merge into any other Person</w:t>
      </w:r>
      <w:r>
        <w:rPr>
          <w:rFonts w:ascii="Arial" w:cs="Arial" w:eastAsia="Arial" w:hAnsi="Arial"/>
          <w:sz w:val="18"/>
          <w:szCs w:val="18"/>
          <w:b w:val="1"/>
          <w:bCs w:val="1"/>
          <w:color w:val="auto"/>
        </w:rPr>
        <w:t xml:space="preserve"> </w:t>
      </w:r>
      <w:r>
        <w:rPr>
          <w:rFonts w:ascii="Arial" w:cs="Arial" w:eastAsia="Arial" w:hAnsi="Arial"/>
          <w:sz w:val="18"/>
          <w:szCs w:val="18"/>
          <w:color w:val="auto"/>
        </w:rPr>
        <w:t>(other than a Subsidiary of the Company) (in a transaction in which the Company is not the surviving corporation) or convey, transfer or lease its properties and assets substantially as an entirety to any Person (other than a Subsidiary of the Company), unless:</w:t>
      </w:r>
    </w:p>
    <w:p>
      <w:pPr>
        <w:spacing w:after="0" w:line="180" w:lineRule="exact"/>
        <w:rPr>
          <w:sz w:val="20"/>
          <w:szCs w:val="20"/>
          <w:color w:val="auto"/>
        </w:rPr>
      </w:pPr>
    </w:p>
    <w:p>
      <w:pPr>
        <w:ind w:firstLine="921"/>
        <w:spacing w:after="0" w:line="288" w:lineRule="auto"/>
        <w:tabs>
          <w:tab w:leader="none" w:pos="1303" w:val="left"/>
        </w:tabs>
        <w:numPr>
          <w:ilvl w:val="0"/>
          <w:numId w:val="81"/>
        </w:numPr>
        <w:rPr>
          <w:rFonts w:ascii="Arial" w:cs="Arial" w:eastAsia="Arial" w:hAnsi="Arial"/>
          <w:sz w:val="16"/>
          <w:szCs w:val="16"/>
          <w:color w:val="auto"/>
        </w:rPr>
      </w:pPr>
      <w:r>
        <w:rPr>
          <w:rFonts w:ascii="Arial" w:cs="Arial" w:eastAsia="Arial" w:hAnsi="Arial"/>
          <w:sz w:val="16"/>
          <w:szCs w:val="16"/>
          <w:color w:val="auto"/>
        </w:rPr>
        <w:t>in case the Company shall consolidate with or merge into another Person (in a transaction in which the Company is not the surviving corporation) or convey, transfer or lease its properties and assets substantially as an entirety to any Person, the Person formed by such consolidation or into which the Company is merged or the Person which acquires by conveyance or transfer, or which leases, the properties and assets of the Company substantially as an entirety shall be a corporation, limited liability company, partnership, trust or other business entity, shall be organized and validly existing under the laws of the United States of America, any state thereof or the District of Columbia and shall expressly assume, by an indenture supplemental hereto, executed and delivered to the Trustee, in form satisfactory to the Trustee, the due and punctual payment of the principal of and any premium and interest on all the Securities and the performance or observance of every covenant of this Indenture on the part of the Company to be performed or observed and the conversion rights shall be provided for in accordance with Article 14, if applicable, or as otherwise specified pursuant to Section 3.1, by supplemental indenture satisfactory in form to the Trustee, executed and delivered to the Trustee, by the Person (if other than the Company) formed by such consolidation or into which the Company shall have been merged or by the Person which shall have acquired the Company’s assets;</w:t>
      </w:r>
    </w:p>
    <w:p>
      <w:pPr>
        <w:spacing w:after="0" w:line="169" w:lineRule="exact"/>
        <w:rPr>
          <w:rFonts w:ascii="Arial" w:cs="Arial" w:eastAsia="Arial" w:hAnsi="Arial"/>
          <w:sz w:val="16"/>
          <w:szCs w:val="16"/>
          <w:color w:val="auto"/>
        </w:rPr>
      </w:pPr>
    </w:p>
    <w:p>
      <w:pPr>
        <w:ind w:right="280" w:firstLine="921"/>
        <w:spacing w:after="0" w:line="277" w:lineRule="auto"/>
        <w:tabs>
          <w:tab w:leader="none" w:pos="1303" w:val="left"/>
        </w:tabs>
        <w:numPr>
          <w:ilvl w:val="0"/>
          <w:numId w:val="81"/>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Event of Default, and no event which, after notice or lapse of time or both, would become an Event of Default, shall have occurred and be continuing; and</w:t>
      </w:r>
    </w:p>
    <w:p>
      <w:pPr>
        <w:spacing w:after="0" w:line="170" w:lineRule="exact"/>
        <w:rPr>
          <w:rFonts w:ascii="Arial" w:cs="Arial" w:eastAsia="Arial" w:hAnsi="Arial"/>
          <w:sz w:val="18"/>
          <w:szCs w:val="18"/>
          <w:color w:val="auto"/>
        </w:rPr>
      </w:pPr>
    </w:p>
    <w:p>
      <w:pPr>
        <w:jc w:val="both"/>
        <w:ind w:right="120" w:firstLine="921"/>
        <w:spacing w:after="0" w:line="286" w:lineRule="auto"/>
        <w:tabs>
          <w:tab w:leader="none" w:pos="1303"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Company has delivered to the Trustee an Officers’ Certificate and an Opinion of Counsel, each stating that such consolidation, merger, conveyance, transfer or lease and, if a supplemental indenture is required in connection with such transaction, such supplemental indenture comply with this Article and that all conditions precedent herein provided for relating to such transaction have been complied with.</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270" w:right="259" w:bottom="1440" w:gutter="0" w:footer="0" w:header="0"/>
        </w:sectPr>
      </w:pPr>
    </w:p>
    <w:bookmarkStart w:id="87" w:name="page88"/>
    <w:bookmarkEnd w:id="87"/>
    <w:p>
      <w:pPr>
        <w:ind w:firstLine="456"/>
        <w:spacing w:after="0" w:line="25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8.2 Successor Substituted</w:t>
      </w:r>
      <w:r>
        <w:rPr>
          <w:rFonts w:ascii="Arial" w:cs="Arial" w:eastAsia="Arial" w:hAnsi="Arial"/>
          <w:sz w:val="18"/>
          <w:szCs w:val="18"/>
          <w:color w:val="auto"/>
        </w:rPr>
        <w:t>. Upon any consolidation of the Company with, or merger of the Company into, any other Person or any</w:t>
      </w:r>
      <w:r>
        <w:rPr>
          <w:rFonts w:ascii="Arial" w:cs="Arial" w:eastAsia="Arial" w:hAnsi="Arial"/>
          <w:sz w:val="18"/>
          <w:szCs w:val="18"/>
          <w:b w:val="1"/>
          <w:bCs w:val="1"/>
          <w:color w:val="auto"/>
        </w:rPr>
        <w:t xml:space="preserve"> </w:t>
      </w:r>
      <w:r>
        <w:rPr>
          <w:rFonts w:ascii="Arial" w:cs="Arial" w:eastAsia="Arial" w:hAnsi="Arial"/>
          <w:sz w:val="18"/>
          <w:szCs w:val="18"/>
          <w:color w:val="auto"/>
        </w:rPr>
        <w:t>conveyance, transfer or lease of the properties and assets of the Company substantially as an entirety in accordance with Section 8.1, the successor Person formed by such consolidation or into which the Company is merged or to which such conveyance, transfer or lease is made shall succeed to, and be substituted for, and may exercise every right and power of, the Company under this Indenture with the same effect as if such successor Person had been named as the Company herein, and thereafter, except in the case of a lease, the predecessor Person shall be relieved of all obligations and covenants under this Indenture and the Securities.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9</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SUPPLEMENTAL INDENTURES</w:t>
      </w:r>
    </w:p>
    <w:p>
      <w:pPr>
        <w:spacing w:after="0" w:line="225" w:lineRule="exact"/>
        <w:rPr>
          <w:sz w:val="20"/>
          <w:szCs w:val="20"/>
          <w:color w:val="auto"/>
        </w:rPr>
      </w:pPr>
    </w:p>
    <w:p>
      <w:pPr>
        <w:ind w:right="160" w:firstLine="456"/>
        <w:spacing w:after="0" w:line="266" w:lineRule="auto"/>
        <w:rPr>
          <w:sz w:val="20"/>
          <w:szCs w:val="20"/>
          <w:color w:val="auto"/>
        </w:rPr>
      </w:pPr>
      <w:r>
        <w:rPr>
          <w:rFonts w:ascii="Arial" w:cs="Arial" w:eastAsia="Arial" w:hAnsi="Arial"/>
          <w:sz w:val="18"/>
          <w:szCs w:val="18"/>
          <w:b w:val="1"/>
          <w:bCs w:val="1"/>
          <w:color w:val="auto"/>
        </w:rPr>
        <w:t>Section 9.1 Supplemental Indentures Without Consent of Holders</w:t>
      </w:r>
      <w:r>
        <w:rPr>
          <w:rFonts w:ascii="Arial" w:cs="Arial" w:eastAsia="Arial" w:hAnsi="Arial"/>
          <w:sz w:val="18"/>
          <w:szCs w:val="18"/>
          <w:color w:val="auto"/>
        </w:rPr>
        <w:t>. Without the consent of any Holders, the Company, when authorized by a</w:t>
      </w:r>
      <w:r>
        <w:rPr>
          <w:rFonts w:ascii="Arial" w:cs="Arial" w:eastAsia="Arial" w:hAnsi="Arial"/>
          <w:sz w:val="18"/>
          <w:szCs w:val="18"/>
          <w:b w:val="1"/>
          <w:bCs w:val="1"/>
          <w:color w:val="auto"/>
        </w:rPr>
        <w:t xml:space="preserve"> </w:t>
      </w:r>
      <w:r>
        <w:rPr>
          <w:rFonts w:ascii="Arial" w:cs="Arial" w:eastAsia="Arial" w:hAnsi="Arial"/>
          <w:sz w:val="18"/>
          <w:szCs w:val="18"/>
          <w:color w:val="auto"/>
        </w:rPr>
        <w:t>Board Resolution, and the Trustee, at any time and from time to time, may enter into one or more indentures supplemental hereto, in form satisfactory to the Trustee, for any of the following purposes:</w:t>
      </w:r>
    </w:p>
    <w:p>
      <w:pPr>
        <w:spacing w:after="0" w:line="180" w:lineRule="exact"/>
        <w:rPr>
          <w:sz w:val="20"/>
          <w:szCs w:val="20"/>
          <w:color w:val="auto"/>
        </w:rPr>
      </w:pPr>
    </w:p>
    <w:p>
      <w:pPr>
        <w:ind w:right="200" w:firstLine="921"/>
        <w:spacing w:after="0" w:line="277" w:lineRule="auto"/>
        <w:tabs>
          <w:tab w:leader="none" w:pos="1303" w:val="left"/>
        </w:tabs>
        <w:numPr>
          <w:ilvl w:val="0"/>
          <w:numId w:val="82"/>
        </w:numPr>
        <w:rPr>
          <w:rFonts w:ascii="Arial" w:cs="Arial" w:eastAsia="Arial" w:hAnsi="Arial"/>
          <w:sz w:val="18"/>
          <w:szCs w:val="18"/>
          <w:color w:val="auto"/>
        </w:rPr>
      </w:pPr>
      <w:r>
        <w:rPr>
          <w:rFonts w:ascii="Arial" w:cs="Arial" w:eastAsia="Arial" w:hAnsi="Arial"/>
          <w:sz w:val="18"/>
          <w:szCs w:val="18"/>
          <w:color w:val="auto"/>
        </w:rPr>
        <w:t>to evidence the succession of another Person to the Company, or successive successions, and the assumption by any such successor of the covenants of the Company herein and in the Securities in compliance with Article 8; or</w:t>
      </w:r>
    </w:p>
    <w:p>
      <w:pPr>
        <w:spacing w:after="0" w:line="170" w:lineRule="exact"/>
        <w:rPr>
          <w:rFonts w:ascii="Arial" w:cs="Arial" w:eastAsia="Arial" w:hAnsi="Arial"/>
          <w:sz w:val="18"/>
          <w:szCs w:val="18"/>
          <w:color w:val="auto"/>
        </w:rPr>
      </w:pPr>
    </w:p>
    <w:p>
      <w:pPr>
        <w:ind w:right="200" w:firstLine="921"/>
        <w:spacing w:after="0" w:line="264" w:lineRule="auto"/>
        <w:tabs>
          <w:tab w:leader="none" w:pos="1303" w:val="left"/>
        </w:tabs>
        <w:numPr>
          <w:ilvl w:val="0"/>
          <w:numId w:val="82"/>
        </w:numPr>
        <w:rPr>
          <w:rFonts w:ascii="Arial" w:cs="Arial" w:eastAsia="Arial" w:hAnsi="Arial"/>
          <w:sz w:val="18"/>
          <w:szCs w:val="18"/>
          <w:color w:val="auto"/>
        </w:rPr>
      </w:pPr>
      <w:r>
        <w:rPr>
          <w:rFonts w:ascii="Arial" w:cs="Arial" w:eastAsia="Arial" w:hAnsi="Arial"/>
          <w:sz w:val="18"/>
          <w:szCs w:val="18"/>
          <w:color w:val="auto"/>
        </w:rPr>
        <w:t>to add to the covenants of the Company for the benefit of the Holders of all or any series of Securities (and if such covenants are to be for the benefit of less than all series of Securities, stating that such covenants are expressly being included solely for the benefit of such series) or to surrender any right or power herein conferred upon the Company; or</w:t>
      </w:r>
    </w:p>
    <w:p>
      <w:pPr>
        <w:spacing w:after="0" w:line="181" w:lineRule="exact"/>
        <w:rPr>
          <w:rFonts w:ascii="Arial" w:cs="Arial" w:eastAsia="Arial" w:hAnsi="Arial"/>
          <w:sz w:val="18"/>
          <w:szCs w:val="18"/>
          <w:color w:val="auto"/>
        </w:rPr>
      </w:pPr>
    </w:p>
    <w:p>
      <w:pPr>
        <w:ind w:right="220" w:firstLine="921"/>
        <w:spacing w:after="0" w:line="264" w:lineRule="auto"/>
        <w:tabs>
          <w:tab w:leader="none" w:pos="1303" w:val="left"/>
        </w:tabs>
        <w:numPr>
          <w:ilvl w:val="0"/>
          <w:numId w:val="82"/>
        </w:numPr>
        <w:rPr>
          <w:rFonts w:ascii="Arial" w:cs="Arial" w:eastAsia="Arial" w:hAnsi="Arial"/>
          <w:sz w:val="18"/>
          <w:szCs w:val="18"/>
          <w:color w:val="auto"/>
        </w:rPr>
      </w:pPr>
      <w:r>
        <w:rPr>
          <w:rFonts w:ascii="Arial" w:cs="Arial" w:eastAsia="Arial" w:hAnsi="Arial"/>
          <w:sz w:val="18"/>
          <w:szCs w:val="18"/>
          <w:color w:val="auto"/>
        </w:rPr>
        <w:t>to add any additional Events of Default for the benefit of the Holders of all or any series of Securities (and if such additional Events of Default are to be for the benefit of less than all series of Securities, stating that such additional Events of Default are expressly being included solely for the benefit of such series); or</w:t>
      </w:r>
    </w:p>
    <w:p>
      <w:pPr>
        <w:spacing w:after="0" w:line="181" w:lineRule="exact"/>
        <w:rPr>
          <w:rFonts w:ascii="Arial" w:cs="Arial" w:eastAsia="Arial" w:hAnsi="Arial"/>
          <w:sz w:val="18"/>
          <w:szCs w:val="18"/>
          <w:color w:val="auto"/>
        </w:rPr>
      </w:pPr>
    </w:p>
    <w:p>
      <w:pPr>
        <w:ind w:right="40" w:firstLine="921"/>
        <w:spacing w:after="0" w:line="264" w:lineRule="auto"/>
        <w:tabs>
          <w:tab w:leader="none" w:pos="1303" w:val="left"/>
        </w:tabs>
        <w:numPr>
          <w:ilvl w:val="0"/>
          <w:numId w:val="82"/>
        </w:numPr>
        <w:rPr>
          <w:rFonts w:ascii="Arial" w:cs="Arial" w:eastAsia="Arial" w:hAnsi="Arial"/>
          <w:sz w:val="18"/>
          <w:szCs w:val="18"/>
          <w:color w:val="auto"/>
        </w:rPr>
      </w:pPr>
      <w:r>
        <w:rPr>
          <w:rFonts w:ascii="Arial" w:cs="Arial" w:eastAsia="Arial" w:hAnsi="Arial"/>
          <w:sz w:val="18"/>
          <w:szCs w:val="18"/>
          <w:color w:val="auto"/>
        </w:rPr>
        <w:t>to add to or change any of the provisions of this Indenture to such extent as shall be necessary to permit or facilitate the issuance of Securities in bearer form, registrable or not registrable as to principal, and with or without interest coupons, or to permit or facilitate the issuance of Securities in uncertificated form; or</w:t>
      </w:r>
    </w:p>
    <w:p>
      <w:pPr>
        <w:spacing w:after="0" w:line="181" w:lineRule="exact"/>
        <w:rPr>
          <w:rFonts w:ascii="Arial" w:cs="Arial" w:eastAsia="Arial" w:hAnsi="Arial"/>
          <w:sz w:val="18"/>
          <w:szCs w:val="18"/>
          <w:color w:val="auto"/>
        </w:rPr>
      </w:pPr>
    </w:p>
    <w:p>
      <w:pPr>
        <w:ind w:right="200" w:firstLine="921"/>
        <w:spacing w:after="0" w:line="259" w:lineRule="auto"/>
        <w:tabs>
          <w:tab w:leader="none" w:pos="1303" w:val="left"/>
        </w:tabs>
        <w:numPr>
          <w:ilvl w:val="0"/>
          <w:numId w:val="82"/>
        </w:numPr>
        <w:rPr>
          <w:rFonts w:ascii="Arial" w:cs="Arial" w:eastAsia="Arial" w:hAnsi="Arial"/>
          <w:sz w:val="18"/>
          <w:szCs w:val="18"/>
          <w:color w:val="auto"/>
        </w:rPr>
      </w:pPr>
      <w:r>
        <w:rPr>
          <w:rFonts w:ascii="Arial" w:cs="Arial" w:eastAsia="Arial" w:hAnsi="Arial"/>
          <w:sz w:val="18"/>
          <w:szCs w:val="18"/>
          <w:color w:val="auto"/>
        </w:rPr>
        <w:t xml:space="preserve">to add to, change or eliminate any of the provisions of this Indenture in respect of one or more series of Securities,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addition, change or elimination (A) shall neither (i) apply to any Security of any series created prior to the execution of such supplemental indenture and entitled to the benefit of such provision nor (ii) modify the rights of the Holder of any such Security with respect to such provision or (B) shall become effective only when there is no such Security Outstanding; or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70" w:right="239" w:bottom="1440" w:gutter="0" w:footer="0" w:header="0"/>
        </w:sectPr>
      </w:pPr>
    </w:p>
    <w:bookmarkStart w:id="88" w:name="page89"/>
    <w:bookmarkEnd w:id="88"/>
    <w:p>
      <w:pPr>
        <w:ind w:left="1320" w:hanging="399"/>
        <w:spacing w:after="0"/>
        <w:tabs>
          <w:tab w:leader="none" w:pos="1320" w:val="left"/>
        </w:tabs>
        <w:numPr>
          <w:ilvl w:val="0"/>
          <w:numId w:val="8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secure the Securities, including provisions regarding the circumstances under which collateral may be released or substituted; or</w:t>
      </w:r>
    </w:p>
    <w:p>
      <w:pPr>
        <w:spacing w:after="0" w:line="236" w:lineRule="exact"/>
        <w:rPr>
          <w:rFonts w:ascii="Arial" w:cs="Arial" w:eastAsia="Arial" w:hAnsi="Arial"/>
          <w:sz w:val="17"/>
          <w:szCs w:val="17"/>
          <w:color w:val="auto"/>
        </w:rPr>
      </w:pPr>
    </w:p>
    <w:p>
      <w:pPr>
        <w:ind w:left="1320" w:hanging="399"/>
        <w:spacing w:after="0"/>
        <w:tabs>
          <w:tab w:leader="none" w:pos="13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to add or provide for a guaranty of the Securities or additional obligors on the Securities; or</w:t>
      </w:r>
    </w:p>
    <w:p>
      <w:pPr>
        <w:spacing w:after="0" w:line="225" w:lineRule="exact"/>
        <w:rPr>
          <w:rFonts w:ascii="Arial" w:cs="Arial" w:eastAsia="Arial" w:hAnsi="Arial"/>
          <w:sz w:val="18"/>
          <w:szCs w:val="18"/>
          <w:color w:val="auto"/>
        </w:rPr>
      </w:pPr>
    </w:p>
    <w:p>
      <w:pPr>
        <w:ind w:left="1320" w:hanging="399"/>
        <w:spacing w:after="0"/>
        <w:tabs>
          <w:tab w:leader="none" w:pos="13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to establish the form or terms of Securities of any series as permitted by Sections 2.1 and 3.1; or</w:t>
      </w:r>
    </w:p>
    <w:p>
      <w:pPr>
        <w:spacing w:after="0" w:line="225" w:lineRule="exact"/>
        <w:rPr>
          <w:rFonts w:ascii="Arial" w:cs="Arial" w:eastAsia="Arial" w:hAnsi="Arial"/>
          <w:sz w:val="18"/>
          <w:szCs w:val="18"/>
          <w:color w:val="auto"/>
        </w:rPr>
      </w:pPr>
    </w:p>
    <w:p>
      <w:pPr>
        <w:ind w:firstLine="921"/>
        <w:spacing w:after="0" w:line="264" w:lineRule="auto"/>
        <w:tabs>
          <w:tab w:leader="none" w:pos="1303" w:val="left"/>
        </w:tabs>
        <w:numPr>
          <w:ilvl w:val="0"/>
          <w:numId w:val="83"/>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pursuant to the requirements of Section 6.11; or</w:t>
      </w:r>
    </w:p>
    <w:p>
      <w:pPr>
        <w:spacing w:after="0" w:line="181" w:lineRule="exact"/>
        <w:rPr>
          <w:rFonts w:ascii="Arial" w:cs="Arial" w:eastAsia="Arial" w:hAnsi="Arial"/>
          <w:sz w:val="18"/>
          <w:szCs w:val="18"/>
          <w:color w:val="auto"/>
        </w:rPr>
      </w:pPr>
    </w:p>
    <w:p>
      <w:pPr>
        <w:ind w:left="1400" w:hanging="479"/>
        <w:spacing w:after="0"/>
        <w:tabs>
          <w:tab w:leader="none" w:pos="14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to conform this Indenture to the description of the Securities set forth in the Prospectus for such series of Securities; or</w:t>
      </w:r>
    </w:p>
    <w:p>
      <w:pPr>
        <w:spacing w:after="0" w:line="225" w:lineRule="exact"/>
        <w:rPr>
          <w:rFonts w:ascii="Arial" w:cs="Arial" w:eastAsia="Arial" w:hAnsi="Arial"/>
          <w:sz w:val="18"/>
          <w:szCs w:val="18"/>
          <w:color w:val="auto"/>
        </w:rPr>
      </w:pPr>
    </w:p>
    <w:p>
      <w:pPr>
        <w:ind w:right="400" w:firstLine="921"/>
        <w:spacing w:after="0" w:line="277" w:lineRule="auto"/>
        <w:tabs>
          <w:tab w:leader="none" w:pos="1386" w:val="left"/>
        </w:tabs>
        <w:numPr>
          <w:ilvl w:val="0"/>
          <w:numId w:val="83"/>
        </w:numPr>
        <w:rPr>
          <w:rFonts w:ascii="Arial" w:cs="Arial" w:eastAsia="Arial" w:hAnsi="Arial"/>
          <w:sz w:val="18"/>
          <w:szCs w:val="18"/>
          <w:color w:val="auto"/>
        </w:rPr>
      </w:pPr>
      <w:r>
        <w:rPr>
          <w:rFonts w:ascii="Arial" w:cs="Arial" w:eastAsia="Arial" w:hAnsi="Arial"/>
          <w:sz w:val="18"/>
          <w:szCs w:val="18"/>
          <w:color w:val="auto"/>
        </w:rPr>
        <w:t>to cure any ambiguity, to correct or supplement any provision herein which may be defective or inconsistent with any other provision herein, or to make any other provisions with respect to matters or questions arising under this Indenture; or</w:t>
      </w:r>
    </w:p>
    <w:p>
      <w:pPr>
        <w:spacing w:after="0" w:line="170" w:lineRule="exact"/>
        <w:rPr>
          <w:rFonts w:ascii="Arial" w:cs="Arial" w:eastAsia="Arial" w:hAnsi="Arial"/>
          <w:sz w:val="18"/>
          <w:szCs w:val="18"/>
          <w:color w:val="auto"/>
        </w:rPr>
      </w:pPr>
    </w:p>
    <w:p>
      <w:pPr>
        <w:ind w:right="440" w:firstLine="921"/>
        <w:spacing w:after="0" w:line="264" w:lineRule="auto"/>
        <w:tabs>
          <w:tab w:leader="none" w:pos="1393"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to supplement any of the provisions of the Indenture to such extent as shall be necessary to permit or facilitate the defeasance and discharge of any series of Securities pursuant to Articles 4 and 13,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action shall not adversely affect the interests of the Holders of Securities of such series or any other series of Securities in any material respect; or</w:t>
      </w:r>
    </w:p>
    <w:p>
      <w:pPr>
        <w:spacing w:after="0" w:line="181" w:lineRule="exact"/>
        <w:rPr>
          <w:rFonts w:ascii="Arial" w:cs="Arial" w:eastAsia="Arial" w:hAnsi="Arial"/>
          <w:sz w:val="18"/>
          <w:szCs w:val="18"/>
          <w:color w:val="auto"/>
        </w:rPr>
      </w:pPr>
    </w:p>
    <w:p>
      <w:pPr>
        <w:ind w:right="160" w:firstLine="921"/>
        <w:spacing w:after="0" w:line="264" w:lineRule="auto"/>
        <w:tabs>
          <w:tab w:leader="none" w:pos="1393" w:val="left"/>
        </w:tabs>
        <w:numPr>
          <w:ilvl w:val="0"/>
          <w:numId w:val="83"/>
        </w:numPr>
        <w:rPr>
          <w:rFonts w:ascii="Arial" w:cs="Arial" w:eastAsia="Arial" w:hAnsi="Arial"/>
          <w:sz w:val="18"/>
          <w:szCs w:val="18"/>
          <w:color w:val="auto"/>
        </w:rPr>
      </w:pPr>
      <w:r>
        <w:rPr>
          <w:rFonts w:ascii="Arial" w:cs="Arial" w:eastAsia="Arial" w:hAnsi="Arial"/>
          <w:sz w:val="18"/>
          <w:szCs w:val="18"/>
          <w:color w:val="auto"/>
        </w:rPr>
        <w:t>make such other provisions in regards to matters or questions arising under the Indenture or any supplemental indenture hereto as the Board of Directors may deem necessary or desirable, and which does not in each case adversely affect the interest of the Holders of Securities or any series; or</w:t>
      </w:r>
    </w:p>
    <w:p>
      <w:pPr>
        <w:spacing w:after="0" w:line="181" w:lineRule="exact"/>
        <w:rPr>
          <w:rFonts w:ascii="Arial" w:cs="Arial" w:eastAsia="Arial" w:hAnsi="Arial"/>
          <w:sz w:val="18"/>
          <w:szCs w:val="18"/>
          <w:color w:val="auto"/>
        </w:rPr>
      </w:pPr>
    </w:p>
    <w:p>
      <w:pPr>
        <w:ind w:left="1400" w:hanging="479"/>
        <w:spacing w:after="0"/>
        <w:tabs>
          <w:tab w:leader="none" w:pos="14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comply with requirements of the Commission in order to effect or maintain the qualification of the Indenture under the Trust indenture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Act.</w:t>
      </w:r>
    </w:p>
    <w:p>
      <w:pPr>
        <w:spacing w:after="0" w:line="20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b w:val="1"/>
          <w:bCs w:val="1"/>
          <w:color w:val="auto"/>
        </w:rPr>
        <w:t>Section 9.2 Supplemental Indentures with Consent of Holders</w:t>
      </w:r>
      <w:r>
        <w:rPr>
          <w:rFonts w:ascii="Arial" w:cs="Arial" w:eastAsia="Arial" w:hAnsi="Arial"/>
          <w:sz w:val="18"/>
          <w:szCs w:val="18"/>
          <w:color w:val="auto"/>
        </w:rPr>
        <w:t>. With the consent of the Holders of a majority in principal amount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Outstanding Securities of each series affected by such supplemental indenture, by Act of said Holders delivered to the Company and the Trustee, the Company, when authorized by a Board Resolution, and the Trustee may enter into an indenture or indentures supplemental hereto for the purpose of adding any provisions to or changing in any manner or eliminating any of the provisions of this Indenture or of modifying in any manner the rights of the Holders of Securities of such series under this Indenture;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supplemental indenture shall, without the consent of the Holder of each Outstanding Security affected thereby,</w:t>
      </w:r>
    </w:p>
    <w:p>
      <w:pPr>
        <w:spacing w:after="0" w:line="192" w:lineRule="exact"/>
        <w:rPr>
          <w:sz w:val="20"/>
          <w:szCs w:val="20"/>
          <w:color w:val="auto"/>
        </w:rPr>
      </w:pPr>
    </w:p>
    <w:p>
      <w:pPr>
        <w:ind w:right="60" w:firstLine="921"/>
        <w:spacing w:after="0" w:line="308" w:lineRule="auto"/>
        <w:tabs>
          <w:tab w:leader="none" w:pos="1303" w:val="left"/>
        </w:tabs>
        <w:numPr>
          <w:ilvl w:val="0"/>
          <w:numId w:val="84"/>
        </w:numPr>
        <w:rPr>
          <w:rFonts w:ascii="Arial" w:cs="Arial" w:eastAsia="Arial" w:hAnsi="Arial"/>
          <w:sz w:val="17"/>
          <w:szCs w:val="17"/>
          <w:color w:val="auto"/>
        </w:rPr>
      </w:pPr>
      <w:r>
        <w:rPr>
          <w:rFonts w:ascii="Arial" w:cs="Arial" w:eastAsia="Arial" w:hAnsi="Arial"/>
          <w:sz w:val="17"/>
          <w:szCs w:val="17"/>
          <w:color w:val="auto"/>
        </w:rPr>
        <w:t>change the Stated Maturity of the principal of, or any installment of principal of or interest on, any Security, or reduce the principal amount thereof or the rate of interest thereon or any premium payable upon the redemption or repurchase thereof, whether at the option of the</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274" w:right="259" w:bottom="1440" w:gutter="0" w:footer="0" w:header="0"/>
        </w:sectPr>
      </w:pPr>
    </w:p>
    <w:bookmarkStart w:id="89" w:name="page90"/>
    <w:bookmarkEnd w:id="89"/>
    <w:p>
      <w:pPr>
        <w:ind w:right="2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Company or at the option of the Holder, or reduce the amount of any sinking fund payments, or reduce the amount of the principal of an Original Issue Discount Security or any other Security which would be due and payable upon a declaration of acceleration of the Maturity thereof pursuant to Section 5.2 of the Indenture, or change the Place of Payment or currency in which, any Security or any premium or interest thereon is payable, or impair the right to institute suit for the enforcement of any such payment on or after the Stated Maturity thereof (or, in the case of redemption, on or after the Redemption Date), or</w:t>
      </w:r>
    </w:p>
    <w:p>
      <w:pPr>
        <w:spacing w:after="0" w:line="154" w:lineRule="exact"/>
        <w:rPr>
          <w:sz w:val="20"/>
          <w:szCs w:val="20"/>
          <w:color w:val="auto"/>
        </w:rPr>
      </w:pPr>
    </w:p>
    <w:p>
      <w:pPr>
        <w:ind w:right="60" w:firstLine="921"/>
        <w:spacing w:after="0" w:line="264" w:lineRule="auto"/>
        <w:tabs>
          <w:tab w:leader="none" w:pos="1303"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 the case of Securities of any series that are convertible into Common Stock or other securities of the Company pursuant to Article 14 and any supplemental indenture hereto, adversely affect the rights of the Holders to convert any of the Securities of such series other than as provided in or pursuant to this Indenture or any supplemental indenture, or</w:t>
      </w:r>
    </w:p>
    <w:p>
      <w:pPr>
        <w:spacing w:after="0" w:line="181" w:lineRule="exact"/>
        <w:rPr>
          <w:rFonts w:ascii="Arial" w:cs="Arial" w:eastAsia="Arial" w:hAnsi="Arial"/>
          <w:sz w:val="18"/>
          <w:szCs w:val="18"/>
          <w:color w:val="auto"/>
        </w:rPr>
      </w:pPr>
    </w:p>
    <w:p>
      <w:pPr>
        <w:jc w:val="both"/>
        <w:ind w:firstLine="921"/>
        <w:spacing w:after="0" w:line="264" w:lineRule="auto"/>
        <w:tabs>
          <w:tab w:leader="none" w:pos="1303"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reduce the percentage in principal amount of the Outstanding Securities of any series, the consent of whose Holders is required for any such supplemental indenture, or the consent of whose Holders is required for any waiver (of compliance with certain provisions of this Indenture or certain defaults hereunder and their consequences) provided for in this Indenture, or</w:t>
      </w:r>
    </w:p>
    <w:p>
      <w:pPr>
        <w:spacing w:after="0" w:line="181" w:lineRule="exact"/>
        <w:rPr>
          <w:rFonts w:ascii="Arial" w:cs="Arial" w:eastAsia="Arial" w:hAnsi="Arial"/>
          <w:sz w:val="18"/>
          <w:szCs w:val="18"/>
          <w:color w:val="auto"/>
        </w:rPr>
      </w:pPr>
    </w:p>
    <w:p>
      <w:pPr>
        <w:jc w:val="both"/>
        <w:ind w:right="120" w:firstLine="921"/>
        <w:spacing w:after="0" w:line="279" w:lineRule="auto"/>
        <w:tabs>
          <w:tab w:leader="none" w:pos="1303" w:val="left"/>
        </w:tabs>
        <w:numPr>
          <w:ilvl w:val="0"/>
          <w:numId w:val="85"/>
        </w:numPr>
        <w:rPr>
          <w:rFonts w:ascii="Arial" w:cs="Arial" w:eastAsia="Arial" w:hAnsi="Arial"/>
          <w:sz w:val="17"/>
          <w:szCs w:val="17"/>
          <w:color w:val="auto"/>
        </w:rPr>
      </w:pPr>
      <w:r>
        <w:rPr>
          <w:rFonts w:ascii="Arial" w:cs="Arial" w:eastAsia="Arial" w:hAnsi="Arial"/>
          <w:sz w:val="17"/>
          <w:szCs w:val="17"/>
          <w:color w:val="auto"/>
        </w:rPr>
        <w:t xml:space="preserve">modify any of the provisions of this Section or Section 5.13, except to increase any such percentage or to provide that certain other provisions of this Indenture cannot be modified or waived without the consent of the Holder of each Outstanding Security affected thereby;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this clause shall not be deemed to require the consent of any Holder with respect to changes in the references to “the Trustee” and concomitant changes in this Section, or the deletion of this proviso, in accordance with the requirements of Sections 6.11 and 9.1(9).</w:t>
      </w:r>
    </w:p>
    <w:p>
      <w:pPr>
        <w:spacing w:after="0" w:line="171"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A supplemental indenture which changes or eliminates any covenant or other provision of this Indenture which has expressly been included solely for the benefit of one or more particular series of Securities, or which modifies the rights of the Holders of Securities of such series with respect to such covenant or other provision, shall be deemed not to affect the rights under this Indenture of the Holders of Securities of any other series.</w:t>
      </w:r>
    </w:p>
    <w:p>
      <w:pPr>
        <w:spacing w:after="0" w:line="166"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It shall not be necessary for any Act of Holders under this Section to approve the particular form of any proposed supplemental indenture, but it shall be sufficient if such Act shall approve the substance thereof.</w:t>
      </w:r>
    </w:p>
    <w:p>
      <w:pPr>
        <w:spacing w:after="0" w:line="166" w:lineRule="exact"/>
        <w:rPr>
          <w:sz w:val="20"/>
          <w:szCs w:val="20"/>
          <w:color w:val="auto"/>
        </w:rPr>
      </w:pPr>
    </w:p>
    <w:p>
      <w:pPr>
        <w:ind w:left="460"/>
        <w:spacing w:after="0"/>
        <w:tabs>
          <w:tab w:leader="none" w:pos="1460" w:val="left"/>
        </w:tabs>
        <w:rPr>
          <w:sz w:val="20"/>
          <w:szCs w:val="20"/>
          <w:color w:val="auto"/>
        </w:rPr>
      </w:pPr>
      <w:r>
        <w:rPr>
          <w:rFonts w:ascii="Arial" w:cs="Arial" w:eastAsia="Arial" w:hAnsi="Arial"/>
          <w:sz w:val="18"/>
          <w:szCs w:val="18"/>
          <w:b w:val="1"/>
          <w:bCs w:val="1"/>
          <w:color w:val="auto"/>
        </w:rPr>
        <w:t>Section 9.3</w:t>
      </w:r>
      <w:r>
        <w:rPr>
          <w:sz w:val="20"/>
          <w:szCs w:val="20"/>
          <w:color w:val="auto"/>
        </w:rPr>
        <w:tab/>
      </w:r>
      <w:r>
        <w:rPr>
          <w:rFonts w:ascii="Arial" w:cs="Arial" w:eastAsia="Arial" w:hAnsi="Arial"/>
          <w:sz w:val="16"/>
          <w:szCs w:val="16"/>
          <w:b w:val="1"/>
          <w:bCs w:val="1"/>
          <w:color w:val="auto"/>
        </w:rPr>
        <w:t>Execution of Supplemental Indentures</w:t>
      </w:r>
      <w:r>
        <w:rPr>
          <w:rFonts w:ascii="Arial" w:cs="Arial" w:eastAsia="Arial" w:hAnsi="Arial"/>
          <w:sz w:val="16"/>
          <w:szCs w:val="16"/>
          <w:color w:val="auto"/>
        </w:rPr>
        <w:t>. In executing, or accepting the additional trusts created by, any supplemental indenture</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permitted by this Article or the modifications thereby of the trusts created by this Indenture, the Trustee shall be entitled to receive, and (subject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Sections 6.1 and 6.3) shall be fully protected in relying upon, an Opinion of Counsel stating that the execution of such supplemental indenture is authorized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permitted by this Indenture. The Trustee may, but shall not be obligated to, enter into any such supplemental indenture which affects the Trustee’s own rights,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duties or immunities under this Indenture or otherwise.</w:t>
      </w:r>
    </w:p>
    <w:p>
      <w:pPr>
        <w:spacing w:after="0" w:line="207" w:lineRule="exact"/>
        <w:rPr>
          <w:sz w:val="20"/>
          <w:szCs w:val="20"/>
          <w:color w:val="auto"/>
        </w:rPr>
      </w:pPr>
    </w:p>
    <w:p>
      <w:pPr>
        <w:jc w:val="both"/>
        <w:ind w:right="580" w:firstLine="456"/>
        <w:spacing w:after="0" w:line="266" w:lineRule="auto"/>
        <w:rPr>
          <w:sz w:val="20"/>
          <w:szCs w:val="20"/>
          <w:color w:val="auto"/>
        </w:rPr>
      </w:pPr>
      <w:r>
        <w:rPr>
          <w:rFonts w:ascii="Arial" w:cs="Arial" w:eastAsia="Arial" w:hAnsi="Arial"/>
          <w:sz w:val="18"/>
          <w:szCs w:val="18"/>
          <w:b w:val="1"/>
          <w:bCs w:val="1"/>
          <w:color w:val="auto"/>
        </w:rPr>
        <w:t>Section 9.4 Effect of Supplemental Indentures</w:t>
      </w:r>
      <w:r>
        <w:rPr>
          <w:rFonts w:ascii="Arial" w:cs="Arial" w:eastAsia="Arial" w:hAnsi="Arial"/>
          <w:sz w:val="18"/>
          <w:szCs w:val="18"/>
          <w:color w:val="auto"/>
        </w:rPr>
        <w:t>. Upon the execution of any supplemental indenture under this Article, this Indenture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modified in accordance therewith, and such supplemental indenture shall form a part of this Indenture for all purposes; and every Holder of Securities theretofore or thereafter authenticated and delivered hereunder shall be bound thereby.</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74" w:right="239" w:bottom="1440" w:gutter="0" w:footer="0" w:header="0"/>
        </w:sectPr>
      </w:pPr>
    </w:p>
    <w:bookmarkStart w:id="90" w:name="page91"/>
    <w:bookmarkEnd w:id="90"/>
    <w:p>
      <w:pPr>
        <w:ind w:right="260" w:firstLine="456"/>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9.5 Conformity with Trust Indenture Act</w:t>
      </w:r>
      <w:r>
        <w:rPr>
          <w:rFonts w:ascii="Arial" w:cs="Arial" w:eastAsia="Arial" w:hAnsi="Arial"/>
          <w:sz w:val="18"/>
          <w:szCs w:val="18"/>
          <w:color w:val="auto"/>
        </w:rPr>
        <w:t>. The Indenture shall incorporate and be governed by the provisions of the Trust Indenture Act</w:t>
      </w:r>
      <w:r>
        <w:rPr>
          <w:rFonts w:ascii="Arial" w:cs="Arial" w:eastAsia="Arial" w:hAnsi="Arial"/>
          <w:sz w:val="18"/>
          <w:szCs w:val="18"/>
          <w:b w:val="1"/>
          <w:bCs w:val="1"/>
          <w:color w:val="auto"/>
        </w:rPr>
        <w:t xml:space="preserve"> </w:t>
      </w:r>
      <w:r>
        <w:rPr>
          <w:rFonts w:ascii="Arial" w:cs="Arial" w:eastAsia="Arial" w:hAnsi="Arial"/>
          <w:sz w:val="18"/>
          <w:szCs w:val="18"/>
          <w:color w:val="auto"/>
        </w:rPr>
        <w:t>that are required to be part of and to govern indentures qualified under the Trust Indenture Act.</w:t>
      </w:r>
    </w:p>
    <w:p>
      <w:pPr>
        <w:spacing w:after="0" w:line="162"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b w:val="1"/>
          <w:bCs w:val="1"/>
          <w:color w:val="auto"/>
        </w:rPr>
        <w:t>Section 9.6 Reference in Securities to Supplemental Indentures</w:t>
      </w:r>
      <w:r>
        <w:rPr>
          <w:rFonts w:ascii="Arial" w:cs="Arial" w:eastAsia="Arial" w:hAnsi="Arial"/>
          <w:sz w:val="18"/>
          <w:szCs w:val="18"/>
          <w:color w:val="auto"/>
        </w:rPr>
        <w:t>. Securities of any series authenticated and delivered after the execution of any</w:t>
      </w:r>
      <w:r>
        <w:rPr>
          <w:rFonts w:ascii="Arial" w:cs="Arial" w:eastAsia="Arial" w:hAnsi="Arial"/>
          <w:sz w:val="18"/>
          <w:szCs w:val="18"/>
          <w:b w:val="1"/>
          <w:bCs w:val="1"/>
          <w:color w:val="auto"/>
        </w:rPr>
        <w:t xml:space="preserve"> </w:t>
      </w:r>
      <w:r>
        <w:rPr>
          <w:rFonts w:ascii="Arial" w:cs="Arial" w:eastAsia="Arial" w:hAnsi="Arial"/>
          <w:sz w:val="18"/>
          <w:szCs w:val="18"/>
          <w:color w:val="auto"/>
        </w:rPr>
        <w:t>supplemental indenture pursuant to this Article may, and shall if required by the Trustee, bear a notation in form approved by the Trustee as to any matter provided for in such supplemental indenture. If the Company shall so determine, new Securities of any series so modified as to conform, in the opinion of the Trustee and the Company, to any such supplemental indenture may be prepared and executed by the Company and authenticated and delivered by the Trustee in exchange for Outstanding Securities of such series.</w:t>
      </w: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10</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COVENANTS</w:t>
      </w:r>
    </w:p>
    <w:p>
      <w:pPr>
        <w:spacing w:after="0" w:line="225" w:lineRule="exact"/>
        <w:rPr>
          <w:sz w:val="20"/>
          <w:szCs w:val="20"/>
          <w:color w:val="auto"/>
        </w:rPr>
      </w:pPr>
    </w:p>
    <w:p>
      <w:pPr>
        <w:jc w:val="both"/>
        <w:ind w:right="140" w:firstLine="456"/>
        <w:spacing w:after="0" w:line="266" w:lineRule="auto"/>
        <w:rPr>
          <w:sz w:val="20"/>
          <w:szCs w:val="20"/>
          <w:color w:val="auto"/>
        </w:rPr>
      </w:pPr>
      <w:r>
        <w:rPr>
          <w:rFonts w:ascii="Arial" w:cs="Arial" w:eastAsia="Arial" w:hAnsi="Arial"/>
          <w:sz w:val="18"/>
          <w:szCs w:val="18"/>
          <w:b w:val="1"/>
          <w:bCs w:val="1"/>
          <w:color w:val="auto"/>
        </w:rPr>
        <w:t>Section 10.1 Payment of Principal, Premium and Interest</w:t>
      </w:r>
      <w:r>
        <w:rPr>
          <w:rFonts w:ascii="Arial" w:cs="Arial" w:eastAsia="Arial" w:hAnsi="Arial"/>
          <w:sz w:val="18"/>
          <w:szCs w:val="18"/>
          <w:color w:val="auto"/>
        </w:rPr>
        <w:t>. The Company covenants and agrees for the benefit of each series of Securities that it</w:t>
      </w:r>
      <w:r>
        <w:rPr>
          <w:rFonts w:ascii="Arial" w:cs="Arial" w:eastAsia="Arial" w:hAnsi="Arial"/>
          <w:sz w:val="18"/>
          <w:szCs w:val="18"/>
          <w:b w:val="1"/>
          <w:bCs w:val="1"/>
          <w:color w:val="auto"/>
        </w:rPr>
        <w:t xml:space="preserve"> </w:t>
      </w:r>
      <w:r>
        <w:rPr>
          <w:rFonts w:ascii="Arial" w:cs="Arial" w:eastAsia="Arial" w:hAnsi="Arial"/>
          <w:sz w:val="18"/>
          <w:szCs w:val="18"/>
          <w:color w:val="auto"/>
        </w:rPr>
        <w:t>will duly and punctually pay the principal of and any premium and interest on the Securities of that series in accordance with the terms of the Securities and this Indenture.</w:t>
      </w:r>
    </w:p>
    <w:p>
      <w:pPr>
        <w:spacing w:after="0" w:line="176"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b w:val="1"/>
          <w:bCs w:val="1"/>
          <w:color w:val="auto"/>
        </w:rPr>
        <w:t>Section 10.2 Maintenance of Office or Agency</w:t>
      </w:r>
      <w:r>
        <w:rPr>
          <w:rFonts w:ascii="Arial" w:cs="Arial" w:eastAsia="Arial" w:hAnsi="Arial"/>
          <w:sz w:val="17"/>
          <w:szCs w:val="17"/>
          <w:color w:val="auto"/>
        </w:rPr>
        <w:t>. The Company will maintain in each Place of Payment for any series of Securities an office or</w:t>
      </w:r>
      <w:r>
        <w:rPr>
          <w:rFonts w:ascii="Arial" w:cs="Arial" w:eastAsia="Arial" w:hAnsi="Arial"/>
          <w:sz w:val="17"/>
          <w:szCs w:val="17"/>
          <w:b w:val="1"/>
          <w:bCs w:val="1"/>
          <w:color w:val="auto"/>
        </w:rPr>
        <w:t xml:space="preserve"> </w:t>
      </w:r>
      <w:r>
        <w:rPr>
          <w:rFonts w:ascii="Arial" w:cs="Arial" w:eastAsia="Arial" w:hAnsi="Arial"/>
          <w:sz w:val="17"/>
          <w:szCs w:val="17"/>
          <w:color w:val="auto"/>
        </w:rPr>
        <w:t>agency where Securities of that series may be presented or surrendered for payment, where Securities of that series may be surrendered for registration of transfer or exchange, where Securities of that series may be surrendered for conversion to the extent that such right to convert is applicable to such Security and where notices and demands to or upon the Company in respect of the Securities of that series and this Indenture may be served.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of the Trustee, and the Company hereby appoints the Trustee as its agent to receive all such presentations, surrenders, notices and demands. Unless otherwise provided in a supplemental indenture or pursuant to Section 3.1 hereof, the Place of Payment for any series of Securities shall be the Corporate Trust Office of the Trustee.</w:t>
      </w:r>
    </w:p>
    <w:p>
      <w:pPr>
        <w:spacing w:after="0" w:line="178"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 xml:space="preserve">The Company may also from time to time designate one or more other offices or agencies where the Securities of one or more series may be presented or surrendered for any or all such purposes and may from time to time rescind such designations;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designation or rescission shall in any manner relieve the Company of its obligation to maintain an office or agency in each Place of Payment for Securities of any series for such purposes. The Company will give prompt written notice to the Trustee of any such designation or rescission and of any change in the location of any such other office or agency.</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270" w:right="279" w:bottom="1440" w:gutter="0" w:footer="0" w:header="0"/>
        </w:sectPr>
      </w:pPr>
    </w:p>
    <w:bookmarkStart w:id="91" w:name="page92"/>
    <w:bookmarkEnd w:id="91"/>
    <w:p>
      <w:pPr>
        <w:ind w:firstLine="456"/>
        <w:spacing w:after="0" w:line="303"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10.3 Money for Securities Payments To Be Held in Trust</w:t>
      </w:r>
      <w:r>
        <w:rPr>
          <w:rFonts w:ascii="Arial" w:cs="Arial" w:eastAsia="Arial" w:hAnsi="Arial"/>
          <w:sz w:val="16"/>
          <w:szCs w:val="16"/>
          <w:color w:val="auto"/>
        </w:rPr>
        <w:t>. If the Company shall at any time act as its own Paying Agent with respect to</w:t>
      </w:r>
      <w:r>
        <w:rPr>
          <w:rFonts w:ascii="Arial" w:cs="Arial" w:eastAsia="Arial" w:hAnsi="Arial"/>
          <w:sz w:val="16"/>
          <w:szCs w:val="16"/>
          <w:b w:val="1"/>
          <w:bCs w:val="1"/>
          <w:color w:val="auto"/>
        </w:rPr>
        <w:t xml:space="preserve"> </w:t>
      </w:r>
      <w:r>
        <w:rPr>
          <w:rFonts w:ascii="Arial" w:cs="Arial" w:eastAsia="Arial" w:hAnsi="Arial"/>
          <w:sz w:val="16"/>
          <w:szCs w:val="16"/>
          <w:color w:val="auto"/>
        </w:rPr>
        <w:t>any series of Securities, it will, on or before each due date of the principal of or any premium or interest on any of the Securities of that series, segregate and hold in trust for the benefit of the Persons entitled thereto a sum sufficient to pay the principal and any premium and interest so becoming due until such sums shall be paid to such Persons or otherwise disposed of as herein provided and will promptly notify the Trustee of its action or failure so to act.</w:t>
      </w:r>
    </w:p>
    <w:p>
      <w:pPr>
        <w:spacing w:after="0" w:line="155"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Whenever the Company shall have one or more Paying Agents for any series of Securities, it will, on or prior to each due date of the principal of or any premium or interest on any Securities of that series, deposit with a Paying Agent a sum sufficient to pay such amount, such sum to be held as provided by the Trust Indenture Act, and (unless such Paying Agent is the Trustee) the Company will promptly notify the Trustee of its action or failure so to act.</w:t>
      </w:r>
    </w:p>
    <w:p>
      <w:pPr>
        <w:spacing w:after="0" w:line="14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The Company will cause each Paying Agent for any series of Securities other than the Trustee to execute and deliver to the Trustee an instrument in which such Paying Agent shall agree with the Trustee, subject to the provisions of this Section, that such Paying Agent will (1) comply with the provisions of the Trust Indenture Act applicable to it as a Paying Agent and (2) during the continuance of any default by the Company (or any other obligor upon the Securities of that series) in the making of any payment in respect of the Securities of that series, upon the written request of the Trustee, forthwith pay to the Trustee all sums held in trust by such Paying Agent for payment in respect of the Securities of that series.</w:t>
      </w:r>
    </w:p>
    <w:p>
      <w:pPr>
        <w:spacing w:after="0" w:line="173"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The Company may at any time, for the purpose of obtaining the satisfaction and discharge of this Indenture or for any other purpose, pay, or by Company Order direct any Paying Agent to pay, to the Trustee all sums held in trust by the Company or such Paying Agent, such sums to be held by the Trustee upon the same trusts as those upon which such sums were held by the Company or such Paying Agent; and, upon such payment by any Paying Agent to the Trustee, such Paying Agent shall be released from all further liability with respect to such money.</w:t>
      </w:r>
    </w:p>
    <w:p>
      <w:pPr>
        <w:spacing w:after="0" w:line="17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Any amounts deposited with the Trustee or any Paying Agent, or then held by the Company, in trust for the payment of the principal of or any premium or interest on any Security of any series and remaining unclaimed for a period ending on the earlier of the date that is ten Business Days prior to the date such money would escheat to the State or two years after such principal, premium or interest has become due and payable shall be paid to the Company on Company Request, or (if then held by the Company) shall be discharged from such trust; and the Holder of such Security shall thereafter, as an unsecured general creditor, look only to the Company for payment thereof, and all liability of the Trustee or such Paying Agent with respect to such trust money, and all liability of the Company as trustee thereof, shall thereupon cease;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Trustee or such Paying Agent, before being required to make any such repayment, may at the expense of the Company cause to be published once, in a newspaper published in the English language, customarily published on each Business Day and of general circulation in each Place of Payment, notice that such money remains unclaimed and that, after a date specified therein, which shall not be less than 30 days from the date of such publication, any unclaimed balance of such money then remaining will be repaid to the Company.</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270" w:right="279" w:bottom="1440" w:gutter="0" w:footer="0" w:header="0"/>
        </w:sectPr>
      </w:pPr>
    </w:p>
    <w:bookmarkStart w:id="92" w:name="page93"/>
    <w:bookmarkEnd w:id="92"/>
    <w:p>
      <w:pPr>
        <w:ind w:right="140" w:firstLine="456"/>
        <w:spacing w:after="0" w:line="25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10.4 Statement by Officers as to Default</w:t>
      </w:r>
      <w:r>
        <w:rPr>
          <w:rFonts w:ascii="Arial" w:cs="Arial" w:eastAsia="Arial" w:hAnsi="Arial"/>
          <w:sz w:val="18"/>
          <w:szCs w:val="18"/>
          <w:color w:val="auto"/>
        </w:rPr>
        <w:t>. The Company will deliver to the Trustee, within 120 days after the end of each fiscal year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ending after the date hereof, an Officers’ Certificate, stating whether or not to the best knowledge of the signers thereof the Company is in default in the performance and observance of any of the terms, provisions and conditions of this Indenture (without regard to any period of grace or requirement of notice provided hereunder) and, if the Company shall be in default, specifying all such defaults and the nature and status thereof of which they may have knowledge. The fiscal year of the Company currently ends on December 31; and the Company will give the Trustee prompt written notice of any change of its fiscal year.</w:t>
      </w:r>
    </w:p>
    <w:p>
      <w:pPr>
        <w:spacing w:after="0" w:line="188" w:lineRule="exact"/>
        <w:rPr>
          <w:sz w:val="20"/>
          <w:szCs w:val="20"/>
          <w:color w:val="auto"/>
        </w:rPr>
      </w:pPr>
    </w:p>
    <w:p>
      <w:pPr>
        <w:ind w:right="400" w:firstLine="456"/>
        <w:spacing w:after="0" w:line="282" w:lineRule="auto"/>
        <w:rPr>
          <w:sz w:val="20"/>
          <w:szCs w:val="20"/>
          <w:color w:val="auto"/>
        </w:rPr>
      </w:pPr>
      <w:r>
        <w:rPr>
          <w:rFonts w:ascii="Arial" w:cs="Arial" w:eastAsia="Arial" w:hAnsi="Arial"/>
          <w:sz w:val="18"/>
          <w:szCs w:val="18"/>
          <w:b w:val="1"/>
          <w:bCs w:val="1"/>
          <w:color w:val="auto"/>
        </w:rPr>
        <w:t>Section 10.5 Existence</w:t>
      </w:r>
      <w:r>
        <w:rPr>
          <w:rFonts w:ascii="Arial" w:cs="Arial" w:eastAsia="Arial" w:hAnsi="Arial"/>
          <w:sz w:val="18"/>
          <w:szCs w:val="18"/>
          <w:color w:val="auto"/>
        </w:rPr>
        <w:t>. Subject to Article 8, the Company will do or cause to be done all things necessary to preserve and keep in full force and</w:t>
      </w:r>
      <w:r>
        <w:rPr>
          <w:rFonts w:ascii="Arial" w:cs="Arial" w:eastAsia="Arial" w:hAnsi="Arial"/>
          <w:sz w:val="18"/>
          <w:szCs w:val="18"/>
          <w:b w:val="1"/>
          <w:bCs w:val="1"/>
          <w:color w:val="auto"/>
        </w:rPr>
        <w:t xml:space="preserve"> </w:t>
      </w:r>
      <w:r>
        <w:rPr>
          <w:rFonts w:ascii="Arial" w:cs="Arial" w:eastAsia="Arial" w:hAnsi="Arial"/>
          <w:sz w:val="18"/>
          <w:szCs w:val="18"/>
          <w:color w:val="auto"/>
        </w:rPr>
        <w:t>effect its existence.</w:t>
      </w:r>
    </w:p>
    <w:p>
      <w:pPr>
        <w:spacing w:after="0" w:line="16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color w:val="auto"/>
        </w:rPr>
        <w:t>Section 10.6 Waiver of Certain Covenants</w:t>
      </w:r>
      <w:r>
        <w:rPr>
          <w:rFonts w:ascii="Arial" w:cs="Arial" w:eastAsia="Arial" w:hAnsi="Arial"/>
          <w:sz w:val="18"/>
          <w:szCs w:val="18"/>
          <w:color w:val="auto"/>
        </w:rPr>
        <w:t>. Except as otherwise specified as contemplated by Section 3.1 for Securities of such series,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may, with respect to the Securities of any series, omit in any particular instance to comply with any term, provision or condition set forth in any covenant provided pursuant to Section 3.1(19) or 9.1(2), for the benefit of the Holders of such series if before the time for such compliance the Holders of at least a majority in principal amount of the Outstanding Securities of such series shall, by Act of such Holders, either waive such compliance in such instance or generally waive compliance with such term, provision or condition, but no such waiver shall extend to or affect such term, provision or condition except to the extent so expressly waived, and, until such waiver shall become effective, the obligations of the Company and the duties of the Trustee in respect of any such term, provision or condition shall remain in full force and effect.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REDEMPTION OF SECURITIES</w:t>
      </w:r>
    </w:p>
    <w:p>
      <w:pPr>
        <w:spacing w:after="0" w:line="225" w:lineRule="exact"/>
        <w:rPr>
          <w:sz w:val="20"/>
          <w:szCs w:val="20"/>
          <w:color w:val="auto"/>
        </w:rPr>
      </w:pPr>
    </w:p>
    <w:p>
      <w:pPr>
        <w:ind w:right="320" w:firstLine="456"/>
        <w:spacing w:after="0" w:line="313" w:lineRule="auto"/>
        <w:rPr>
          <w:sz w:val="20"/>
          <w:szCs w:val="20"/>
          <w:color w:val="auto"/>
        </w:rPr>
      </w:pPr>
      <w:r>
        <w:rPr>
          <w:rFonts w:ascii="Arial" w:cs="Arial" w:eastAsia="Arial" w:hAnsi="Arial"/>
          <w:sz w:val="17"/>
          <w:szCs w:val="17"/>
          <w:b w:val="1"/>
          <w:bCs w:val="1"/>
          <w:color w:val="auto"/>
        </w:rPr>
        <w:t>Section 11.1 Applicability of Article</w:t>
      </w:r>
      <w:r>
        <w:rPr>
          <w:rFonts w:ascii="Arial" w:cs="Arial" w:eastAsia="Arial" w:hAnsi="Arial"/>
          <w:sz w:val="17"/>
          <w:szCs w:val="17"/>
          <w:color w:val="auto"/>
        </w:rPr>
        <w:t>. Securities of any series that are redeemable before their Stated Maturity shall be redeemable in accordance</w:t>
      </w:r>
      <w:r>
        <w:rPr>
          <w:rFonts w:ascii="Arial" w:cs="Arial" w:eastAsia="Arial" w:hAnsi="Arial"/>
          <w:sz w:val="17"/>
          <w:szCs w:val="17"/>
          <w:b w:val="1"/>
          <w:bCs w:val="1"/>
          <w:color w:val="auto"/>
        </w:rPr>
        <w:t xml:space="preserve"> </w:t>
      </w:r>
      <w:r>
        <w:rPr>
          <w:rFonts w:ascii="Arial" w:cs="Arial" w:eastAsia="Arial" w:hAnsi="Arial"/>
          <w:sz w:val="17"/>
          <w:szCs w:val="17"/>
          <w:color w:val="auto"/>
        </w:rPr>
        <w:t>with their terms and (except as otherwise specified as contemplated by Section 3.1 for such Securities) in accordance with this Article.</w:t>
      </w:r>
    </w:p>
    <w:p>
      <w:pPr>
        <w:spacing w:after="0" w:line="138" w:lineRule="exact"/>
        <w:rPr>
          <w:sz w:val="20"/>
          <w:szCs w:val="20"/>
          <w:color w:val="auto"/>
        </w:rPr>
      </w:pPr>
    </w:p>
    <w:p>
      <w:pPr>
        <w:ind w:right="120" w:firstLine="456"/>
        <w:spacing w:after="0" w:line="295" w:lineRule="auto"/>
        <w:rPr>
          <w:sz w:val="20"/>
          <w:szCs w:val="20"/>
          <w:color w:val="auto"/>
        </w:rPr>
      </w:pPr>
      <w:r>
        <w:rPr>
          <w:rFonts w:ascii="Arial" w:cs="Arial" w:eastAsia="Arial" w:hAnsi="Arial"/>
          <w:sz w:val="16"/>
          <w:szCs w:val="16"/>
          <w:b w:val="1"/>
          <w:bCs w:val="1"/>
          <w:color w:val="auto"/>
        </w:rPr>
        <w:t>Section 11.2 Election to Redeem; Notice to Trustee</w:t>
      </w:r>
      <w:r>
        <w:rPr>
          <w:rFonts w:ascii="Arial" w:cs="Arial" w:eastAsia="Arial" w:hAnsi="Arial"/>
          <w:sz w:val="16"/>
          <w:szCs w:val="16"/>
          <w:color w:val="auto"/>
        </w:rPr>
        <w:t>. The election of the Company to redeem any Securities shall be evidenced by a Board</w:t>
      </w:r>
      <w:r>
        <w:rPr>
          <w:rFonts w:ascii="Arial" w:cs="Arial" w:eastAsia="Arial" w:hAnsi="Arial"/>
          <w:sz w:val="16"/>
          <w:szCs w:val="16"/>
          <w:b w:val="1"/>
          <w:bCs w:val="1"/>
          <w:color w:val="auto"/>
        </w:rPr>
        <w:t xml:space="preserve"> </w:t>
      </w:r>
      <w:r>
        <w:rPr>
          <w:rFonts w:ascii="Arial" w:cs="Arial" w:eastAsia="Arial" w:hAnsi="Arial"/>
          <w:sz w:val="16"/>
          <w:szCs w:val="16"/>
          <w:color w:val="auto"/>
        </w:rPr>
        <w:t>Resolution or in another manner specified as contemplated by Section 3.1 for such Securities. In case of any redemption at the election of the Company of less than all the Securities of any series (including any such redemption affecting only a single Security), the Company shall, at least 45 days prior to the Redemption Date fixed by the Company (unless a shorter notice shall be satisfactory to the Trustee or is specified in the Board Resolution (or in an Officers’ Certificate pursuant to such Board Resolution detailing such establishment) or supplemental indenture establishing such series), notify the Trustee of such Redemption Date, of the principal amount of Securities of such series to be redeemed and, if applicable, of the tenor of the Securities to be redeemed.</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70" w:right="239" w:bottom="1440" w:gutter="0" w:footer="0" w:header="0"/>
        </w:sectPr>
      </w:pPr>
    </w:p>
    <w:bookmarkStart w:id="93" w:name="page94"/>
    <w:bookmarkEnd w:id="93"/>
    <w:p>
      <w:pPr>
        <w:ind w:right="20" w:firstLine="456"/>
        <w:spacing w:after="0" w:line="272"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11.3 Selection by Trustee of Securities to Be Redeemed</w:t>
      </w:r>
      <w:r>
        <w:rPr>
          <w:rFonts w:ascii="Arial" w:cs="Arial" w:eastAsia="Arial" w:hAnsi="Arial"/>
          <w:sz w:val="17"/>
          <w:szCs w:val="17"/>
          <w:color w:val="auto"/>
        </w:rPr>
        <w:t>. If less than all the Securities of any series are to be redeemed (unless all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Securities of such series and of a specified tenor are to be redeemed or unless such redemption affects only a single Security), the particular Securities to be redeemed shall be selected not more than 45 days prior to the Redemption Date by the Trustee, from the Outstanding Securities of such series not previously called for redemption, by lot, or in the Trustee’s discretion, on a pro-rata basis,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unredeemed portion of the principal amount of any Security shall be in an authorized denomination (which shall not be less than the minimum authorized denomination) for such Security. If less than all the Securities of such series and of a specified tenor are to be redeemed (unless such redemption affects only a single Security), the particular Securities to be redeemed shall be selected not more than 45 days prior to the Redemption Date by the Trustee, from the Outstanding Securities of such series and specified tenor not previously called for redemption in accordance with the preceding sentence.</w:t>
      </w:r>
    </w:p>
    <w:p>
      <w:pPr>
        <w:spacing w:after="0" w:line="176"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If any Security selected for partial redemption is converted in part before termination of the conversion right with respect to the portion of the Security so selected, the converted portion of such Security shall be deemed (so far as may be) to be the portion selected for redemption. Securities that have been converted during a selection of Securities to be redeemed shall be treated by the Trustee as Outstanding for the purpose of such selection.</w:t>
      </w:r>
    </w:p>
    <w:p>
      <w:pPr>
        <w:spacing w:after="0" w:line="14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Trustee shall promptly notify the Company in writing of the Securities selected for redemption as aforesaid and, in case of any Securities selected for partial redemption as aforesaid, the principal amount thereof to be redeemed.</w:t>
      </w:r>
    </w:p>
    <w:p>
      <w:pPr>
        <w:spacing w:after="0" w:line="170"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The provisions of the three preceding paragraphs shall not apply with respect to any redemption affecting only a single Security, whether such Security is to be redeemed in whole or in part. In the case of any such redemption in part, the unredeemed portion of the principal amount of the Security shall be in an authorized denomination (which shall not be less than the minimum authorized denomination) for such Security.</w:t>
      </w:r>
    </w:p>
    <w:p>
      <w:pPr>
        <w:spacing w:after="0" w:line="181" w:lineRule="exact"/>
        <w:rPr>
          <w:sz w:val="20"/>
          <w:szCs w:val="20"/>
          <w:color w:val="auto"/>
        </w:rPr>
      </w:pPr>
    </w:p>
    <w:p>
      <w:pPr>
        <w:jc w:val="both"/>
        <w:ind w:firstLine="456"/>
        <w:spacing w:after="0" w:line="342" w:lineRule="auto"/>
        <w:rPr>
          <w:sz w:val="20"/>
          <w:szCs w:val="20"/>
          <w:color w:val="auto"/>
        </w:rPr>
      </w:pPr>
      <w:r>
        <w:rPr>
          <w:rFonts w:ascii="Arial" w:cs="Arial" w:eastAsia="Arial" w:hAnsi="Arial"/>
          <w:sz w:val="16"/>
          <w:szCs w:val="16"/>
          <w:color w:val="auto"/>
        </w:rPr>
        <w:t>For all purposes of this Indenture, unless the context otherwise requires, all provisions relating to the redemption of Securities shall relate, in the case of any Securities redeemed or to be redeemed only in part, to the portion of the principal amount of such Securities which has been or is to be redeemed.</w:t>
      </w:r>
    </w:p>
    <w:p>
      <w:pPr>
        <w:spacing w:after="0" w:line="120" w:lineRule="exact"/>
        <w:rPr>
          <w:sz w:val="20"/>
          <w:szCs w:val="20"/>
          <w:color w:val="auto"/>
        </w:rPr>
      </w:pPr>
    </w:p>
    <w:p>
      <w:pPr>
        <w:ind w:right="160" w:firstLine="456"/>
        <w:spacing w:after="0" w:line="289" w:lineRule="auto"/>
        <w:rPr>
          <w:sz w:val="20"/>
          <w:szCs w:val="20"/>
          <w:color w:val="auto"/>
        </w:rPr>
      </w:pPr>
      <w:r>
        <w:rPr>
          <w:rFonts w:ascii="Arial" w:cs="Arial" w:eastAsia="Arial" w:hAnsi="Arial"/>
          <w:sz w:val="17"/>
          <w:szCs w:val="17"/>
          <w:b w:val="1"/>
          <w:bCs w:val="1"/>
          <w:color w:val="auto"/>
        </w:rPr>
        <w:t>Section 11.4 Notice of Redemption</w:t>
      </w:r>
      <w:r>
        <w:rPr>
          <w:rFonts w:ascii="Arial" w:cs="Arial" w:eastAsia="Arial" w:hAnsi="Arial"/>
          <w:sz w:val="17"/>
          <w:szCs w:val="17"/>
          <w:color w:val="auto"/>
        </w:rPr>
        <w:t>. Notice of redemption shall be given in the manner provided in Section 1.6 not fewer than 30 nor more than 60</w:t>
      </w:r>
      <w:r>
        <w:rPr>
          <w:rFonts w:ascii="Arial" w:cs="Arial" w:eastAsia="Arial" w:hAnsi="Arial"/>
          <w:sz w:val="17"/>
          <w:szCs w:val="17"/>
          <w:b w:val="1"/>
          <w:bCs w:val="1"/>
          <w:color w:val="auto"/>
        </w:rPr>
        <w:t xml:space="preserve"> </w:t>
      </w:r>
      <w:r>
        <w:rPr>
          <w:rFonts w:ascii="Arial" w:cs="Arial" w:eastAsia="Arial" w:hAnsi="Arial"/>
          <w:sz w:val="17"/>
          <w:szCs w:val="17"/>
          <w:color w:val="auto"/>
        </w:rPr>
        <w:t>days prior to the Redemption Date, unless a shorter period is specified in the Securities to be redeemed, to each Holder of Securities to be redeemed, at its address appearing in the Security Register or, if the Securities are held in book-entry form, sent by electronic transmission.</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notices of redemption shall state:</w:t>
      </w:r>
    </w:p>
    <w:p>
      <w:pPr>
        <w:spacing w:after="0" w:line="225" w:lineRule="exact"/>
        <w:rPr>
          <w:sz w:val="20"/>
          <w:szCs w:val="20"/>
          <w:color w:val="auto"/>
        </w:rPr>
      </w:pPr>
    </w:p>
    <w:p>
      <w:pPr>
        <w:ind w:left="1320" w:hanging="399"/>
        <w:spacing w:after="0"/>
        <w:tabs>
          <w:tab w:leader="none" w:pos="13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225" w:lineRule="exact"/>
        <w:rPr>
          <w:rFonts w:ascii="Arial" w:cs="Arial" w:eastAsia="Arial" w:hAnsi="Arial"/>
          <w:sz w:val="18"/>
          <w:szCs w:val="18"/>
          <w:color w:val="auto"/>
        </w:rPr>
      </w:pPr>
    </w:p>
    <w:p>
      <w:pPr>
        <w:ind w:left="1320" w:hanging="399"/>
        <w:spacing w:after="0"/>
        <w:tabs>
          <w:tab w:leader="none" w:pos="13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Redemption Price (including accrued interest, if any),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270" w:right="259" w:bottom="1440" w:gutter="0" w:footer="0" w:header="0"/>
        </w:sectPr>
      </w:pPr>
    </w:p>
    <w:bookmarkStart w:id="94" w:name="page95"/>
    <w:bookmarkEnd w:id="94"/>
    <w:p>
      <w:pPr>
        <w:jc w:val="both"/>
        <w:ind w:right="40" w:firstLine="921"/>
        <w:spacing w:after="0" w:line="286" w:lineRule="auto"/>
        <w:tabs>
          <w:tab w:leader="none" w:pos="1303" w:val="left"/>
        </w:tabs>
        <w:numPr>
          <w:ilvl w:val="0"/>
          <w:numId w:val="8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less than all the Outstanding Securities of any series consisting of more than a single Security are to be redeemed, the identification (and, in the case of partial redemption of any such Securities, the principal amounts) of the particular Securities to be redeemed and, if less than all the Outstanding Securities of any series consisting of a single Security are to be redeemed, the principal amount of the particular Security to be redeemed,</w:t>
      </w:r>
    </w:p>
    <w:p>
      <w:pPr>
        <w:spacing w:after="0" w:line="165" w:lineRule="exact"/>
        <w:rPr>
          <w:rFonts w:ascii="Arial" w:cs="Arial" w:eastAsia="Arial" w:hAnsi="Arial"/>
          <w:sz w:val="17"/>
          <w:szCs w:val="17"/>
          <w:color w:val="auto"/>
        </w:rPr>
      </w:pPr>
    </w:p>
    <w:p>
      <w:pPr>
        <w:ind w:right="60" w:firstLine="921"/>
        <w:spacing w:after="0" w:line="342" w:lineRule="auto"/>
        <w:tabs>
          <w:tab w:leader="none" w:pos="1303" w:val="left"/>
        </w:tabs>
        <w:numPr>
          <w:ilvl w:val="0"/>
          <w:numId w:val="87"/>
        </w:numPr>
        <w:rPr>
          <w:rFonts w:ascii="Arial" w:cs="Arial" w:eastAsia="Arial" w:hAnsi="Arial"/>
          <w:sz w:val="16"/>
          <w:szCs w:val="16"/>
          <w:color w:val="auto"/>
        </w:rPr>
      </w:pPr>
      <w:r>
        <w:rPr>
          <w:rFonts w:ascii="Arial" w:cs="Arial" w:eastAsia="Arial" w:hAnsi="Arial"/>
          <w:sz w:val="16"/>
          <w:szCs w:val="16"/>
          <w:color w:val="auto"/>
        </w:rPr>
        <w:t>in case any Security is to be redeemed in part only, that on and after the Redemption Date, upon surrender of the Security, the Holder of such Security will receive, without charge, a new Security or Securities of authorized denominations for the principal amount thereof remaining unredeemed;</w:t>
      </w:r>
    </w:p>
    <w:p>
      <w:pPr>
        <w:spacing w:after="0" w:line="123" w:lineRule="exact"/>
        <w:rPr>
          <w:rFonts w:ascii="Arial" w:cs="Arial" w:eastAsia="Arial" w:hAnsi="Arial"/>
          <w:sz w:val="16"/>
          <w:szCs w:val="16"/>
          <w:color w:val="auto"/>
        </w:rPr>
      </w:pPr>
    </w:p>
    <w:p>
      <w:pPr>
        <w:ind w:firstLine="921"/>
        <w:spacing w:after="0" w:line="277" w:lineRule="auto"/>
        <w:tabs>
          <w:tab w:leader="none" w:pos="1303"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that on the Redemption Date the Redemption Price will become due and payable upon each such Security to be redeemed and, if applicable, that interest thereon will cease to accrue on and after said date,</w:t>
      </w:r>
    </w:p>
    <w:p>
      <w:pPr>
        <w:spacing w:after="0" w:line="170" w:lineRule="exact"/>
        <w:rPr>
          <w:rFonts w:ascii="Arial" w:cs="Arial" w:eastAsia="Arial" w:hAnsi="Arial"/>
          <w:sz w:val="18"/>
          <w:szCs w:val="18"/>
          <w:color w:val="auto"/>
        </w:rPr>
      </w:pPr>
    </w:p>
    <w:p>
      <w:pPr>
        <w:ind w:left="1320" w:hanging="399"/>
        <w:spacing w:after="0"/>
        <w:tabs>
          <w:tab w:leader="none" w:pos="13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place or places where each such Security is to be surrendered for payment of the Redemption Price,</w:t>
      </w:r>
    </w:p>
    <w:p>
      <w:pPr>
        <w:spacing w:after="0" w:line="225" w:lineRule="exact"/>
        <w:rPr>
          <w:rFonts w:ascii="Arial" w:cs="Arial" w:eastAsia="Arial" w:hAnsi="Arial"/>
          <w:sz w:val="18"/>
          <w:szCs w:val="18"/>
          <w:color w:val="auto"/>
        </w:rPr>
      </w:pPr>
    </w:p>
    <w:p>
      <w:pPr>
        <w:ind w:right="420" w:firstLine="921"/>
        <w:spacing w:after="0" w:line="342" w:lineRule="auto"/>
        <w:tabs>
          <w:tab w:leader="none" w:pos="1303" w:val="left"/>
        </w:tabs>
        <w:numPr>
          <w:ilvl w:val="0"/>
          <w:numId w:val="87"/>
        </w:numPr>
        <w:rPr>
          <w:rFonts w:ascii="Arial" w:cs="Arial" w:eastAsia="Arial" w:hAnsi="Arial"/>
          <w:sz w:val="16"/>
          <w:szCs w:val="16"/>
          <w:color w:val="auto"/>
        </w:rPr>
      </w:pPr>
      <w:r>
        <w:rPr>
          <w:rFonts w:ascii="Arial" w:cs="Arial" w:eastAsia="Arial" w:hAnsi="Arial"/>
          <w:sz w:val="16"/>
          <w:szCs w:val="16"/>
          <w:color w:val="auto"/>
        </w:rPr>
        <w:t>if applicable, the conversion price or the conversion rate, as the case may be, the date on which the right to convert the principal of the Securities or the portions thereof to be redeemed will terminate, and the place or places where such Securities may be surrendered for conversion,</w:t>
      </w:r>
    </w:p>
    <w:p>
      <w:pPr>
        <w:spacing w:after="0" w:line="123" w:lineRule="exact"/>
        <w:rPr>
          <w:rFonts w:ascii="Arial" w:cs="Arial" w:eastAsia="Arial" w:hAnsi="Arial"/>
          <w:sz w:val="16"/>
          <w:szCs w:val="16"/>
          <w:color w:val="auto"/>
        </w:rPr>
      </w:pPr>
    </w:p>
    <w:p>
      <w:pPr>
        <w:ind w:left="1320" w:hanging="399"/>
        <w:spacing w:after="0"/>
        <w:tabs>
          <w:tab w:leader="none" w:pos="13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that the redemption is for a sinking fund, if such is the case, and</w:t>
      </w:r>
    </w:p>
    <w:p>
      <w:pPr>
        <w:spacing w:after="0" w:line="225" w:lineRule="exact"/>
        <w:rPr>
          <w:rFonts w:ascii="Arial" w:cs="Arial" w:eastAsia="Arial" w:hAnsi="Arial"/>
          <w:sz w:val="18"/>
          <w:szCs w:val="18"/>
          <w:color w:val="auto"/>
        </w:rPr>
      </w:pPr>
    </w:p>
    <w:p>
      <w:pPr>
        <w:ind w:left="1320" w:hanging="399"/>
        <w:spacing w:after="0"/>
        <w:tabs>
          <w:tab w:leader="none" w:pos="13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CUSIP number or numbers and/or common code(s) of the Security being redeemed.</w:t>
      </w:r>
    </w:p>
    <w:p>
      <w:pPr>
        <w:spacing w:after="0" w:line="225"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Notice of redemption of Securities to be redeemed at the election of the Company shall be given by the Company or, at the Company’s request, by the Trustee in the name and at the expense of the Company and shall be irrevocable.</w:t>
      </w:r>
    </w:p>
    <w:p>
      <w:pPr>
        <w:spacing w:after="0" w:line="166" w:lineRule="exact"/>
        <w:rPr>
          <w:sz w:val="20"/>
          <w:szCs w:val="20"/>
          <w:color w:val="auto"/>
        </w:rPr>
      </w:pPr>
    </w:p>
    <w:p>
      <w:pPr>
        <w:ind w:right="20" w:firstLine="456"/>
        <w:spacing w:after="0" w:line="261" w:lineRule="auto"/>
        <w:rPr>
          <w:sz w:val="20"/>
          <w:szCs w:val="20"/>
          <w:color w:val="auto"/>
        </w:rPr>
      </w:pPr>
      <w:r>
        <w:rPr>
          <w:rFonts w:ascii="Arial" w:cs="Arial" w:eastAsia="Arial" w:hAnsi="Arial"/>
          <w:sz w:val="18"/>
          <w:szCs w:val="18"/>
          <w:b w:val="1"/>
          <w:bCs w:val="1"/>
          <w:color w:val="auto"/>
        </w:rPr>
        <w:t>Section 11.5 Deposit of Redemption Price</w:t>
      </w:r>
      <w:r>
        <w:rPr>
          <w:rFonts w:ascii="Arial" w:cs="Arial" w:eastAsia="Arial" w:hAnsi="Arial"/>
          <w:sz w:val="18"/>
          <w:szCs w:val="18"/>
          <w:color w:val="auto"/>
        </w:rPr>
        <w:t>. On or prior to any Redemption Date, the Company shall deposit with the Trustee or with a Paying Agent</w:t>
      </w:r>
      <w:r>
        <w:rPr>
          <w:rFonts w:ascii="Arial" w:cs="Arial" w:eastAsia="Arial" w:hAnsi="Arial"/>
          <w:sz w:val="18"/>
          <w:szCs w:val="18"/>
          <w:b w:val="1"/>
          <w:bCs w:val="1"/>
          <w:color w:val="auto"/>
        </w:rPr>
        <w:t xml:space="preserve"> </w:t>
      </w:r>
      <w:r>
        <w:rPr>
          <w:rFonts w:ascii="Arial" w:cs="Arial" w:eastAsia="Arial" w:hAnsi="Arial"/>
          <w:sz w:val="18"/>
          <w:szCs w:val="18"/>
          <w:color w:val="auto"/>
        </w:rPr>
        <w:t>(or, if the Company is acting as its own Paying Agent, segregate and hold in trust as provided in Section 10.3) an amount of money sufficient to pay the Redemption Price of, and (except if the Redemption Date shall be an Interest Payment Date) accrued interest, if any, on, all the Securities which are to be redeemed on that date.</w:t>
      </w:r>
    </w:p>
    <w:p>
      <w:pPr>
        <w:spacing w:after="0" w:line="184"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To the extent such Security of a series is convertible pursuant to Article 14, upon conversion of any such Security called for redemption, any money deposited with the Trustee or with a Paying Agent or so segregated and held in trust for the redemption of such Security shall (subject to the right of any Holder of such Security to receive interest as provided in the last paragraph of Section 3.7) be paid to the Company on Company Request, or if then held by the Company, shall be discharged from such trust.</w:t>
      </w:r>
    </w:p>
    <w:p>
      <w:pPr>
        <w:spacing w:after="0" w:line="183" w:lineRule="exact"/>
        <w:rPr>
          <w:sz w:val="20"/>
          <w:szCs w:val="20"/>
          <w:color w:val="auto"/>
        </w:rPr>
      </w:pPr>
    </w:p>
    <w:p>
      <w:pPr>
        <w:ind w:right="80" w:firstLine="456"/>
        <w:spacing w:after="0" w:line="282" w:lineRule="auto"/>
        <w:rPr>
          <w:sz w:val="20"/>
          <w:szCs w:val="20"/>
          <w:color w:val="auto"/>
        </w:rPr>
      </w:pPr>
      <w:r>
        <w:rPr>
          <w:rFonts w:ascii="Arial" w:cs="Arial" w:eastAsia="Arial" w:hAnsi="Arial"/>
          <w:sz w:val="18"/>
          <w:szCs w:val="18"/>
          <w:b w:val="1"/>
          <w:bCs w:val="1"/>
          <w:color w:val="auto"/>
        </w:rPr>
        <w:t>Section 11.6 Securities Payable on Redemption Date</w:t>
      </w:r>
      <w:r>
        <w:rPr>
          <w:rFonts w:ascii="Arial" w:cs="Arial" w:eastAsia="Arial" w:hAnsi="Arial"/>
          <w:sz w:val="18"/>
          <w:szCs w:val="18"/>
          <w:color w:val="auto"/>
        </w:rPr>
        <w:t>. Notice of redemption having been given as aforesaid, the Securities so to be redeemed shall,</w:t>
      </w:r>
      <w:r>
        <w:rPr>
          <w:rFonts w:ascii="Arial" w:cs="Arial" w:eastAsia="Arial" w:hAnsi="Arial"/>
          <w:sz w:val="18"/>
          <w:szCs w:val="18"/>
          <w:b w:val="1"/>
          <w:bCs w:val="1"/>
          <w:color w:val="auto"/>
        </w:rPr>
        <w:t xml:space="preserve"> </w:t>
      </w:r>
      <w:r>
        <w:rPr>
          <w:rFonts w:ascii="Arial" w:cs="Arial" w:eastAsia="Arial" w:hAnsi="Arial"/>
          <w:sz w:val="18"/>
          <w:szCs w:val="18"/>
          <w:color w:val="auto"/>
        </w:rPr>
        <w:t>on the Redemption Date, become due and</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274" w:right="259" w:bottom="1440" w:gutter="0" w:footer="0" w:header="0"/>
        </w:sectPr>
      </w:pPr>
    </w:p>
    <w:bookmarkStart w:id="95" w:name="page96"/>
    <w:bookmarkEnd w:id="95"/>
    <w:p>
      <w:pPr>
        <w:ind w:right="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payable at the Redemption Price therein specified, and from and after such date (unless the Company shall default in the payment of the Redemption Price and accrued interest, if any) such Securities shall cease to bear interest. Upon surrender of any such Security for redemption in accordance with said notice, such Security shall be paid by the Company at the Redemption Price, together with accrued interest, if any, to the Redemption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unless otherwise specified as contemplated by Section 3.1, installments of interest whose Stated Maturity is on or prior to the Redemption Date will be payable to the Holders of such Securities, or one or more Predecessor Securities, registered as such at the close of business on the relevant Record Dates according to their terms and the provisions of Section 3.7.</w:t>
      </w:r>
    </w:p>
    <w:p>
      <w:pPr>
        <w:spacing w:after="0" w:line="178"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If any Security called for redemption shall not be so paid upon surrender thereof for redemption, the principal and any premium shall, until paid, bear interest from the Redemption Date at the rate prescribed therefor in the Security.</w:t>
      </w:r>
    </w:p>
    <w:p>
      <w:pPr>
        <w:spacing w:after="0" w:line="16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b w:val="1"/>
          <w:bCs w:val="1"/>
          <w:color w:val="auto"/>
        </w:rPr>
        <w:t>Section 11.7 Securities Redeemed in Part</w:t>
      </w:r>
      <w:r>
        <w:rPr>
          <w:rFonts w:ascii="Arial" w:cs="Arial" w:eastAsia="Arial" w:hAnsi="Arial"/>
          <w:sz w:val="16"/>
          <w:szCs w:val="16"/>
          <w:color w:val="auto"/>
        </w:rPr>
        <w:t>. Any Security which is to be redeemed only in part shall be surrendered at a Place of Payment therefor</w:t>
      </w:r>
      <w:r>
        <w:rPr>
          <w:rFonts w:ascii="Arial" w:cs="Arial" w:eastAsia="Arial" w:hAnsi="Arial"/>
          <w:sz w:val="16"/>
          <w:szCs w:val="16"/>
          <w:b w:val="1"/>
          <w:bCs w:val="1"/>
          <w:color w:val="auto"/>
        </w:rPr>
        <w:t xml:space="preserve"> </w:t>
      </w:r>
      <w:r>
        <w:rPr>
          <w:rFonts w:ascii="Arial" w:cs="Arial" w:eastAsia="Arial" w:hAnsi="Arial"/>
          <w:sz w:val="16"/>
          <w:szCs w:val="16"/>
          <w:color w:val="auto"/>
        </w:rPr>
        <w:t>(with, if the Company or the Trustee so requires, due endorsement by, or a written instrument of transfer in form satisfactory to the Company and the Trustee duly executed by, the Holder thereof or its attorney duly authorized in writing), and the Company shall execute, and the Trustee shall authenticate and deliver to the Holder of such Security without service charge, a new Security or Securities of the same series and of like tenor, of any authorized denomination as requested by such Holder, in aggregate principal amount equal to and in exchange for the unredeemed portion of the principal of the Security so surrendered.</w:t>
      </w:r>
    </w:p>
    <w:p>
      <w:pPr>
        <w:spacing w:after="0" w:line="37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12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SINKING FUNDS</w:t>
      </w:r>
    </w:p>
    <w:p>
      <w:pPr>
        <w:spacing w:after="0" w:line="225" w:lineRule="exact"/>
        <w:rPr>
          <w:sz w:val="20"/>
          <w:szCs w:val="20"/>
          <w:color w:val="auto"/>
        </w:rPr>
      </w:pPr>
    </w:p>
    <w:p>
      <w:pPr>
        <w:ind w:right="260" w:firstLine="456"/>
        <w:spacing w:after="0" w:line="282" w:lineRule="auto"/>
        <w:rPr>
          <w:sz w:val="20"/>
          <w:szCs w:val="20"/>
          <w:color w:val="auto"/>
        </w:rPr>
      </w:pPr>
      <w:r>
        <w:rPr>
          <w:rFonts w:ascii="Arial" w:cs="Arial" w:eastAsia="Arial" w:hAnsi="Arial"/>
          <w:sz w:val="18"/>
          <w:szCs w:val="18"/>
          <w:b w:val="1"/>
          <w:bCs w:val="1"/>
          <w:color w:val="auto"/>
        </w:rPr>
        <w:t>Section 12.1 Applicability of Article</w:t>
      </w:r>
      <w:r>
        <w:rPr>
          <w:rFonts w:ascii="Arial" w:cs="Arial" w:eastAsia="Arial" w:hAnsi="Arial"/>
          <w:sz w:val="18"/>
          <w:szCs w:val="18"/>
          <w:color w:val="auto"/>
        </w:rPr>
        <w:t>. The provisions of this Article shall be applicable to any sinking fund for the retirement of Securities of any</w:t>
      </w:r>
      <w:r>
        <w:rPr>
          <w:rFonts w:ascii="Arial" w:cs="Arial" w:eastAsia="Arial" w:hAnsi="Arial"/>
          <w:sz w:val="18"/>
          <w:szCs w:val="18"/>
          <w:b w:val="1"/>
          <w:bCs w:val="1"/>
          <w:color w:val="auto"/>
        </w:rPr>
        <w:t xml:space="preserve"> </w:t>
      </w:r>
      <w:r>
        <w:rPr>
          <w:rFonts w:ascii="Arial" w:cs="Arial" w:eastAsia="Arial" w:hAnsi="Arial"/>
          <w:sz w:val="18"/>
          <w:szCs w:val="18"/>
          <w:color w:val="auto"/>
        </w:rPr>
        <w:t>series except as otherwise specified as contemplated by Section 3.1 for such Securities.</w:t>
      </w:r>
    </w:p>
    <w:p>
      <w:pPr>
        <w:spacing w:after="0" w:line="166"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 minimum amount of any sinking fund payment provided for by the terms of any Securities is herein referred to as a “mandatory sinking fund payment,” and any payment in excess of such minimum amount provided for by the terms of such Securities is herein referred to as an “optional sinking fund payment.” If provided for by the terms of any Securities, the cash amount of any sinking fund payment may be subject to reduction as provided in Section 12.2. Each sinking fund payment shall be applied to the redemption of Securities as provided for by the terms of such Securities.</w:t>
      </w:r>
    </w:p>
    <w:p>
      <w:pPr>
        <w:spacing w:after="0" w:line="167" w:lineRule="exact"/>
        <w:rPr>
          <w:sz w:val="20"/>
          <w:szCs w:val="20"/>
          <w:color w:val="auto"/>
        </w:rPr>
      </w:pPr>
    </w:p>
    <w:p>
      <w:pPr>
        <w:ind w:right="40" w:firstLine="456"/>
        <w:spacing w:after="0" w:line="258" w:lineRule="auto"/>
        <w:rPr>
          <w:sz w:val="20"/>
          <w:szCs w:val="20"/>
          <w:color w:val="auto"/>
        </w:rPr>
      </w:pPr>
      <w:r>
        <w:rPr>
          <w:rFonts w:ascii="Arial" w:cs="Arial" w:eastAsia="Arial" w:hAnsi="Arial"/>
          <w:sz w:val="18"/>
          <w:szCs w:val="18"/>
          <w:b w:val="1"/>
          <w:bCs w:val="1"/>
          <w:color w:val="auto"/>
        </w:rPr>
        <w:t>Section 12.2 Satisfaction of Sinking Fund Payments with Securities</w:t>
      </w:r>
      <w:r>
        <w:rPr>
          <w:rFonts w:ascii="Arial" w:cs="Arial" w:eastAsia="Arial" w:hAnsi="Arial"/>
          <w:sz w:val="18"/>
          <w:szCs w:val="18"/>
          <w:color w:val="auto"/>
        </w:rPr>
        <w:t>. The Company (1) may deliver Outstanding Securities of a series (other than</w:t>
      </w:r>
      <w:r>
        <w:rPr>
          <w:rFonts w:ascii="Arial" w:cs="Arial" w:eastAsia="Arial" w:hAnsi="Arial"/>
          <w:sz w:val="18"/>
          <w:szCs w:val="18"/>
          <w:b w:val="1"/>
          <w:bCs w:val="1"/>
          <w:color w:val="auto"/>
        </w:rPr>
        <w:t xml:space="preserve"> </w:t>
      </w:r>
      <w:r>
        <w:rPr>
          <w:rFonts w:ascii="Arial" w:cs="Arial" w:eastAsia="Arial" w:hAnsi="Arial"/>
          <w:sz w:val="18"/>
          <w:szCs w:val="18"/>
          <w:color w:val="auto"/>
        </w:rPr>
        <w:t>any previously called for redemption) and (2) may apply as a credit Securities of a series which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any Securities of such series required to be made pursuant to the terms of such Securities as and to the extent provided for by the terms of such</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60"/>
          </w:cols>
          <w:pgMar w:left="240" w:top="274" w:right="299" w:bottom="1440" w:gutter="0" w:footer="0" w:header="0"/>
        </w:sectPr>
      </w:pPr>
    </w:p>
    <w:bookmarkStart w:id="96" w:name="page97"/>
    <w:bookmarkEnd w:id="96"/>
    <w:p>
      <w:pPr>
        <w:ind w:right="1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Securities;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Securities to be so credited have not been previously so credited. The Securities to be so credited shall be received and credited for such purpose by the Trustee at the Redemption Price, as specified in the Securities so to be redeemed, for redemption through operation of the sinking fund and the amount of such sinking fund payment shall be reduced accordingly.</w:t>
      </w:r>
    </w:p>
    <w:p>
      <w:pPr>
        <w:spacing w:after="0" w:line="177" w:lineRule="exact"/>
        <w:rPr>
          <w:sz w:val="20"/>
          <w:szCs w:val="20"/>
          <w:color w:val="auto"/>
        </w:rPr>
      </w:pPr>
    </w:p>
    <w:p>
      <w:pPr>
        <w:ind w:firstLine="456"/>
        <w:spacing w:after="0" w:line="292" w:lineRule="auto"/>
        <w:rPr>
          <w:sz w:val="20"/>
          <w:szCs w:val="20"/>
          <w:color w:val="auto"/>
        </w:rPr>
      </w:pPr>
      <w:r>
        <w:rPr>
          <w:rFonts w:ascii="Arial" w:cs="Arial" w:eastAsia="Arial" w:hAnsi="Arial"/>
          <w:sz w:val="16"/>
          <w:szCs w:val="16"/>
          <w:b w:val="1"/>
          <w:bCs w:val="1"/>
          <w:color w:val="auto"/>
        </w:rPr>
        <w:t>Section 12.3 Redemption of Securities for Sinking Fund</w:t>
      </w:r>
      <w:r>
        <w:rPr>
          <w:rFonts w:ascii="Arial" w:cs="Arial" w:eastAsia="Arial" w:hAnsi="Arial"/>
          <w:sz w:val="16"/>
          <w:szCs w:val="16"/>
          <w:color w:val="auto"/>
        </w:rPr>
        <w:t>. Not fewer than 60 days prior to each sinking fund payment date for any Securities,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will deliver to the Trustee an Officers’ Certificate specifying the amount of the next ensuing sinking fund payment for such Securities pursuant to the terms of such Securities, the portion thereof, if any, which is to be satisfied by payment of cash and the portion thereof, if any, which is to be satisfied by delivering and crediting Securities pursuant to Section 12.2 and will also deliver to the Trustee any Securities to be so delivered. Not fewer than 30 days prior to each such sinking fund payment date, the Trustee shall select the Securities to be redeemed upon such sinking fund payment date in the manner specified in Section 11.3 and cause notice of the redemption thereof to be given in the name of and at the expense of the Company in the manner provided in Section 11.4. Such notice having been duly given, the redemption of such Securities shall be made upon the terms and in the manner stated in Sections 11.6 and 11.7.</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DEFEASANCE AND COVENANT DEFEASANCE</w:t>
      </w:r>
    </w:p>
    <w:p>
      <w:pPr>
        <w:spacing w:after="0" w:line="225" w:lineRule="exact"/>
        <w:rPr>
          <w:sz w:val="20"/>
          <w:szCs w:val="20"/>
          <w:color w:val="auto"/>
        </w:rPr>
      </w:pPr>
    </w:p>
    <w:p>
      <w:pPr>
        <w:ind w:right="220" w:firstLine="456"/>
        <w:spacing w:after="0" w:line="258" w:lineRule="auto"/>
        <w:rPr>
          <w:sz w:val="20"/>
          <w:szCs w:val="20"/>
          <w:color w:val="auto"/>
        </w:rPr>
      </w:pPr>
      <w:r>
        <w:rPr>
          <w:rFonts w:ascii="Arial" w:cs="Arial" w:eastAsia="Arial" w:hAnsi="Arial"/>
          <w:sz w:val="18"/>
          <w:szCs w:val="18"/>
          <w:b w:val="1"/>
          <w:bCs w:val="1"/>
          <w:color w:val="auto"/>
        </w:rPr>
        <w:t>Section 13.1 Company’s Option to Effect Defeasance or Covenant Defeasance</w:t>
      </w:r>
      <w:r>
        <w:rPr>
          <w:rFonts w:ascii="Arial" w:cs="Arial" w:eastAsia="Arial" w:hAnsi="Arial"/>
          <w:sz w:val="18"/>
          <w:szCs w:val="18"/>
          <w:color w:val="auto"/>
        </w:rPr>
        <w:t>. The Company may elect, at its option at any time, to have</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13.2 or Section 13.3 applied to any Securities or any series of Securities, as the case may be, designated pursuant to Section 3.1 as being defeasible pursuant to such Section 13.2 or 13.3, in accordance with any applicable requirements provided pursuant to Section 3.1 and upon compliance with the conditions set forth below in this Article. Any such election shall be evidenced by a Board Resolution or in another manner specified as contemplated by Section 3.1 for such Securities.</w:t>
      </w:r>
    </w:p>
    <w:p>
      <w:pPr>
        <w:spacing w:after="0" w:line="184" w:lineRule="exact"/>
        <w:rPr>
          <w:sz w:val="20"/>
          <w:szCs w:val="20"/>
          <w:color w:val="auto"/>
        </w:rPr>
      </w:pPr>
    </w:p>
    <w:p>
      <w:pPr>
        <w:ind w:firstLine="456"/>
        <w:spacing w:after="0" w:line="295" w:lineRule="auto"/>
        <w:rPr>
          <w:sz w:val="20"/>
          <w:szCs w:val="20"/>
          <w:color w:val="auto"/>
        </w:rPr>
      </w:pPr>
      <w:r>
        <w:rPr>
          <w:rFonts w:ascii="Arial" w:cs="Arial" w:eastAsia="Arial" w:hAnsi="Arial"/>
          <w:sz w:val="16"/>
          <w:szCs w:val="16"/>
          <w:b w:val="1"/>
          <w:bCs w:val="1"/>
          <w:color w:val="auto"/>
        </w:rPr>
        <w:t>Section 13.2 Defeasance and Discharge</w:t>
      </w:r>
      <w:r>
        <w:rPr>
          <w:rFonts w:ascii="Arial" w:cs="Arial" w:eastAsia="Arial" w:hAnsi="Arial"/>
          <w:sz w:val="16"/>
          <w:szCs w:val="16"/>
          <w:color w:val="auto"/>
        </w:rPr>
        <w:t>. Upon the Company’s exercise of its option (if any) to have this Section applied to any Securities or any</w:t>
      </w:r>
      <w:r>
        <w:rPr>
          <w:rFonts w:ascii="Arial" w:cs="Arial" w:eastAsia="Arial" w:hAnsi="Arial"/>
          <w:sz w:val="16"/>
          <w:szCs w:val="16"/>
          <w:b w:val="1"/>
          <w:bCs w:val="1"/>
          <w:color w:val="auto"/>
        </w:rPr>
        <w:t xml:space="preserve"> </w:t>
      </w:r>
      <w:r>
        <w:rPr>
          <w:rFonts w:ascii="Arial" w:cs="Arial" w:eastAsia="Arial" w:hAnsi="Arial"/>
          <w:sz w:val="16"/>
          <w:szCs w:val="16"/>
          <w:color w:val="auto"/>
        </w:rPr>
        <w:t>series of Securities, as the case may be, the Company shall be deemed to have been discharged from its obligations with respect to such Securities as provided in this Section on and after the date the conditions set forth in Section 13.4 are satisfied (hereinafter called “Defeasance”). For this purpose, such Defeasance means that the Company shall be deemed to have paid and discharged the entire indebtedness represented by such Securities and to have satisfied all its other obligations under such Securities and this Indenture insofar as such Securities are concerned (and the Trustee, at the expense of the Company, shall execute proper instruments acknowledging the same), subject to the following which shall survive until otherwise terminated or discharged hereunder:</w:t>
      </w:r>
    </w:p>
    <w:p>
      <w:pPr>
        <w:spacing w:after="0" w:line="160" w:lineRule="exact"/>
        <w:rPr>
          <w:sz w:val="20"/>
          <w:szCs w:val="20"/>
          <w:color w:val="auto"/>
        </w:rPr>
      </w:pPr>
    </w:p>
    <w:p>
      <w:pPr>
        <w:ind w:right="240" w:firstLine="921"/>
        <w:spacing w:after="0" w:line="277" w:lineRule="auto"/>
        <w:tabs>
          <w:tab w:leader="none" w:pos="1303"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rights of Holders of such Securities to receive, solely from the trust fund described in Section 13.4 and as more fully set forth in such Section, payments in respect of the principal of and any premium and interest on such Securities when payments are due,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274" w:right="259" w:bottom="1440" w:gutter="0" w:footer="0" w:header="0"/>
        </w:sectPr>
      </w:pPr>
    </w:p>
    <w:bookmarkStart w:id="97" w:name="page98"/>
    <w:bookmarkEnd w:id="97"/>
    <w:p>
      <w:pPr>
        <w:ind w:left="1320" w:hanging="399"/>
        <w:spacing w:after="0"/>
        <w:tabs>
          <w:tab w:leader="none" w:pos="1320" w:val="left"/>
        </w:tabs>
        <w:numPr>
          <w:ilvl w:val="0"/>
          <w:numId w:val="8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Company’s obligations with respect to such Securities under Sections 3.4, 3.5, 3.6, 10.2 and 10.3, and, if applicable, Article 14,</w:t>
      </w:r>
    </w:p>
    <w:p>
      <w:pPr>
        <w:spacing w:after="0" w:line="236" w:lineRule="exact"/>
        <w:rPr>
          <w:rFonts w:ascii="Arial" w:cs="Arial" w:eastAsia="Arial" w:hAnsi="Arial"/>
          <w:sz w:val="17"/>
          <w:szCs w:val="17"/>
          <w:color w:val="auto"/>
        </w:rPr>
      </w:pPr>
    </w:p>
    <w:p>
      <w:pPr>
        <w:ind w:left="1320" w:hanging="399"/>
        <w:spacing w:after="0"/>
        <w:tabs>
          <w:tab w:leader="none" w:pos="13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hereunder, and</w:t>
      </w:r>
    </w:p>
    <w:p>
      <w:pPr>
        <w:spacing w:after="0" w:line="225" w:lineRule="exact"/>
        <w:rPr>
          <w:rFonts w:ascii="Arial" w:cs="Arial" w:eastAsia="Arial" w:hAnsi="Arial"/>
          <w:sz w:val="18"/>
          <w:szCs w:val="18"/>
          <w:color w:val="auto"/>
        </w:rPr>
      </w:pPr>
    </w:p>
    <w:p>
      <w:pPr>
        <w:ind w:left="1320" w:hanging="399"/>
        <w:spacing w:after="0"/>
        <w:tabs>
          <w:tab w:leader="none" w:pos="13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this Article.</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Subject to compliance with this Article, the Company may exercise its option (if any) to have this Section applied to any Securities notwithstanding the prior exercise of its option (if any) to have Section 13.3 applied to such Securities.</w:t>
      </w:r>
    </w:p>
    <w:p>
      <w:pPr>
        <w:spacing w:after="0" w:line="166"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b w:val="1"/>
          <w:bCs w:val="1"/>
          <w:color w:val="auto"/>
        </w:rPr>
        <w:t>Section 13.3 Covenant Defeasance</w:t>
      </w:r>
      <w:r>
        <w:rPr>
          <w:rFonts w:ascii="Arial" w:cs="Arial" w:eastAsia="Arial" w:hAnsi="Arial"/>
          <w:sz w:val="18"/>
          <w:szCs w:val="18"/>
          <w:color w:val="auto"/>
        </w:rPr>
        <w:t>. Upon the Company’s exercise of its option (if any) to have this Section applied to any Securities or any series of</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as the case may be,</w:t>
      </w:r>
    </w:p>
    <w:p>
      <w:pPr>
        <w:spacing w:after="0" w:line="166" w:lineRule="exact"/>
        <w:rPr>
          <w:sz w:val="20"/>
          <w:szCs w:val="20"/>
          <w:color w:val="auto"/>
        </w:rPr>
      </w:pPr>
    </w:p>
    <w:p>
      <w:pPr>
        <w:ind w:left="1320" w:hanging="399"/>
        <w:spacing w:after="0"/>
        <w:tabs>
          <w:tab w:leader="none" w:pos="132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Company shall be released from any covenants provided pursuant to Sections 3.1(19) or 9.1(2) for the benefit of the Holders of such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Securities and</w:t>
      </w:r>
    </w:p>
    <w:p>
      <w:pPr>
        <w:spacing w:after="0" w:line="210" w:lineRule="exact"/>
        <w:rPr>
          <w:rFonts w:ascii="Arial" w:cs="Arial" w:eastAsia="Arial" w:hAnsi="Arial"/>
          <w:sz w:val="16"/>
          <w:szCs w:val="16"/>
          <w:color w:val="auto"/>
        </w:rPr>
      </w:pPr>
    </w:p>
    <w:p>
      <w:pPr>
        <w:ind w:right="100" w:firstLine="921"/>
        <w:spacing w:after="0" w:line="308" w:lineRule="auto"/>
        <w:tabs>
          <w:tab w:leader="none" w:pos="1303"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occurrence of any event specified in Section 5.1(4) (with respect to any such covenants provided pursuant to Section 3.1(19) or 9.1(2)) and the occurrence of any other Event of Default specified pursuant to Section 3.1 shall be deemed not to be or result in an Event of Default,</w:t>
      </w:r>
    </w:p>
    <w:p>
      <w:pPr>
        <w:spacing w:after="0" w:line="14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in each case with respect to such Securities or any series of Securities as provided in this Section on and after the date the conditions set forth in Section 13.4 are satisfied (hereinafter called “Covenant Defeasance”). For this purpose, such Covenant Defeasance means that, with respect to such Securities, the Company may omit to comply with and shall have no liability in respect of any term, condition or limitation set forth in any such specified Section (to the extent so specified in the case of Section 5.1(4) and the occurrence of any other Event of Default specified pursuant to Section 3.1), whether directly or indirectly by reason of any reference elsewhere herein to any such Section or by reason of any reference in any such Section to any other provision herein or in any other document, but the remainder of this Indenture and such Securities shall be unaffected thereby.</w:t>
      </w:r>
    </w:p>
    <w:p>
      <w:pPr>
        <w:spacing w:after="0" w:line="174" w:lineRule="exact"/>
        <w:rPr>
          <w:sz w:val="20"/>
          <w:szCs w:val="20"/>
          <w:color w:val="auto"/>
        </w:rPr>
      </w:pPr>
    </w:p>
    <w:p>
      <w:pPr>
        <w:ind w:left="460"/>
        <w:spacing w:after="0"/>
        <w:tabs>
          <w:tab w:leader="none" w:pos="1540" w:val="left"/>
        </w:tabs>
        <w:rPr>
          <w:sz w:val="20"/>
          <w:szCs w:val="20"/>
          <w:color w:val="auto"/>
        </w:rPr>
      </w:pPr>
      <w:r>
        <w:rPr>
          <w:rFonts w:ascii="Arial" w:cs="Arial" w:eastAsia="Arial" w:hAnsi="Arial"/>
          <w:sz w:val="18"/>
          <w:szCs w:val="18"/>
          <w:b w:val="1"/>
          <w:bCs w:val="1"/>
          <w:color w:val="auto"/>
        </w:rPr>
        <w:t>Section 13.4</w:t>
      </w:r>
      <w:r>
        <w:rPr>
          <w:sz w:val="20"/>
          <w:szCs w:val="20"/>
          <w:color w:val="auto"/>
        </w:rPr>
        <w:tab/>
      </w:r>
      <w:r>
        <w:rPr>
          <w:rFonts w:ascii="Arial" w:cs="Arial" w:eastAsia="Arial" w:hAnsi="Arial"/>
          <w:sz w:val="16"/>
          <w:szCs w:val="16"/>
          <w:b w:val="1"/>
          <w:bCs w:val="1"/>
          <w:color w:val="auto"/>
        </w:rPr>
        <w:t>Conditions to Defeasance or Covenant Defeasance</w:t>
      </w:r>
      <w:r>
        <w:rPr>
          <w:rFonts w:ascii="Arial" w:cs="Arial" w:eastAsia="Arial" w:hAnsi="Arial"/>
          <w:sz w:val="16"/>
          <w:szCs w:val="16"/>
          <w:color w:val="auto"/>
        </w:rPr>
        <w:t>. The following shall be the conditions to the application of Section 13.2 or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Section 13.3 to any Securities or any series of Securities, as the case may be:</w:t>
      </w:r>
    </w:p>
    <w:p>
      <w:pPr>
        <w:spacing w:after="0" w:line="211" w:lineRule="exact"/>
        <w:rPr>
          <w:sz w:val="20"/>
          <w:szCs w:val="20"/>
          <w:color w:val="auto"/>
        </w:rPr>
      </w:pPr>
    </w:p>
    <w:p>
      <w:pPr>
        <w:ind w:right="220" w:firstLine="921"/>
        <w:spacing w:after="0" w:line="312" w:lineRule="auto"/>
        <w:tabs>
          <w:tab w:leader="none" w:pos="1300"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Company shall irrevocably have deposited or caused to be deposited with the Trustee (or another trustee which satisfies the requirements contemplated by Section 6.9 and agrees to comply with the provisions of this Article applicable to it) as trust funds in trust for the purpose of making the following payments, specifically pledged as security for, and dedicated solely to, the benefits of the Holders of such Securities,</w:t>
      </w:r>
    </w:p>
    <w:p>
      <w:pPr>
        <w:spacing w:after="0" w:line="38" w:lineRule="exact"/>
        <w:rPr>
          <w:rFonts w:ascii="Arial" w:cs="Arial" w:eastAsia="Arial" w:hAnsi="Arial"/>
          <w:sz w:val="16"/>
          <w:szCs w:val="16"/>
          <w:color w:val="auto"/>
        </w:rPr>
      </w:pPr>
    </w:p>
    <w:p>
      <w:pPr>
        <w:ind w:left="1780" w:hanging="439"/>
        <w:spacing w:after="0"/>
        <w:tabs>
          <w:tab w:leader="none" w:pos="1780" w:val="left"/>
        </w:tabs>
        <w:numPr>
          <w:ilvl w:val="1"/>
          <w:numId w:val="91"/>
        </w:numPr>
        <w:rPr>
          <w:rFonts w:ascii="Arial" w:cs="Arial" w:eastAsia="Arial" w:hAnsi="Arial"/>
          <w:sz w:val="18"/>
          <w:szCs w:val="18"/>
          <w:color w:val="auto"/>
        </w:rPr>
      </w:pPr>
      <w:r>
        <w:rPr>
          <w:rFonts w:ascii="Arial" w:cs="Arial" w:eastAsia="Arial" w:hAnsi="Arial"/>
          <w:sz w:val="18"/>
          <w:szCs w:val="18"/>
          <w:color w:val="auto"/>
        </w:rPr>
        <w:t>in the case of Securities of a series denominated in currency of the United States of America,</w:t>
      </w:r>
    </w:p>
    <w:p>
      <w:pPr>
        <w:spacing w:after="0" w:line="117" w:lineRule="exact"/>
        <w:rPr>
          <w:rFonts w:ascii="Arial" w:cs="Arial" w:eastAsia="Arial" w:hAnsi="Arial"/>
          <w:sz w:val="18"/>
          <w:szCs w:val="18"/>
          <w:color w:val="auto"/>
        </w:rPr>
      </w:pPr>
    </w:p>
    <w:p>
      <w:pPr>
        <w:ind w:left="2120" w:hanging="359"/>
        <w:spacing w:after="0"/>
        <w:tabs>
          <w:tab w:leader="none" w:pos="2120" w:val="left"/>
        </w:tabs>
        <w:numPr>
          <w:ilvl w:val="2"/>
          <w:numId w:val="91"/>
        </w:numPr>
        <w:rPr>
          <w:rFonts w:ascii="Arial" w:cs="Arial" w:eastAsia="Arial" w:hAnsi="Arial"/>
          <w:sz w:val="18"/>
          <w:szCs w:val="18"/>
          <w:color w:val="auto"/>
        </w:rPr>
      </w:pPr>
      <w:r>
        <w:rPr>
          <w:rFonts w:ascii="Arial" w:cs="Arial" w:eastAsia="Arial" w:hAnsi="Arial"/>
          <w:sz w:val="18"/>
          <w:szCs w:val="18"/>
          <w:color w:val="auto"/>
        </w:rPr>
        <w:t>cash in currency of the United States of America in an amount, or</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274" w:right="279" w:bottom="1440" w:gutter="0" w:footer="0" w:header="0"/>
        </w:sectPr>
      </w:pPr>
    </w:p>
    <w:bookmarkStart w:id="98" w:name="page99"/>
    <w:bookmarkEnd w:id="98"/>
    <w:p>
      <w:pPr>
        <w:ind w:left="920" w:right="200" w:firstLine="841"/>
        <w:spacing w:after="0" w:line="277" w:lineRule="auto"/>
        <w:tabs>
          <w:tab w:leader="none" w:pos="2160" w:val="left"/>
        </w:tabs>
        <w:numPr>
          <w:ilvl w:val="1"/>
          <w:numId w:val="9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U.S. Government Obligations which through the scheduled payment of principal and interest in respect thereof in accordance with their terms will provide, not later than one day before the due date of any payment, an amount in cash, or</w:t>
      </w:r>
    </w:p>
    <w:p>
      <w:pPr>
        <w:spacing w:after="0" w:line="62" w:lineRule="exact"/>
        <w:rPr>
          <w:rFonts w:ascii="Arial" w:cs="Arial" w:eastAsia="Arial" w:hAnsi="Arial"/>
          <w:sz w:val="18"/>
          <w:szCs w:val="18"/>
          <w:color w:val="auto"/>
        </w:rPr>
      </w:pPr>
    </w:p>
    <w:p>
      <w:pPr>
        <w:ind w:left="2220" w:hanging="459"/>
        <w:spacing w:after="0"/>
        <w:tabs>
          <w:tab w:leader="none" w:pos="2220" w:val="left"/>
        </w:tabs>
        <w:numPr>
          <w:ilvl w:val="1"/>
          <w:numId w:val="92"/>
        </w:numPr>
        <w:rPr>
          <w:rFonts w:ascii="Arial" w:cs="Arial" w:eastAsia="Arial" w:hAnsi="Arial"/>
          <w:sz w:val="18"/>
          <w:szCs w:val="18"/>
          <w:color w:val="auto"/>
        </w:rPr>
      </w:pPr>
      <w:r>
        <w:rPr>
          <w:rFonts w:ascii="Arial" w:cs="Arial" w:eastAsia="Arial" w:hAnsi="Arial"/>
          <w:sz w:val="18"/>
          <w:szCs w:val="18"/>
          <w:color w:val="auto"/>
        </w:rPr>
        <w:t>a combination thereof, or</w:t>
      </w:r>
    </w:p>
    <w:p>
      <w:pPr>
        <w:spacing w:after="0" w:line="117" w:lineRule="exact"/>
        <w:rPr>
          <w:rFonts w:ascii="Arial" w:cs="Arial" w:eastAsia="Arial" w:hAnsi="Arial"/>
          <w:sz w:val="18"/>
          <w:szCs w:val="18"/>
          <w:color w:val="auto"/>
        </w:rPr>
      </w:pPr>
    </w:p>
    <w:p>
      <w:pPr>
        <w:ind w:left="1760" w:hanging="419"/>
        <w:spacing w:after="0"/>
        <w:tabs>
          <w:tab w:leader="none" w:pos="17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 the case of Securities of a series denominated in currency other than that of the United States of America,</w:t>
      </w:r>
    </w:p>
    <w:p>
      <w:pPr>
        <w:spacing w:after="0" w:line="117" w:lineRule="exact"/>
        <w:rPr>
          <w:rFonts w:ascii="Arial" w:cs="Arial" w:eastAsia="Arial" w:hAnsi="Arial"/>
          <w:sz w:val="18"/>
          <w:szCs w:val="18"/>
          <w:color w:val="auto"/>
        </w:rPr>
      </w:pPr>
    </w:p>
    <w:p>
      <w:pPr>
        <w:ind w:left="2120" w:hanging="359"/>
        <w:spacing w:after="0"/>
        <w:tabs>
          <w:tab w:leader="none" w:pos="2120" w:val="left"/>
        </w:tabs>
        <w:numPr>
          <w:ilvl w:val="1"/>
          <w:numId w:val="93"/>
        </w:numPr>
        <w:rPr>
          <w:rFonts w:ascii="Arial" w:cs="Arial" w:eastAsia="Arial" w:hAnsi="Arial"/>
          <w:sz w:val="18"/>
          <w:szCs w:val="18"/>
          <w:color w:val="auto"/>
        </w:rPr>
      </w:pPr>
      <w:r>
        <w:rPr>
          <w:rFonts w:ascii="Arial" w:cs="Arial" w:eastAsia="Arial" w:hAnsi="Arial"/>
          <w:sz w:val="18"/>
          <w:szCs w:val="18"/>
          <w:color w:val="auto"/>
        </w:rPr>
        <w:t>cash in the currency in which such series of Securities is denominated in an amount, or</w:t>
      </w:r>
    </w:p>
    <w:p>
      <w:pPr>
        <w:spacing w:after="0" w:line="117" w:lineRule="exact"/>
        <w:rPr>
          <w:rFonts w:ascii="Arial" w:cs="Arial" w:eastAsia="Arial" w:hAnsi="Arial"/>
          <w:sz w:val="18"/>
          <w:szCs w:val="18"/>
          <w:color w:val="auto"/>
        </w:rPr>
      </w:pPr>
    </w:p>
    <w:p>
      <w:pPr>
        <w:ind w:left="920" w:right="800" w:firstLine="841"/>
        <w:spacing w:after="0" w:line="342" w:lineRule="auto"/>
        <w:tabs>
          <w:tab w:leader="none" w:pos="2160" w:val="left"/>
        </w:tabs>
        <w:numPr>
          <w:ilvl w:val="1"/>
          <w:numId w:val="93"/>
        </w:numPr>
        <w:rPr>
          <w:rFonts w:ascii="Arial" w:cs="Arial" w:eastAsia="Arial" w:hAnsi="Arial"/>
          <w:sz w:val="16"/>
          <w:szCs w:val="16"/>
          <w:color w:val="auto"/>
        </w:rPr>
      </w:pPr>
      <w:r>
        <w:rPr>
          <w:rFonts w:ascii="Arial" w:cs="Arial" w:eastAsia="Arial" w:hAnsi="Arial"/>
          <w:sz w:val="16"/>
          <w:szCs w:val="16"/>
          <w:color w:val="auto"/>
        </w:rPr>
        <w:t>Foreign Government Obligations which through the scheduled payment of principal and interest in respect thereof in accordance with their terms will provide, not later than one day before the due date of any payment, an amount in cash, or</w:t>
      </w:r>
    </w:p>
    <w:p>
      <w:pPr>
        <w:spacing w:after="0" w:line="15" w:lineRule="exact"/>
        <w:rPr>
          <w:rFonts w:ascii="Arial" w:cs="Arial" w:eastAsia="Arial" w:hAnsi="Arial"/>
          <w:sz w:val="16"/>
          <w:szCs w:val="16"/>
          <w:color w:val="auto"/>
        </w:rPr>
      </w:pPr>
    </w:p>
    <w:p>
      <w:pPr>
        <w:ind w:left="2220" w:hanging="459"/>
        <w:spacing w:after="0"/>
        <w:tabs>
          <w:tab w:leader="none" w:pos="2220" w:val="left"/>
        </w:tabs>
        <w:numPr>
          <w:ilvl w:val="1"/>
          <w:numId w:val="93"/>
        </w:numPr>
        <w:rPr>
          <w:rFonts w:ascii="Arial" w:cs="Arial" w:eastAsia="Arial" w:hAnsi="Arial"/>
          <w:sz w:val="18"/>
          <w:szCs w:val="18"/>
          <w:color w:val="auto"/>
        </w:rPr>
      </w:pPr>
      <w:r>
        <w:rPr>
          <w:rFonts w:ascii="Arial" w:cs="Arial" w:eastAsia="Arial" w:hAnsi="Arial"/>
          <w:sz w:val="18"/>
          <w:szCs w:val="18"/>
          <w:color w:val="auto"/>
        </w:rPr>
        <w:t>a combination thereof,</w:t>
      </w:r>
    </w:p>
    <w:p>
      <w:pPr>
        <w:spacing w:after="0" w:line="225"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in each case sufficient, in the opinion of a nationally recognized firm of independent public accountants expressed in a written certification thereof delivered to the Trustee, to pay and discharge, and which shall be applied by the Trustee (or any such other qualifying trustee) to pay and discharge, the principal of and any premium and interest on such Securities on the respective Stated Maturities, in accordance with the terms of this Indenture and such Securities.</w:t>
      </w:r>
    </w:p>
    <w:p>
      <w:pPr>
        <w:spacing w:after="0" w:line="147" w:lineRule="exact"/>
        <w:rPr>
          <w:sz w:val="20"/>
          <w:szCs w:val="20"/>
          <w:color w:val="auto"/>
        </w:rPr>
      </w:pPr>
    </w:p>
    <w:p>
      <w:pPr>
        <w:ind w:right="140" w:firstLine="921"/>
        <w:spacing w:after="0" w:line="293" w:lineRule="auto"/>
        <w:tabs>
          <w:tab w:leader="none" w:pos="1303" w:val="left"/>
        </w:tabs>
        <w:numPr>
          <w:ilvl w:val="0"/>
          <w:numId w:val="94"/>
        </w:numPr>
        <w:rPr>
          <w:rFonts w:ascii="Arial" w:cs="Arial" w:eastAsia="Arial" w:hAnsi="Arial"/>
          <w:sz w:val="16"/>
          <w:szCs w:val="16"/>
          <w:color w:val="auto"/>
        </w:rPr>
      </w:pPr>
      <w:r>
        <w:rPr>
          <w:rFonts w:ascii="Arial" w:cs="Arial" w:eastAsia="Arial" w:hAnsi="Arial"/>
          <w:sz w:val="16"/>
          <w:szCs w:val="16"/>
          <w:color w:val="auto"/>
        </w:rPr>
        <w:t>In the event of an election to have Section 13.2 apply to any Securities or any series of Securities, as the case may be, the Company shall have delivered to the Trustee an Opinion of Counsel stating that (A) the Company has received from, or there has been published by, the Internal Revenue Service a ruling or (B) since the date of this instrument, there has been a change in the applicable Federal income tax law, in either case (A) or (B) to the effect that, and based thereon such opinion shall confirm that, the Holders of such Securities will not recognize gain or loss for Federal income tax purposes as a result of the deposit, Defeasance and discharge to be effected with respect to such Securities and will be subject to Federal income tax on the same amount, in the same manner and at the same times as would be the case if such deposit, Defeasance and discharge were not to occur.</w:t>
      </w:r>
    </w:p>
    <w:p>
      <w:pPr>
        <w:spacing w:after="0" w:line="164" w:lineRule="exact"/>
        <w:rPr>
          <w:rFonts w:ascii="Arial" w:cs="Arial" w:eastAsia="Arial" w:hAnsi="Arial"/>
          <w:sz w:val="16"/>
          <w:szCs w:val="16"/>
          <w:color w:val="auto"/>
        </w:rPr>
      </w:pPr>
    </w:p>
    <w:p>
      <w:pPr>
        <w:ind w:right="220" w:firstLine="921"/>
        <w:spacing w:after="0" w:line="302" w:lineRule="auto"/>
        <w:tabs>
          <w:tab w:leader="none" w:pos="1303" w:val="left"/>
        </w:tabs>
        <w:numPr>
          <w:ilvl w:val="0"/>
          <w:numId w:val="94"/>
        </w:numPr>
        <w:rPr>
          <w:rFonts w:ascii="Arial" w:cs="Arial" w:eastAsia="Arial" w:hAnsi="Arial"/>
          <w:sz w:val="16"/>
          <w:szCs w:val="16"/>
          <w:color w:val="auto"/>
        </w:rPr>
      </w:pPr>
      <w:r>
        <w:rPr>
          <w:rFonts w:ascii="Arial" w:cs="Arial" w:eastAsia="Arial" w:hAnsi="Arial"/>
          <w:sz w:val="16"/>
          <w:szCs w:val="16"/>
          <w:color w:val="auto"/>
        </w:rPr>
        <w:t>In the event of an election to have Section 13.3 apply to any Securities or any series of Securities, as the case may be, the Company shall have delivered to the Trustee an Opinion of Counsel to the effect that the Holders of such Securities will not recognize gain or loss for Federal income tax purposes as a result of the deposit and Covenant Defeasance to be effected with respect to such Securities and will be subject to Federal income tax on the same amount, in the same manner and at the same times as would be the case if such deposit and Covenant Defeasance were not to occur.</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80"/>
          </w:cols>
          <w:pgMar w:left="240" w:top="274" w:right="279" w:bottom="1440" w:gutter="0" w:footer="0" w:header="0"/>
        </w:sectPr>
      </w:pPr>
    </w:p>
    <w:bookmarkStart w:id="99" w:name="page100"/>
    <w:bookmarkEnd w:id="99"/>
    <w:p>
      <w:pPr>
        <w:ind w:firstLine="921"/>
        <w:spacing w:after="0" w:line="277" w:lineRule="auto"/>
        <w:tabs>
          <w:tab w:leader="none" w:pos="1300" w:val="left"/>
        </w:tabs>
        <w:numPr>
          <w:ilvl w:val="0"/>
          <w:numId w:val="9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shall have delivered to the Trustee an Officers’ Certificate to the effect that neither such Securities nor any other Securities of the same series, if then listed on any securities exchange, will be delisted as a result of such deposit.</w:t>
      </w:r>
    </w:p>
    <w:p>
      <w:pPr>
        <w:spacing w:after="0" w:line="170" w:lineRule="exact"/>
        <w:rPr>
          <w:rFonts w:ascii="Arial" w:cs="Arial" w:eastAsia="Arial" w:hAnsi="Arial"/>
          <w:sz w:val="18"/>
          <w:szCs w:val="18"/>
          <w:color w:val="auto"/>
        </w:rPr>
      </w:pPr>
    </w:p>
    <w:p>
      <w:pPr>
        <w:ind w:right="80" w:firstLine="921"/>
        <w:spacing w:after="0" w:line="312" w:lineRule="auto"/>
        <w:tabs>
          <w:tab w:leader="none" w:pos="1303" w:val="left"/>
        </w:tabs>
        <w:numPr>
          <w:ilvl w:val="0"/>
          <w:numId w:val="95"/>
        </w:numPr>
        <w:rPr>
          <w:rFonts w:ascii="Arial" w:cs="Arial" w:eastAsia="Arial" w:hAnsi="Arial"/>
          <w:sz w:val="16"/>
          <w:szCs w:val="16"/>
          <w:color w:val="auto"/>
        </w:rPr>
      </w:pPr>
      <w:r>
        <w:rPr>
          <w:rFonts w:ascii="Arial" w:cs="Arial" w:eastAsia="Arial" w:hAnsi="Arial"/>
          <w:sz w:val="16"/>
          <w:szCs w:val="16"/>
          <w:color w:val="auto"/>
        </w:rPr>
        <w:t>No event which is, or after notice or lapse of time or both would become, an Event of Default with respect to such Securities or any other Securities shall have occurred and be continuing at the time of such deposit or, with regard to any such event specified in Sections 5.1(5) and (6), at any time on or prior to the 90th day after the date of such deposit (it being understood that this condition shall not be deemed satisfied until after such 90th day).</w:t>
      </w:r>
    </w:p>
    <w:p>
      <w:pPr>
        <w:spacing w:after="0" w:line="146" w:lineRule="exact"/>
        <w:rPr>
          <w:rFonts w:ascii="Arial" w:cs="Arial" w:eastAsia="Arial" w:hAnsi="Arial"/>
          <w:sz w:val="16"/>
          <w:szCs w:val="16"/>
          <w:color w:val="auto"/>
        </w:rPr>
      </w:pPr>
    </w:p>
    <w:p>
      <w:pPr>
        <w:ind w:right="680" w:firstLine="921"/>
        <w:spacing w:after="0" w:line="277" w:lineRule="auto"/>
        <w:tabs>
          <w:tab w:leader="none" w:pos="1303" w:val="left"/>
        </w:tabs>
        <w:numPr>
          <w:ilvl w:val="0"/>
          <w:numId w:val="95"/>
        </w:numPr>
        <w:rPr>
          <w:rFonts w:ascii="Arial" w:cs="Arial" w:eastAsia="Arial" w:hAnsi="Arial"/>
          <w:sz w:val="18"/>
          <w:szCs w:val="18"/>
          <w:color w:val="auto"/>
        </w:rPr>
      </w:pPr>
      <w:r>
        <w:rPr>
          <w:rFonts w:ascii="Arial" w:cs="Arial" w:eastAsia="Arial" w:hAnsi="Arial"/>
          <w:sz w:val="18"/>
          <w:szCs w:val="18"/>
          <w:color w:val="auto"/>
        </w:rPr>
        <w:t>Such Defeasance or Covenant Defeasance shall not cause the Trustee to have a conflicting interest within the meaning of the Trust Indenture Act (assuming all Securities are in default within the meaning of such Act).</w:t>
      </w:r>
    </w:p>
    <w:p>
      <w:pPr>
        <w:spacing w:after="0" w:line="170" w:lineRule="exact"/>
        <w:rPr>
          <w:rFonts w:ascii="Arial" w:cs="Arial" w:eastAsia="Arial" w:hAnsi="Arial"/>
          <w:sz w:val="18"/>
          <w:szCs w:val="18"/>
          <w:color w:val="auto"/>
        </w:rPr>
      </w:pPr>
    </w:p>
    <w:p>
      <w:pPr>
        <w:ind w:right="320" w:firstLine="921"/>
        <w:spacing w:after="0" w:line="277" w:lineRule="auto"/>
        <w:tabs>
          <w:tab w:leader="none" w:pos="1303" w:val="left"/>
        </w:tabs>
        <w:numPr>
          <w:ilvl w:val="0"/>
          <w:numId w:val="95"/>
        </w:numPr>
        <w:rPr>
          <w:rFonts w:ascii="Arial" w:cs="Arial" w:eastAsia="Arial" w:hAnsi="Arial"/>
          <w:sz w:val="18"/>
          <w:szCs w:val="18"/>
          <w:color w:val="auto"/>
        </w:rPr>
      </w:pPr>
      <w:r>
        <w:rPr>
          <w:rFonts w:ascii="Arial" w:cs="Arial" w:eastAsia="Arial" w:hAnsi="Arial"/>
          <w:sz w:val="18"/>
          <w:szCs w:val="18"/>
          <w:color w:val="auto"/>
        </w:rPr>
        <w:t>Such Defeasance or Covenant Defeasance shall not result in a breach or violation of, or constitute a default under, this Indenture or any other agreement or instrument to which the Company is a party or by which it is bound.</w:t>
      </w:r>
    </w:p>
    <w:p>
      <w:pPr>
        <w:spacing w:after="0" w:line="170" w:lineRule="exact"/>
        <w:rPr>
          <w:rFonts w:ascii="Arial" w:cs="Arial" w:eastAsia="Arial" w:hAnsi="Arial"/>
          <w:sz w:val="18"/>
          <w:szCs w:val="18"/>
          <w:color w:val="auto"/>
        </w:rPr>
      </w:pPr>
    </w:p>
    <w:p>
      <w:pPr>
        <w:ind w:right="80" w:firstLine="921"/>
        <w:spacing w:after="0" w:line="308" w:lineRule="auto"/>
        <w:tabs>
          <w:tab w:leader="none" w:pos="1303" w:val="left"/>
        </w:tabs>
        <w:numPr>
          <w:ilvl w:val="0"/>
          <w:numId w:val="95"/>
        </w:numPr>
        <w:rPr>
          <w:rFonts w:ascii="Arial" w:cs="Arial" w:eastAsia="Arial" w:hAnsi="Arial"/>
          <w:sz w:val="17"/>
          <w:szCs w:val="17"/>
          <w:color w:val="auto"/>
        </w:rPr>
      </w:pPr>
      <w:r>
        <w:rPr>
          <w:rFonts w:ascii="Arial" w:cs="Arial" w:eastAsia="Arial" w:hAnsi="Arial"/>
          <w:sz w:val="17"/>
          <w:szCs w:val="17"/>
          <w:color w:val="auto"/>
        </w:rPr>
        <w:t>Such Defeasance or Covenant Defeasance shall not result in the trust arising from such deposit constituting an investment company within the meaning of the Investment Company Act unless such trust shall be registered under such Act or exempt from registration thereunder.</w:t>
      </w:r>
    </w:p>
    <w:p>
      <w:pPr>
        <w:spacing w:after="0" w:line="146" w:lineRule="exact"/>
        <w:rPr>
          <w:rFonts w:ascii="Arial" w:cs="Arial" w:eastAsia="Arial" w:hAnsi="Arial"/>
          <w:sz w:val="17"/>
          <w:szCs w:val="17"/>
          <w:color w:val="auto"/>
        </w:rPr>
      </w:pPr>
    </w:p>
    <w:p>
      <w:pPr>
        <w:ind w:right="560" w:firstLine="921"/>
        <w:spacing w:after="0" w:line="277" w:lineRule="auto"/>
        <w:tabs>
          <w:tab w:leader="none" w:pos="13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and an Opinion of Counsel, each stating that all conditions precedent with respect to such Defeasance or Covenant Defeasance have been complied with.</w:t>
      </w:r>
    </w:p>
    <w:p>
      <w:pPr>
        <w:spacing w:after="0" w:line="16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b w:val="1"/>
          <w:bCs w:val="1"/>
          <w:color w:val="auto"/>
        </w:rPr>
        <w:t>Section 13.5 Deposited Money, U.S. Government Obligations and Foreign Government Obligations to be Held in Trust; Miscellaneous Provisions</w:t>
      </w:r>
      <w:r>
        <w:rPr>
          <w:rFonts w:ascii="Arial" w:cs="Arial" w:eastAsia="Arial" w:hAnsi="Arial"/>
          <w:sz w:val="16"/>
          <w:szCs w:val="16"/>
          <w:color w:val="auto"/>
        </w:rPr>
        <w:t>. Subject to the provisions of the last paragraph of Section 10.3, all money, U.S. Government Obligations and Foreign Government Obligations</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the proceeds thereof) deposited with the Trustee or other qualifying trustee (solely for purposes of this Section and Section 13.6, the Trustee and any such other trustee are referred to collectively as the “Trustee”) pursuant to Section 13.4 in respect of any Securities shall be held in trust and applied by the Trustee, in accordance with the provisions of such Securities and this Indenture, to the payment, either directly or through any such Paying Agent (including the Company acting as its own Paying Agent) as the Trustee may determine, to the Holders of such Securities, of all sums due and to become due thereon in respect of principal and any premium and interest, but money so held in trust need not be segregated from other funds except to the extent required by law. The Company shall pay and indemnify the Trustee against any tax, fee or other charge imposed on or assessed against the U.S. Government Obligations or Foreign Government Obligations deposited pursuant to Section 13.4 or the principal and interest received in respect thereof other than any such tax, fee or other charge which by law is for the account of the Holders of Outstanding Securities. Anything in this Article to the contrary notwithstanding, the Trustee shall deliver or pay to the Company from time to time upon Company Request any money, U.S. Government Obligations or Foreign Government Obligations held by it as provided in Section 13.4 with respect to any Securities which, in the opinion of a nationally recognized firm of</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80"/>
          </w:cols>
          <w:pgMar w:left="240" w:top="274" w:right="279" w:bottom="1440" w:gutter="0" w:footer="0" w:header="0"/>
        </w:sectPr>
      </w:pPr>
    </w:p>
    <w:bookmarkStart w:id="100" w:name="page101"/>
    <w:bookmarkEnd w:id="100"/>
    <w:p>
      <w:pPr>
        <w:ind w:right="16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independent public accountants expressed in a written certification thereof delivered to the Trustee, are in excess of the amount thereof which would then be required to be deposited to effect the Defeasance or Covenant Defeasance, as the case may be, with respect to such Securities.</w:t>
      </w:r>
    </w:p>
    <w:p>
      <w:pPr>
        <w:spacing w:after="0" w:line="143" w:lineRule="exact"/>
        <w:rPr>
          <w:sz w:val="20"/>
          <w:szCs w:val="20"/>
          <w:color w:val="auto"/>
        </w:rPr>
      </w:pPr>
    </w:p>
    <w:p>
      <w:pPr>
        <w:ind w:firstLine="456"/>
        <w:spacing w:after="0" w:line="292" w:lineRule="auto"/>
        <w:rPr>
          <w:sz w:val="20"/>
          <w:szCs w:val="20"/>
          <w:color w:val="auto"/>
        </w:rPr>
      </w:pPr>
      <w:r>
        <w:rPr>
          <w:rFonts w:ascii="Arial" w:cs="Arial" w:eastAsia="Arial" w:hAnsi="Arial"/>
          <w:sz w:val="16"/>
          <w:szCs w:val="16"/>
          <w:b w:val="1"/>
          <w:bCs w:val="1"/>
          <w:color w:val="auto"/>
        </w:rPr>
        <w:t>Section 13.6 Reinstatement</w:t>
      </w:r>
      <w:r>
        <w:rPr>
          <w:rFonts w:ascii="Arial" w:cs="Arial" w:eastAsia="Arial" w:hAnsi="Arial"/>
          <w:sz w:val="16"/>
          <w:szCs w:val="16"/>
          <w:color w:val="auto"/>
        </w:rPr>
        <w:t>. If the Trustee or the Paying Agent is unable to apply any money in accordance with this Article with respect to any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Securities by reason of any order or judgment of any court or governmental authority enjoining, restraining or otherwise prohibiting such application, then the obligations under this Indenture and such Securities from which the Company has been discharged or released pursuant to Section 13.2 or 13.3 shall be revived and reinstated as though no deposit had occurred pursuant to this Article with respect to such Securities, until such time as the Trustee or Paying Agent is permitted to apply all money held in trust pursuant to Section 13.5 with respect to such Securities in accordance with this Article;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Company makes any payment of principal of or any premium or interest on any such Security following such reinstatement of its obligations, the Company shall be subrogated to the rights (if any) of the Holders of such Securities to receive such payment from the money so held in trust.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OF SECURITIES</w:t>
      </w:r>
    </w:p>
    <w:p>
      <w:pPr>
        <w:spacing w:after="0" w:line="117" w:lineRule="exact"/>
        <w:rPr>
          <w:sz w:val="20"/>
          <w:szCs w:val="20"/>
          <w:color w:val="auto"/>
        </w:rPr>
      </w:pPr>
    </w:p>
    <w:p>
      <w:pPr>
        <w:ind w:right="320" w:firstLine="456"/>
        <w:spacing w:after="0" w:line="282" w:lineRule="auto"/>
        <w:rPr>
          <w:sz w:val="20"/>
          <w:szCs w:val="20"/>
          <w:color w:val="auto"/>
        </w:rPr>
      </w:pPr>
      <w:r>
        <w:rPr>
          <w:rFonts w:ascii="Arial" w:cs="Arial" w:eastAsia="Arial" w:hAnsi="Arial"/>
          <w:sz w:val="18"/>
          <w:szCs w:val="18"/>
          <w:b w:val="1"/>
          <w:bCs w:val="1"/>
          <w:color w:val="auto"/>
        </w:rPr>
        <w:t>Section 14.1 Conversion</w:t>
      </w:r>
      <w:r>
        <w:rPr>
          <w:rFonts w:ascii="Arial" w:cs="Arial" w:eastAsia="Arial" w:hAnsi="Arial"/>
          <w:sz w:val="18"/>
          <w:szCs w:val="18"/>
          <w:color w:val="auto"/>
        </w:rPr>
        <w:t>. The terms of any conversion provision that shall be applicable to the Securities of any series shall be set forth in one or</w:t>
      </w:r>
      <w:r>
        <w:rPr>
          <w:rFonts w:ascii="Arial" w:cs="Arial" w:eastAsia="Arial" w:hAnsi="Arial"/>
          <w:sz w:val="18"/>
          <w:szCs w:val="18"/>
          <w:b w:val="1"/>
          <w:bCs w:val="1"/>
          <w:color w:val="auto"/>
        </w:rPr>
        <w:t xml:space="preserve"> </w:t>
      </w:r>
      <w:r>
        <w:rPr>
          <w:rFonts w:ascii="Arial" w:cs="Arial" w:eastAsia="Arial" w:hAnsi="Arial"/>
          <w:sz w:val="18"/>
          <w:szCs w:val="18"/>
          <w:color w:val="auto"/>
        </w:rPr>
        <w:t>more indentures supplemental hereto for the Securities of such series.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274" w:right="239" w:bottom="1440" w:gutter="0" w:footer="0" w:header="0"/>
        </w:sectPr>
      </w:pPr>
    </w:p>
    <w:bookmarkStart w:id="101" w:name="page102"/>
    <w:bookmarkEnd w:id="101"/>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hereto have caused this Indenture to be duly executed as of the day and year first above written.</w:t>
      </w:r>
    </w:p>
    <w:p>
      <w:pPr>
        <w:spacing w:after="0" w:line="264"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Fluidigm Corporation</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-10160</wp:posOffset>
            </wp:positionV>
            <wp:extent cx="214312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-19050</wp:posOffset>
            </wp:positionV>
            <wp:extent cx="214312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19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-10160</wp:posOffset>
            </wp:positionV>
            <wp:extent cx="245745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457450" cy="8890"/>
                    </a:xfrm>
                    <a:prstGeom prst="rect">
                      <a:avLst/>
                    </a:prstGeom>
                    <a:noFill/>
                  </pic:spPr>
                </pic:pic>
              </a:graphicData>
            </a:graphic>
          </wp:anchor>
        </w:drawing>
      </w:r>
    </w:p>
    <w:p>
      <w:pPr>
        <w:spacing w:after="0" w:line="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-10160</wp:posOffset>
            </wp:positionV>
            <wp:extent cx="214312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-19050</wp:posOffset>
            </wp:positionV>
            <wp:extent cx="214312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ectPr>
          <w:pgSz w:w="11900" w:h="16838" w:orient="portrait"/>
          <w:cols w:equalWidth="0" w:num="1">
            <w:col w:w="10320"/>
          </w:cols>
          <w:pgMar w:left="700" w:top="274" w:right="87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4.4</w:t>
      </w:r>
    </w:p>
    <w:p>
      <w:pPr>
        <w:spacing w:after="0" w:line="22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FLUIDIGM CORPORATION</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238125</wp:posOffset>
            </wp:positionV>
            <wp:extent cx="151765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AS TRUSTEE</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INDENTURE</w:t>
      </w:r>
    </w:p>
    <w:p>
      <w:pPr>
        <w:spacing w:after="0" w:line="225" w:lineRule="exact"/>
        <w:rPr>
          <w:sz w:val="20"/>
          <w:szCs w:val="20"/>
          <w:color w:val="auto"/>
        </w:rPr>
      </w:pPr>
    </w:p>
    <w:p>
      <w:pPr>
        <w:ind w:left="3520"/>
        <w:spacing w:after="0"/>
        <w:tabs>
          <w:tab w:leader="none" w:pos="5220" w:val="left"/>
        </w:tabs>
        <w:rPr>
          <w:sz w:val="20"/>
          <w:szCs w:val="20"/>
          <w:color w:val="auto"/>
        </w:rPr>
      </w:pPr>
      <w:r>
        <w:rPr>
          <w:rFonts w:ascii="Arial" w:cs="Arial" w:eastAsia="Arial" w:hAnsi="Arial"/>
          <w:sz w:val="18"/>
          <w:szCs w:val="18"/>
          <w:color w:val="auto"/>
        </w:rPr>
        <w:t>DATED AS OF</w:t>
      </w:r>
      <w:r>
        <w:rPr>
          <w:sz w:val="20"/>
          <w:szCs w:val="20"/>
          <w:color w:val="auto"/>
        </w:rPr>
        <w:tab/>
      </w:r>
      <w:r>
        <w:rPr>
          <w:rFonts w:ascii="Arial" w:cs="Arial" w:eastAsia="Arial" w:hAnsi="Arial"/>
          <w:sz w:val="16"/>
          <w:szCs w:val="16"/>
          <w:color w:val="auto"/>
        </w:rPr>
        <w:t>, 20</w:t>
      </w:r>
    </w:p>
    <w:p>
      <w:pPr>
        <w:spacing w:after="0" w:line="225"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SUBORDINATED DEBT SECURITIES</w:t>
      </w:r>
    </w:p>
    <w:p>
      <w:pPr>
        <w:sectPr>
          <w:pgSz w:w="11900" w:h="16838" w:orient="portrait"/>
          <w:cols w:equalWidth="0" w:num="1">
            <w:col w:w="10220"/>
          </w:cols>
          <w:pgMar w:left="1440" w:top="121" w:right="239" w:bottom="1440" w:gutter="0" w:footer="0" w:header="0"/>
        </w:sectPr>
      </w:pPr>
    </w:p>
    <w:bookmarkStart w:id="103" w:name="page104"/>
    <w:bookmarkEnd w:id="10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060" w:type="dxa"/>
            <w:vAlign w:val="bottom"/>
            <w:gridSpan w:val="2"/>
            <w:vMerge w:val="restart"/>
          </w:tcPr>
          <w:p>
            <w:pPr>
              <w:spacing w:after="0"/>
              <w:rPr>
                <w:sz w:val="20"/>
                <w:szCs w:val="20"/>
                <w:color w:val="auto"/>
              </w:rPr>
            </w:pPr>
            <w:r>
              <w:rPr>
                <w:rFonts w:ascii="Arial" w:cs="Arial" w:eastAsia="Arial" w:hAnsi="Arial"/>
                <w:sz w:val="18"/>
                <w:szCs w:val="18"/>
                <w:color w:val="auto"/>
              </w:rPr>
              <w:t>ARTICLE 1 DEFINITIONS AND OTHER PROVISIONS OF GENERAL APPLICATION</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224"/>
        </w:trPr>
        <w:tc>
          <w:tcPr>
            <w:tcW w:w="11060" w:type="dxa"/>
            <w:vAlign w:val="bottom"/>
            <w:gridSpan w:val="2"/>
            <w:vMerge w:val="continue"/>
          </w:tcPr>
          <w:p>
            <w:pPr>
              <w:spacing w:after="0"/>
              <w:rPr>
                <w:sz w:val="19"/>
                <w:szCs w:val="19"/>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5"/>
        </w:trPr>
        <w:tc>
          <w:tcPr>
            <w:tcW w:w="1920" w:type="dxa"/>
            <w:vAlign w:val="bottom"/>
          </w:tcPr>
          <w:p>
            <w:pPr>
              <w:ind w:left="360"/>
              <w:spacing w:after="0"/>
              <w:rPr>
                <w:sz w:val="20"/>
                <w:szCs w:val="20"/>
                <w:color w:val="auto"/>
              </w:rPr>
            </w:pPr>
            <w:r>
              <w:rPr>
                <w:rFonts w:ascii="Arial" w:cs="Arial" w:eastAsia="Arial" w:hAnsi="Arial"/>
                <w:sz w:val="18"/>
                <w:szCs w:val="18"/>
                <w:color w:val="auto"/>
              </w:rPr>
              <w:t>Section 1.1</w:t>
            </w:r>
          </w:p>
        </w:tc>
        <w:tc>
          <w:tcPr>
            <w:tcW w:w="9140" w:type="dxa"/>
            <w:vAlign w:val="bottom"/>
          </w:tcPr>
          <w:p>
            <w:pPr>
              <w:ind w:left="100"/>
              <w:spacing w:after="0"/>
              <w:rPr>
                <w:sz w:val="20"/>
                <w:szCs w:val="20"/>
                <w:color w:val="auto"/>
              </w:rPr>
            </w:pPr>
            <w:r>
              <w:rPr>
                <w:rFonts w:ascii="Arial" w:cs="Arial" w:eastAsia="Arial" w:hAnsi="Arial"/>
                <w:sz w:val="18"/>
                <w:szCs w:val="18"/>
                <w:color w:val="auto"/>
              </w:rPr>
              <w:t>Definitions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Section 1.2</w:t>
            </w:r>
          </w:p>
        </w:tc>
        <w:tc>
          <w:tcPr>
            <w:tcW w:w="9140" w:type="dxa"/>
            <w:vAlign w:val="bottom"/>
          </w:tcPr>
          <w:p>
            <w:pPr>
              <w:ind w:left="100"/>
              <w:spacing w:after="0"/>
              <w:rPr>
                <w:sz w:val="20"/>
                <w:szCs w:val="20"/>
                <w:color w:val="auto"/>
              </w:rPr>
            </w:pPr>
            <w:r>
              <w:rPr>
                <w:rFonts w:ascii="Arial" w:cs="Arial" w:eastAsia="Arial" w:hAnsi="Arial"/>
                <w:sz w:val="18"/>
                <w:szCs w:val="18"/>
                <w:color w:val="auto"/>
              </w:rPr>
              <w:t>Compliance Certificates and Opinions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Section 1.3</w:t>
            </w:r>
          </w:p>
        </w:tc>
        <w:tc>
          <w:tcPr>
            <w:tcW w:w="9140" w:type="dxa"/>
            <w:vAlign w:val="bottom"/>
          </w:tcPr>
          <w:p>
            <w:pPr>
              <w:ind w:left="100"/>
              <w:spacing w:after="0"/>
              <w:rPr>
                <w:sz w:val="20"/>
                <w:szCs w:val="20"/>
                <w:color w:val="auto"/>
              </w:rPr>
            </w:pPr>
            <w:r>
              <w:rPr>
                <w:rFonts w:ascii="Arial" w:cs="Arial" w:eastAsia="Arial" w:hAnsi="Arial"/>
                <w:sz w:val="18"/>
                <w:szCs w:val="18"/>
                <w:color w:val="auto"/>
              </w:rPr>
              <w:t>Form of Documents Delivered to Trustee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Section 1.4</w:t>
            </w:r>
          </w:p>
        </w:tc>
        <w:tc>
          <w:tcPr>
            <w:tcW w:w="9140" w:type="dxa"/>
            <w:vAlign w:val="bottom"/>
          </w:tcPr>
          <w:p>
            <w:pPr>
              <w:ind w:left="100"/>
              <w:spacing w:after="0"/>
              <w:rPr>
                <w:sz w:val="20"/>
                <w:szCs w:val="20"/>
                <w:color w:val="auto"/>
              </w:rPr>
            </w:pPr>
            <w:r>
              <w:rPr>
                <w:rFonts w:ascii="Arial" w:cs="Arial" w:eastAsia="Arial" w:hAnsi="Arial"/>
                <w:sz w:val="18"/>
                <w:szCs w:val="18"/>
                <w:color w:val="auto"/>
              </w:rPr>
              <w:t>Acts of Holders; Record Dates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Section 1.5</w:t>
            </w:r>
          </w:p>
        </w:tc>
        <w:tc>
          <w:tcPr>
            <w:tcW w:w="9140" w:type="dxa"/>
            <w:vAlign w:val="bottom"/>
          </w:tcPr>
          <w:p>
            <w:pPr>
              <w:ind w:left="100"/>
              <w:spacing w:after="0"/>
              <w:rPr>
                <w:sz w:val="20"/>
                <w:szCs w:val="20"/>
                <w:color w:val="auto"/>
              </w:rPr>
            </w:pPr>
            <w:r>
              <w:rPr>
                <w:rFonts w:ascii="Arial" w:cs="Arial" w:eastAsia="Arial" w:hAnsi="Arial"/>
                <w:sz w:val="18"/>
                <w:szCs w:val="18"/>
                <w:color w:val="auto"/>
              </w:rPr>
              <w:t>Notices, etc., to Trustee and Company</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Section 1.6</w:t>
            </w:r>
          </w:p>
        </w:tc>
        <w:tc>
          <w:tcPr>
            <w:tcW w:w="9140" w:type="dxa"/>
            <w:vAlign w:val="bottom"/>
          </w:tcPr>
          <w:p>
            <w:pPr>
              <w:ind w:left="100"/>
              <w:spacing w:after="0"/>
              <w:rPr>
                <w:sz w:val="20"/>
                <w:szCs w:val="20"/>
                <w:color w:val="auto"/>
              </w:rPr>
            </w:pPr>
            <w:r>
              <w:rPr>
                <w:rFonts w:ascii="Arial" w:cs="Arial" w:eastAsia="Arial" w:hAnsi="Arial"/>
                <w:sz w:val="18"/>
                <w:szCs w:val="18"/>
                <w:color w:val="auto"/>
              </w:rPr>
              <w:t>Notice to Holders; Waiver</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Section 1.7</w:t>
            </w:r>
          </w:p>
        </w:tc>
        <w:tc>
          <w:tcPr>
            <w:tcW w:w="9140" w:type="dxa"/>
            <w:vAlign w:val="bottom"/>
          </w:tcPr>
          <w:p>
            <w:pPr>
              <w:ind w:left="100"/>
              <w:spacing w:after="0"/>
              <w:rPr>
                <w:sz w:val="20"/>
                <w:szCs w:val="20"/>
                <w:color w:val="auto"/>
              </w:rPr>
            </w:pPr>
            <w:r>
              <w:rPr>
                <w:rFonts w:ascii="Arial" w:cs="Arial" w:eastAsia="Arial" w:hAnsi="Arial"/>
                <w:sz w:val="18"/>
                <w:szCs w:val="18"/>
                <w:color w:val="auto"/>
              </w:rPr>
              <w:t>Conflict with Trust Indenture Act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Section 1.8</w:t>
            </w:r>
          </w:p>
        </w:tc>
        <w:tc>
          <w:tcPr>
            <w:tcW w:w="9140" w:type="dxa"/>
            <w:vAlign w:val="bottom"/>
          </w:tcPr>
          <w:p>
            <w:pPr>
              <w:ind w:left="100"/>
              <w:spacing w:after="0"/>
              <w:rPr>
                <w:sz w:val="20"/>
                <w:szCs w:val="20"/>
                <w:color w:val="auto"/>
              </w:rPr>
            </w:pPr>
            <w:r>
              <w:rPr>
                <w:rFonts w:ascii="Arial" w:cs="Arial" w:eastAsia="Arial" w:hAnsi="Arial"/>
                <w:sz w:val="18"/>
                <w:szCs w:val="18"/>
                <w:color w:val="auto"/>
              </w:rPr>
              <w:t>Effect of Headings and Table of Contents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Section 1.9</w:t>
            </w:r>
          </w:p>
        </w:tc>
        <w:tc>
          <w:tcPr>
            <w:tcW w:w="9140" w:type="dxa"/>
            <w:vAlign w:val="bottom"/>
          </w:tcPr>
          <w:p>
            <w:pPr>
              <w:ind w:left="100"/>
              <w:spacing w:after="0"/>
              <w:rPr>
                <w:sz w:val="20"/>
                <w:szCs w:val="20"/>
                <w:color w:val="auto"/>
              </w:rPr>
            </w:pPr>
            <w:r>
              <w:rPr>
                <w:rFonts w:ascii="Arial" w:cs="Arial" w:eastAsia="Arial" w:hAnsi="Arial"/>
                <w:sz w:val="18"/>
                <w:szCs w:val="18"/>
                <w:color w:val="auto"/>
              </w:rPr>
              <w:t>Successors and Assigns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Section 1.10</w:t>
            </w:r>
          </w:p>
        </w:tc>
        <w:tc>
          <w:tcPr>
            <w:tcW w:w="9140" w:type="dxa"/>
            <w:vAlign w:val="bottom"/>
          </w:tcPr>
          <w:p>
            <w:pPr>
              <w:ind w:left="100"/>
              <w:spacing w:after="0"/>
              <w:rPr>
                <w:sz w:val="20"/>
                <w:szCs w:val="20"/>
                <w:color w:val="auto"/>
              </w:rPr>
            </w:pPr>
            <w:r>
              <w:rPr>
                <w:rFonts w:ascii="Arial" w:cs="Arial" w:eastAsia="Arial" w:hAnsi="Arial"/>
                <w:sz w:val="18"/>
                <w:szCs w:val="18"/>
                <w:color w:val="auto"/>
              </w:rPr>
              <w:t>Separability Clause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Section 1.11</w:t>
            </w:r>
          </w:p>
        </w:tc>
        <w:tc>
          <w:tcPr>
            <w:tcW w:w="9140" w:type="dxa"/>
            <w:vAlign w:val="bottom"/>
          </w:tcPr>
          <w:p>
            <w:pPr>
              <w:ind w:left="100"/>
              <w:spacing w:after="0"/>
              <w:rPr>
                <w:sz w:val="20"/>
                <w:szCs w:val="20"/>
                <w:color w:val="auto"/>
              </w:rPr>
            </w:pPr>
            <w:r>
              <w:rPr>
                <w:rFonts w:ascii="Arial" w:cs="Arial" w:eastAsia="Arial" w:hAnsi="Arial"/>
                <w:sz w:val="18"/>
                <w:szCs w:val="18"/>
                <w:color w:val="auto"/>
              </w:rPr>
              <w:t>Benefits of Indenture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Section 1.12</w:t>
            </w:r>
          </w:p>
        </w:tc>
        <w:tc>
          <w:tcPr>
            <w:tcW w:w="9140" w:type="dxa"/>
            <w:vAlign w:val="bottom"/>
          </w:tcPr>
          <w:p>
            <w:pPr>
              <w:ind w:left="100"/>
              <w:spacing w:after="0"/>
              <w:rPr>
                <w:sz w:val="20"/>
                <w:szCs w:val="20"/>
                <w:color w:val="auto"/>
              </w:rPr>
            </w:pPr>
            <w:r>
              <w:rPr>
                <w:rFonts w:ascii="Arial" w:cs="Arial" w:eastAsia="Arial" w:hAnsi="Arial"/>
                <w:sz w:val="18"/>
                <w:szCs w:val="18"/>
                <w:color w:val="auto"/>
              </w:rPr>
              <w:t>Governing Law</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Section 1.13</w:t>
            </w:r>
          </w:p>
        </w:tc>
        <w:tc>
          <w:tcPr>
            <w:tcW w:w="9140" w:type="dxa"/>
            <w:vAlign w:val="bottom"/>
          </w:tcPr>
          <w:p>
            <w:pPr>
              <w:ind w:left="100"/>
              <w:spacing w:after="0"/>
              <w:rPr>
                <w:sz w:val="20"/>
                <w:szCs w:val="20"/>
                <w:color w:val="auto"/>
              </w:rPr>
            </w:pPr>
            <w:r>
              <w:rPr>
                <w:rFonts w:ascii="Arial" w:cs="Arial" w:eastAsia="Arial" w:hAnsi="Arial"/>
                <w:sz w:val="18"/>
                <w:szCs w:val="18"/>
                <w:color w:val="auto"/>
              </w:rPr>
              <w:t>Legal Holidays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Section 1.14</w:t>
            </w:r>
          </w:p>
        </w:tc>
        <w:tc>
          <w:tcPr>
            <w:tcW w:w="9140" w:type="dxa"/>
            <w:vAlign w:val="bottom"/>
          </w:tcPr>
          <w:p>
            <w:pPr>
              <w:ind w:left="100"/>
              <w:spacing w:after="0"/>
              <w:rPr>
                <w:sz w:val="20"/>
                <w:szCs w:val="20"/>
                <w:color w:val="auto"/>
              </w:rPr>
            </w:pPr>
            <w:r>
              <w:rPr>
                <w:rFonts w:ascii="Arial" w:cs="Arial" w:eastAsia="Arial" w:hAnsi="Arial"/>
                <w:sz w:val="18"/>
                <w:szCs w:val="18"/>
                <w:color w:val="auto"/>
              </w:rPr>
              <w:t>Indenture and Securities Solely Corporate Obligations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1920" w:type="dxa"/>
            <w:vAlign w:val="bottom"/>
          </w:tcPr>
          <w:p>
            <w:pPr>
              <w:ind w:left="360"/>
              <w:spacing w:after="0"/>
              <w:rPr>
                <w:sz w:val="20"/>
                <w:szCs w:val="20"/>
                <w:color w:val="auto"/>
              </w:rPr>
            </w:pPr>
            <w:r>
              <w:rPr>
                <w:rFonts w:ascii="Arial" w:cs="Arial" w:eastAsia="Arial" w:hAnsi="Arial"/>
                <w:sz w:val="18"/>
                <w:szCs w:val="18"/>
                <w:color w:val="auto"/>
              </w:rPr>
              <w:t>Section 1.15</w:t>
            </w:r>
          </w:p>
        </w:tc>
        <w:tc>
          <w:tcPr>
            <w:tcW w:w="9140" w:type="dxa"/>
            <w:vAlign w:val="bottom"/>
          </w:tcPr>
          <w:p>
            <w:pPr>
              <w:ind w:left="100"/>
              <w:spacing w:after="0"/>
              <w:rPr>
                <w:sz w:val="20"/>
                <w:szCs w:val="20"/>
                <w:color w:val="auto"/>
              </w:rPr>
            </w:pPr>
            <w:r>
              <w:rPr>
                <w:rFonts w:ascii="Arial" w:cs="Arial" w:eastAsia="Arial" w:hAnsi="Arial"/>
                <w:sz w:val="18"/>
                <w:szCs w:val="18"/>
                <w:color w:val="auto"/>
              </w:rPr>
              <w:t>Indenture May be Executed in Counterparts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24"/>
        </w:trPr>
        <w:tc>
          <w:tcPr>
            <w:tcW w:w="11060" w:type="dxa"/>
            <w:vAlign w:val="bottom"/>
            <w:gridSpan w:val="2"/>
          </w:tcPr>
          <w:p>
            <w:pPr>
              <w:spacing w:after="0"/>
              <w:rPr>
                <w:sz w:val="20"/>
                <w:szCs w:val="20"/>
                <w:color w:val="auto"/>
              </w:rPr>
            </w:pPr>
            <w:r>
              <w:rPr>
                <w:rFonts w:ascii="Arial" w:cs="Arial" w:eastAsia="Arial" w:hAnsi="Arial"/>
                <w:sz w:val="18"/>
                <w:szCs w:val="18"/>
                <w:color w:val="auto"/>
              </w:rPr>
              <w:t>ARTICLE 2 SECURITY FORMS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10"/>
        </w:trPr>
        <w:tc>
          <w:tcPr>
            <w:tcW w:w="1920" w:type="dxa"/>
            <w:vAlign w:val="bottom"/>
          </w:tcPr>
          <w:p>
            <w:pPr>
              <w:ind w:left="360"/>
              <w:spacing w:after="0"/>
              <w:rPr>
                <w:sz w:val="20"/>
                <w:szCs w:val="20"/>
                <w:color w:val="auto"/>
              </w:rPr>
            </w:pPr>
            <w:r>
              <w:rPr>
                <w:rFonts w:ascii="Arial" w:cs="Arial" w:eastAsia="Arial" w:hAnsi="Arial"/>
                <w:sz w:val="18"/>
                <w:szCs w:val="18"/>
                <w:color w:val="auto"/>
              </w:rPr>
              <w:t>Section 2.1</w:t>
            </w:r>
          </w:p>
        </w:tc>
        <w:tc>
          <w:tcPr>
            <w:tcW w:w="9140" w:type="dxa"/>
            <w:vAlign w:val="bottom"/>
          </w:tcPr>
          <w:p>
            <w:pPr>
              <w:ind w:left="100"/>
              <w:spacing w:after="0"/>
              <w:rPr>
                <w:sz w:val="20"/>
                <w:szCs w:val="20"/>
                <w:color w:val="auto"/>
              </w:rPr>
            </w:pPr>
            <w:r>
              <w:rPr>
                <w:rFonts w:ascii="Arial" w:cs="Arial" w:eastAsia="Arial" w:hAnsi="Arial"/>
                <w:sz w:val="18"/>
                <w:szCs w:val="18"/>
                <w:color w:val="auto"/>
              </w:rPr>
              <w:t>Forms Generally</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Section 2.2</w:t>
            </w:r>
          </w:p>
        </w:tc>
        <w:tc>
          <w:tcPr>
            <w:tcW w:w="9140" w:type="dxa"/>
            <w:vAlign w:val="bottom"/>
          </w:tcPr>
          <w:p>
            <w:pPr>
              <w:ind w:left="100"/>
              <w:spacing w:after="0"/>
              <w:rPr>
                <w:sz w:val="20"/>
                <w:szCs w:val="20"/>
                <w:color w:val="auto"/>
              </w:rPr>
            </w:pPr>
            <w:r>
              <w:rPr>
                <w:rFonts w:ascii="Arial" w:cs="Arial" w:eastAsia="Arial" w:hAnsi="Arial"/>
                <w:sz w:val="18"/>
                <w:szCs w:val="18"/>
                <w:color w:val="auto"/>
              </w:rPr>
              <w:t>Form of Legend for Global Securities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1920" w:type="dxa"/>
            <w:vAlign w:val="bottom"/>
          </w:tcPr>
          <w:p>
            <w:pPr>
              <w:ind w:left="360"/>
              <w:spacing w:after="0"/>
              <w:rPr>
                <w:sz w:val="20"/>
                <w:szCs w:val="20"/>
                <w:color w:val="auto"/>
              </w:rPr>
            </w:pPr>
            <w:r>
              <w:rPr>
                <w:rFonts w:ascii="Arial" w:cs="Arial" w:eastAsia="Arial" w:hAnsi="Arial"/>
                <w:sz w:val="18"/>
                <w:szCs w:val="18"/>
                <w:color w:val="auto"/>
              </w:rPr>
              <w:t>Section 2.3</w:t>
            </w:r>
          </w:p>
        </w:tc>
        <w:tc>
          <w:tcPr>
            <w:tcW w:w="9140" w:type="dxa"/>
            <w:vAlign w:val="bottom"/>
          </w:tcPr>
          <w:p>
            <w:pPr>
              <w:ind w:left="100"/>
              <w:spacing w:after="0"/>
              <w:rPr>
                <w:sz w:val="20"/>
                <w:szCs w:val="20"/>
                <w:color w:val="auto"/>
              </w:rPr>
            </w:pPr>
            <w:r>
              <w:rPr>
                <w:rFonts w:ascii="Arial" w:cs="Arial" w:eastAsia="Arial" w:hAnsi="Arial"/>
                <w:sz w:val="18"/>
                <w:szCs w:val="18"/>
                <w:color w:val="auto"/>
              </w:rPr>
              <w:t>Form of Trustee’s Certificate of Authentication</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24"/>
        </w:trPr>
        <w:tc>
          <w:tcPr>
            <w:tcW w:w="11060" w:type="dxa"/>
            <w:vAlign w:val="bottom"/>
            <w:gridSpan w:val="2"/>
          </w:tcPr>
          <w:p>
            <w:pPr>
              <w:spacing w:after="0"/>
              <w:rPr>
                <w:sz w:val="20"/>
                <w:szCs w:val="20"/>
                <w:color w:val="auto"/>
              </w:rPr>
            </w:pPr>
            <w:r>
              <w:rPr>
                <w:rFonts w:ascii="Arial" w:cs="Arial" w:eastAsia="Arial" w:hAnsi="Arial"/>
                <w:sz w:val="18"/>
                <w:szCs w:val="18"/>
                <w:color w:val="auto"/>
              </w:rPr>
              <w:t>ARTICLE 3 THE SECURITIES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10"/>
        </w:trPr>
        <w:tc>
          <w:tcPr>
            <w:tcW w:w="1920" w:type="dxa"/>
            <w:vAlign w:val="bottom"/>
          </w:tcPr>
          <w:p>
            <w:pPr>
              <w:ind w:left="360"/>
              <w:spacing w:after="0"/>
              <w:rPr>
                <w:sz w:val="20"/>
                <w:szCs w:val="20"/>
                <w:color w:val="auto"/>
              </w:rPr>
            </w:pPr>
            <w:r>
              <w:rPr>
                <w:rFonts w:ascii="Arial" w:cs="Arial" w:eastAsia="Arial" w:hAnsi="Arial"/>
                <w:sz w:val="18"/>
                <w:szCs w:val="18"/>
                <w:color w:val="auto"/>
              </w:rPr>
              <w:t>Section 3.1</w:t>
            </w:r>
          </w:p>
        </w:tc>
        <w:tc>
          <w:tcPr>
            <w:tcW w:w="9140" w:type="dxa"/>
            <w:vAlign w:val="bottom"/>
          </w:tcPr>
          <w:p>
            <w:pPr>
              <w:ind w:left="100"/>
              <w:spacing w:after="0"/>
              <w:rPr>
                <w:sz w:val="20"/>
                <w:szCs w:val="20"/>
                <w:color w:val="auto"/>
              </w:rPr>
            </w:pPr>
            <w:r>
              <w:rPr>
                <w:rFonts w:ascii="Arial" w:cs="Arial" w:eastAsia="Arial" w:hAnsi="Arial"/>
                <w:sz w:val="18"/>
                <w:szCs w:val="18"/>
                <w:color w:val="auto"/>
              </w:rPr>
              <w:t>Amount Unlimited; Issuable in Series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Section 3.2</w:t>
            </w:r>
          </w:p>
        </w:tc>
        <w:tc>
          <w:tcPr>
            <w:tcW w:w="9140" w:type="dxa"/>
            <w:vAlign w:val="bottom"/>
          </w:tcPr>
          <w:p>
            <w:pPr>
              <w:ind w:left="100"/>
              <w:spacing w:after="0"/>
              <w:rPr>
                <w:sz w:val="20"/>
                <w:szCs w:val="20"/>
                <w:color w:val="auto"/>
              </w:rPr>
            </w:pPr>
            <w:r>
              <w:rPr>
                <w:rFonts w:ascii="Arial" w:cs="Arial" w:eastAsia="Arial" w:hAnsi="Arial"/>
                <w:sz w:val="18"/>
                <w:szCs w:val="18"/>
                <w:color w:val="auto"/>
              </w:rPr>
              <w:t>Denominations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Section 3.3</w:t>
            </w:r>
          </w:p>
        </w:tc>
        <w:tc>
          <w:tcPr>
            <w:tcW w:w="9140" w:type="dxa"/>
            <w:vAlign w:val="bottom"/>
          </w:tcPr>
          <w:p>
            <w:pPr>
              <w:ind w:left="100"/>
              <w:spacing w:after="0"/>
              <w:rPr>
                <w:sz w:val="20"/>
                <w:szCs w:val="20"/>
                <w:color w:val="auto"/>
              </w:rPr>
            </w:pPr>
            <w:r>
              <w:rPr>
                <w:rFonts w:ascii="Arial" w:cs="Arial" w:eastAsia="Arial" w:hAnsi="Arial"/>
                <w:sz w:val="18"/>
                <w:szCs w:val="18"/>
                <w:color w:val="auto"/>
              </w:rPr>
              <w:t>Execution, Authentication, Delivery and Dating</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Section 3.4</w:t>
            </w:r>
          </w:p>
        </w:tc>
        <w:tc>
          <w:tcPr>
            <w:tcW w:w="9140" w:type="dxa"/>
            <w:vAlign w:val="bottom"/>
          </w:tcPr>
          <w:p>
            <w:pPr>
              <w:ind w:left="100"/>
              <w:spacing w:after="0"/>
              <w:rPr>
                <w:sz w:val="20"/>
                <w:szCs w:val="20"/>
                <w:color w:val="auto"/>
              </w:rPr>
            </w:pPr>
            <w:r>
              <w:rPr>
                <w:rFonts w:ascii="Arial" w:cs="Arial" w:eastAsia="Arial" w:hAnsi="Arial"/>
                <w:sz w:val="18"/>
                <w:szCs w:val="18"/>
                <w:color w:val="auto"/>
              </w:rPr>
              <w:t>Temporary Securities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Section 3.5</w:t>
            </w:r>
          </w:p>
        </w:tc>
        <w:tc>
          <w:tcPr>
            <w:tcW w:w="9140" w:type="dxa"/>
            <w:vAlign w:val="bottom"/>
          </w:tcPr>
          <w:p>
            <w:pPr>
              <w:ind w:left="100"/>
              <w:spacing w:after="0"/>
              <w:rPr>
                <w:sz w:val="20"/>
                <w:szCs w:val="20"/>
                <w:color w:val="auto"/>
              </w:rPr>
            </w:pPr>
            <w:r>
              <w:rPr>
                <w:rFonts w:ascii="Arial" w:cs="Arial" w:eastAsia="Arial" w:hAnsi="Arial"/>
                <w:sz w:val="18"/>
                <w:szCs w:val="18"/>
                <w:color w:val="auto"/>
              </w:rPr>
              <w:t>Registration; Registration of Transfer and Exchange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Section 3.6</w:t>
            </w:r>
          </w:p>
        </w:tc>
        <w:tc>
          <w:tcPr>
            <w:tcW w:w="9140" w:type="dxa"/>
            <w:vAlign w:val="bottom"/>
          </w:tcPr>
          <w:p>
            <w:pPr>
              <w:ind w:left="100"/>
              <w:spacing w:after="0"/>
              <w:rPr>
                <w:sz w:val="20"/>
                <w:szCs w:val="20"/>
                <w:color w:val="auto"/>
              </w:rPr>
            </w:pPr>
            <w:r>
              <w:rPr>
                <w:rFonts w:ascii="Arial" w:cs="Arial" w:eastAsia="Arial" w:hAnsi="Arial"/>
                <w:sz w:val="18"/>
                <w:szCs w:val="18"/>
                <w:color w:val="auto"/>
              </w:rPr>
              <w:t>Mutilated, Destroyed, Lost and Stolen Securities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Section 3.7</w:t>
            </w:r>
          </w:p>
        </w:tc>
        <w:tc>
          <w:tcPr>
            <w:tcW w:w="9140" w:type="dxa"/>
            <w:vAlign w:val="bottom"/>
          </w:tcPr>
          <w:p>
            <w:pPr>
              <w:ind w:left="100"/>
              <w:spacing w:after="0"/>
              <w:rPr>
                <w:sz w:val="20"/>
                <w:szCs w:val="20"/>
                <w:color w:val="auto"/>
              </w:rPr>
            </w:pPr>
            <w:r>
              <w:rPr>
                <w:rFonts w:ascii="Arial" w:cs="Arial" w:eastAsia="Arial" w:hAnsi="Arial"/>
                <w:sz w:val="18"/>
                <w:szCs w:val="18"/>
                <w:color w:val="auto"/>
              </w:rPr>
              <w:t>Payment of Interest; Interest Rights Preserved</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Section 3.8</w:t>
            </w:r>
          </w:p>
        </w:tc>
        <w:tc>
          <w:tcPr>
            <w:tcW w:w="9140" w:type="dxa"/>
            <w:vAlign w:val="bottom"/>
          </w:tcPr>
          <w:p>
            <w:pPr>
              <w:ind w:left="100"/>
              <w:spacing w:after="0"/>
              <w:rPr>
                <w:sz w:val="20"/>
                <w:szCs w:val="20"/>
                <w:color w:val="auto"/>
              </w:rPr>
            </w:pPr>
            <w:r>
              <w:rPr>
                <w:rFonts w:ascii="Arial" w:cs="Arial" w:eastAsia="Arial" w:hAnsi="Arial"/>
                <w:sz w:val="18"/>
                <w:szCs w:val="18"/>
                <w:color w:val="auto"/>
              </w:rPr>
              <w:t>Persons Deemed Owners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Section 3.9</w:t>
            </w:r>
          </w:p>
        </w:tc>
        <w:tc>
          <w:tcPr>
            <w:tcW w:w="9140" w:type="dxa"/>
            <w:vAlign w:val="bottom"/>
          </w:tcPr>
          <w:p>
            <w:pPr>
              <w:ind w:left="100"/>
              <w:spacing w:after="0"/>
              <w:rPr>
                <w:sz w:val="20"/>
                <w:szCs w:val="20"/>
                <w:color w:val="auto"/>
              </w:rPr>
            </w:pPr>
            <w:r>
              <w:rPr>
                <w:rFonts w:ascii="Arial" w:cs="Arial" w:eastAsia="Arial" w:hAnsi="Arial"/>
                <w:sz w:val="18"/>
                <w:szCs w:val="18"/>
                <w:color w:val="auto"/>
              </w:rPr>
              <w:t>Cancellation</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1920" w:type="dxa"/>
            <w:vAlign w:val="bottom"/>
          </w:tcPr>
          <w:p>
            <w:pPr>
              <w:ind w:left="360"/>
              <w:spacing w:after="0"/>
              <w:rPr>
                <w:sz w:val="20"/>
                <w:szCs w:val="20"/>
                <w:color w:val="auto"/>
              </w:rPr>
            </w:pPr>
            <w:r>
              <w:rPr>
                <w:rFonts w:ascii="Arial" w:cs="Arial" w:eastAsia="Arial" w:hAnsi="Arial"/>
                <w:sz w:val="18"/>
                <w:szCs w:val="18"/>
                <w:color w:val="auto"/>
              </w:rPr>
              <w:t>Section 3.10</w:t>
            </w:r>
          </w:p>
        </w:tc>
        <w:tc>
          <w:tcPr>
            <w:tcW w:w="9140" w:type="dxa"/>
            <w:vAlign w:val="bottom"/>
          </w:tcPr>
          <w:p>
            <w:pPr>
              <w:ind w:left="100"/>
              <w:spacing w:after="0"/>
              <w:rPr>
                <w:sz w:val="20"/>
                <w:szCs w:val="20"/>
                <w:color w:val="auto"/>
              </w:rPr>
            </w:pPr>
            <w:r>
              <w:rPr>
                <w:rFonts w:ascii="Arial" w:cs="Arial" w:eastAsia="Arial" w:hAnsi="Arial"/>
                <w:sz w:val="18"/>
                <w:szCs w:val="18"/>
                <w:color w:val="auto"/>
              </w:rPr>
              <w:t>Computation of Interest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24"/>
        </w:trPr>
        <w:tc>
          <w:tcPr>
            <w:tcW w:w="11060" w:type="dxa"/>
            <w:vAlign w:val="bottom"/>
            <w:gridSpan w:val="2"/>
          </w:tcPr>
          <w:p>
            <w:pPr>
              <w:spacing w:after="0"/>
              <w:rPr>
                <w:sz w:val="20"/>
                <w:szCs w:val="20"/>
                <w:color w:val="auto"/>
              </w:rPr>
            </w:pPr>
            <w:r>
              <w:rPr>
                <w:rFonts w:ascii="Arial" w:cs="Arial" w:eastAsia="Arial" w:hAnsi="Arial"/>
                <w:sz w:val="18"/>
                <w:szCs w:val="18"/>
                <w:color w:val="auto"/>
              </w:rPr>
              <w:t>ARTICLE 4 SATISFACTION AND DISCHARGE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10"/>
        </w:trPr>
        <w:tc>
          <w:tcPr>
            <w:tcW w:w="1920" w:type="dxa"/>
            <w:vAlign w:val="bottom"/>
          </w:tcPr>
          <w:p>
            <w:pPr>
              <w:ind w:left="360"/>
              <w:spacing w:after="0"/>
              <w:rPr>
                <w:sz w:val="20"/>
                <w:szCs w:val="20"/>
                <w:color w:val="auto"/>
              </w:rPr>
            </w:pPr>
            <w:r>
              <w:rPr>
                <w:rFonts w:ascii="Arial" w:cs="Arial" w:eastAsia="Arial" w:hAnsi="Arial"/>
                <w:sz w:val="18"/>
                <w:szCs w:val="18"/>
                <w:color w:val="auto"/>
              </w:rPr>
              <w:t>Section 4.1</w:t>
            </w:r>
          </w:p>
        </w:tc>
        <w:tc>
          <w:tcPr>
            <w:tcW w:w="9140" w:type="dxa"/>
            <w:vAlign w:val="bottom"/>
          </w:tcPr>
          <w:p>
            <w:pPr>
              <w:ind w:left="100"/>
              <w:spacing w:after="0"/>
              <w:rPr>
                <w:sz w:val="20"/>
                <w:szCs w:val="20"/>
                <w:color w:val="auto"/>
              </w:rPr>
            </w:pPr>
            <w:r>
              <w:rPr>
                <w:rFonts w:ascii="Arial" w:cs="Arial" w:eastAsia="Arial" w:hAnsi="Arial"/>
                <w:sz w:val="18"/>
                <w:szCs w:val="18"/>
                <w:color w:val="auto"/>
              </w:rPr>
              <w:t>Satisfaction and Discharge of Indenture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1920" w:type="dxa"/>
            <w:vAlign w:val="bottom"/>
          </w:tcPr>
          <w:p>
            <w:pPr>
              <w:ind w:left="360"/>
              <w:spacing w:after="0"/>
              <w:rPr>
                <w:sz w:val="20"/>
                <w:szCs w:val="20"/>
                <w:color w:val="auto"/>
              </w:rPr>
            </w:pPr>
            <w:r>
              <w:rPr>
                <w:rFonts w:ascii="Arial" w:cs="Arial" w:eastAsia="Arial" w:hAnsi="Arial"/>
                <w:sz w:val="18"/>
                <w:szCs w:val="18"/>
                <w:color w:val="auto"/>
              </w:rPr>
              <w:t>Section 4.2</w:t>
            </w:r>
          </w:p>
        </w:tc>
        <w:tc>
          <w:tcPr>
            <w:tcW w:w="9140" w:type="dxa"/>
            <w:vAlign w:val="bottom"/>
          </w:tcPr>
          <w:p>
            <w:pPr>
              <w:ind w:left="100"/>
              <w:spacing w:after="0"/>
              <w:rPr>
                <w:sz w:val="20"/>
                <w:szCs w:val="20"/>
                <w:color w:val="auto"/>
              </w:rPr>
            </w:pPr>
            <w:r>
              <w:rPr>
                <w:rFonts w:ascii="Arial" w:cs="Arial" w:eastAsia="Arial" w:hAnsi="Arial"/>
                <w:sz w:val="18"/>
                <w:szCs w:val="18"/>
                <w:color w:val="auto"/>
              </w:rPr>
              <w:t>Application of Trust Money</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24"/>
        </w:trPr>
        <w:tc>
          <w:tcPr>
            <w:tcW w:w="1920" w:type="dxa"/>
            <w:vAlign w:val="bottom"/>
          </w:tcPr>
          <w:p>
            <w:pPr>
              <w:spacing w:after="0"/>
              <w:rPr>
                <w:sz w:val="20"/>
                <w:szCs w:val="20"/>
                <w:color w:val="auto"/>
              </w:rPr>
            </w:pPr>
            <w:r>
              <w:rPr>
                <w:rFonts w:ascii="Arial" w:cs="Arial" w:eastAsia="Arial" w:hAnsi="Arial"/>
                <w:sz w:val="18"/>
                <w:szCs w:val="18"/>
                <w:color w:val="auto"/>
                <w:w w:val="99"/>
              </w:rPr>
              <w:t>ARTICLE 5 REMEDIES</w:t>
            </w:r>
          </w:p>
        </w:tc>
        <w:tc>
          <w:tcPr>
            <w:tcW w:w="914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10"/>
        </w:trPr>
        <w:tc>
          <w:tcPr>
            <w:tcW w:w="1920" w:type="dxa"/>
            <w:vAlign w:val="bottom"/>
          </w:tcPr>
          <w:p>
            <w:pPr>
              <w:ind w:left="360"/>
              <w:spacing w:after="0"/>
              <w:rPr>
                <w:sz w:val="20"/>
                <w:szCs w:val="20"/>
                <w:color w:val="auto"/>
              </w:rPr>
            </w:pPr>
            <w:r>
              <w:rPr>
                <w:rFonts w:ascii="Arial" w:cs="Arial" w:eastAsia="Arial" w:hAnsi="Arial"/>
                <w:sz w:val="18"/>
                <w:szCs w:val="18"/>
                <w:color w:val="auto"/>
              </w:rPr>
              <w:t>Section 5.1</w:t>
            </w:r>
          </w:p>
        </w:tc>
        <w:tc>
          <w:tcPr>
            <w:tcW w:w="9140" w:type="dxa"/>
            <w:vAlign w:val="bottom"/>
          </w:tcPr>
          <w:p>
            <w:pPr>
              <w:ind w:left="100"/>
              <w:spacing w:after="0"/>
              <w:rPr>
                <w:sz w:val="20"/>
                <w:szCs w:val="20"/>
                <w:color w:val="auto"/>
              </w:rPr>
            </w:pPr>
            <w:r>
              <w:rPr>
                <w:rFonts w:ascii="Arial" w:cs="Arial" w:eastAsia="Arial" w:hAnsi="Arial"/>
                <w:sz w:val="18"/>
                <w:szCs w:val="18"/>
                <w:color w:val="auto"/>
              </w:rPr>
              <w:t>Events of Default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1920" w:type="dxa"/>
            <w:vAlign w:val="bottom"/>
          </w:tcPr>
          <w:p>
            <w:pPr>
              <w:ind w:left="360"/>
              <w:spacing w:after="0"/>
              <w:rPr>
                <w:sz w:val="20"/>
                <w:szCs w:val="20"/>
                <w:color w:val="auto"/>
              </w:rPr>
            </w:pPr>
            <w:r>
              <w:rPr>
                <w:rFonts w:ascii="Arial" w:cs="Arial" w:eastAsia="Arial" w:hAnsi="Arial"/>
                <w:sz w:val="18"/>
                <w:szCs w:val="18"/>
                <w:color w:val="auto"/>
              </w:rPr>
              <w:t>Section 5.2</w:t>
            </w:r>
          </w:p>
        </w:tc>
        <w:tc>
          <w:tcPr>
            <w:tcW w:w="9140" w:type="dxa"/>
            <w:vAlign w:val="bottom"/>
          </w:tcPr>
          <w:p>
            <w:pPr>
              <w:ind w:left="100"/>
              <w:spacing w:after="0"/>
              <w:rPr>
                <w:sz w:val="20"/>
                <w:szCs w:val="20"/>
                <w:color w:val="auto"/>
              </w:rPr>
            </w:pPr>
            <w:r>
              <w:rPr>
                <w:rFonts w:ascii="Arial" w:cs="Arial" w:eastAsia="Arial" w:hAnsi="Arial"/>
                <w:sz w:val="18"/>
                <w:szCs w:val="18"/>
                <w:color w:val="auto"/>
              </w:rPr>
              <w:t>Acceleration of Maturity; Rescission and Annulment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60"/>
          </w:cols>
          <w:pgMar w:left="240" w:top="270" w:right="29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5.3</w:t>
            </w:r>
          </w:p>
        </w:tc>
        <w:tc>
          <w:tcPr>
            <w:tcW w:w="8220" w:type="dxa"/>
            <w:vAlign w:val="bottom"/>
          </w:tcPr>
          <w:p>
            <w:pPr>
              <w:ind w:left="320"/>
              <w:spacing w:after="0"/>
              <w:rPr>
                <w:sz w:val="20"/>
                <w:szCs w:val="20"/>
                <w:color w:val="auto"/>
              </w:rPr>
            </w:pPr>
            <w:r>
              <w:rPr>
                <w:rFonts w:ascii="Arial" w:cs="Arial" w:eastAsia="Arial" w:hAnsi="Arial"/>
                <w:sz w:val="18"/>
                <w:szCs w:val="18"/>
                <w:color w:val="auto"/>
              </w:rPr>
              <w:t>Collection of Indebtedness and Suits for Enforcement by Trustee</w:t>
            </w:r>
          </w:p>
        </w:tc>
        <w:tc>
          <w:tcPr>
            <w:tcW w:w="15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5.4</w:t>
            </w:r>
          </w:p>
        </w:tc>
        <w:tc>
          <w:tcPr>
            <w:tcW w:w="8220" w:type="dxa"/>
            <w:vAlign w:val="bottom"/>
          </w:tcPr>
          <w:p>
            <w:pPr>
              <w:ind w:left="320"/>
              <w:spacing w:after="0"/>
              <w:rPr>
                <w:sz w:val="20"/>
                <w:szCs w:val="20"/>
                <w:color w:val="auto"/>
              </w:rPr>
            </w:pPr>
            <w:r>
              <w:rPr>
                <w:rFonts w:ascii="Arial" w:cs="Arial" w:eastAsia="Arial" w:hAnsi="Arial"/>
                <w:sz w:val="18"/>
                <w:szCs w:val="18"/>
                <w:color w:val="auto"/>
              </w:rPr>
              <w:t>Trustee May File Proofs of Claim</w:t>
            </w:r>
          </w:p>
        </w:tc>
        <w:tc>
          <w:tcPr>
            <w:tcW w:w="15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5.5</w:t>
            </w:r>
          </w:p>
        </w:tc>
        <w:tc>
          <w:tcPr>
            <w:tcW w:w="8220" w:type="dxa"/>
            <w:vAlign w:val="bottom"/>
          </w:tcPr>
          <w:p>
            <w:pPr>
              <w:ind w:left="320"/>
              <w:spacing w:after="0"/>
              <w:rPr>
                <w:sz w:val="20"/>
                <w:szCs w:val="20"/>
                <w:color w:val="auto"/>
              </w:rPr>
            </w:pPr>
            <w:r>
              <w:rPr>
                <w:rFonts w:ascii="Arial" w:cs="Arial" w:eastAsia="Arial" w:hAnsi="Arial"/>
                <w:sz w:val="18"/>
                <w:szCs w:val="18"/>
                <w:color w:val="auto"/>
              </w:rPr>
              <w:t>Trustee May Enforce Claims Without Possession of Securities</w:t>
            </w:r>
          </w:p>
        </w:tc>
        <w:tc>
          <w:tcPr>
            <w:tcW w:w="15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5.6</w:t>
            </w:r>
          </w:p>
        </w:tc>
        <w:tc>
          <w:tcPr>
            <w:tcW w:w="8220" w:type="dxa"/>
            <w:vAlign w:val="bottom"/>
          </w:tcPr>
          <w:p>
            <w:pPr>
              <w:ind w:left="320"/>
              <w:spacing w:after="0"/>
              <w:rPr>
                <w:sz w:val="20"/>
                <w:szCs w:val="20"/>
                <w:color w:val="auto"/>
              </w:rPr>
            </w:pPr>
            <w:r>
              <w:rPr>
                <w:rFonts w:ascii="Arial" w:cs="Arial" w:eastAsia="Arial" w:hAnsi="Arial"/>
                <w:sz w:val="18"/>
                <w:szCs w:val="18"/>
                <w:color w:val="auto"/>
              </w:rPr>
              <w:t>Application of Money Collected</w:t>
            </w:r>
          </w:p>
        </w:tc>
        <w:tc>
          <w:tcPr>
            <w:tcW w:w="15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5.7</w:t>
            </w:r>
          </w:p>
        </w:tc>
        <w:tc>
          <w:tcPr>
            <w:tcW w:w="8220" w:type="dxa"/>
            <w:vAlign w:val="bottom"/>
          </w:tcPr>
          <w:p>
            <w:pPr>
              <w:ind w:left="320"/>
              <w:spacing w:after="0"/>
              <w:rPr>
                <w:sz w:val="20"/>
                <w:szCs w:val="20"/>
                <w:color w:val="auto"/>
              </w:rPr>
            </w:pPr>
            <w:r>
              <w:rPr>
                <w:rFonts w:ascii="Arial" w:cs="Arial" w:eastAsia="Arial" w:hAnsi="Arial"/>
                <w:sz w:val="18"/>
                <w:szCs w:val="18"/>
                <w:color w:val="auto"/>
              </w:rPr>
              <w:t>Limitation on Suits</w:t>
            </w:r>
          </w:p>
        </w:tc>
        <w:tc>
          <w:tcPr>
            <w:tcW w:w="15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5.8</w:t>
            </w:r>
          </w:p>
        </w:tc>
        <w:tc>
          <w:tcPr>
            <w:tcW w:w="8220" w:type="dxa"/>
            <w:vAlign w:val="bottom"/>
          </w:tcPr>
          <w:p>
            <w:pPr>
              <w:ind w:left="320"/>
              <w:spacing w:after="0"/>
              <w:rPr>
                <w:sz w:val="20"/>
                <w:szCs w:val="20"/>
                <w:color w:val="auto"/>
              </w:rPr>
            </w:pPr>
            <w:r>
              <w:rPr>
                <w:rFonts w:ascii="Arial" w:cs="Arial" w:eastAsia="Arial" w:hAnsi="Arial"/>
                <w:sz w:val="18"/>
                <w:szCs w:val="18"/>
                <w:color w:val="auto"/>
              </w:rPr>
              <w:t>Unconditional Right of Holders to Receive Principal, Premium and Interest and to Convert</w:t>
            </w:r>
          </w:p>
        </w:tc>
        <w:tc>
          <w:tcPr>
            <w:tcW w:w="15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5.9</w:t>
            </w:r>
          </w:p>
        </w:tc>
        <w:tc>
          <w:tcPr>
            <w:tcW w:w="8220" w:type="dxa"/>
            <w:vAlign w:val="bottom"/>
          </w:tcPr>
          <w:p>
            <w:pPr>
              <w:ind w:left="320"/>
              <w:spacing w:after="0"/>
              <w:rPr>
                <w:sz w:val="20"/>
                <w:szCs w:val="20"/>
                <w:color w:val="auto"/>
              </w:rPr>
            </w:pPr>
            <w:r>
              <w:rPr>
                <w:rFonts w:ascii="Arial" w:cs="Arial" w:eastAsia="Arial" w:hAnsi="Arial"/>
                <w:sz w:val="18"/>
                <w:szCs w:val="18"/>
                <w:color w:val="auto"/>
              </w:rPr>
              <w:t>Restoration of Rights and Remedies</w:t>
            </w:r>
          </w:p>
        </w:tc>
        <w:tc>
          <w:tcPr>
            <w:tcW w:w="15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5.10</w:t>
            </w:r>
          </w:p>
        </w:tc>
        <w:tc>
          <w:tcPr>
            <w:tcW w:w="8220" w:type="dxa"/>
            <w:vAlign w:val="bottom"/>
          </w:tcPr>
          <w:p>
            <w:pPr>
              <w:ind w:left="320"/>
              <w:spacing w:after="0"/>
              <w:rPr>
                <w:sz w:val="20"/>
                <w:szCs w:val="20"/>
                <w:color w:val="auto"/>
              </w:rPr>
            </w:pPr>
            <w:r>
              <w:rPr>
                <w:rFonts w:ascii="Arial" w:cs="Arial" w:eastAsia="Arial" w:hAnsi="Arial"/>
                <w:sz w:val="18"/>
                <w:szCs w:val="18"/>
                <w:color w:val="auto"/>
              </w:rPr>
              <w:t>Rights and Remedies Cumulative</w:t>
            </w:r>
          </w:p>
        </w:tc>
        <w:tc>
          <w:tcPr>
            <w:tcW w:w="15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5.11</w:t>
            </w:r>
          </w:p>
        </w:tc>
        <w:tc>
          <w:tcPr>
            <w:tcW w:w="8220" w:type="dxa"/>
            <w:vAlign w:val="bottom"/>
          </w:tcPr>
          <w:p>
            <w:pPr>
              <w:ind w:left="320"/>
              <w:spacing w:after="0"/>
              <w:rPr>
                <w:sz w:val="20"/>
                <w:szCs w:val="20"/>
                <w:color w:val="auto"/>
              </w:rPr>
            </w:pPr>
            <w:r>
              <w:rPr>
                <w:rFonts w:ascii="Arial" w:cs="Arial" w:eastAsia="Arial" w:hAnsi="Arial"/>
                <w:sz w:val="18"/>
                <w:szCs w:val="18"/>
                <w:color w:val="auto"/>
              </w:rPr>
              <w:t>Delay or Omission Not Waiver</w:t>
            </w:r>
          </w:p>
        </w:tc>
        <w:tc>
          <w:tcPr>
            <w:tcW w:w="15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5.12</w:t>
            </w:r>
          </w:p>
        </w:tc>
        <w:tc>
          <w:tcPr>
            <w:tcW w:w="8220" w:type="dxa"/>
            <w:vAlign w:val="bottom"/>
          </w:tcPr>
          <w:p>
            <w:pPr>
              <w:ind w:left="320"/>
              <w:spacing w:after="0"/>
              <w:rPr>
                <w:sz w:val="20"/>
                <w:szCs w:val="20"/>
                <w:color w:val="auto"/>
              </w:rPr>
            </w:pPr>
            <w:r>
              <w:rPr>
                <w:rFonts w:ascii="Arial" w:cs="Arial" w:eastAsia="Arial" w:hAnsi="Arial"/>
                <w:sz w:val="18"/>
                <w:szCs w:val="18"/>
                <w:color w:val="auto"/>
              </w:rPr>
              <w:t>Control by Holders</w:t>
            </w:r>
          </w:p>
        </w:tc>
        <w:tc>
          <w:tcPr>
            <w:tcW w:w="15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5.13</w:t>
            </w:r>
          </w:p>
        </w:tc>
        <w:tc>
          <w:tcPr>
            <w:tcW w:w="8220" w:type="dxa"/>
            <w:vAlign w:val="bottom"/>
          </w:tcPr>
          <w:p>
            <w:pPr>
              <w:ind w:left="320"/>
              <w:spacing w:after="0"/>
              <w:rPr>
                <w:sz w:val="20"/>
                <w:szCs w:val="20"/>
                <w:color w:val="auto"/>
              </w:rPr>
            </w:pPr>
            <w:r>
              <w:rPr>
                <w:rFonts w:ascii="Arial" w:cs="Arial" w:eastAsia="Arial" w:hAnsi="Arial"/>
                <w:sz w:val="18"/>
                <w:szCs w:val="18"/>
                <w:color w:val="auto"/>
              </w:rPr>
              <w:t>Waiver of Past Defaults</w:t>
            </w:r>
          </w:p>
        </w:tc>
        <w:tc>
          <w:tcPr>
            <w:tcW w:w="15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5.14</w:t>
            </w:r>
          </w:p>
        </w:tc>
        <w:tc>
          <w:tcPr>
            <w:tcW w:w="8220" w:type="dxa"/>
            <w:vAlign w:val="bottom"/>
          </w:tcPr>
          <w:p>
            <w:pPr>
              <w:ind w:left="320"/>
              <w:spacing w:after="0"/>
              <w:rPr>
                <w:sz w:val="20"/>
                <w:szCs w:val="20"/>
                <w:color w:val="auto"/>
              </w:rPr>
            </w:pPr>
            <w:r>
              <w:rPr>
                <w:rFonts w:ascii="Arial" w:cs="Arial" w:eastAsia="Arial" w:hAnsi="Arial"/>
                <w:sz w:val="18"/>
                <w:szCs w:val="18"/>
                <w:color w:val="auto"/>
              </w:rPr>
              <w:t>Undertaking for Costs</w:t>
            </w:r>
          </w:p>
        </w:tc>
        <w:tc>
          <w:tcPr>
            <w:tcW w:w="15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1600" w:type="dxa"/>
            <w:vAlign w:val="bottom"/>
          </w:tcPr>
          <w:p>
            <w:pPr>
              <w:ind w:left="360"/>
              <w:spacing w:after="0"/>
              <w:rPr>
                <w:sz w:val="20"/>
                <w:szCs w:val="20"/>
                <w:color w:val="auto"/>
              </w:rPr>
            </w:pPr>
            <w:r>
              <w:rPr>
                <w:rFonts w:ascii="Arial" w:cs="Arial" w:eastAsia="Arial" w:hAnsi="Arial"/>
                <w:sz w:val="18"/>
                <w:szCs w:val="18"/>
                <w:color w:val="auto"/>
              </w:rPr>
              <w:t>Section 5.15</w:t>
            </w:r>
          </w:p>
        </w:tc>
        <w:tc>
          <w:tcPr>
            <w:tcW w:w="8220" w:type="dxa"/>
            <w:vAlign w:val="bottom"/>
          </w:tcPr>
          <w:p>
            <w:pPr>
              <w:ind w:left="320"/>
              <w:spacing w:after="0"/>
              <w:rPr>
                <w:sz w:val="20"/>
                <w:szCs w:val="20"/>
                <w:color w:val="auto"/>
              </w:rPr>
            </w:pPr>
            <w:r>
              <w:rPr>
                <w:rFonts w:ascii="Arial" w:cs="Arial" w:eastAsia="Arial" w:hAnsi="Arial"/>
                <w:sz w:val="18"/>
                <w:szCs w:val="18"/>
                <w:color w:val="auto"/>
              </w:rPr>
              <w:t>Waiver of Usury, Stay or Extension Laws</w:t>
            </w:r>
          </w:p>
        </w:tc>
        <w:tc>
          <w:tcPr>
            <w:tcW w:w="15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9820" w:type="dxa"/>
            <w:vAlign w:val="bottom"/>
            <w:gridSpan w:val="2"/>
          </w:tcPr>
          <w:p>
            <w:pPr>
              <w:spacing w:after="0"/>
              <w:rPr>
                <w:sz w:val="20"/>
                <w:szCs w:val="20"/>
                <w:color w:val="auto"/>
              </w:rPr>
            </w:pPr>
            <w:r>
              <w:rPr>
                <w:rFonts w:ascii="Arial" w:cs="Arial" w:eastAsia="Arial" w:hAnsi="Arial"/>
                <w:sz w:val="18"/>
                <w:szCs w:val="18"/>
                <w:color w:val="auto"/>
              </w:rPr>
              <w:t>ARTICLE 6 THE TRUSTEE</w:t>
            </w:r>
          </w:p>
        </w:tc>
        <w:tc>
          <w:tcPr>
            <w:tcW w:w="15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10"/>
        </w:trPr>
        <w:tc>
          <w:tcPr>
            <w:tcW w:w="1600" w:type="dxa"/>
            <w:vAlign w:val="bottom"/>
          </w:tcPr>
          <w:p>
            <w:pPr>
              <w:ind w:left="360"/>
              <w:spacing w:after="0"/>
              <w:rPr>
                <w:sz w:val="20"/>
                <w:szCs w:val="20"/>
                <w:color w:val="auto"/>
              </w:rPr>
            </w:pPr>
            <w:r>
              <w:rPr>
                <w:rFonts w:ascii="Arial" w:cs="Arial" w:eastAsia="Arial" w:hAnsi="Arial"/>
                <w:sz w:val="18"/>
                <w:szCs w:val="18"/>
                <w:color w:val="auto"/>
              </w:rPr>
              <w:t>Section 6.1</w:t>
            </w:r>
          </w:p>
        </w:tc>
        <w:tc>
          <w:tcPr>
            <w:tcW w:w="8220" w:type="dxa"/>
            <w:vAlign w:val="bottom"/>
          </w:tcPr>
          <w:p>
            <w:pPr>
              <w:ind w:left="320"/>
              <w:spacing w:after="0"/>
              <w:rPr>
                <w:sz w:val="20"/>
                <w:szCs w:val="20"/>
                <w:color w:val="auto"/>
              </w:rPr>
            </w:pPr>
            <w:r>
              <w:rPr>
                <w:rFonts w:ascii="Arial" w:cs="Arial" w:eastAsia="Arial" w:hAnsi="Arial"/>
                <w:sz w:val="18"/>
                <w:szCs w:val="18"/>
                <w:color w:val="auto"/>
              </w:rPr>
              <w:t>Certain Duties and Responsibilities</w:t>
            </w:r>
          </w:p>
        </w:tc>
        <w:tc>
          <w:tcPr>
            <w:tcW w:w="15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6.2</w:t>
            </w:r>
          </w:p>
        </w:tc>
        <w:tc>
          <w:tcPr>
            <w:tcW w:w="8220" w:type="dxa"/>
            <w:vAlign w:val="bottom"/>
          </w:tcPr>
          <w:p>
            <w:pPr>
              <w:ind w:left="320"/>
              <w:spacing w:after="0"/>
              <w:rPr>
                <w:sz w:val="20"/>
                <w:szCs w:val="20"/>
                <w:color w:val="auto"/>
              </w:rPr>
            </w:pPr>
            <w:r>
              <w:rPr>
                <w:rFonts w:ascii="Arial" w:cs="Arial" w:eastAsia="Arial" w:hAnsi="Arial"/>
                <w:sz w:val="18"/>
                <w:szCs w:val="18"/>
                <w:color w:val="auto"/>
              </w:rPr>
              <w:t>Notice of Defaults</w:t>
            </w:r>
          </w:p>
        </w:tc>
        <w:tc>
          <w:tcPr>
            <w:tcW w:w="15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6.3</w:t>
            </w:r>
          </w:p>
        </w:tc>
        <w:tc>
          <w:tcPr>
            <w:tcW w:w="8220" w:type="dxa"/>
            <w:vAlign w:val="bottom"/>
          </w:tcPr>
          <w:p>
            <w:pPr>
              <w:ind w:left="320"/>
              <w:spacing w:after="0"/>
              <w:rPr>
                <w:sz w:val="20"/>
                <w:szCs w:val="20"/>
                <w:color w:val="auto"/>
              </w:rPr>
            </w:pPr>
            <w:r>
              <w:rPr>
                <w:rFonts w:ascii="Arial" w:cs="Arial" w:eastAsia="Arial" w:hAnsi="Arial"/>
                <w:sz w:val="18"/>
                <w:szCs w:val="18"/>
                <w:color w:val="auto"/>
              </w:rPr>
              <w:t>Certain Rights of Trustee</w:t>
            </w:r>
          </w:p>
        </w:tc>
        <w:tc>
          <w:tcPr>
            <w:tcW w:w="15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6.4</w:t>
            </w:r>
          </w:p>
        </w:tc>
        <w:tc>
          <w:tcPr>
            <w:tcW w:w="8220" w:type="dxa"/>
            <w:vAlign w:val="bottom"/>
          </w:tcPr>
          <w:p>
            <w:pPr>
              <w:ind w:left="320"/>
              <w:spacing w:after="0"/>
              <w:rPr>
                <w:sz w:val="20"/>
                <w:szCs w:val="20"/>
                <w:color w:val="auto"/>
              </w:rPr>
            </w:pPr>
            <w:r>
              <w:rPr>
                <w:rFonts w:ascii="Arial" w:cs="Arial" w:eastAsia="Arial" w:hAnsi="Arial"/>
                <w:sz w:val="18"/>
                <w:szCs w:val="18"/>
                <w:color w:val="auto"/>
              </w:rPr>
              <w:t>Not Responsible for Recitals or Issuance of Securities</w:t>
            </w:r>
          </w:p>
        </w:tc>
        <w:tc>
          <w:tcPr>
            <w:tcW w:w="15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6.5</w:t>
            </w:r>
          </w:p>
        </w:tc>
        <w:tc>
          <w:tcPr>
            <w:tcW w:w="8220" w:type="dxa"/>
            <w:vAlign w:val="bottom"/>
          </w:tcPr>
          <w:p>
            <w:pPr>
              <w:ind w:left="320"/>
              <w:spacing w:after="0"/>
              <w:rPr>
                <w:sz w:val="20"/>
                <w:szCs w:val="20"/>
                <w:color w:val="auto"/>
              </w:rPr>
            </w:pPr>
            <w:r>
              <w:rPr>
                <w:rFonts w:ascii="Arial" w:cs="Arial" w:eastAsia="Arial" w:hAnsi="Arial"/>
                <w:sz w:val="18"/>
                <w:szCs w:val="18"/>
                <w:color w:val="auto"/>
              </w:rPr>
              <w:t>May Hold Securities and Act as Trustee under Other Indentures</w:t>
            </w:r>
          </w:p>
        </w:tc>
        <w:tc>
          <w:tcPr>
            <w:tcW w:w="15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6.6</w:t>
            </w:r>
          </w:p>
        </w:tc>
        <w:tc>
          <w:tcPr>
            <w:tcW w:w="8220" w:type="dxa"/>
            <w:vAlign w:val="bottom"/>
          </w:tcPr>
          <w:p>
            <w:pPr>
              <w:ind w:left="320"/>
              <w:spacing w:after="0"/>
              <w:rPr>
                <w:sz w:val="20"/>
                <w:szCs w:val="20"/>
                <w:color w:val="auto"/>
              </w:rPr>
            </w:pPr>
            <w:r>
              <w:rPr>
                <w:rFonts w:ascii="Arial" w:cs="Arial" w:eastAsia="Arial" w:hAnsi="Arial"/>
                <w:sz w:val="18"/>
                <w:szCs w:val="18"/>
                <w:color w:val="auto"/>
              </w:rPr>
              <w:t>Money Held in Trust</w:t>
            </w:r>
          </w:p>
        </w:tc>
        <w:tc>
          <w:tcPr>
            <w:tcW w:w="15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6.7</w:t>
            </w:r>
          </w:p>
        </w:tc>
        <w:tc>
          <w:tcPr>
            <w:tcW w:w="8220" w:type="dxa"/>
            <w:vAlign w:val="bottom"/>
          </w:tcPr>
          <w:p>
            <w:pPr>
              <w:ind w:left="320"/>
              <w:spacing w:after="0"/>
              <w:rPr>
                <w:sz w:val="20"/>
                <w:szCs w:val="20"/>
                <w:color w:val="auto"/>
              </w:rPr>
            </w:pPr>
            <w:r>
              <w:rPr>
                <w:rFonts w:ascii="Arial" w:cs="Arial" w:eastAsia="Arial" w:hAnsi="Arial"/>
                <w:sz w:val="18"/>
                <w:szCs w:val="18"/>
                <w:color w:val="auto"/>
              </w:rPr>
              <w:t>Compensation and Reimbursement</w:t>
            </w:r>
          </w:p>
        </w:tc>
        <w:tc>
          <w:tcPr>
            <w:tcW w:w="15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6.8</w:t>
            </w:r>
          </w:p>
        </w:tc>
        <w:tc>
          <w:tcPr>
            <w:tcW w:w="8220" w:type="dxa"/>
            <w:vAlign w:val="bottom"/>
          </w:tcPr>
          <w:p>
            <w:pPr>
              <w:ind w:left="320"/>
              <w:spacing w:after="0"/>
              <w:rPr>
                <w:sz w:val="20"/>
                <w:szCs w:val="20"/>
                <w:color w:val="auto"/>
              </w:rPr>
            </w:pPr>
            <w:r>
              <w:rPr>
                <w:rFonts w:ascii="Arial" w:cs="Arial" w:eastAsia="Arial" w:hAnsi="Arial"/>
                <w:sz w:val="18"/>
                <w:szCs w:val="18"/>
                <w:color w:val="auto"/>
              </w:rPr>
              <w:t>Conflicting Interests</w:t>
            </w:r>
          </w:p>
        </w:tc>
        <w:tc>
          <w:tcPr>
            <w:tcW w:w="15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6.9</w:t>
            </w:r>
          </w:p>
        </w:tc>
        <w:tc>
          <w:tcPr>
            <w:tcW w:w="8220" w:type="dxa"/>
            <w:vAlign w:val="bottom"/>
          </w:tcPr>
          <w:p>
            <w:pPr>
              <w:ind w:left="320"/>
              <w:spacing w:after="0"/>
              <w:rPr>
                <w:sz w:val="20"/>
                <w:szCs w:val="20"/>
                <w:color w:val="auto"/>
              </w:rPr>
            </w:pPr>
            <w:r>
              <w:rPr>
                <w:rFonts w:ascii="Arial" w:cs="Arial" w:eastAsia="Arial" w:hAnsi="Arial"/>
                <w:sz w:val="18"/>
                <w:szCs w:val="18"/>
                <w:color w:val="auto"/>
              </w:rPr>
              <w:t>Corporate Trustee Required; Eligibility</w:t>
            </w:r>
          </w:p>
        </w:tc>
        <w:tc>
          <w:tcPr>
            <w:tcW w:w="15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6.10</w:t>
            </w:r>
          </w:p>
        </w:tc>
        <w:tc>
          <w:tcPr>
            <w:tcW w:w="8220" w:type="dxa"/>
            <w:vAlign w:val="bottom"/>
          </w:tcPr>
          <w:p>
            <w:pPr>
              <w:ind w:left="320"/>
              <w:spacing w:after="0"/>
              <w:rPr>
                <w:sz w:val="20"/>
                <w:szCs w:val="20"/>
                <w:color w:val="auto"/>
              </w:rPr>
            </w:pPr>
            <w:r>
              <w:rPr>
                <w:rFonts w:ascii="Arial" w:cs="Arial" w:eastAsia="Arial" w:hAnsi="Arial"/>
                <w:sz w:val="18"/>
                <w:szCs w:val="18"/>
                <w:color w:val="auto"/>
              </w:rPr>
              <w:t>Resignation and Removal; Appointment of Successor</w:t>
            </w:r>
          </w:p>
        </w:tc>
        <w:tc>
          <w:tcPr>
            <w:tcW w:w="15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6.11</w:t>
            </w:r>
          </w:p>
        </w:tc>
        <w:tc>
          <w:tcPr>
            <w:tcW w:w="8220" w:type="dxa"/>
            <w:vAlign w:val="bottom"/>
          </w:tcPr>
          <w:p>
            <w:pPr>
              <w:ind w:left="320"/>
              <w:spacing w:after="0"/>
              <w:rPr>
                <w:sz w:val="20"/>
                <w:szCs w:val="20"/>
                <w:color w:val="auto"/>
              </w:rPr>
            </w:pPr>
            <w:r>
              <w:rPr>
                <w:rFonts w:ascii="Arial" w:cs="Arial" w:eastAsia="Arial" w:hAnsi="Arial"/>
                <w:sz w:val="18"/>
                <w:szCs w:val="18"/>
                <w:color w:val="auto"/>
              </w:rPr>
              <w:t>Acceptance of Appointment by Successor</w:t>
            </w:r>
          </w:p>
        </w:tc>
        <w:tc>
          <w:tcPr>
            <w:tcW w:w="15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6.12</w:t>
            </w:r>
          </w:p>
        </w:tc>
        <w:tc>
          <w:tcPr>
            <w:tcW w:w="8220" w:type="dxa"/>
            <w:vAlign w:val="bottom"/>
          </w:tcPr>
          <w:p>
            <w:pPr>
              <w:ind w:left="320"/>
              <w:spacing w:after="0"/>
              <w:rPr>
                <w:sz w:val="20"/>
                <w:szCs w:val="20"/>
                <w:color w:val="auto"/>
              </w:rPr>
            </w:pPr>
            <w:r>
              <w:rPr>
                <w:rFonts w:ascii="Arial" w:cs="Arial" w:eastAsia="Arial" w:hAnsi="Arial"/>
                <w:sz w:val="18"/>
                <w:szCs w:val="18"/>
                <w:color w:val="auto"/>
              </w:rPr>
              <w:t>Merger, Conversion, Consolidation or Succession to Business</w:t>
            </w:r>
          </w:p>
        </w:tc>
        <w:tc>
          <w:tcPr>
            <w:tcW w:w="15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6.13</w:t>
            </w:r>
          </w:p>
        </w:tc>
        <w:tc>
          <w:tcPr>
            <w:tcW w:w="8220" w:type="dxa"/>
            <w:vAlign w:val="bottom"/>
          </w:tcPr>
          <w:p>
            <w:pPr>
              <w:ind w:left="320"/>
              <w:spacing w:after="0"/>
              <w:rPr>
                <w:sz w:val="20"/>
                <w:szCs w:val="20"/>
                <w:color w:val="auto"/>
              </w:rPr>
            </w:pPr>
            <w:r>
              <w:rPr>
                <w:rFonts w:ascii="Arial" w:cs="Arial" w:eastAsia="Arial" w:hAnsi="Arial"/>
                <w:sz w:val="18"/>
                <w:szCs w:val="18"/>
                <w:color w:val="auto"/>
              </w:rPr>
              <w:t>Preferential Collection of Claims Against Company</w:t>
            </w:r>
          </w:p>
        </w:tc>
        <w:tc>
          <w:tcPr>
            <w:tcW w:w="15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1600" w:type="dxa"/>
            <w:vAlign w:val="bottom"/>
          </w:tcPr>
          <w:p>
            <w:pPr>
              <w:ind w:left="360"/>
              <w:spacing w:after="0"/>
              <w:rPr>
                <w:sz w:val="20"/>
                <w:szCs w:val="20"/>
                <w:color w:val="auto"/>
              </w:rPr>
            </w:pPr>
            <w:r>
              <w:rPr>
                <w:rFonts w:ascii="Arial" w:cs="Arial" w:eastAsia="Arial" w:hAnsi="Arial"/>
                <w:sz w:val="18"/>
                <w:szCs w:val="18"/>
                <w:color w:val="auto"/>
              </w:rPr>
              <w:t>Section 6.14</w:t>
            </w:r>
          </w:p>
        </w:tc>
        <w:tc>
          <w:tcPr>
            <w:tcW w:w="8220" w:type="dxa"/>
            <w:vAlign w:val="bottom"/>
          </w:tcPr>
          <w:p>
            <w:pPr>
              <w:ind w:left="320"/>
              <w:spacing w:after="0"/>
              <w:rPr>
                <w:sz w:val="20"/>
                <w:szCs w:val="20"/>
                <w:color w:val="auto"/>
              </w:rPr>
            </w:pPr>
            <w:r>
              <w:rPr>
                <w:rFonts w:ascii="Arial" w:cs="Arial" w:eastAsia="Arial" w:hAnsi="Arial"/>
                <w:sz w:val="18"/>
                <w:szCs w:val="18"/>
                <w:color w:val="auto"/>
              </w:rPr>
              <w:t>Appointment of Authenticating Agent</w:t>
            </w:r>
          </w:p>
        </w:tc>
        <w:tc>
          <w:tcPr>
            <w:tcW w:w="15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9820" w:type="dxa"/>
            <w:vAlign w:val="bottom"/>
            <w:gridSpan w:val="2"/>
          </w:tcPr>
          <w:p>
            <w:pPr>
              <w:spacing w:after="0"/>
              <w:rPr>
                <w:sz w:val="20"/>
                <w:szCs w:val="20"/>
                <w:color w:val="auto"/>
              </w:rPr>
            </w:pPr>
            <w:r>
              <w:rPr>
                <w:rFonts w:ascii="Arial" w:cs="Arial" w:eastAsia="Arial" w:hAnsi="Arial"/>
                <w:sz w:val="18"/>
                <w:szCs w:val="18"/>
                <w:color w:val="auto"/>
              </w:rPr>
              <w:t>ARTICLE 7 HOLDERS’ LISTS AND REPORTS BY TRUSTEE AND COMPANY</w:t>
            </w:r>
          </w:p>
        </w:tc>
        <w:tc>
          <w:tcPr>
            <w:tcW w:w="15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10"/>
        </w:trPr>
        <w:tc>
          <w:tcPr>
            <w:tcW w:w="1600" w:type="dxa"/>
            <w:vAlign w:val="bottom"/>
          </w:tcPr>
          <w:p>
            <w:pPr>
              <w:ind w:left="360"/>
              <w:spacing w:after="0"/>
              <w:rPr>
                <w:sz w:val="20"/>
                <w:szCs w:val="20"/>
                <w:color w:val="auto"/>
              </w:rPr>
            </w:pPr>
            <w:r>
              <w:rPr>
                <w:rFonts w:ascii="Arial" w:cs="Arial" w:eastAsia="Arial" w:hAnsi="Arial"/>
                <w:sz w:val="18"/>
                <w:szCs w:val="18"/>
                <w:color w:val="auto"/>
              </w:rPr>
              <w:t>Section 7.1</w:t>
            </w:r>
          </w:p>
        </w:tc>
        <w:tc>
          <w:tcPr>
            <w:tcW w:w="8220" w:type="dxa"/>
            <w:vAlign w:val="bottom"/>
          </w:tcPr>
          <w:p>
            <w:pPr>
              <w:ind w:left="320"/>
              <w:spacing w:after="0"/>
              <w:rPr>
                <w:sz w:val="20"/>
                <w:szCs w:val="20"/>
                <w:color w:val="auto"/>
              </w:rPr>
            </w:pPr>
            <w:r>
              <w:rPr>
                <w:rFonts w:ascii="Arial" w:cs="Arial" w:eastAsia="Arial" w:hAnsi="Arial"/>
                <w:sz w:val="18"/>
                <w:szCs w:val="18"/>
                <w:color w:val="auto"/>
              </w:rPr>
              <w:t>Company to Furnish Trustee Names and Addresses of Holders</w:t>
            </w:r>
          </w:p>
        </w:tc>
        <w:tc>
          <w:tcPr>
            <w:tcW w:w="15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7.2</w:t>
            </w:r>
          </w:p>
        </w:tc>
        <w:tc>
          <w:tcPr>
            <w:tcW w:w="8220" w:type="dxa"/>
            <w:vAlign w:val="bottom"/>
          </w:tcPr>
          <w:p>
            <w:pPr>
              <w:ind w:left="320"/>
              <w:spacing w:after="0"/>
              <w:rPr>
                <w:sz w:val="20"/>
                <w:szCs w:val="20"/>
                <w:color w:val="auto"/>
              </w:rPr>
            </w:pPr>
            <w:r>
              <w:rPr>
                <w:rFonts w:ascii="Arial" w:cs="Arial" w:eastAsia="Arial" w:hAnsi="Arial"/>
                <w:sz w:val="18"/>
                <w:szCs w:val="18"/>
                <w:color w:val="auto"/>
              </w:rPr>
              <w:t>Preservation of Information; Communications to Holders</w:t>
            </w:r>
          </w:p>
        </w:tc>
        <w:tc>
          <w:tcPr>
            <w:tcW w:w="15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7.3</w:t>
            </w:r>
          </w:p>
        </w:tc>
        <w:tc>
          <w:tcPr>
            <w:tcW w:w="8220" w:type="dxa"/>
            <w:vAlign w:val="bottom"/>
          </w:tcPr>
          <w:p>
            <w:pPr>
              <w:ind w:left="320"/>
              <w:spacing w:after="0"/>
              <w:rPr>
                <w:sz w:val="20"/>
                <w:szCs w:val="20"/>
                <w:color w:val="auto"/>
              </w:rPr>
            </w:pPr>
            <w:r>
              <w:rPr>
                <w:rFonts w:ascii="Arial" w:cs="Arial" w:eastAsia="Arial" w:hAnsi="Arial"/>
                <w:sz w:val="18"/>
                <w:szCs w:val="18"/>
                <w:color w:val="auto"/>
              </w:rPr>
              <w:t>Reports by Trustee</w:t>
            </w:r>
          </w:p>
        </w:tc>
        <w:tc>
          <w:tcPr>
            <w:tcW w:w="15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1600" w:type="dxa"/>
            <w:vAlign w:val="bottom"/>
          </w:tcPr>
          <w:p>
            <w:pPr>
              <w:ind w:left="360"/>
              <w:spacing w:after="0"/>
              <w:rPr>
                <w:sz w:val="20"/>
                <w:szCs w:val="20"/>
                <w:color w:val="auto"/>
              </w:rPr>
            </w:pPr>
            <w:r>
              <w:rPr>
                <w:rFonts w:ascii="Arial" w:cs="Arial" w:eastAsia="Arial" w:hAnsi="Arial"/>
                <w:sz w:val="18"/>
                <w:szCs w:val="18"/>
                <w:color w:val="auto"/>
              </w:rPr>
              <w:t>Section 7.4</w:t>
            </w:r>
          </w:p>
        </w:tc>
        <w:tc>
          <w:tcPr>
            <w:tcW w:w="8220" w:type="dxa"/>
            <w:vAlign w:val="bottom"/>
          </w:tcPr>
          <w:p>
            <w:pPr>
              <w:ind w:left="320"/>
              <w:spacing w:after="0"/>
              <w:rPr>
                <w:sz w:val="20"/>
                <w:szCs w:val="20"/>
                <w:color w:val="auto"/>
              </w:rPr>
            </w:pPr>
            <w:r>
              <w:rPr>
                <w:rFonts w:ascii="Arial" w:cs="Arial" w:eastAsia="Arial" w:hAnsi="Arial"/>
                <w:sz w:val="18"/>
                <w:szCs w:val="18"/>
                <w:color w:val="auto"/>
              </w:rPr>
              <w:t>Reports by Company</w:t>
            </w:r>
          </w:p>
        </w:tc>
        <w:tc>
          <w:tcPr>
            <w:tcW w:w="15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24"/>
        </w:trPr>
        <w:tc>
          <w:tcPr>
            <w:tcW w:w="9820" w:type="dxa"/>
            <w:vAlign w:val="bottom"/>
            <w:gridSpan w:val="2"/>
          </w:tcPr>
          <w:p>
            <w:pPr>
              <w:spacing w:after="0"/>
              <w:rPr>
                <w:sz w:val="20"/>
                <w:szCs w:val="20"/>
                <w:color w:val="auto"/>
              </w:rPr>
            </w:pPr>
            <w:r>
              <w:rPr>
                <w:rFonts w:ascii="Arial" w:cs="Arial" w:eastAsia="Arial" w:hAnsi="Arial"/>
                <w:sz w:val="18"/>
                <w:szCs w:val="18"/>
                <w:color w:val="auto"/>
              </w:rPr>
              <w:t>ARTICLE 8 CONSOLIDATION, MERGER, CONVEYANCE, TRANSFER OR LEASE</w:t>
            </w:r>
          </w:p>
        </w:tc>
        <w:tc>
          <w:tcPr>
            <w:tcW w:w="15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10"/>
        </w:trPr>
        <w:tc>
          <w:tcPr>
            <w:tcW w:w="1600" w:type="dxa"/>
            <w:vAlign w:val="bottom"/>
          </w:tcPr>
          <w:p>
            <w:pPr>
              <w:ind w:left="360"/>
              <w:spacing w:after="0"/>
              <w:rPr>
                <w:sz w:val="20"/>
                <w:szCs w:val="20"/>
                <w:color w:val="auto"/>
              </w:rPr>
            </w:pPr>
            <w:r>
              <w:rPr>
                <w:rFonts w:ascii="Arial" w:cs="Arial" w:eastAsia="Arial" w:hAnsi="Arial"/>
                <w:sz w:val="18"/>
                <w:szCs w:val="18"/>
                <w:color w:val="auto"/>
              </w:rPr>
              <w:t>Section 8.1</w:t>
            </w:r>
          </w:p>
        </w:tc>
        <w:tc>
          <w:tcPr>
            <w:tcW w:w="8220" w:type="dxa"/>
            <w:vAlign w:val="bottom"/>
          </w:tcPr>
          <w:p>
            <w:pPr>
              <w:ind w:left="320"/>
              <w:spacing w:after="0"/>
              <w:rPr>
                <w:sz w:val="20"/>
                <w:szCs w:val="20"/>
                <w:color w:val="auto"/>
              </w:rPr>
            </w:pPr>
            <w:r>
              <w:rPr>
                <w:rFonts w:ascii="Arial" w:cs="Arial" w:eastAsia="Arial" w:hAnsi="Arial"/>
                <w:sz w:val="18"/>
                <w:szCs w:val="18"/>
                <w:color w:val="auto"/>
              </w:rPr>
              <w:t>Company May Consolidate, etc., Only on Certain Terms</w:t>
            </w:r>
          </w:p>
        </w:tc>
        <w:tc>
          <w:tcPr>
            <w:tcW w:w="15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1600" w:type="dxa"/>
            <w:vAlign w:val="bottom"/>
          </w:tcPr>
          <w:p>
            <w:pPr>
              <w:ind w:left="360"/>
              <w:spacing w:after="0"/>
              <w:rPr>
                <w:sz w:val="20"/>
                <w:szCs w:val="20"/>
                <w:color w:val="auto"/>
              </w:rPr>
            </w:pPr>
            <w:r>
              <w:rPr>
                <w:rFonts w:ascii="Arial" w:cs="Arial" w:eastAsia="Arial" w:hAnsi="Arial"/>
                <w:sz w:val="18"/>
                <w:szCs w:val="18"/>
                <w:color w:val="auto"/>
              </w:rPr>
              <w:t>Section 8.2</w:t>
            </w:r>
          </w:p>
        </w:tc>
        <w:tc>
          <w:tcPr>
            <w:tcW w:w="8220" w:type="dxa"/>
            <w:vAlign w:val="bottom"/>
          </w:tcPr>
          <w:p>
            <w:pPr>
              <w:ind w:left="320"/>
              <w:spacing w:after="0"/>
              <w:rPr>
                <w:sz w:val="20"/>
                <w:szCs w:val="20"/>
                <w:color w:val="auto"/>
              </w:rPr>
            </w:pPr>
            <w:r>
              <w:rPr>
                <w:rFonts w:ascii="Arial" w:cs="Arial" w:eastAsia="Arial" w:hAnsi="Arial"/>
                <w:sz w:val="18"/>
                <w:szCs w:val="18"/>
                <w:color w:val="auto"/>
              </w:rPr>
              <w:t>Successor Substituted</w:t>
            </w:r>
          </w:p>
        </w:tc>
        <w:tc>
          <w:tcPr>
            <w:tcW w:w="15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24"/>
        </w:trPr>
        <w:tc>
          <w:tcPr>
            <w:tcW w:w="9820" w:type="dxa"/>
            <w:vAlign w:val="bottom"/>
            <w:gridSpan w:val="2"/>
          </w:tcPr>
          <w:p>
            <w:pPr>
              <w:spacing w:after="0"/>
              <w:rPr>
                <w:sz w:val="20"/>
                <w:szCs w:val="20"/>
                <w:color w:val="auto"/>
              </w:rPr>
            </w:pPr>
            <w:r>
              <w:rPr>
                <w:rFonts w:ascii="Arial" w:cs="Arial" w:eastAsia="Arial" w:hAnsi="Arial"/>
                <w:sz w:val="18"/>
                <w:szCs w:val="18"/>
                <w:color w:val="auto"/>
              </w:rPr>
              <w:t>ARTICLE 9 SUPPLEMENTAL INDENTURES</w:t>
            </w:r>
          </w:p>
        </w:tc>
        <w:tc>
          <w:tcPr>
            <w:tcW w:w="15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10"/>
        </w:trPr>
        <w:tc>
          <w:tcPr>
            <w:tcW w:w="1600" w:type="dxa"/>
            <w:vAlign w:val="bottom"/>
          </w:tcPr>
          <w:p>
            <w:pPr>
              <w:ind w:left="360"/>
              <w:spacing w:after="0"/>
              <w:rPr>
                <w:sz w:val="20"/>
                <w:szCs w:val="20"/>
                <w:color w:val="auto"/>
              </w:rPr>
            </w:pPr>
            <w:r>
              <w:rPr>
                <w:rFonts w:ascii="Arial" w:cs="Arial" w:eastAsia="Arial" w:hAnsi="Arial"/>
                <w:sz w:val="18"/>
                <w:szCs w:val="18"/>
                <w:color w:val="auto"/>
              </w:rPr>
              <w:t>Section 9.1</w:t>
            </w:r>
          </w:p>
        </w:tc>
        <w:tc>
          <w:tcPr>
            <w:tcW w:w="8220" w:type="dxa"/>
            <w:vAlign w:val="bottom"/>
          </w:tcPr>
          <w:p>
            <w:pPr>
              <w:ind w:left="320"/>
              <w:spacing w:after="0"/>
              <w:rPr>
                <w:sz w:val="20"/>
                <w:szCs w:val="20"/>
                <w:color w:val="auto"/>
              </w:rPr>
            </w:pPr>
            <w:r>
              <w:rPr>
                <w:rFonts w:ascii="Arial" w:cs="Arial" w:eastAsia="Arial" w:hAnsi="Arial"/>
                <w:sz w:val="18"/>
                <w:szCs w:val="18"/>
                <w:color w:val="auto"/>
              </w:rPr>
              <w:t>Supplemental Indentures Without Consent of Holders</w:t>
            </w:r>
          </w:p>
        </w:tc>
        <w:tc>
          <w:tcPr>
            <w:tcW w:w="15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9.2</w:t>
            </w:r>
          </w:p>
        </w:tc>
        <w:tc>
          <w:tcPr>
            <w:tcW w:w="8220" w:type="dxa"/>
            <w:vAlign w:val="bottom"/>
          </w:tcPr>
          <w:p>
            <w:pPr>
              <w:ind w:left="320"/>
              <w:spacing w:after="0"/>
              <w:rPr>
                <w:sz w:val="20"/>
                <w:szCs w:val="20"/>
                <w:color w:val="auto"/>
              </w:rPr>
            </w:pPr>
            <w:r>
              <w:rPr>
                <w:rFonts w:ascii="Arial" w:cs="Arial" w:eastAsia="Arial" w:hAnsi="Arial"/>
                <w:sz w:val="18"/>
                <w:szCs w:val="18"/>
                <w:color w:val="auto"/>
              </w:rPr>
              <w:t>Supplemental Indentures with Consent of Holders</w:t>
            </w:r>
          </w:p>
        </w:tc>
        <w:tc>
          <w:tcPr>
            <w:tcW w:w="15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9.3</w:t>
            </w:r>
          </w:p>
        </w:tc>
        <w:tc>
          <w:tcPr>
            <w:tcW w:w="8220" w:type="dxa"/>
            <w:vAlign w:val="bottom"/>
          </w:tcPr>
          <w:p>
            <w:pPr>
              <w:ind w:left="320"/>
              <w:spacing w:after="0"/>
              <w:rPr>
                <w:sz w:val="20"/>
                <w:szCs w:val="20"/>
                <w:color w:val="auto"/>
              </w:rPr>
            </w:pPr>
            <w:r>
              <w:rPr>
                <w:rFonts w:ascii="Arial" w:cs="Arial" w:eastAsia="Arial" w:hAnsi="Arial"/>
                <w:sz w:val="18"/>
                <w:szCs w:val="18"/>
                <w:color w:val="auto"/>
              </w:rPr>
              <w:t>Execution of Supplemental Indentures</w:t>
            </w:r>
          </w:p>
        </w:tc>
        <w:tc>
          <w:tcPr>
            <w:tcW w:w="15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30"/>
        </w:trPr>
        <w:tc>
          <w:tcPr>
            <w:tcW w:w="1600" w:type="dxa"/>
            <w:vAlign w:val="bottom"/>
          </w:tcPr>
          <w:p>
            <w:pPr>
              <w:ind w:left="360"/>
              <w:spacing w:after="0"/>
              <w:rPr>
                <w:sz w:val="20"/>
                <w:szCs w:val="20"/>
                <w:color w:val="auto"/>
              </w:rPr>
            </w:pPr>
            <w:r>
              <w:rPr>
                <w:rFonts w:ascii="Arial" w:cs="Arial" w:eastAsia="Arial" w:hAnsi="Arial"/>
                <w:sz w:val="18"/>
                <w:szCs w:val="18"/>
                <w:color w:val="auto"/>
              </w:rPr>
              <w:t>Section 9.4</w:t>
            </w:r>
          </w:p>
        </w:tc>
        <w:tc>
          <w:tcPr>
            <w:tcW w:w="8220" w:type="dxa"/>
            <w:vAlign w:val="bottom"/>
          </w:tcPr>
          <w:p>
            <w:pPr>
              <w:ind w:left="320"/>
              <w:spacing w:after="0"/>
              <w:rPr>
                <w:sz w:val="20"/>
                <w:szCs w:val="20"/>
                <w:color w:val="auto"/>
              </w:rPr>
            </w:pPr>
            <w:r>
              <w:rPr>
                <w:rFonts w:ascii="Arial" w:cs="Arial" w:eastAsia="Arial" w:hAnsi="Arial"/>
                <w:sz w:val="18"/>
                <w:szCs w:val="18"/>
                <w:color w:val="auto"/>
              </w:rPr>
              <w:t>Effect of Supplemental Indentures</w:t>
            </w:r>
          </w:p>
        </w:tc>
        <w:tc>
          <w:tcPr>
            <w:tcW w:w="1540" w:type="dxa"/>
            <w:vAlign w:val="bottom"/>
          </w:tcPr>
          <w:p>
            <w:pPr>
              <w:jc w:val="right"/>
              <w:spacing w:after="0"/>
              <w:rPr>
                <w:sz w:val="20"/>
                <w:szCs w:val="20"/>
                <w:color w:val="auto"/>
              </w:rPr>
            </w:pPr>
            <w:r>
              <w:rPr>
                <w:rFonts w:ascii="Arial" w:cs="Arial" w:eastAsia="Arial" w:hAnsi="Arial"/>
                <w:sz w:val="18"/>
                <w:szCs w:val="18"/>
                <w:color w:val="auto"/>
              </w:rPr>
              <w:t>49</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60"/>
          </w:cols>
          <w:pgMar w:left="240" w:top="274" w:right="29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9.5</w:t>
            </w:r>
          </w:p>
        </w:tc>
        <w:tc>
          <w:tcPr>
            <w:tcW w:w="9340" w:type="dxa"/>
            <w:vAlign w:val="bottom"/>
          </w:tcPr>
          <w:p>
            <w:pPr>
              <w:ind w:left="320"/>
              <w:spacing w:after="0"/>
              <w:rPr>
                <w:sz w:val="20"/>
                <w:szCs w:val="20"/>
                <w:color w:val="auto"/>
              </w:rPr>
            </w:pPr>
            <w:r>
              <w:rPr>
                <w:rFonts w:ascii="Arial" w:cs="Arial" w:eastAsia="Arial" w:hAnsi="Arial"/>
                <w:sz w:val="18"/>
                <w:szCs w:val="18"/>
                <w:color w:val="auto"/>
              </w:rPr>
              <w:t>Conformity with Trust Indenture Act</w:t>
            </w:r>
          </w:p>
        </w:tc>
        <w:tc>
          <w:tcPr>
            <w:tcW w:w="4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9.6</w:t>
            </w:r>
          </w:p>
        </w:tc>
        <w:tc>
          <w:tcPr>
            <w:tcW w:w="9340" w:type="dxa"/>
            <w:vAlign w:val="bottom"/>
          </w:tcPr>
          <w:p>
            <w:pPr>
              <w:ind w:left="320"/>
              <w:spacing w:after="0"/>
              <w:rPr>
                <w:sz w:val="20"/>
                <w:szCs w:val="20"/>
                <w:color w:val="auto"/>
              </w:rPr>
            </w:pPr>
            <w:r>
              <w:rPr>
                <w:rFonts w:ascii="Arial" w:cs="Arial" w:eastAsia="Arial" w:hAnsi="Arial"/>
                <w:sz w:val="18"/>
                <w:szCs w:val="18"/>
                <w:color w:val="auto"/>
              </w:rPr>
              <w:t>Reference in Securities to Supplemental Indentures</w:t>
            </w:r>
          </w:p>
        </w:tc>
        <w:tc>
          <w:tcPr>
            <w:tcW w:w="4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30"/>
        </w:trPr>
        <w:tc>
          <w:tcPr>
            <w:tcW w:w="1600" w:type="dxa"/>
            <w:vAlign w:val="bottom"/>
          </w:tcPr>
          <w:p>
            <w:pPr>
              <w:ind w:left="360"/>
              <w:spacing w:after="0"/>
              <w:rPr>
                <w:sz w:val="20"/>
                <w:szCs w:val="20"/>
                <w:color w:val="auto"/>
              </w:rPr>
            </w:pPr>
            <w:r>
              <w:rPr>
                <w:rFonts w:ascii="Arial" w:cs="Arial" w:eastAsia="Arial" w:hAnsi="Arial"/>
                <w:sz w:val="18"/>
                <w:szCs w:val="18"/>
                <w:color w:val="auto"/>
              </w:rPr>
              <w:t>Section 9.7</w:t>
            </w:r>
          </w:p>
        </w:tc>
        <w:tc>
          <w:tcPr>
            <w:tcW w:w="9340" w:type="dxa"/>
            <w:vAlign w:val="bottom"/>
          </w:tcPr>
          <w:p>
            <w:pPr>
              <w:ind w:left="320"/>
              <w:spacing w:after="0"/>
              <w:rPr>
                <w:sz w:val="20"/>
                <w:szCs w:val="20"/>
                <w:color w:val="auto"/>
              </w:rPr>
            </w:pPr>
            <w:r>
              <w:rPr>
                <w:rFonts w:ascii="Arial" w:cs="Arial" w:eastAsia="Arial" w:hAnsi="Arial"/>
                <w:sz w:val="18"/>
                <w:szCs w:val="18"/>
                <w:color w:val="auto"/>
              </w:rPr>
              <w:t>Subordination Unimpaired</w:t>
            </w:r>
          </w:p>
        </w:tc>
        <w:tc>
          <w:tcPr>
            <w:tcW w:w="4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24"/>
        </w:trPr>
        <w:tc>
          <w:tcPr>
            <w:tcW w:w="10940" w:type="dxa"/>
            <w:vAlign w:val="bottom"/>
            <w:gridSpan w:val="2"/>
          </w:tcPr>
          <w:p>
            <w:pPr>
              <w:spacing w:after="0"/>
              <w:rPr>
                <w:sz w:val="20"/>
                <w:szCs w:val="20"/>
                <w:color w:val="auto"/>
              </w:rPr>
            </w:pPr>
            <w:r>
              <w:rPr>
                <w:rFonts w:ascii="Arial" w:cs="Arial" w:eastAsia="Arial" w:hAnsi="Arial"/>
                <w:sz w:val="18"/>
                <w:szCs w:val="18"/>
                <w:color w:val="auto"/>
              </w:rPr>
              <w:t>ARTICLE 10 COVENANTS</w:t>
            </w:r>
          </w:p>
        </w:tc>
        <w:tc>
          <w:tcPr>
            <w:tcW w:w="4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10"/>
        </w:trPr>
        <w:tc>
          <w:tcPr>
            <w:tcW w:w="1600" w:type="dxa"/>
            <w:vAlign w:val="bottom"/>
          </w:tcPr>
          <w:p>
            <w:pPr>
              <w:ind w:left="360"/>
              <w:spacing w:after="0"/>
              <w:rPr>
                <w:sz w:val="20"/>
                <w:szCs w:val="20"/>
                <w:color w:val="auto"/>
              </w:rPr>
            </w:pPr>
            <w:r>
              <w:rPr>
                <w:rFonts w:ascii="Arial" w:cs="Arial" w:eastAsia="Arial" w:hAnsi="Arial"/>
                <w:sz w:val="18"/>
                <w:szCs w:val="18"/>
                <w:color w:val="auto"/>
              </w:rPr>
              <w:t>Section 10.1</w:t>
            </w:r>
          </w:p>
        </w:tc>
        <w:tc>
          <w:tcPr>
            <w:tcW w:w="9340" w:type="dxa"/>
            <w:vAlign w:val="bottom"/>
          </w:tcPr>
          <w:p>
            <w:pPr>
              <w:ind w:left="320"/>
              <w:spacing w:after="0"/>
              <w:rPr>
                <w:sz w:val="20"/>
                <w:szCs w:val="20"/>
                <w:color w:val="auto"/>
              </w:rPr>
            </w:pPr>
            <w:r>
              <w:rPr>
                <w:rFonts w:ascii="Arial" w:cs="Arial" w:eastAsia="Arial" w:hAnsi="Arial"/>
                <w:sz w:val="18"/>
                <w:szCs w:val="18"/>
                <w:color w:val="auto"/>
              </w:rPr>
              <w:t>Payment of Principal, Premium and Interest</w:t>
            </w:r>
          </w:p>
        </w:tc>
        <w:tc>
          <w:tcPr>
            <w:tcW w:w="4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10.2</w:t>
            </w:r>
          </w:p>
        </w:tc>
        <w:tc>
          <w:tcPr>
            <w:tcW w:w="9340" w:type="dxa"/>
            <w:vAlign w:val="bottom"/>
          </w:tcPr>
          <w:p>
            <w:pPr>
              <w:ind w:left="320"/>
              <w:spacing w:after="0"/>
              <w:rPr>
                <w:sz w:val="20"/>
                <w:szCs w:val="20"/>
                <w:color w:val="auto"/>
              </w:rPr>
            </w:pPr>
            <w:r>
              <w:rPr>
                <w:rFonts w:ascii="Arial" w:cs="Arial" w:eastAsia="Arial" w:hAnsi="Arial"/>
                <w:sz w:val="18"/>
                <w:szCs w:val="18"/>
                <w:color w:val="auto"/>
              </w:rPr>
              <w:t>Maintenance of Office or Agency</w:t>
            </w:r>
          </w:p>
        </w:tc>
        <w:tc>
          <w:tcPr>
            <w:tcW w:w="4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10.3</w:t>
            </w:r>
          </w:p>
        </w:tc>
        <w:tc>
          <w:tcPr>
            <w:tcW w:w="9340" w:type="dxa"/>
            <w:vAlign w:val="bottom"/>
          </w:tcPr>
          <w:p>
            <w:pPr>
              <w:ind w:left="320"/>
              <w:spacing w:after="0"/>
              <w:rPr>
                <w:sz w:val="20"/>
                <w:szCs w:val="20"/>
                <w:color w:val="auto"/>
              </w:rPr>
            </w:pPr>
            <w:r>
              <w:rPr>
                <w:rFonts w:ascii="Arial" w:cs="Arial" w:eastAsia="Arial" w:hAnsi="Arial"/>
                <w:sz w:val="18"/>
                <w:szCs w:val="18"/>
                <w:color w:val="auto"/>
              </w:rPr>
              <w:t>Money for Securities Payments to be Held in Trust</w:t>
            </w:r>
          </w:p>
        </w:tc>
        <w:tc>
          <w:tcPr>
            <w:tcW w:w="4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10.4</w:t>
            </w:r>
          </w:p>
        </w:tc>
        <w:tc>
          <w:tcPr>
            <w:tcW w:w="9340" w:type="dxa"/>
            <w:vAlign w:val="bottom"/>
          </w:tcPr>
          <w:p>
            <w:pPr>
              <w:ind w:left="320"/>
              <w:spacing w:after="0"/>
              <w:rPr>
                <w:sz w:val="20"/>
                <w:szCs w:val="20"/>
                <w:color w:val="auto"/>
              </w:rPr>
            </w:pPr>
            <w:r>
              <w:rPr>
                <w:rFonts w:ascii="Arial" w:cs="Arial" w:eastAsia="Arial" w:hAnsi="Arial"/>
                <w:sz w:val="18"/>
                <w:szCs w:val="18"/>
                <w:color w:val="auto"/>
              </w:rPr>
              <w:t>Statement by Officers as to Default</w:t>
            </w:r>
          </w:p>
        </w:tc>
        <w:tc>
          <w:tcPr>
            <w:tcW w:w="4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10.5</w:t>
            </w:r>
          </w:p>
        </w:tc>
        <w:tc>
          <w:tcPr>
            <w:tcW w:w="9340" w:type="dxa"/>
            <w:vAlign w:val="bottom"/>
          </w:tcPr>
          <w:p>
            <w:pPr>
              <w:ind w:left="320"/>
              <w:spacing w:after="0"/>
              <w:rPr>
                <w:sz w:val="20"/>
                <w:szCs w:val="20"/>
                <w:color w:val="auto"/>
              </w:rPr>
            </w:pPr>
            <w:r>
              <w:rPr>
                <w:rFonts w:ascii="Arial" w:cs="Arial" w:eastAsia="Arial" w:hAnsi="Arial"/>
                <w:sz w:val="18"/>
                <w:szCs w:val="18"/>
                <w:color w:val="auto"/>
              </w:rPr>
              <w:t>Existence</w:t>
            </w:r>
          </w:p>
        </w:tc>
        <w:tc>
          <w:tcPr>
            <w:tcW w:w="4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30"/>
        </w:trPr>
        <w:tc>
          <w:tcPr>
            <w:tcW w:w="1600" w:type="dxa"/>
            <w:vAlign w:val="bottom"/>
          </w:tcPr>
          <w:p>
            <w:pPr>
              <w:ind w:left="360"/>
              <w:spacing w:after="0"/>
              <w:rPr>
                <w:sz w:val="20"/>
                <w:szCs w:val="20"/>
                <w:color w:val="auto"/>
              </w:rPr>
            </w:pPr>
            <w:r>
              <w:rPr>
                <w:rFonts w:ascii="Arial" w:cs="Arial" w:eastAsia="Arial" w:hAnsi="Arial"/>
                <w:sz w:val="18"/>
                <w:szCs w:val="18"/>
                <w:color w:val="auto"/>
              </w:rPr>
              <w:t>Section 10.6</w:t>
            </w:r>
          </w:p>
        </w:tc>
        <w:tc>
          <w:tcPr>
            <w:tcW w:w="9340" w:type="dxa"/>
            <w:vAlign w:val="bottom"/>
          </w:tcPr>
          <w:p>
            <w:pPr>
              <w:ind w:left="320"/>
              <w:spacing w:after="0"/>
              <w:rPr>
                <w:sz w:val="20"/>
                <w:szCs w:val="20"/>
                <w:color w:val="auto"/>
              </w:rPr>
            </w:pPr>
            <w:r>
              <w:rPr>
                <w:rFonts w:ascii="Arial" w:cs="Arial" w:eastAsia="Arial" w:hAnsi="Arial"/>
                <w:sz w:val="18"/>
                <w:szCs w:val="18"/>
                <w:color w:val="auto"/>
              </w:rPr>
              <w:t>Waiver of Certain Covenants</w:t>
            </w:r>
          </w:p>
        </w:tc>
        <w:tc>
          <w:tcPr>
            <w:tcW w:w="4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24"/>
        </w:trPr>
        <w:tc>
          <w:tcPr>
            <w:tcW w:w="10940" w:type="dxa"/>
            <w:vAlign w:val="bottom"/>
            <w:gridSpan w:val="2"/>
          </w:tcPr>
          <w:p>
            <w:pPr>
              <w:spacing w:after="0"/>
              <w:rPr>
                <w:sz w:val="20"/>
                <w:szCs w:val="20"/>
                <w:color w:val="auto"/>
              </w:rPr>
            </w:pPr>
            <w:r>
              <w:rPr>
                <w:rFonts w:ascii="Arial" w:cs="Arial" w:eastAsia="Arial" w:hAnsi="Arial"/>
                <w:sz w:val="18"/>
                <w:szCs w:val="18"/>
                <w:color w:val="auto"/>
              </w:rPr>
              <w:t>ARTICLE 11 REDEMPTION OF SECURITIES</w:t>
            </w:r>
          </w:p>
        </w:tc>
        <w:tc>
          <w:tcPr>
            <w:tcW w:w="4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10"/>
        </w:trPr>
        <w:tc>
          <w:tcPr>
            <w:tcW w:w="1600" w:type="dxa"/>
            <w:vAlign w:val="bottom"/>
          </w:tcPr>
          <w:p>
            <w:pPr>
              <w:ind w:left="360"/>
              <w:spacing w:after="0"/>
              <w:rPr>
                <w:sz w:val="20"/>
                <w:szCs w:val="20"/>
                <w:color w:val="auto"/>
              </w:rPr>
            </w:pPr>
            <w:r>
              <w:rPr>
                <w:rFonts w:ascii="Arial" w:cs="Arial" w:eastAsia="Arial" w:hAnsi="Arial"/>
                <w:sz w:val="18"/>
                <w:szCs w:val="18"/>
                <w:color w:val="auto"/>
              </w:rPr>
              <w:t>Section 11.1</w:t>
            </w:r>
          </w:p>
        </w:tc>
        <w:tc>
          <w:tcPr>
            <w:tcW w:w="9340" w:type="dxa"/>
            <w:vAlign w:val="bottom"/>
          </w:tcPr>
          <w:p>
            <w:pPr>
              <w:ind w:left="320"/>
              <w:spacing w:after="0"/>
              <w:rPr>
                <w:sz w:val="20"/>
                <w:szCs w:val="20"/>
                <w:color w:val="auto"/>
              </w:rPr>
            </w:pPr>
            <w:r>
              <w:rPr>
                <w:rFonts w:ascii="Arial" w:cs="Arial" w:eastAsia="Arial" w:hAnsi="Arial"/>
                <w:sz w:val="18"/>
                <w:szCs w:val="18"/>
                <w:color w:val="auto"/>
              </w:rPr>
              <w:t>Applicability of Article</w:t>
            </w:r>
          </w:p>
        </w:tc>
        <w:tc>
          <w:tcPr>
            <w:tcW w:w="4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11.2</w:t>
            </w:r>
          </w:p>
        </w:tc>
        <w:tc>
          <w:tcPr>
            <w:tcW w:w="9340" w:type="dxa"/>
            <w:vAlign w:val="bottom"/>
          </w:tcPr>
          <w:p>
            <w:pPr>
              <w:ind w:left="320"/>
              <w:spacing w:after="0"/>
              <w:rPr>
                <w:sz w:val="20"/>
                <w:szCs w:val="20"/>
                <w:color w:val="auto"/>
              </w:rPr>
            </w:pPr>
            <w:r>
              <w:rPr>
                <w:rFonts w:ascii="Arial" w:cs="Arial" w:eastAsia="Arial" w:hAnsi="Arial"/>
                <w:sz w:val="18"/>
                <w:szCs w:val="18"/>
                <w:color w:val="auto"/>
              </w:rPr>
              <w:t>Election to Redeem; Notice to Trustee</w:t>
            </w:r>
          </w:p>
        </w:tc>
        <w:tc>
          <w:tcPr>
            <w:tcW w:w="4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11.3</w:t>
            </w:r>
          </w:p>
        </w:tc>
        <w:tc>
          <w:tcPr>
            <w:tcW w:w="9340" w:type="dxa"/>
            <w:vAlign w:val="bottom"/>
          </w:tcPr>
          <w:p>
            <w:pPr>
              <w:ind w:left="320"/>
              <w:spacing w:after="0"/>
              <w:rPr>
                <w:sz w:val="20"/>
                <w:szCs w:val="20"/>
                <w:color w:val="auto"/>
              </w:rPr>
            </w:pPr>
            <w:r>
              <w:rPr>
                <w:rFonts w:ascii="Arial" w:cs="Arial" w:eastAsia="Arial" w:hAnsi="Arial"/>
                <w:sz w:val="18"/>
                <w:szCs w:val="18"/>
                <w:color w:val="auto"/>
              </w:rPr>
              <w:t>Selection by Trustee of Securities to Be Redeemed</w:t>
            </w:r>
          </w:p>
        </w:tc>
        <w:tc>
          <w:tcPr>
            <w:tcW w:w="4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11.4</w:t>
            </w:r>
          </w:p>
        </w:tc>
        <w:tc>
          <w:tcPr>
            <w:tcW w:w="9340" w:type="dxa"/>
            <w:vAlign w:val="bottom"/>
          </w:tcPr>
          <w:p>
            <w:pPr>
              <w:ind w:left="320"/>
              <w:spacing w:after="0"/>
              <w:rPr>
                <w:sz w:val="20"/>
                <w:szCs w:val="20"/>
                <w:color w:val="auto"/>
              </w:rPr>
            </w:pPr>
            <w:r>
              <w:rPr>
                <w:rFonts w:ascii="Arial" w:cs="Arial" w:eastAsia="Arial" w:hAnsi="Arial"/>
                <w:sz w:val="18"/>
                <w:szCs w:val="18"/>
                <w:color w:val="auto"/>
              </w:rPr>
              <w:t>Notice of Redemption</w:t>
            </w:r>
          </w:p>
        </w:tc>
        <w:tc>
          <w:tcPr>
            <w:tcW w:w="4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11.5</w:t>
            </w:r>
          </w:p>
        </w:tc>
        <w:tc>
          <w:tcPr>
            <w:tcW w:w="9340" w:type="dxa"/>
            <w:vAlign w:val="bottom"/>
          </w:tcPr>
          <w:p>
            <w:pPr>
              <w:ind w:left="320"/>
              <w:spacing w:after="0"/>
              <w:rPr>
                <w:sz w:val="20"/>
                <w:szCs w:val="20"/>
                <w:color w:val="auto"/>
              </w:rPr>
            </w:pPr>
            <w:r>
              <w:rPr>
                <w:rFonts w:ascii="Arial" w:cs="Arial" w:eastAsia="Arial" w:hAnsi="Arial"/>
                <w:sz w:val="18"/>
                <w:szCs w:val="18"/>
                <w:color w:val="auto"/>
              </w:rPr>
              <w:t>Deposit of Redemption Price</w:t>
            </w:r>
          </w:p>
        </w:tc>
        <w:tc>
          <w:tcPr>
            <w:tcW w:w="4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11.6</w:t>
            </w:r>
          </w:p>
        </w:tc>
        <w:tc>
          <w:tcPr>
            <w:tcW w:w="9340" w:type="dxa"/>
            <w:vAlign w:val="bottom"/>
          </w:tcPr>
          <w:p>
            <w:pPr>
              <w:ind w:left="320"/>
              <w:spacing w:after="0"/>
              <w:rPr>
                <w:sz w:val="20"/>
                <w:szCs w:val="20"/>
                <w:color w:val="auto"/>
              </w:rPr>
            </w:pPr>
            <w:r>
              <w:rPr>
                <w:rFonts w:ascii="Arial" w:cs="Arial" w:eastAsia="Arial" w:hAnsi="Arial"/>
                <w:sz w:val="18"/>
                <w:szCs w:val="18"/>
                <w:color w:val="auto"/>
              </w:rPr>
              <w:t>Securities Payable on Redemption Date</w:t>
            </w:r>
          </w:p>
        </w:tc>
        <w:tc>
          <w:tcPr>
            <w:tcW w:w="4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30"/>
        </w:trPr>
        <w:tc>
          <w:tcPr>
            <w:tcW w:w="1600" w:type="dxa"/>
            <w:vAlign w:val="bottom"/>
          </w:tcPr>
          <w:p>
            <w:pPr>
              <w:ind w:left="360"/>
              <w:spacing w:after="0"/>
              <w:rPr>
                <w:sz w:val="20"/>
                <w:szCs w:val="20"/>
                <w:color w:val="auto"/>
              </w:rPr>
            </w:pPr>
            <w:r>
              <w:rPr>
                <w:rFonts w:ascii="Arial" w:cs="Arial" w:eastAsia="Arial" w:hAnsi="Arial"/>
                <w:sz w:val="18"/>
                <w:szCs w:val="18"/>
                <w:color w:val="auto"/>
              </w:rPr>
              <w:t>Section 11.7</w:t>
            </w:r>
          </w:p>
        </w:tc>
        <w:tc>
          <w:tcPr>
            <w:tcW w:w="9340" w:type="dxa"/>
            <w:vAlign w:val="bottom"/>
          </w:tcPr>
          <w:p>
            <w:pPr>
              <w:ind w:left="320"/>
              <w:spacing w:after="0"/>
              <w:rPr>
                <w:sz w:val="20"/>
                <w:szCs w:val="20"/>
                <w:color w:val="auto"/>
              </w:rPr>
            </w:pPr>
            <w:r>
              <w:rPr>
                <w:rFonts w:ascii="Arial" w:cs="Arial" w:eastAsia="Arial" w:hAnsi="Arial"/>
                <w:sz w:val="18"/>
                <w:szCs w:val="18"/>
                <w:color w:val="auto"/>
              </w:rPr>
              <w:t>Securities Redeemed in Part</w:t>
            </w:r>
          </w:p>
        </w:tc>
        <w:tc>
          <w:tcPr>
            <w:tcW w:w="4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24"/>
        </w:trPr>
        <w:tc>
          <w:tcPr>
            <w:tcW w:w="10940" w:type="dxa"/>
            <w:vAlign w:val="bottom"/>
            <w:gridSpan w:val="2"/>
          </w:tcPr>
          <w:p>
            <w:pPr>
              <w:spacing w:after="0"/>
              <w:rPr>
                <w:sz w:val="20"/>
                <w:szCs w:val="20"/>
                <w:color w:val="auto"/>
              </w:rPr>
            </w:pPr>
            <w:r>
              <w:rPr>
                <w:rFonts w:ascii="Arial" w:cs="Arial" w:eastAsia="Arial" w:hAnsi="Arial"/>
                <w:sz w:val="18"/>
                <w:szCs w:val="18"/>
                <w:color w:val="auto"/>
              </w:rPr>
              <w:t>ARTICLE 12 SINKING FUNDS</w:t>
            </w:r>
          </w:p>
        </w:tc>
        <w:tc>
          <w:tcPr>
            <w:tcW w:w="4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10"/>
        </w:trPr>
        <w:tc>
          <w:tcPr>
            <w:tcW w:w="1600" w:type="dxa"/>
            <w:vAlign w:val="bottom"/>
          </w:tcPr>
          <w:p>
            <w:pPr>
              <w:ind w:left="360"/>
              <w:spacing w:after="0"/>
              <w:rPr>
                <w:sz w:val="20"/>
                <w:szCs w:val="20"/>
                <w:color w:val="auto"/>
              </w:rPr>
            </w:pPr>
            <w:r>
              <w:rPr>
                <w:rFonts w:ascii="Arial" w:cs="Arial" w:eastAsia="Arial" w:hAnsi="Arial"/>
                <w:sz w:val="18"/>
                <w:szCs w:val="18"/>
                <w:color w:val="auto"/>
              </w:rPr>
              <w:t>Section 12.1</w:t>
            </w:r>
          </w:p>
        </w:tc>
        <w:tc>
          <w:tcPr>
            <w:tcW w:w="9340" w:type="dxa"/>
            <w:vAlign w:val="bottom"/>
          </w:tcPr>
          <w:p>
            <w:pPr>
              <w:ind w:left="320"/>
              <w:spacing w:after="0"/>
              <w:rPr>
                <w:sz w:val="20"/>
                <w:szCs w:val="20"/>
                <w:color w:val="auto"/>
              </w:rPr>
            </w:pPr>
            <w:r>
              <w:rPr>
                <w:rFonts w:ascii="Arial" w:cs="Arial" w:eastAsia="Arial" w:hAnsi="Arial"/>
                <w:sz w:val="18"/>
                <w:szCs w:val="18"/>
                <w:color w:val="auto"/>
              </w:rPr>
              <w:t>Applicability of Article</w:t>
            </w:r>
          </w:p>
        </w:tc>
        <w:tc>
          <w:tcPr>
            <w:tcW w:w="4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12.2</w:t>
            </w:r>
          </w:p>
        </w:tc>
        <w:tc>
          <w:tcPr>
            <w:tcW w:w="9340" w:type="dxa"/>
            <w:vAlign w:val="bottom"/>
          </w:tcPr>
          <w:p>
            <w:pPr>
              <w:ind w:left="320"/>
              <w:spacing w:after="0"/>
              <w:rPr>
                <w:sz w:val="20"/>
                <w:szCs w:val="20"/>
                <w:color w:val="auto"/>
              </w:rPr>
            </w:pPr>
            <w:r>
              <w:rPr>
                <w:rFonts w:ascii="Arial" w:cs="Arial" w:eastAsia="Arial" w:hAnsi="Arial"/>
                <w:sz w:val="18"/>
                <w:szCs w:val="18"/>
                <w:color w:val="auto"/>
              </w:rPr>
              <w:t>Satisfaction of Sinking Fund Payments with Securities</w:t>
            </w:r>
          </w:p>
        </w:tc>
        <w:tc>
          <w:tcPr>
            <w:tcW w:w="4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30"/>
        </w:trPr>
        <w:tc>
          <w:tcPr>
            <w:tcW w:w="1600" w:type="dxa"/>
            <w:vAlign w:val="bottom"/>
          </w:tcPr>
          <w:p>
            <w:pPr>
              <w:ind w:left="360"/>
              <w:spacing w:after="0"/>
              <w:rPr>
                <w:sz w:val="20"/>
                <w:szCs w:val="20"/>
                <w:color w:val="auto"/>
              </w:rPr>
            </w:pPr>
            <w:r>
              <w:rPr>
                <w:rFonts w:ascii="Arial" w:cs="Arial" w:eastAsia="Arial" w:hAnsi="Arial"/>
                <w:sz w:val="18"/>
                <w:szCs w:val="18"/>
                <w:color w:val="auto"/>
              </w:rPr>
              <w:t>Section 12.3</w:t>
            </w:r>
          </w:p>
        </w:tc>
        <w:tc>
          <w:tcPr>
            <w:tcW w:w="9340" w:type="dxa"/>
            <w:vAlign w:val="bottom"/>
          </w:tcPr>
          <w:p>
            <w:pPr>
              <w:ind w:left="320"/>
              <w:spacing w:after="0"/>
              <w:rPr>
                <w:sz w:val="20"/>
                <w:szCs w:val="20"/>
                <w:color w:val="auto"/>
              </w:rPr>
            </w:pPr>
            <w:r>
              <w:rPr>
                <w:rFonts w:ascii="Arial" w:cs="Arial" w:eastAsia="Arial" w:hAnsi="Arial"/>
                <w:sz w:val="18"/>
                <w:szCs w:val="18"/>
                <w:color w:val="auto"/>
              </w:rPr>
              <w:t>Redemption of Securities for Sinking Fund</w:t>
            </w:r>
          </w:p>
        </w:tc>
        <w:tc>
          <w:tcPr>
            <w:tcW w:w="4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24"/>
        </w:trPr>
        <w:tc>
          <w:tcPr>
            <w:tcW w:w="10940" w:type="dxa"/>
            <w:vAlign w:val="bottom"/>
            <w:gridSpan w:val="2"/>
          </w:tcPr>
          <w:p>
            <w:pPr>
              <w:spacing w:after="0"/>
              <w:rPr>
                <w:sz w:val="20"/>
                <w:szCs w:val="20"/>
                <w:color w:val="auto"/>
              </w:rPr>
            </w:pPr>
            <w:r>
              <w:rPr>
                <w:rFonts w:ascii="Arial" w:cs="Arial" w:eastAsia="Arial" w:hAnsi="Arial"/>
                <w:sz w:val="18"/>
                <w:szCs w:val="18"/>
                <w:color w:val="auto"/>
              </w:rPr>
              <w:t>ARTICLE 13 DEFEASANCE AND COVENANT DEFEASANCE</w:t>
            </w:r>
          </w:p>
        </w:tc>
        <w:tc>
          <w:tcPr>
            <w:tcW w:w="4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10"/>
        </w:trPr>
        <w:tc>
          <w:tcPr>
            <w:tcW w:w="1600" w:type="dxa"/>
            <w:vAlign w:val="bottom"/>
          </w:tcPr>
          <w:p>
            <w:pPr>
              <w:ind w:left="360"/>
              <w:spacing w:after="0"/>
              <w:rPr>
                <w:sz w:val="20"/>
                <w:szCs w:val="20"/>
                <w:color w:val="auto"/>
              </w:rPr>
            </w:pPr>
            <w:r>
              <w:rPr>
                <w:rFonts w:ascii="Arial" w:cs="Arial" w:eastAsia="Arial" w:hAnsi="Arial"/>
                <w:sz w:val="18"/>
                <w:szCs w:val="18"/>
                <w:color w:val="auto"/>
              </w:rPr>
              <w:t>Section 13.1</w:t>
            </w:r>
          </w:p>
        </w:tc>
        <w:tc>
          <w:tcPr>
            <w:tcW w:w="9340" w:type="dxa"/>
            <w:vAlign w:val="bottom"/>
          </w:tcPr>
          <w:p>
            <w:pPr>
              <w:ind w:left="320"/>
              <w:spacing w:after="0"/>
              <w:rPr>
                <w:sz w:val="20"/>
                <w:szCs w:val="20"/>
                <w:color w:val="auto"/>
              </w:rPr>
            </w:pPr>
            <w:r>
              <w:rPr>
                <w:rFonts w:ascii="Arial" w:cs="Arial" w:eastAsia="Arial" w:hAnsi="Arial"/>
                <w:sz w:val="18"/>
                <w:szCs w:val="18"/>
                <w:color w:val="auto"/>
              </w:rPr>
              <w:t>Company’s Option to Effect Defeasance or Covenant Defeasance</w:t>
            </w:r>
          </w:p>
        </w:tc>
        <w:tc>
          <w:tcPr>
            <w:tcW w:w="4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13.2</w:t>
            </w:r>
          </w:p>
        </w:tc>
        <w:tc>
          <w:tcPr>
            <w:tcW w:w="9340" w:type="dxa"/>
            <w:vAlign w:val="bottom"/>
          </w:tcPr>
          <w:p>
            <w:pPr>
              <w:ind w:left="320"/>
              <w:spacing w:after="0"/>
              <w:rPr>
                <w:sz w:val="20"/>
                <w:szCs w:val="20"/>
                <w:color w:val="auto"/>
              </w:rPr>
            </w:pPr>
            <w:r>
              <w:rPr>
                <w:rFonts w:ascii="Arial" w:cs="Arial" w:eastAsia="Arial" w:hAnsi="Arial"/>
                <w:sz w:val="18"/>
                <w:szCs w:val="18"/>
                <w:color w:val="auto"/>
              </w:rPr>
              <w:t>Defeasance and Discharge</w:t>
            </w:r>
          </w:p>
        </w:tc>
        <w:tc>
          <w:tcPr>
            <w:tcW w:w="4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13.3</w:t>
            </w:r>
          </w:p>
        </w:tc>
        <w:tc>
          <w:tcPr>
            <w:tcW w:w="9340" w:type="dxa"/>
            <w:vAlign w:val="bottom"/>
          </w:tcPr>
          <w:p>
            <w:pPr>
              <w:ind w:left="320"/>
              <w:spacing w:after="0"/>
              <w:rPr>
                <w:sz w:val="20"/>
                <w:szCs w:val="20"/>
                <w:color w:val="auto"/>
              </w:rPr>
            </w:pPr>
            <w:r>
              <w:rPr>
                <w:rFonts w:ascii="Arial" w:cs="Arial" w:eastAsia="Arial" w:hAnsi="Arial"/>
                <w:sz w:val="18"/>
                <w:szCs w:val="18"/>
                <w:color w:val="auto"/>
              </w:rPr>
              <w:t>Covenant Defeasance</w:t>
            </w:r>
          </w:p>
        </w:tc>
        <w:tc>
          <w:tcPr>
            <w:tcW w:w="4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13.4</w:t>
            </w:r>
          </w:p>
        </w:tc>
        <w:tc>
          <w:tcPr>
            <w:tcW w:w="9340" w:type="dxa"/>
            <w:vAlign w:val="bottom"/>
          </w:tcPr>
          <w:p>
            <w:pPr>
              <w:ind w:left="320"/>
              <w:spacing w:after="0"/>
              <w:rPr>
                <w:sz w:val="20"/>
                <w:szCs w:val="20"/>
                <w:color w:val="auto"/>
              </w:rPr>
            </w:pPr>
            <w:r>
              <w:rPr>
                <w:rFonts w:ascii="Arial" w:cs="Arial" w:eastAsia="Arial" w:hAnsi="Arial"/>
                <w:sz w:val="18"/>
                <w:szCs w:val="18"/>
                <w:color w:val="auto"/>
              </w:rPr>
              <w:t>Conditions to Defeasance or Covenant Defeasance</w:t>
            </w:r>
          </w:p>
        </w:tc>
        <w:tc>
          <w:tcPr>
            <w:tcW w:w="4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13.5</w:t>
            </w:r>
          </w:p>
        </w:tc>
        <w:tc>
          <w:tcPr>
            <w:tcW w:w="9340" w:type="dxa"/>
            <w:vAlign w:val="bottom"/>
          </w:tcPr>
          <w:p>
            <w:pPr>
              <w:ind w:left="320"/>
              <w:spacing w:after="0"/>
              <w:rPr>
                <w:sz w:val="20"/>
                <w:szCs w:val="20"/>
                <w:color w:val="auto"/>
              </w:rPr>
            </w:pPr>
            <w:r>
              <w:rPr>
                <w:rFonts w:ascii="Arial" w:cs="Arial" w:eastAsia="Arial" w:hAnsi="Arial"/>
                <w:sz w:val="18"/>
                <w:szCs w:val="18"/>
                <w:color w:val="auto"/>
                <w:w w:val="93"/>
              </w:rPr>
              <w:t>Deposited Money, U.S. Government Obligations and Foreign Government Obligations to be Held in Trust; Miscellaneous</w:t>
            </w:r>
          </w:p>
        </w:tc>
        <w:tc>
          <w:tcPr>
            <w:tcW w:w="420" w:type="dxa"/>
            <w:vAlign w:val="bottom"/>
          </w:tcPr>
          <w:p>
            <w:pPr>
              <w:spacing w:after="0"/>
              <w:rPr>
                <w:sz w:val="18"/>
                <w:szCs w:val="18"/>
                <w:color w:val="auto"/>
              </w:rPr>
            </w:pPr>
          </w:p>
        </w:tc>
      </w:tr>
      <w:tr>
        <w:trPr>
          <w:trHeight w:val="216"/>
        </w:trPr>
        <w:tc>
          <w:tcPr>
            <w:tcW w:w="1600" w:type="dxa"/>
            <w:vAlign w:val="bottom"/>
          </w:tcPr>
          <w:p>
            <w:pPr>
              <w:spacing w:after="0"/>
              <w:rPr>
                <w:sz w:val="18"/>
                <w:szCs w:val="18"/>
                <w:color w:val="auto"/>
              </w:rPr>
            </w:pPr>
          </w:p>
        </w:tc>
        <w:tc>
          <w:tcPr>
            <w:tcW w:w="9340" w:type="dxa"/>
            <w:vAlign w:val="bottom"/>
          </w:tcPr>
          <w:p>
            <w:pPr>
              <w:ind w:left="500"/>
              <w:spacing w:after="0"/>
              <w:rPr>
                <w:sz w:val="20"/>
                <w:szCs w:val="20"/>
                <w:color w:val="auto"/>
              </w:rPr>
            </w:pPr>
            <w:r>
              <w:rPr>
                <w:rFonts w:ascii="Arial" w:cs="Arial" w:eastAsia="Arial" w:hAnsi="Arial"/>
                <w:sz w:val="18"/>
                <w:szCs w:val="18"/>
                <w:color w:val="auto"/>
              </w:rPr>
              <w:t>Provisions</w:t>
            </w:r>
          </w:p>
        </w:tc>
        <w:tc>
          <w:tcPr>
            <w:tcW w:w="4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30"/>
        </w:trPr>
        <w:tc>
          <w:tcPr>
            <w:tcW w:w="1600" w:type="dxa"/>
            <w:vAlign w:val="bottom"/>
          </w:tcPr>
          <w:p>
            <w:pPr>
              <w:ind w:left="360"/>
              <w:spacing w:after="0"/>
              <w:rPr>
                <w:sz w:val="20"/>
                <w:szCs w:val="20"/>
                <w:color w:val="auto"/>
              </w:rPr>
            </w:pPr>
            <w:r>
              <w:rPr>
                <w:rFonts w:ascii="Arial" w:cs="Arial" w:eastAsia="Arial" w:hAnsi="Arial"/>
                <w:sz w:val="18"/>
                <w:szCs w:val="18"/>
                <w:color w:val="auto"/>
              </w:rPr>
              <w:t>Section 13.6</w:t>
            </w:r>
          </w:p>
        </w:tc>
        <w:tc>
          <w:tcPr>
            <w:tcW w:w="9340" w:type="dxa"/>
            <w:vAlign w:val="bottom"/>
          </w:tcPr>
          <w:p>
            <w:pPr>
              <w:ind w:left="320"/>
              <w:spacing w:after="0"/>
              <w:rPr>
                <w:sz w:val="20"/>
                <w:szCs w:val="20"/>
                <w:color w:val="auto"/>
              </w:rPr>
            </w:pPr>
            <w:r>
              <w:rPr>
                <w:rFonts w:ascii="Arial" w:cs="Arial" w:eastAsia="Arial" w:hAnsi="Arial"/>
                <w:sz w:val="18"/>
                <w:szCs w:val="18"/>
                <w:color w:val="auto"/>
              </w:rPr>
              <w:t>Reinstatement</w:t>
            </w:r>
          </w:p>
        </w:tc>
        <w:tc>
          <w:tcPr>
            <w:tcW w:w="4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24"/>
        </w:trPr>
        <w:tc>
          <w:tcPr>
            <w:tcW w:w="10940" w:type="dxa"/>
            <w:vAlign w:val="bottom"/>
            <w:gridSpan w:val="2"/>
          </w:tcPr>
          <w:p>
            <w:pPr>
              <w:spacing w:after="0"/>
              <w:rPr>
                <w:sz w:val="20"/>
                <w:szCs w:val="20"/>
                <w:color w:val="auto"/>
              </w:rPr>
            </w:pPr>
            <w:r>
              <w:rPr>
                <w:rFonts w:ascii="Arial" w:cs="Arial" w:eastAsia="Arial" w:hAnsi="Arial"/>
                <w:sz w:val="18"/>
                <w:szCs w:val="18"/>
                <w:color w:val="auto"/>
              </w:rPr>
              <w:t>ARTICLE 14 CONVERSION OF SECURITIES</w:t>
            </w:r>
          </w:p>
        </w:tc>
        <w:tc>
          <w:tcPr>
            <w:tcW w:w="4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rPr>
              <w:t>Section 14.1</w:t>
            </w:r>
          </w:p>
        </w:tc>
        <w:tc>
          <w:tcPr>
            <w:tcW w:w="9340" w:type="dxa"/>
            <w:vAlign w:val="bottom"/>
          </w:tcPr>
          <w:p>
            <w:pPr>
              <w:ind w:left="320"/>
              <w:spacing w:after="0"/>
              <w:rPr>
                <w:sz w:val="20"/>
                <w:szCs w:val="20"/>
                <w:color w:val="auto"/>
              </w:rPr>
            </w:pPr>
            <w:r>
              <w:rPr>
                <w:rFonts w:ascii="Arial" w:cs="Arial" w:eastAsia="Arial" w:hAnsi="Arial"/>
                <w:sz w:val="18"/>
                <w:szCs w:val="18"/>
                <w:color w:val="auto"/>
              </w:rPr>
              <w:t>Conversion</w:t>
            </w:r>
          </w:p>
        </w:tc>
        <w:tc>
          <w:tcPr>
            <w:tcW w:w="4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24"/>
        </w:trPr>
        <w:tc>
          <w:tcPr>
            <w:tcW w:w="10940" w:type="dxa"/>
            <w:vAlign w:val="bottom"/>
            <w:gridSpan w:val="2"/>
          </w:tcPr>
          <w:p>
            <w:pPr>
              <w:spacing w:after="0"/>
              <w:rPr>
                <w:sz w:val="20"/>
                <w:szCs w:val="20"/>
                <w:color w:val="auto"/>
              </w:rPr>
            </w:pPr>
            <w:r>
              <w:rPr>
                <w:rFonts w:ascii="Arial" w:cs="Arial" w:eastAsia="Arial" w:hAnsi="Arial"/>
                <w:sz w:val="18"/>
                <w:szCs w:val="18"/>
                <w:color w:val="auto"/>
              </w:rPr>
              <w:t>ARTICLE 15 SUBORDINATION OF SECURITIES</w:t>
            </w:r>
          </w:p>
        </w:tc>
        <w:tc>
          <w:tcPr>
            <w:tcW w:w="4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10"/>
        </w:trPr>
        <w:tc>
          <w:tcPr>
            <w:tcW w:w="1600" w:type="dxa"/>
            <w:vAlign w:val="bottom"/>
          </w:tcPr>
          <w:p>
            <w:pPr>
              <w:ind w:left="360"/>
              <w:spacing w:after="0"/>
              <w:rPr>
                <w:sz w:val="20"/>
                <w:szCs w:val="20"/>
                <w:color w:val="auto"/>
              </w:rPr>
            </w:pPr>
            <w:r>
              <w:rPr>
                <w:rFonts w:ascii="Arial" w:cs="Arial" w:eastAsia="Arial" w:hAnsi="Arial"/>
                <w:sz w:val="18"/>
                <w:szCs w:val="18"/>
                <w:color w:val="auto"/>
              </w:rPr>
              <w:t>Section 15.1</w:t>
            </w:r>
          </w:p>
        </w:tc>
        <w:tc>
          <w:tcPr>
            <w:tcW w:w="9340" w:type="dxa"/>
            <w:vAlign w:val="bottom"/>
          </w:tcPr>
          <w:p>
            <w:pPr>
              <w:ind w:left="320"/>
              <w:spacing w:after="0"/>
              <w:rPr>
                <w:sz w:val="20"/>
                <w:szCs w:val="20"/>
                <w:color w:val="auto"/>
              </w:rPr>
            </w:pPr>
            <w:r>
              <w:rPr>
                <w:rFonts w:ascii="Arial" w:cs="Arial" w:eastAsia="Arial" w:hAnsi="Arial"/>
                <w:sz w:val="18"/>
                <w:szCs w:val="18"/>
                <w:color w:val="auto"/>
              </w:rPr>
              <w:t>Agreement of Subordination</w:t>
            </w:r>
          </w:p>
        </w:tc>
        <w:tc>
          <w:tcPr>
            <w:tcW w:w="4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15.2</w:t>
            </w:r>
          </w:p>
        </w:tc>
        <w:tc>
          <w:tcPr>
            <w:tcW w:w="9340" w:type="dxa"/>
            <w:vAlign w:val="bottom"/>
          </w:tcPr>
          <w:p>
            <w:pPr>
              <w:ind w:left="320"/>
              <w:spacing w:after="0"/>
              <w:rPr>
                <w:sz w:val="20"/>
                <w:szCs w:val="20"/>
                <w:color w:val="auto"/>
              </w:rPr>
            </w:pPr>
            <w:r>
              <w:rPr>
                <w:rFonts w:ascii="Arial" w:cs="Arial" w:eastAsia="Arial" w:hAnsi="Arial"/>
                <w:sz w:val="18"/>
                <w:szCs w:val="18"/>
                <w:color w:val="auto"/>
              </w:rPr>
              <w:t>Payments to Holders</w:t>
            </w:r>
          </w:p>
        </w:tc>
        <w:tc>
          <w:tcPr>
            <w:tcW w:w="4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15.3</w:t>
            </w:r>
          </w:p>
        </w:tc>
        <w:tc>
          <w:tcPr>
            <w:tcW w:w="9340" w:type="dxa"/>
            <w:vAlign w:val="bottom"/>
          </w:tcPr>
          <w:p>
            <w:pPr>
              <w:ind w:left="320"/>
              <w:spacing w:after="0"/>
              <w:rPr>
                <w:sz w:val="20"/>
                <w:szCs w:val="20"/>
                <w:color w:val="auto"/>
              </w:rPr>
            </w:pPr>
            <w:r>
              <w:rPr>
                <w:rFonts w:ascii="Arial" w:cs="Arial" w:eastAsia="Arial" w:hAnsi="Arial"/>
                <w:sz w:val="18"/>
                <w:szCs w:val="18"/>
                <w:color w:val="auto"/>
              </w:rPr>
              <w:t>Subrogation of Securities</w:t>
            </w:r>
          </w:p>
        </w:tc>
        <w:tc>
          <w:tcPr>
            <w:tcW w:w="4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15.4</w:t>
            </w:r>
          </w:p>
        </w:tc>
        <w:tc>
          <w:tcPr>
            <w:tcW w:w="9340" w:type="dxa"/>
            <w:vAlign w:val="bottom"/>
          </w:tcPr>
          <w:p>
            <w:pPr>
              <w:ind w:left="320"/>
              <w:spacing w:after="0"/>
              <w:rPr>
                <w:sz w:val="20"/>
                <w:szCs w:val="20"/>
                <w:color w:val="auto"/>
              </w:rPr>
            </w:pPr>
            <w:r>
              <w:rPr>
                <w:rFonts w:ascii="Arial" w:cs="Arial" w:eastAsia="Arial" w:hAnsi="Arial"/>
                <w:sz w:val="18"/>
                <w:szCs w:val="18"/>
                <w:color w:val="auto"/>
              </w:rPr>
              <w:t>Authorization to Effect Subordination</w:t>
            </w:r>
          </w:p>
        </w:tc>
        <w:tc>
          <w:tcPr>
            <w:tcW w:w="4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15.5</w:t>
            </w:r>
          </w:p>
        </w:tc>
        <w:tc>
          <w:tcPr>
            <w:tcW w:w="9340" w:type="dxa"/>
            <w:vAlign w:val="bottom"/>
          </w:tcPr>
          <w:p>
            <w:pPr>
              <w:ind w:left="320"/>
              <w:spacing w:after="0"/>
              <w:rPr>
                <w:sz w:val="20"/>
                <w:szCs w:val="20"/>
                <w:color w:val="auto"/>
              </w:rPr>
            </w:pPr>
            <w:r>
              <w:rPr>
                <w:rFonts w:ascii="Arial" w:cs="Arial" w:eastAsia="Arial" w:hAnsi="Arial"/>
                <w:sz w:val="18"/>
                <w:szCs w:val="18"/>
                <w:color w:val="auto"/>
              </w:rPr>
              <w:t>Notice to Trustee</w:t>
            </w:r>
          </w:p>
        </w:tc>
        <w:tc>
          <w:tcPr>
            <w:tcW w:w="4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rPr>
              <w:t>Section 15.6</w:t>
            </w:r>
          </w:p>
        </w:tc>
        <w:tc>
          <w:tcPr>
            <w:tcW w:w="9340" w:type="dxa"/>
            <w:vAlign w:val="bottom"/>
          </w:tcPr>
          <w:p>
            <w:pPr>
              <w:ind w:left="320"/>
              <w:spacing w:after="0"/>
              <w:rPr>
                <w:sz w:val="20"/>
                <w:szCs w:val="20"/>
                <w:color w:val="auto"/>
              </w:rPr>
            </w:pPr>
            <w:r>
              <w:rPr>
                <w:rFonts w:ascii="Arial" w:cs="Arial" w:eastAsia="Arial" w:hAnsi="Arial"/>
                <w:sz w:val="18"/>
                <w:szCs w:val="18"/>
                <w:color w:val="auto"/>
              </w:rPr>
              <w:t>Trustee’s Relation to Senior Debt</w:t>
            </w:r>
          </w:p>
        </w:tc>
        <w:tc>
          <w:tcPr>
            <w:tcW w:w="4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30"/>
        </w:trPr>
        <w:tc>
          <w:tcPr>
            <w:tcW w:w="1600" w:type="dxa"/>
            <w:vAlign w:val="bottom"/>
          </w:tcPr>
          <w:p>
            <w:pPr>
              <w:ind w:left="360"/>
              <w:spacing w:after="0"/>
              <w:rPr>
                <w:sz w:val="20"/>
                <w:szCs w:val="20"/>
                <w:color w:val="auto"/>
              </w:rPr>
            </w:pPr>
            <w:r>
              <w:rPr>
                <w:rFonts w:ascii="Arial" w:cs="Arial" w:eastAsia="Arial" w:hAnsi="Arial"/>
                <w:sz w:val="18"/>
                <w:szCs w:val="18"/>
                <w:color w:val="auto"/>
              </w:rPr>
              <w:t>Section 15.7</w:t>
            </w:r>
          </w:p>
        </w:tc>
        <w:tc>
          <w:tcPr>
            <w:tcW w:w="9340" w:type="dxa"/>
            <w:vAlign w:val="bottom"/>
          </w:tcPr>
          <w:p>
            <w:pPr>
              <w:ind w:left="320"/>
              <w:spacing w:after="0"/>
              <w:rPr>
                <w:sz w:val="20"/>
                <w:szCs w:val="20"/>
                <w:color w:val="auto"/>
              </w:rPr>
            </w:pPr>
            <w:r>
              <w:rPr>
                <w:rFonts w:ascii="Arial" w:cs="Arial" w:eastAsia="Arial" w:hAnsi="Arial"/>
                <w:sz w:val="18"/>
                <w:szCs w:val="18"/>
                <w:color w:val="auto"/>
              </w:rPr>
              <w:t>No Impairment of Subordination</w:t>
            </w:r>
          </w:p>
        </w:tc>
        <w:tc>
          <w:tcPr>
            <w:tcW w:w="420" w:type="dxa"/>
            <w:vAlign w:val="bottom"/>
          </w:tcPr>
          <w:p>
            <w:pPr>
              <w:jc w:val="right"/>
              <w:spacing w:after="0"/>
              <w:rPr>
                <w:sz w:val="20"/>
                <w:szCs w:val="20"/>
                <w:color w:val="auto"/>
              </w:rPr>
            </w:pPr>
            <w:r>
              <w:rPr>
                <w:rFonts w:ascii="Arial" w:cs="Arial" w:eastAsia="Arial" w:hAnsi="Arial"/>
                <w:sz w:val="18"/>
                <w:szCs w:val="18"/>
                <w:color w:val="auto"/>
              </w:rPr>
              <w:t>67</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60"/>
          </w:cols>
          <w:pgMar w:left="240" w:top="274" w:right="29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15.8</w:t>
            </w:r>
          </w:p>
        </w:tc>
        <w:tc>
          <w:tcPr>
            <w:tcW w:w="7160" w:type="dxa"/>
            <w:vAlign w:val="bottom"/>
          </w:tcPr>
          <w:p>
            <w:pPr>
              <w:ind w:left="280"/>
              <w:spacing w:after="0"/>
              <w:rPr>
                <w:sz w:val="20"/>
                <w:szCs w:val="20"/>
                <w:color w:val="auto"/>
              </w:rPr>
            </w:pPr>
            <w:r>
              <w:rPr>
                <w:rFonts w:ascii="Arial" w:cs="Arial" w:eastAsia="Arial" w:hAnsi="Arial"/>
                <w:sz w:val="18"/>
                <w:szCs w:val="18"/>
                <w:color w:val="auto"/>
              </w:rPr>
              <w:t>Certain Conversions/Exchanges Deemed Payment</w:t>
            </w:r>
          </w:p>
        </w:tc>
        <w:tc>
          <w:tcPr>
            <w:tcW w:w="25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15.9</w:t>
            </w:r>
          </w:p>
        </w:tc>
        <w:tc>
          <w:tcPr>
            <w:tcW w:w="7160" w:type="dxa"/>
            <w:vAlign w:val="bottom"/>
          </w:tcPr>
          <w:p>
            <w:pPr>
              <w:ind w:left="280"/>
              <w:spacing w:after="0"/>
              <w:rPr>
                <w:sz w:val="20"/>
                <w:szCs w:val="20"/>
                <w:color w:val="auto"/>
              </w:rPr>
            </w:pPr>
            <w:r>
              <w:rPr>
                <w:rFonts w:ascii="Arial" w:cs="Arial" w:eastAsia="Arial" w:hAnsi="Arial"/>
                <w:sz w:val="18"/>
                <w:szCs w:val="18"/>
                <w:color w:val="auto"/>
              </w:rPr>
              <w:t>Article Applicable to Paying Agents</w:t>
            </w:r>
          </w:p>
        </w:tc>
        <w:tc>
          <w:tcPr>
            <w:tcW w:w="25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15.10</w:t>
            </w:r>
          </w:p>
        </w:tc>
        <w:tc>
          <w:tcPr>
            <w:tcW w:w="7160" w:type="dxa"/>
            <w:vAlign w:val="bottom"/>
          </w:tcPr>
          <w:p>
            <w:pPr>
              <w:ind w:left="280"/>
              <w:spacing w:after="0"/>
              <w:rPr>
                <w:sz w:val="20"/>
                <w:szCs w:val="20"/>
                <w:color w:val="auto"/>
              </w:rPr>
            </w:pPr>
            <w:r>
              <w:rPr>
                <w:rFonts w:ascii="Arial" w:cs="Arial" w:eastAsia="Arial" w:hAnsi="Arial"/>
                <w:sz w:val="18"/>
                <w:szCs w:val="18"/>
                <w:color w:val="auto"/>
              </w:rPr>
              <w:t>Senior Debt Entitled to Rely</w:t>
            </w:r>
          </w:p>
        </w:tc>
        <w:tc>
          <w:tcPr>
            <w:tcW w:w="25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15.11</w:t>
            </w:r>
          </w:p>
        </w:tc>
        <w:tc>
          <w:tcPr>
            <w:tcW w:w="7160" w:type="dxa"/>
            <w:vAlign w:val="bottom"/>
          </w:tcPr>
          <w:p>
            <w:pPr>
              <w:ind w:left="280"/>
              <w:spacing w:after="0"/>
              <w:rPr>
                <w:sz w:val="20"/>
                <w:szCs w:val="20"/>
                <w:color w:val="auto"/>
              </w:rPr>
            </w:pPr>
            <w:r>
              <w:rPr>
                <w:rFonts w:ascii="Arial" w:cs="Arial" w:eastAsia="Arial" w:hAnsi="Arial"/>
                <w:sz w:val="18"/>
                <w:szCs w:val="18"/>
                <w:color w:val="auto"/>
              </w:rPr>
              <w:t>Reliance on Judicial Order or Certificate of Liquidating Agent</w:t>
            </w:r>
          </w:p>
        </w:tc>
        <w:tc>
          <w:tcPr>
            <w:tcW w:w="25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Section 15.12</w:t>
            </w:r>
          </w:p>
        </w:tc>
        <w:tc>
          <w:tcPr>
            <w:tcW w:w="7160" w:type="dxa"/>
            <w:vAlign w:val="bottom"/>
          </w:tcPr>
          <w:p>
            <w:pPr>
              <w:ind w:left="280"/>
              <w:spacing w:after="0"/>
              <w:rPr>
                <w:sz w:val="20"/>
                <w:szCs w:val="20"/>
                <w:color w:val="auto"/>
              </w:rPr>
            </w:pPr>
            <w:r>
              <w:rPr>
                <w:rFonts w:ascii="Arial" w:cs="Arial" w:eastAsia="Arial" w:hAnsi="Arial"/>
                <w:sz w:val="18"/>
                <w:szCs w:val="18"/>
                <w:color w:val="auto"/>
              </w:rPr>
              <w:t>Trust Monies Not Subordinated</w:t>
            </w:r>
          </w:p>
        </w:tc>
        <w:tc>
          <w:tcPr>
            <w:tcW w:w="2560" w:type="dxa"/>
            <w:vAlign w:val="bottom"/>
          </w:tcPr>
          <w:p>
            <w:pPr>
              <w:jc w:val="right"/>
              <w:spacing w:after="0"/>
              <w:rPr>
                <w:sz w:val="20"/>
                <w:szCs w:val="20"/>
                <w:color w:val="auto"/>
              </w:rPr>
            </w:pPr>
            <w:r>
              <w:rPr>
                <w:rFonts w:ascii="Arial" w:cs="Arial" w:eastAsia="Arial" w:hAnsi="Arial"/>
                <w:sz w:val="18"/>
                <w:szCs w:val="18"/>
                <w:color w:val="auto"/>
              </w:rPr>
              <w:t>69</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300"/>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000"/>
          </w:cols>
          <w:pgMar w:left="600" w:top="274" w:right="29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p>
        </w:tc>
        <w:tc>
          <w:tcPr>
            <w:tcW w:w="8800" w:type="dxa"/>
            <w:vAlign w:val="bottom"/>
          </w:tcPr>
          <w:p>
            <w:pPr>
              <w:ind w:left="4200"/>
              <w:spacing w:after="0"/>
              <w:rPr>
                <w:sz w:val="20"/>
                <w:szCs w:val="20"/>
                <w:color w:val="auto"/>
              </w:rPr>
            </w:pPr>
            <w:r>
              <w:rPr>
                <w:rFonts w:ascii="Arial" w:cs="Arial" w:eastAsia="Arial" w:hAnsi="Arial"/>
                <w:sz w:val="18"/>
                <w:szCs w:val="18"/>
                <w:color w:val="auto"/>
              </w:rPr>
              <w:t>Fluidigm Corporation</w:t>
            </w:r>
          </w:p>
        </w:tc>
        <w:tc>
          <w:tcPr>
            <w:tcW w:w="1640" w:type="dxa"/>
            <w:vAlign w:val="bottom"/>
          </w:tcPr>
          <w:p>
            <w:pPr>
              <w:spacing w:after="0"/>
              <w:rPr>
                <w:sz w:val="20"/>
                <w:szCs w:val="20"/>
                <w:color w:val="auto"/>
              </w:rPr>
            </w:pPr>
          </w:p>
        </w:tc>
      </w:tr>
      <w:tr>
        <w:trPr>
          <w:trHeight w:val="432"/>
        </w:trPr>
        <w:tc>
          <w:tcPr>
            <w:tcW w:w="9520" w:type="dxa"/>
            <w:vAlign w:val="bottom"/>
            <w:gridSpan w:val="2"/>
          </w:tcPr>
          <w:p>
            <w:pPr>
              <w:ind w:left="460"/>
              <w:spacing w:after="0"/>
              <w:rPr>
                <w:sz w:val="20"/>
                <w:szCs w:val="20"/>
                <w:color w:val="auto"/>
              </w:rPr>
            </w:pPr>
            <w:r>
              <w:rPr>
                <w:rFonts w:ascii="Arial" w:cs="Arial" w:eastAsia="Arial" w:hAnsi="Arial"/>
                <w:sz w:val="18"/>
                <w:szCs w:val="18"/>
                <w:color w:val="auto"/>
                <w:w w:val="96"/>
              </w:rPr>
              <w:t>Certain Sections of this Indenture relating to Sections 3.10 through 3.18, inclusive, of the Trust Indenture Act of 1939:</w:t>
            </w:r>
          </w:p>
        </w:tc>
        <w:tc>
          <w:tcPr>
            <w:tcW w:w="1640" w:type="dxa"/>
            <w:vAlign w:val="bottom"/>
          </w:tcPr>
          <w:p>
            <w:pPr>
              <w:spacing w:after="0"/>
              <w:rPr>
                <w:sz w:val="24"/>
                <w:szCs w:val="24"/>
                <w:color w:val="auto"/>
              </w:rPr>
            </w:pPr>
          </w:p>
        </w:tc>
      </w:tr>
      <w:tr>
        <w:trPr>
          <w:trHeight w:val="445"/>
        </w:trPr>
        <w:tc>
          <w:tcPr>
            <w:tcW w:w="9520" w:type="dxa"/>
            <w:vAlign w:val="bottom"/>
            <w:gridSpan w:val="2"/>
          </w:tcPr>
          <w:p>
            <w:pPr>
              <w:spacing w:after="0"/>
              <w:rPr>
                <w:sz w:val="20"/>
                <w:szCs w:val="20"/>
                <w:color w:val="auto"/>
              </w:rPr>
            </w:pPr>
            <w:r>
              <w:rPr>
                <w:rFonts w:ascii="Arial" w:cs="Arial" w:eastAsia="Arial" w:hAnsi="Arial"/>
                <w:sz w:val="18"/>
                <w:szCs w:val="18"/>
                <w:color w:val="auto"/>
              </w:rPr>
              <w:t>Section 310(a)(1)</w:t>
            </w:r>
          </w:p>
        </w:tc>
        <w:tc>
          <w:tcPr>
            <w:tcW w:w="1640" w:type="dxa"/>
            <w:vAlign w:val="bottom"/>
          </w:tcPr>
          <w:p>
            <w:pPr>
              <w:ind w:left="540"/>
              <w:spacing w:after="0"/>
              <w:rPr>
                <w:sz w:val="20"/>
                <w:szCs w:val="20"/>
                <w:color w:val="auto"/>
              </w:rPr>
            </w:pPr>
            <w:r>
              <w:rPr>
                <w:rFonts w:ascii="Arial" w:cs="Arial" w:eastAsia="Arial" w:hAnsi="Arial"/>
                <w:sz w:val="18"/>
                <w:szCs w:val="18"/>
                <w:color w:val="auto"/>
              </w:rPr>
              <w:t>6.9</w:t>
            </w:r>
          </w:p>
        </w:tc>
      </w:tr>
      <w:tr>
        <w:trPr>
          <w:trHeight w:val="216"/>
        </w:trPr>
        <w:tc>
          <w:tcPr>
            <w:tcW w:w="720" w:type="dxa"/>
            <w:vAlign w:val="bottom"/>
          </w:tcPr>
          <w:p>
            <w:pPr>
              <w:spacing w:after="0"/>
              <w:rPr>
                <w:sz w:val="18"/>
                <w:szCs w:val="18"/>
                <w:color w:val="auto"/>
              </w:rPr>
            </w:pPr>
          </w:p>
        </w:tc>
        <w:tc>
          <w:tcPr>
            <w:tcW w:w="8800" w:type="dxa"/>
            <w:vAlign w:val="bottom"/>
          </w:tcPr>
          <w:p>
            <w:pPr>
              <w:ind w:left="180"/>
              <w:spacing w:after="0"/>
              <w:rPr>
                <w:sz w:val="20"/>
                <w:szCs w:val="20"/>
                <w:color w:val="auto"/>
              </w:rPr>
            </w:pPr>
            <w:r>
              <w:rPr>
                <w:rFonts w:ascii="Arial" w:cs="Arial" w:eastAsia="Arial" w:hAnsi="Arial"/>
                <w:sz w:val="18"/>
                <w:szCs w:val="18"/>
                <w:color w:val="auto"/>
              </w:rPr>
              <w:t>(a)(2)</w:t>
            </w:r>
          </w:p>
        </w:tc>
        <w:tc>
          <w:tcPr>
            <w:tcW w:w="1640" w:type="dxa"/>
            <w:vAlign w:val="bottom"/>
          </w:tcPr>
          <w:p>
            <w:pPr>
              <w:ind w:left="540"/>
              <w:spacing w:after="0"/>
              <w:rPr>
                <w:sz w:val="20"/>
                <w:szCs w:val="20"/>
                <w:color w:val="auto"/>
              </w:rPr>
            </w:pPr>
            <w:r>
              <w:rPr>
                <w:rFonts w:ascii="Arial" w:cs="Arial" w:eastAsia="Arial" w:hAnsi="Arial"/>
                <w:sz w:val="18"/>
                <w:szCs w:val="18"/>
                <w:color w:val="auto"/>
              </w:rPr>
              <w:t>6.9</w:t>
            </w:r>
          </w:p>
        </w:tc>
      </w:tr>
      <w:tr>
        <w:trPr>
          <w:trHeight w:val="216"/>
        </w:trPr>
        <w:tc>
          <w:tcPr>
            <w:tcW w:w="720" w:type="dxa"/>
            <w:vAlign w:val="bottom"/>
          </w:tcPr>
          <w:p>
            <w:pPr>
              <w:spacing w:after="0"/>
              <w:rPr>
                <w:sz w:val="18"/>
                <w:szCs w:val="18"/>
                <w:color w:val="auto"/>
              </w:rPr>
            </w:pPr>
          </w:p>
        </w:tc>
        <w:tc>
          <w:tcPr>
            <w:tcW w:w="8800" w:type="dxa"/>
            <w:vAlign w:val="bottom"/>
          </w:tcPr>
          <w:p>
            <w:pPr>
              <w:ind w:left="180"/>
              <w:spacing w:after="0"/>
              <w:rPr>
                <w:sz w:val="20"/>
                <w:szCs w:val="20"/>
                <w:color w:val="auto"/>
              </w:rPr>
            </w:pPr>
            <w:r>
              <w:rPr>
                <w:rFonts w:ascii="Arial" w:cs="Arial" w:eastAsia="Arial" w:hAnsi="Arial"/>
                <w:sz w:val="18"/>
                <w:szCs w:val="18"/>
                <w:color w:val="auto"/>
              </w:rPr>
              <w:t>(a)(3)</w:t>
            </w:r>
          </w:p>
        </w:tc>
        <w:tc>
          <w:tcPr>
            <w:tcW w:w="1640" w:type="dxa"/>
            <w:vAlign w:val="bottom"/>
          </w:tcPr>
          <w:p>
            <w:pPr>
              <w:ind w:left="540"/>
              <w:spacing w:after="0"/>
              <w:rPr>
                <w:sz w:val="20"/>
                <w:szCs w:val="20"/>
                <w:color w:val="auto"/>
              </w:rPr>
            </w:pPr>
            <w:r>
              <w:rPr>
                <w:rFonts w:ascii="Arial" w:cs="Arial" w:eastAsia="Arial" w:hAnsi="Arial"/>
                <w:sz w:val="18"/>
                <w:szCs w:val="18"/>
                <w:color w:val="auto"/>
                <w:w w:val="93"/>
              </w:rPr>
              <w:t>Not Applicable</w:t>
            </w:r>
          </w:p>
        </w:tc>
      </w:tr>
      <w:tr>
        <w:trPr>
          <w:trHeight w:val="216"/>
        </w:trPr>
        <w:tc>
          <w:tcPr>
            <w:tcW w:w="720" w:type="dxa"/>
            <w:vAlign w:val="bottom"/>
          </w:tcPr>
          <w:p>
            <w:pPr>
              <w:spacing w:after="0"/>
              <w:rPr>
                <w:sz w:val="18"/>
                <w:szCs w:val="18"/>
                <w:color w:val="auto"/>
              </w:rPr>
            </w:pPr>
          </w:p>
        </w:tc>
        <w:tc>
          <w:tcPr>
            <w:tcW w:w="8800" w:type="dxa"/>
            <w:vAlign w:val="bottom"/>
          </w:tcPr>
          <w:p>
            <w:pPr>
              <w:ind w:left="180"/>
              <w:spacing w:after="0"/>
              <w:rPr>
                <w:sz w:val="20"/>
                <w:szCs w:val="20"/>
                <w:color w:val="auto"/>
              </w:rPr>
            </w:pPr>
            <w:r>
              <w:rPr>
                <w:rFonts w:ascii="Arial" w:cs="Arial" w:eastAsia="Arial" w:hAnsi="Arial"/>
                <w:sz w:val="18"/>
                <w:szCs w:val="18"/>
                <w:color w:val="auto"/>
              </w:rPr>
              <w:t>(a)(4)</w:t>
            </w:r>
          </w:p>
        </w:tc>
        <w:tc>
          <w:tcPr>
            <w:tcW w:w="1640" w:type="dxa"/>
            <w:vAlign w:val="bottom"/>
          </w:tcPr>
          <w:p>
            <w:pPr>
              <w:ind w:left="540"/>
              <w:spacing w:after="0"/>
              <w:rPr>
                <w:sz w:val="20"/>
                <w:szCs w:val="20"/>
                <w:color w:val="auto"/>
              </w:rPr>
            </w:pPr>
            <w:r>
              <w:rPr>
                <w:rFonts w:ascii="Arial" w:cs="Arial" w:eastAsia="Arial" w:hAnsi="Arial"/>
                <w:sz w:val="18"/>
                <w:szCs w:val="18"/>
                <w:color w:val="auto"/>
                <w:w w:val="93"/>
              </w:rPr>
              <w:t>Not Applicable</w:t>
            </w:r>
          </w:p>
        </w:tc>
      </w:tr>
      <w:tr>
        <w:trPr>
          <w:trHeight w:val="216"/>
        </w:trPr>
        <w:tc>
          <w:tcPr>
            <w:tcW w:w="720" w:type="dxa"/>
            <w:vAlign w:val="bottom"/>
          </w:tcPr>
          <w:p>
            <w:pPr>
              <w:spacing w:after="0"/>
              <w:rPr>
                <w:sz w:val="18"/>
                <w:szCs w:val="18"/>
                <w:color w:val="auto"/>
              </w:rPr>
            </w:pPr>
          </w:p>
        </w:tc>
        <w:tc>
          <w:tcPr>
            <w:tcW w:w="8800" w:type="dxa"/>
            <w:vAlign w:val="bottom"/>
          </w:tcPr>
          <w:p>
            <w:pPr>
              <w:ind w:left="180"/>
              <w:spacing w:after="0"/>
              <w:rPr>
                <w:sz w:val="20"/>
                <w:szCs w:val="20"/>
                <w:color w:val="auto"/>
              </w:rPr>
            </w:pPr>
            <w:r>
              <w:rPr>
                <w:rFonts w:ascii="Arial" w:cs="Arial" w:eastAsia="Arial" w:hAnsi="Arial"/>
                <w:sz w:val="18"/>
                <w:szCs w:val="18"/>
                <w:color w:val="auto"/>
              </w:rPr>
              <w:t>(b)</w:t>
            </w:r>
          </w:p>
        </w:tc>
        <w:tc>
          <w:tcPr>
            <w:tcW w:w="1640" w:type="dxa"/>
            <w:vAlign w:val="bottom"/>
          </w:tcPr>
          <w:p>
            <w:pPr>
              <w:ind w:left="540"/>
              <w:spacing w:after="0"/>
              <w:rPr>
                <w:sz w:val="20"/>
                <w:szCs w:val="20"/>
                <w:color w:val="auto"/>
              </w:rPr>
            </w:pPr>
            <w:r>
              <w:rPr>
                <w:rFonts w:ascii="Arial" w:cs="Arial" w:eastAsia="Arial" w:hAnsi="Arial"/>
                <w:sz w:val="18"/>
                <w:szCs w:val="18"/>
                <w:color w:val="auto"/>
              </w:rPr>
              <w:t>6.8, 6.10</w:t>
            </w:r>
          </w:p>
        </w:tc>
      </w:tr>
      <w:tr>
        <w:trPr>
          <w:trHeight w:val="216"/>
        </w:trPr>
        <w:tc>
          <w:tcPr>
            <w:tcW w:w="9520" w:type="dxa"/>
            <w:vAlign w:val="bottom"/>
            <w:gridSpan w:val="2"/>
          </w:tcPr>
          <w:p>
            <w:pPr>
              <w:spacing w:after="0"/>
              <w:rPr>
                <w:sz w:val="20"/>
                <w:szCs w:val="20"/>
                <w:color w:val="auto"/>
              </w:rPr>
            </w:pPr>
            <w:r>
              <w:rPr>
                <w:rFonts w:ascii="Arial" w:cs="Arial" w:eastAsia="Arial" w:hAnsi="Arial"/>
                <w:sz w:val="18"/>
                <w:szCs w:val="18"/>
                <w:color w:val="auto"/>
              </w:rPr>
              <w:t>Section 311(a)</w:t>
            </w:r>
          </w:p>
        </w:tc>
        <w:tc>
          <w:tcPr>
            <w:tcW w:w="1640" w:type="dxa"/>
            <w:vAlign w:val="bottom"/>
          </w:tcPr>
          <w:p>
            <w:pPr>
              <w:ind w:left="540"/>
              <w:spacing w:after="0"/>
              <w:rPr>
                <w:sz w:val="20"/>
                <w:szCs w:val="20"/>
                <w:color w:val="auto"/>
              </w:rPr>
            </w:pPr>
            <w:r>
              <w:rPr>
                <w:rFonts w:ascii="Arial" w:cs="Arial" w:eastAsia="Arial" w:hAnsi="Arial"/>
                <w:sz w:val="18"/>
                <w:szCs w:val="18"/>
                <w:color w:val="auto"/>
              </w:rPr>
              <w:t>6.13</w:t>
            </w:r>
          </w:p>
        </w:tc>
      </w:tr>
      <w:tr>
        <w:trPr>
          <w:trHeight w:val="216"/>
        </w:trPr>
        <w:tc>
          <w:tcPr>
            <w:tcW w:w="720" w:type="dxa"/>
            <w:vAlign w:val="bottom"/>
          </w:tcPr>
          <w:p>
            <w:pPr>
              <w:spacing w:after="0"/>
              <w:rPr>
                <w:sz w:val="18"/>
                <w:szCs w:val="18"/>
                <w:color w:val="auto"/>
              </w:rPr>
            </w:pPr>
          </w:p>
        </w:tc>
        <w:tc>
          <w:tcPr>
            <w:tcW w:w="8800" w:type="dxa"/>
            <w:vAlign w:val="bottom"/>
          </w:tcPr>
          <w:p>
            <w:pPr>
              <w:ind w:left="180"/>
              <w:spacing w:after="0"/>
              <w:rPr>
                <w:sz w:val="20"/>
                <w:szCs w:val="20"/>
                <w:color w:val="auto"/>
              </w:rPr>
            </w:pPr>
            <w:r>
              <w:rPr>
                <w:rFonts w:ascii="Arial" w:cs="Arial" w:eastAsia="Arial" w:hAnsi="Arial"/>
                <w:sz w:val="18"/>
                <w:szCs w:val="18"/>
                <w:color w:val="auto"/>
              </w:rPr>
              <w:t>(b)</w:t>
            </w:r>
          </w:p>
        </w:tc>
        <w:tc>
          <w:tcPr>
            <w:tcW w:w="1640" w:type="dxa"/>
            <w:vAlign w:val="bottom"/>
          </w:tcPr>
          <w:p>
            <w:pPr>
              <w:ind w:left="540"/>
              <w:spacing w:after="0"/>
              <w:rPr>
                <w:sz w:val="20"/>
                <w:szCs w:val="20"/>
                <w:color w:val="auto"/>
              </w:rPr>
            </w:pPr>
            <w:r>
              <w:rPr>
                <w:rFonts w:ascii="Arial" w:cs="Arial" w:eastAsia="Arial" w:hAnsi="Arial"/>
                <w:sz w:val="18"/>
                <w:szCs w:val="18"/>
                <w:color w:val="auto"/>
              </w:rPr>
              <w:t>6.13</w:t>
            </w:r>
          </w:p>
        </w:tc>
      </w:tr>
      <w:tr>
        <w:trPr>
          <w:trHeight w:val="216"/>
        </w:trPr>
        <w:tc>
          <w:tcPr>
            <w:tcW w:w="9520" w:type="dxa"/>
            <w:vAlign w:val="bottom"/>
            <w:gridSpan w:val="2"/>
          </w:tcPr>
          <w:p>
            <w:pPr>
              <w:spacing w:after="0"/>
              <w:rPr>
                <w:sz w:val="20"/>
                <w:szCs w:val="20"/>
                <w:color w:val="auto"/>
              </w:rPr>
            </w:pPr>
            <w:r>
              <w:rPr>
                <w:rFonts w:ascii="Arial" w:cs="Arial" w:eastAsia="Arial" w:hAnsi="Arial"/>
                <w:sz w:val="18"/>
                <w:szCs w:val="18"/>
                <w:color w:val="auto"/>
              </w:rPr>
              <w:t>Section 312(a)</w:t>
            </w:r>
          </w:p>
        </w:tc>
        <w:tc>
          <w:tcPr>
            <w:tcW w:w="1640" w:type="dxa"/>
            <w:vAlign w:val="bottom"/>
          </w:tcPr>
          <w:p>
            <w:pPr>
              <w:ind w:left="540"/>
              <w:spacing w:after="0"/>
              <w:rPr>
                <w:sz w:val="20"/>
                <w:szCs w:val="20"/>
                <w:color w:val="auto"/>
              </w:rPr>
            </w:pPr>
            <w:r>
              <w:rPr>
                <w:rFonts w:ascii="Arial" w:cs="Arial" w:eastAsia="Arial" w:hAnsi="Arial"/>
                <w:sz w:val="18"/>
                <w:szCs w:val="18"/>
                <w:color w:val="auto"/>
              </w:rPr>
              <w:t>7.1, 7.2</w:t>
            </w:r>
          </w:p>
        </w:tc>
      </w:tr>
      <w:tr>
        <w:trPr>
          <w:trHeight w:val="216"/>
        </w:trPr>
        <w:tc>
          <w:tcPr>
            <w:tcW w:w="720" w:type="dxa"/>
            <w:vAlign w:val="bottom"/>
          </w:tcPr>
          <w:p>
            <w:pPr>
              <w:spacing w:after="0"/>
              <w:rPr>
                <w:sz w:val="18"/>
                <w:szCs w:val="18"/>
                <w:color w:val="auto"/>
              </w:rPr>
            </w:pPr>
          </w:p>
        </w:tc>
        <w:tc>
          <w:tcPr>
            <w:tcW w:w="8800" w:type="dxa"/>
            <w:vAlign w:val="bottom"/>
          </w:tcPr>
          <w:p>
            <w:pPr>
              <w:ind w:left="180"/>
              <w:spacing w:after="0"/>
              <w:rPr>
                <w:sz w:val="20"/>
                <w:szCs w:val="20"/>
                <w:color w:val="auto"/>
              </w:rPr>
            </w:pPr>
            <w:r>
              <w:rPr>
                <w:rFonts w:ascii="Arial" w:cs="Arial" w:eastAsia="Arial" w:hAnsi="Arial"/>
                <w:sz w:val="18"/>
                <w:szCs w:val="18"/>
                <w:color w:val="auto"/>
              </w:rPr>
              <w:t>(b)</w:t>
            </w:r>
          </w:p>
        </w:tc>
        <w:tc>
          <w:tcPr>
            <w:tcW w:w="1640" w:type="dxa"/>
            <w:vAlign w:val="bottom"/>
          </w:tcPr>
          <w:p>
            <w:pPr>
              <w:ind w:left="540"/>
              <w:spacing w:after="0"/>
              <w:rPr>
                <w:sz w:val="20"/>
                <w:szCs w:val="20"/>
                <w:color w:val="auto"/>
              </w:rPr>
            </w:pPr>
            <w:r>
              <w:rPr>
                <w:rFonts w:ascii="Arial" w:cs="Arial" w:eastAsia="Arial" w:hAnsi="Arial"/>
                <w:sz w:val="18"/>
                <w:szCs w:val="18"/>
                <w:color w:val="auto"/>
              </w:rPr>
              <w:t>7.2</w:t>
            </w:r>
          </w:p>
        </w:tc>
      </w:tr>
      <w:tr>
        <w:trPr>
          <w:trHeight w:val="216"/>
        </w:trPr>
        <w:tc>
          <w:tcPr>
            <w:tcW w:w="720" w:type="dxa"/>
            <w:vAlign w:val="bottom"/>
          </w:tcPr>
          <w:p>
            <w:pPr>
              <w:spacing w:after="0"/>
              <w:rPr>
                <w:sz w:val="18"/>
                <w:szCs w:val="18"/>
                <w:color w:val="auto"/>
              </w:rPr>
            </w:pPr>
          </w:p>
        </w:tc>
        <w:tc>
          <w:tcPr>
            <w:tcW w:w="8800" w:type="dxa"/>
            <w:vAlign w:val="bottom"/>
          </w:tcPr>
          <w:p>
            <w:pPr>
              <w:ind w:left="180"/>
              <w:spacing w:after="0"/>
              <w:rPr>
                <w:sz w:val="20"/>
                <w:szCs w:val="20"/>
                <w:color w:val="auto"/>
              </w:rPr>
            </w:pPr>
            <w:r>
              <w:rPr>
                <w:rFonts w:ascii="Arial" w:cs="Arial" w:eastAsia="Arial" w:hAnsi="Arial"/>
                <w:sz w:val="18"/>
                <w:szCs w:val="18"/>
                <w:color w:val="auto"/>
              </w:rPr>
              <w:t>(c)</w:t>
            </w:r>
          </w:p>
        </w:tc>
        <w:tc>
          <w:tcPr>
            <w:tcW w:w="1640" w:type="dxa"/>
            <w:vAlign w:val="bottom"/>
          </w:tcPr>
          <w:p>
            <w:pPr>
              <w:ind w:left="540"/>
              <w:spacing w:after="0"/>
              <w:rPr>
                <w:sz w:val="20"/>
                <w:szCs w:val="20"/>
                <w:color w:val="auto"/>
              </w:rPr>
            </w:pPr>
            <w:r>
              <w:rPr>
                <w:rFonts w:ascii="Arial" w:cs="Arial" w:eastAsia="Arial" w:hAnsi="Arial"/>
                <w:sz w:val="18"/>
                <w:szCs w:val="18"/>
                <w:color w:val="auto"/>
              </w:rPr>
              <w:t>7.2</w:t>
            </w:r>
          </w:p>
        </w:tc>
      </w:tr>
      <w:tr>
        <w:trPr>
          <w:trHeight w:val="216"/>
        </w:trPr>
        <w:tc>
          <w:tcPr>
            <w:tcW w:w="9520" w:type="dxa"/>
            <w:vAlign w:val="bottom"/>
            <w:gridSpan w:val="2"/>
          </w:tcPr>
          <w:p>
            <w:pPr>
              <w:spacing w:after="0"/>
              <w:rPr>
                <w:sz w:val="20"/>
                <w:szCs w:val="20"/>
                <w:color w:val="auto"/>
              </w:rPr>
            </w:pPr>
            <w:r>
              <w:rPr>
                <w:rFonts w:ascii="Arial" w:cs="Arial" w:eastAsia="Arial" w:hAnsi="Arial"/>
                <w:sz w:val="18"/>
                <w:szCs w:val="18"/>
                <w:color w:val="auto"/>
              </w:rPr>
              <w:t>Section 313(a)</w:t>
            </w:r>
          </w:p>
        </w:tc>
        <w:tc>
          <w:tcPr>
            <w:tcW w:w="1640" w:type="dxa"/>
            <w:vAlign w:val="bottom"/>
          </w:tcPr>
          <w:p>
            <w:pPr>
              <w:ind w:left="540"/>
              <w:spacing w:after="0"/>
              <w:rPr>
                <w:sz w:val="20"/>
                <w:szCs w:val="20"/>
                <w:color w:val="auto"/>
              </w:rPr>
            </w:pPr>
            <w:r>
              <w:rPr>
                <w:rFonts w:ascii="Arial" w:cs="Arial" w:eastAsia="Arial" w:hAnsi="Arial"/>
                <w:sz w:val="18"/>
                <w:szCs w:val="18"/>
                <w:color w:val="auto"/>
              </w:rPr>
              <w:t>7.3</w:t>
            </w:r>
          </w:p>
        </w:tc>
      </w:tr>
      <w:tr>
        <w:trPr>
          <w:trHeight w:val="216"/>
        </w:trPr>
        <w:tc>
          <w:tcPr>
            <w:tcW w:w="720" w:type="dxa"/>
            <w:vAlign w:val="bottom"/>
          </w:tcPr>
          <w:p>
            <w:pPr>
              <w:spacing w:after="0"/>
              <w:rPr>
                <w:sz w:val="18"/>
                <w:szCs w:val="18"/>
                <w:color w:val="auto"/>
              </w:rPr>
            </w:pPr>
          </w:p>
        </w:tc>
        <w:tc>
          <w:tcPr>
            <w:tcW w:w="8800" w:type="dxa"/>
            <w:vAlign w:val="bottom"/>
          </w:tcPr>
          <w:p>
            <w:pPr>
              <w:ind w:left="180"/>
              <w:spacing w:after="0"/>
              <w:rPr>
                <w:sz w:val="20"/>
                <w:szCs w:val="20"/>
                <w:color w:val="auto"/>
              </w:rPr>
            </w:pPr>
            <w:r>
              <w:rPr>
                <w:rFonts w:ascii="Arial" w:cs="Arial" w:eastAsia="Arial" w:hAnsi="Arial"/>
                <w:sz w:val="18"/>
                <w:szCs w:val="18"/>
                <w:color w:val="auto"/>
              </w:rPr>
              <w:t>(b)</w:t>
            </w:r>
          </w:p>
        </w:tc>
        <w:tc>
          <w:tcPr>
            <w:tcW w:w="1640" w:type="dxa"/>
            <w:vAlign w:val="bottom"/>
          </w:tcPr>
          <w:p>
            <w:pPr>
              <w:ind w:left="540"/>
              <w:spacing w:after="0"/>
              <w:rPr>
                <w:sz w:val="20"/>
                <w:szCs w:val="20"/>
                <w:color w:val="auto"/>
              </w:rPr>
            </w:pPr>
            <w:r>
              <w:rPr>
                <w:rFonts w:ascii="Arial" w:cs="Arial" w:eastAsia="Arial" w:hAnsi="Arial"/>
                <w:sz w:val="18"/>
                <w:szCs w:val="18"/>
                <w:color w:val="auto"/>
              </w:rPr>
              <w:t>7.3</w:t>
            </w:r>
          </w:p>
        </w:tc>
      </w:tr>
      <w:tr>
        <w:trPr>
          <w:trHeight w:val="216"/>
        </w:trPr>
        <w:tc>
          <w:tcPr>
            <w:tcW w:w="720" w:type="dxa"/>
            <w:vAlign w:val="bottom"/>
          </w:tcPr>
          <w:p>
            <w:pPr>
              <w:spacing w:after="0"/>
              <w:rPr>
                <w:sz w:val="18"/>
                <w:szCs w:val="18"/>
                <w:color w:val="auto"/>
              </w:rPr>
            </w:pPr>
          </w:p>
        </w:tc>
        <w:tc>
          <w:tcPr>
            <w:tcW w:w="8800" w:type="dxa"/>
            <w:vAlign w:val="bottom"/>
          </w:tcPr>
          <w:p>
            <w:pPr>
              <w:ind w:left="180"/>
              <w:spacing w:after="0"/>
              <w:rPr>
                <w:sz w:val="20"/>
                <w:szCs w:val="20"/>
                <w:color w:val="auto"/>
              </w:rPr>
            </w:pPr>
            <w:r>
              <w:rPr>
                <w:rFonts w:ascii="Arial" w:cs="Arial" w:eastAsia="Arial" w:hAnsi="Arial"/>
                <w:sz w:val="18"/>
                <w:szCs w:val="18"/>
                <w:color w:val="auto"/>
              </w:rPr>
              <w:t>(c)</w:t>
            </w:r>
          </w:p>
        </w:tc>
        <w:tc>
          <w:tcPr>
            <w:tcW w:w="1640" w:type="dxa"/>
            <w:vAlign w:val="bottom"/>
          </w:tcPr>
          <w:p>
            <w:pPr>
              <w:ind w:left="540"/>
              <w:spacing w:after="0"/>
              <w:rPr>
                <w:sz w:val="20"/>
                <w:szCs w:val="20"/>
                <w:color w:val="auto"/>
              </w:rPr>
            </w:pPr>
            <w:r>
              <w:rPr>
                <w:rFonts w:ascii="Arial" w:cs="Arial" w:eastAsia="Arial" w:hAnsi="Arial"/>
                <w:sz w:val="18"/>
                <w:szCs w:val="18"/>
                <w:color w:val="auto"/>
              </w:rPr>
              <w:t>7.3</w:t>
            </w:r>
          </w:p>
        </w:tc>
      </w:tr>
      <w:tr>
        <w:trPr>
          <w:trHeight w:val="216"/>
        </w:trPr>
        <w:tc>
          <w:tcPr>
            <w:tcW w:w="720" w:type="dxa"/>
            <w:vAlign w:val="bottom"/>
          </w:tcPr>
          <w:p>
            <w:pPr>
              <w:spacing w:after="0"/>
              <w:rPr>
                <w:sz w:val="18"/>
                <w:szCs w:val="18"/>
                <w:color w:val="auto"/>
              </w:rPr>
            </w:pPr>
          </w:p>
        </w:tc>
        <w:tc>
          <w:tcPr>
            <w:tcW w:w="8800" w:type="dxa"/>
            <w:vAlign w:val="bottom"/>
          </w:tcPr>
          <w:p>
            <w:pPr>
              <w:ind w:left="180"/>
              <w:spacing w:after="0"/>
              <w:rPr>
                <w:sz w:val="20"/>
                <w:szCs w:val="20"/>
                <w:color w:val="auto"/>
              </w:rPr>
            </w:pPr>
            <w:r>
              <w:rPr>
                <w:rFonts w:ascii="Arial" w:cs="Arial" w:eastAsia="Arial" w:hAnsi="Arial"/>
                <w:sz w:val="18"/>
                <w:szCs w:val="18"/>
                <w:color w:val="auto"/>
              </w:rPr>
              <w:t>(d)</w:t>
            </w:r>
          </w:p>
        </w:tc>
        <w:tc>
          <w:tcPr>
            <w:tcW w:w="1640" w:type="dxa"/>
            <w:vAlign w:val="bottom"/>
          </w:tcPr>
          <w:p>
            <w:pPr>
              <w:ind w:left="540"/>
              <w:spacing w:after="0"/>
              <w:rPr>
                <w:sz w:val="20"/>
                <w:szCs w:val="20"/>
                <w:color w:val="auto"/>
              </w:rPr>
            </w:pPr>
            <w:r>
              <w:rPr>
                <w:rFonts w:ascii="Arial" w:cs="Arial" w:eastAsia="Arial" w:hAnsi="Arial"/>
                <w:sz w:val="18"/>
                <w:szCs w:val="18"/>
                <w:color w:val="auto"/>
              </w:rPr>
              <w:t>7.3</w:t>
            </w:r>
          </w:p>
        </w:tc>
      </w:tr>
      <w:tr>
        <w:trPr>
          <w:trHeight w:val="216"/>
        </w:trPr>
        <w:tc>
          <w:tcPr>
            <w:tcW w:w="9520" w:type="dxa"/>
            <w:vAlign w:val="bottom"/>
            <w:gridSpan w:val="2"/>
          </w:tcPr>
          <w:p>
            <w:pPr>
              <w:spacing w:after="0"/>
              <w:rPr>
                <w:sz w:val="20"/>
                <w:szCs w:val="20"/>
                <w:color w:val="auto"/>
              </w:rPr>
            </w:pPr>
            <w:r>
              <w:rPr>
                <w:rFonts w:ascii="Arial" w:cs="Arial" w:eastAsia="Arial" w:hAnsi="Arial"/>
                <w:sz w:val="18"/>
                <w:szCs w:val="18"/>
                <w:color w:val="auto"/>
              </w:rPr>
              <w:t>Section 314(a)</w:t>
            </w:r>
          </w:p>
        </w:tc>
        <w:tc>
          <w:tcPr>
            <w:tcW w:w="1640" w:type="dxa"/>
            <w:vAlign w:val="bottom"/>
          </w:tcPr>
          <w:p>
            <w:pPr>
              <w:ind w:left="540"/>
              <w:spacing w:after="0"/>
              <w:rPr>
                <w:sz w:val="20"/>
                <w:szCs w:val="20"/>
                <w:color w:val="auto"/>
              </w:rPr>
            </w:pPr>
            <w:r>
              <w:rPr>
                <w:rFonts w:ascii="Arial" w:cs="Arial" w:eastAsia="Arial" w:hAnsi="Arial"/>
                <w:sz w:val="18"/>
                <w:szCs w:val="18"/>
                <w:color w:val="auto"/>
              </w:rPr>
              <w:t>7.4</w:t>
            </w:r>
          </w:p>
        </w:tc>
      </w:tr>
      <w:tr>
        <w:trPr>
          <w:trHeight w:val="216"/>
        </w:trPr>
        <w:tc>
          <w:tcPr>
            <w:tcW w:w="720" w:type="dxa"/>
            <w:vAlign w:val="bottom"/>
          </w:tcPr>
          <w:p>
            <w:pPr>
              <w:spacing w:after="0"/>
              <w:rPr>
                <w:sz w:val="18"/>
                <w:szCs w:val="18"/>
                <w:color w:val="auto"/>
              </w:rPr>
            </w:pPr>
          </w:p>
        </w:tc>
        <w:tc>
          <w:tcPr>
            <w:tcW w:w="8800" w:type="dxa"/>
            <w:vAlign w:val="bottom"/>
          </w:tcPr>
          <w:p>
            <w:pPr>
              <w:ind w:left="180"/>
              <w:spacing w:after="0"/>
              <w:rPr>
                <w:sz w:val="20"/>
                <w:szCs w:val="20"/>
                <w:color w:val="auto"/>
              </w:rPr>
            </w:pPr>
            <w:r>
              <w:rPr>
                <w:rFonts w:ascii="Arial" w:cs="Arial" w:eastAsia="Arial" w:hAnsi="Arial"/>
                <w:sz w:val="18"/>
                <w:szCs w:val="18"/>
                <w:color w:val="auto"/>
              </w:rPr>
              <w:t>(a)(4)</w:t>
            </w:r>
          </w:p>
        </w:tc>
        <w:tc>
          <w:tcPr>
            <w:tcW w:w="1640" w:type="dxa"/>
            <w:vAlign w:val="bottom"/>
          </w:tcPr>
          <w:p>
            <w:pPr>
              <w:ind w:left="540"/>
              <w:spacing w:after="0"/>
              <w:rPr>
                <w:sz w:val="20"/>
                <w:szCs w:val="20"/>
                <w:color w:val="auto"/>
              </w:rPr>
            </w:pPr>
            <w:r>
              <w:rPr>
                <w:rFonts w:ascii="Arial" w:cs="Arial" w:eastAsia="Arial" w:hAnsi="Arial"/>
                <w:sz w:val="18"/>
                <w:szCs w:val="18"/>
                <w:color w:val="auto"/>
              </w:rPr>
              <w:t>1.1, 10.4</w:t>
            </w:r>
          </w:p>
        </w:tc>
      </w:tr>
      <w:tr>
        <w:trPr>
          <w:trHeight w:val="216"/>
        </w:trPr>
        <w:tc>
          <w:tcPr>
            <w:tcW w:w="720" w:type="dxa"/>
            <w:vAlign w:val="bottom"/>
          </w:tcPr>
          <w:p>
            <w:pPr>
              <w:spacing w:after="0"/>
              <w:rPr>
                <w:sz w:val="18"/>
                <w:szCs w:val="18"/>
                <w:color w:val="auto"/>
              </w:rPr>
            </w:pPr>
          </w:p>
        </w:tc>
        <w:tc>
          <w:tcPr>
            <w:tcW w:w="8800" w:type="dxa"/>
            <w:vAlign w:val="bottom"/>
          </w:tcPr>
          <w:p>
            <w:pPr>
              <w:ind w:left="180"/>
              <w:spacing w:after="0"/>
              <w:rPr>
                <w:sz w:val="20"/>
                <w:szCs w:val="20"/>
                <w:color w:val="auto"/>
              </w:rPr>
            </w:pPr>
            <w:r>
              <w:rPr>
                <w:rFonts w:ascii="Arial" w:cs="Arial" w:eastAsia="Arial" w:hAnsi="Arial"/>
                <w:sz w:val="18"/>
                <w:szCs w:val="18"/>
                <w:color w:val="auto"/>
              </w:rPr>
              <w:t>(b)</w:t>
            </w:r>
          </w:p>
        </w:tc>
        <w:tc>
          <w:tcPr>
            <w:tcW w:w="1640" w:type="dxa"/>
            <w:vAlign w:val="bottom"/>
          </w:tcPr>
          <w:p>
            <w:pPr>
              <w:ind w:left="540"/>
              <w:spacing w:after="0"/>
              <w:rPr>
                <w:sz w:val="20"/>
                <w:szCs w:val="20"/>
                <w:color w:val="auto"/>
              </w:rPr>
            </w:pPr>
            <w:r>
              <w:rPr>
                <w:rFonts w:ascii="Arial" w:cs="Arial" w:eastAsia="Arial" w:hAnsi="Arial"/>
                <w:sz w:val="18"/>
                <w:szCs w:val="18"/>
                <w:color w:val="auto"/>
                <w:w w:val="93"/>
              </w:rPr>
              <w:t>Not Applicable</w:t>
            </w:r>
          </w:p>
        </w:tc>
      </w:tr>
      <w:tr>
        <w:trPr>
          <w:trHeight w:val="216"/>
        </w:trPr>
        <w:tc>
          <w:tcPr>
            <w:tcW w:w="720" w:type="dxa"/>
            <w:vAlign w:val="bottom"/>
          </w:tcPr>
          <w:p>
            <w:pPr>
              <w:spacing w:after="0"/>
              <w:rPr>
                <w:sz w:val="18"/>
                <w:szCs w:val="18"/>
                <w:color w:val="auto"/>
              </w:rPr>
            </w:pPr>
          </w:p>
        </w:tc>
        <w:tc>
          <w:tcPr>
            <w:tcW w:w="8800" w:type="dxa"/>
            <w:vAlign w:val="bottom"/>
          </w:tcPr>
          <w:p>
            <w:pPr>
              <w:ind w:left="180"/>
              <w:spacing w:after="0"/>
              <w:rPr>
                <w:sz w:val="20"/>
                <w:szCs w:val="20"/>
                <w:color w:val="auto"/>
              </w:rPr>
            </w:pPr>
            <w:r>
              <w:rPr>
                <w:rFonts w:ascii="Arial" w:cs="Arial" w:eastAsia="Arial" w:hAnsi="Arial"/>
                <w:sz w:val="18"/>
                <w:szCs w:val="18"/>
                <w:color w:val="auto"/>
              </w:rPr>
              <w:t>(c)(1)</w:t>
            </w:r>
          </w:p>
        </w:tc>
        <w:tc>
          <w:tcPr>
            <w:tcW w:w="1640" w:type="dxa"/>
            <w:vAlign w:val="bottom"/>
          </w:tcPr>
          <w:p>
            <w:pPr>
              <w:ind w:left="540"/>
              <w:spacing w:after="0"/>
              <w:rPr>
                <w:sz w:val="20"/>
                <w:szCs w:val="20"/>
                <w:color w:val="auto"/>
              </w:rPr>
            </w:pPr>
            <w:r>
              <w:rPr>
                <w:rFonts w:ascii="Arial" w:cs="Arial" w:eastAsia="Arial" w:hAnsi="Arial"/>
                <w:sz w:val="18"/>
                <w:szCs w:val="18"/>
                <w:color w:val="auto"/>
              </w:rPr>
              <w:t>1.2</w:t>
            </w:r>
          </w:p>
        </w:tc>
      </w:tr>
      <w:tr>
        <w:trPr>
          <w:trHeight w:val="216"/>
        </w:trPr>
        <w:tc>
          <w:tcPr>
            <w:tcW w:w="720" w:type="dxa"/>
            <w:vAlign w:val="bottom"/>
          </w:tcPr>
          <w:p>
            <w:pPr>
              <w:spacing w:after="0"/>
              <w:rPr>
                <w:sz w:val="18"/>
                <w:szCs w:val="18"/>
                <w:color w:val="auto"/>
              </w:rPr>
            </w:pPr>
          </w:p>
        </w:tc>
        <w:tc>
          <w:tcPr>
            <w:tcW w:w="8800" w:type="dxa"/>
            <w:vAlign w:val="bottom"/>
          </w:tcPr>
          <w:p>
            <w:pPr>
              <w:ind w:left="180"/>
              <w:spacing w:after="0"/>
              <w:rPr>
                <w:sz w:val="20"/>
                <w:szCs w:val="20"/>
                <w:color w:val="auto"/>
              </w:rPr>
            </w:pPr>
            <w:r>
              <w:rPr>
                <w:rFonts w:ascii="Arial" w:cs="Arial" w:eastAsia="Arial" w:hAnsi="Arial"/>
                <w:sz w:val="18"/>
                <w:szCs w:val="18"/>
                <w:color w:val="auto"/>
              </w:rPr>
              <w:t>(c)(2)</w:t>
            </w:r>
          </w:p>
        </w:tc>
        <w:tc>
          <w:tcPr>
            <w:tcW w:w="1640" w:type="dxa"/>
            <w:vAlign w:val="bottom"/>
          </w:tcPr>
          <w:p>
            <w:pPr>
              <w:ind w:left="540"/>
              <w:spacing w:after="0"/>
              <w:rPr>
                <w:sz w:val="20"/>
                <w:szCs w:val="20"/>
                <w:color w:val="auto"/>
              </w:rPr>
            </w:pPr>
            <w:r>
              <w:rPr>
                <w:rFonts w:ascii="Arial" w:cs="Arial" w:eastAsia="Arial" w:hAnsi="Arial"/>
                <w:sz w:val="18"/>
                <w:szCs w:val="18"/>
                <w:color w:val="auto"/>
              </w:rPr>
              <w:t>1.2</w:t>
            </w:r>
          </w:p>
        </w:tc>
      </w:tr>
      <w:tr>
        <w:trPr>
          <w:trHeight w:val="216"/>
        </w:trPr>
        <w:tc>
          <w:tcPr>
            <w:tcW w:w="720" w:type="dxa"/>
            <w:vAlign w:val="bottom"/>
          </w:tcPr>
          <w:p>
            <w:pPr>
              <w:spacing w:after="0"/>
              <w:rPr>
                <w:sz w:val="18"/>
                <w:szCs w:val="18"/>
                <w:color w:val="auto"/>
              </w:rPr>
            </w:pPr>
          </w:p>
        </w:tc>
        <w:tc>
          <w:tcPr>
            <w:tcW w:w="8800" w:type="dxa"/>
            <w:vAlign w:val="bottom"/>
          </w:tcPr>
          <w:p>
            <w:pPr>
              <w:ind w:left="180"/>
              <w:spacing w:after="0"/>
              <w:rPr>
                <w:sz w:val="20"/>
                <w:szCs w:val="20"/>
                <w:color w:val="auto"/>
              </w:rPr>
            </w:pPr>
            <w:r>
              <w:rPr>
                <w:rFonts w:ascii="Arial" w:cs="Arial" w:eastAsia="Arial" w:hAnsi="Arial"/>
                <w:sz w:val="18"/>
                <w:szCs w:val="18"/>
                <w:color w:val="auto"/>
              </w:rPr>
              <w:t>(c)(3)</w:t>
            </w:r>
          </w:p>
        </w:tc>
        <w:tc>
          <w:tcPr>
            <w:tcW w:w="1640" w:type="dxa"/>
            <w:vAlign w:val="bottom"/>
          </w:tcPr>
          <w:p>
            <w:pPr>
              <w:ind w:left="540"/>
              <w:spacing w:after="0"/>
              <w:rPr>
                <w:sz w:val="20"/>
                <w:szCs w:val="20"/>
                <w:color w:val="auto"/>
              </w:rPr>
            </w:pPr>
            <w:r>
              <w:rPr>
                <w:rFonts w:ascii="Arial" w:cs="Arial" w:eastAsia="Arial" w:hAnsi="Arial"/>
                <w:sz w:val="18"/>
                <w:szCs w:val="18"/>
                <w:color w:val="auto"/>
                <w:w w:val="93"/>
              </w:rPr>
              <w:t>Not Applicable</w:t>
            </w:r>
          </w:p>
        </w:tc>
      </w:tr>
      <w:tr>
        <w:trPr>
          <w:trHeight w:val="216"/>
        </w:trPr>
        <w:tc>
          <w:tcPr>
            <w:tcW w:w="720" w:type="dxa"/>
            <w:vAlign w:val="bottom"/>
          </w:tcPr>
          <w:p>
            <w:pPr>
              <w:spacing w:after="0"/>
              <w:rPr>
                <w:sz w:val="18"/>
                <w:szCs w:val="18"/>
                <w:color w:val="auto"/>
              </w:rPr>
            </w:pPr>
          </w:p>
        </w:tc>
        <w:tc>
          <w:tcPr>
            <w:tcW w:w="8800" w:type="dxa"/>
            <w:vAlign w:val="bottom"/>
          </w:tcPr>
          <w:p>
            <w:pPr>
              <w:ind w:left="180"/>
              <w:spacing w:after="0"/>
              <w:rPr>
                <w:sz w:val="20"/>
                <w:szCs w:val="20"/>
                <w:color w:val="auto"/>
              </w:rPr>
            </w:pPr>
            <w:r>
              <w:rPr>
                <w:rFonts w:ascii="Arial" w:cs="Arial" w:eastAsia="Arial" w:hAnsi="Arial"/>
                <w:sz w:val="18"/>
                <w:szCs w:val="18"/>
                <w:color w:val="auto"/>
              </w:rPr>
              <w:t>(d)</w:t>
            </w:r>
          </w:p>
        </w:tc>
        <w:tc>
          <w:tcPr>
            <w:tcW w:w="1640" w:type="dxa"/>
            <w:vAlign w:val="bottom"/>
          </w:tcPr>
          <w:p>
            <w:pPr>
              <w:ind w:left="540"/>
              <w:spacing w:after="0"/>
              <w:rPr>
                <w:sz w:val="20"/>
                <w:szCs w:val="20"/>
                <w:color w:val="auto"/>
              </w:rPr>
            </w:pPr>
            <w:r>
              <w:rPr>
                <w:rFonts w:ascii="Arial" w:cs="Arial" w:eastAsia="Arial" w:hAnsi="Arial"/>
                <w:sz w:val="18"/>
                <w:szCs w:val="18"/>
                <w:color w:val="auto"/>
                <w:w w:val="93"/>
              </w:rPr>
              <w:t>Not Applicable</w:t>
            </w:r>
          </w:p>
        </w:tc>
      </w:tr>
      <w:tr>
        <w:trPr>
          <w:trHeight w:val="216"/>
        </w:trPr>
        <w:tc>
          <w:tcPr>
            <w:tcW w:w="720" w:type="dxa"/>
            <w:vAlign w:val="bottom"/>
          </w:tcPr>
          <w:p>
            <w:pPr>
              <w:spacing w:after="0"/>
              <w:rPr>
                <w:sz w:val="18"/>
                <w:szCs w:val="18"/>
                <w:color w:val="auto"/>
              </w:rPr>
            </w:pPr>
          </w:p>
        </w:tc>
        <w:tc>
          <w:tcPr>
            <w:tcW w:w="8800" w:type="dxa"/>
            <w:vAlign w:val="bottom"/>
          </w:tcPr>
          <w:p>
            <w:pPr>
              <w:ind w:left="180"/>
              <w:spacing w:after="0"/>
              <w:rPr>
                <w:sz w:val="20"/>
                <w:szCs w:val="20"/>
                <w:color w:val="auto"/>
              </w:rPr>
            </w:pPr>
            <w:r>
              <w:rPr>
                <w:rFonts w:ascii="Arial" w:cs="Arial" w:eastAsia="Arial" w:hAnsi="Arial"/>
                <w:sz w:val="18"/>
                <w:szCs w:val="18"/>
                <w:color w:val="auto"/>
              </w:rPr>
              <w:t>(e)</w:t>
            </w:r>
          </w:p>
        </w:tc>
        <w:tc>
          <w:tcPr>
            <w:tcW w:w="1640" w:type="dxa"/>
            <w:vAlign w:val="bottom"/>
          </w:tcPr>
          <w:p>
            <w:pPr>
              <w:ind w:left="540"/>
              <w:spacing w:after="0"/>
              <w:rPr>
                <w:sz w:val="20"/>
                <w:szCs w:val="20"/>
                <w:color w:val="auto"/>
              </w:rPr>
            </w:pPr>
            <w:r>
              <w:rPr>
                <w:rFonts w:ascii="Arial" w:cs="Arial" w:eastAsia="Arial" w:hAnsi="Arial"/>
                <w:sz w:val="18"/>
                <w:szCs w:val="18"/>
                <w:color w:val="auto"/>
              </w:rPr>
              <w:t>1.2</w:t>
            </w:r>
          </w:p>
        </w:tc>
      </w:tr>
      <w:tr>
        <w:trPr>
          <w:trHeight w:val="216"/>
        </w:trPr>
        <w:tc>
          <w:tcPr>
            <w:tcW w:w="9520" w:type="dxa"/>
            <w:vAlign w:val="bottom"/>
            <w:gridSpan w:val="2"/>
          </w:tcPr>
          <w:p>
            <w:pPr>
              <w:spacing w:after="0"/>
              <w:rPr>
                <w:sz w:val="20"/>
                <w:szCs w:val="20"/>
                <w:color w:val="auto"/>
              </w:rPr>
            </w:pPr>
            <w:r>
              <w:rPr>
                <w:rFonts w:ascii="Arial" w:cs="Arial" w:eastAsia="Arial" w:hAnsi="Arial"/>
                <w:sz w:val="18"/>
                <w:szCs w:val="18"/>
                <w:color w:val="auto"/>
              </w:rPr>
              <w:t>Section 315(a)</w:t>
            </w:r>
          </w:p>
        </w:tc>
        <w:tc>
          <w:tcPr>
            <w:tcW w:w="1640" w:type="dxa"/>
            <w:vAlign w:val="bottom"/>
          </w:tcPr>
          <w:p>
            <w:pPr>
              <w:ind w:left="540"/>
              <w:spacing w:after="0"/>
              <w:rPr>
                <w:sz w:val="20"/>
                <w:szCs w:val="20"/>
                <w:color w:val="auto"/>
              </w:rPr>
            </w:pPr>
            <w:r>
              <w:rPr>
                <w:rFonts w:ascii="Arial" w:cs="Arial" w:eastAsia="Arial" w:hAnsi="Arial"/>
                <w:sz w:val="18"/>
                <w:szCs w:val="18"/>
                <w:color w:val="auto"/>
              </w:rPr>
              <w:t>6.1</w:t>
            </w:r>
          </w:p>
        </w:tc>
      </w:tr>
      <w:tr>
        <w:trPr>
          <w:trHeight w:val="216"/>
        </w:trPr>
        <w:tc>
          <w:tcPr>
            <w:tcW w:w="720" w:type="dxa"/>
            <w:vAlign w:val="bottom"/>
          </w:tcPr>
          <w:p>
            <w:pPr>
              <w:spacing w:after="0"/>
              <w:rPr>
                <w:sz w:val="18"/>
                <w:szCs w:val="18"/>
                <w:color w:val="auto"/>
              </w:rPr>
            </w:pPr>
          </w:p>
        </w:tc>
        <w:tc>
          <w:tcPr>
            <w:tcW w:w="8800" w:type="dxa"/>
            <w:vAlign w:val="bottom"/>
          </w:tcPr>
          <w:p>
            <w:pPr>
              <w:ind w:left="180"/>
              <w:spacing w:after="0"/>
              <w:rPr>
                <w:sz w:val="20"/>
                <w:szCs w:val="20"/>
                <w:color w:val="auto"/>
              </w:rPr>
            </w:pPr>
            <w:r>
              <w:rPr>
                <w:rFonts w:ascii="Arial" w:cs="Arial" w:eastAsia="Arial" w:hAnsi="Arial"/>
                <w:sz w:val="18"/>
                <w:szCs w:val="18"/>
                <w:color w:val="auto"/>
              </w:rPr>
              <w:t>(b)</w:t>
            </w:r>
          </w:p>
        </w:tc>
        <w:tc>
          <w:tcPr>
            <w:tcW w:w="1640" w:type="dxa"/>
            <w:vAlign w:val="bottom"/>
          </w:tcPr>
          <w:p>
            <w:pPr>
              <w:ind w:left="540"/>
              <w:spacing w:after="0"/>
              <w:rPr>
                <w:sz w:val="20"/>
                <w:szCs w:val="20"/>
                <w:color w:val="auto"/>
              </w:rPr>
            </w:pPr>
            <w:r>
              <w:rPr>
                <w:rFonts w:ascii="Arial" w:cs="Arial" w:eastAsia="Arial" w:hAnsi="Arial"/>
                <w:sz w:val="18"/>
                <w:szCs w:val="18"/>
                <w:color w:val="auto"/>
              </w:rPr>
              <w:t>6.2</w:t>
            </w:r>
          </w:p>
        </w:tc>
      </w:tr>
      <w:tr>
        <w:trPr>
          <w:trHeight w:val="216"/>
        </w:trPr>
        <w:tc>
          <w:tcPr>
            <w:tcW w:w="720" w:type="dxa"/>
            <w:vAlign w:val="bottom"/>
          </w:tcPr>
          <w:p>
            <w:pPr>
              <w:spacing w:after="0"/>
              <w:rPr>
                <w:sz w:val="18"/>
                <w:szCs w:val="18"/>
                <w:color w:val="auto"/>
              </w:rPr>
            </w:pPr>
          </w:p>
        </w:tc>
        <w:tc>
          <w:tcPr>
            <w:tcW w:w="8800" w:type="dxa"/>
            <w:vAlign w:val="bottom"/>
          </w:tcPr>
          <w:p>
            <w:pPr>
              <w:ind w:left="180"/>
              <w:spacing w:after="0"/>
              <w:rPr>
                <w:sz w:val="20"/>
                <w:szCs w:val="20"/>
                <w:color w:val="auto"/>
              </w:rPr>
            </w:pPr>
            <w:r>
              <w:rPr>
                <w:rFonts w:ascii="Arial" w:cs="Arial" w:eastAsia="Arial" w:hAnsi="Arial"/>
                <w:sz w:val="18"/>
                <w:szCs w:val="18"/>
                <w:color w:val="auto"/>
              </w:rPr>
              <w:t>(c)</w:t>
            </w:r>
          </w:p>
        </w:tc>
        <w:tc>
          <w:tcPr>
            <w:tcW w:w="1640" w:type="dxa"/>
            <w:vAlign w:val="bottom"/>
          </w:tcPr>
          <w:p>
            <w:pPr>
              <w:ind w:left="540"/>
              <w:spacing w:after="0"/>
              <w:rPr>
                <w:sz w:val="20"/>
                <w:szCs w:val="20"/>
                <w:color w:val="auto"/>
              </w:rPr>
            </w:pPr>
            <w:r>
              <w:rPr>
                <w:rFonts w:ascii="Arial" w:cs="Arial" w:eastAsia="Arial" w:hAnsi="Arial"/>
                <w:sz w:val="18"/>
                <w:szCs w:val="18"/>
                <w:color w:val="auto"/>
              </w:rPr>
              <w:t>6.1</w:t>
            </w:r>
          </w:p>
        </w:tc>
      </w:tr>
      <w:tr>
        <w:trPr>
          <w:trHeight w:val="216"/>
        </w:trPr>
        <w:tc>
          <w:tcPr>
            <w:tcW w:w="720" w:type="dxa"/>
            <w:vAlign w:val="bottom"/>
          </w:tcPr>
          <w:p>
            <w:pPr>
              <w:spacing w:after="0"/>
              <w:rPr>
                <w:sz w:val="18"/>
                <w:szCs w:val="18"/>
                <w:color w:val="auto"/>
              </w:rPr>
            </w:pPr>
          </w:p>
        </w:tc>
        <w:tc>
          <w:tcPr>
            <w:tcW w:w="8800" w:type="dxa"/>
            <w:vAlign w:val="bottom"/>
          </w:tcPr>
          <w:p>
            <w:pPr>
              <w:ind w:left="180"/>
              <w:spacing w:after="0"/>
              <w:rPr>
                <w:sz w:val="20"/>
                <w:szCs w:val="20"/>
                <w:color w:val="auto"/>
              </w:rPr>
            </w:pPr>
            <w:r>
              <w:rPr>
                <w:rFonts w:ascii="Arial" w:cs="Arial" w:eastAsia="Arial" w:hAnsi="Arial"/>
                <w:sz w:val="18"/>
                <w:szCs w:val="18"/>
                <w:color w:val="auto"/>
              </w:rPr>
              <w:t>(d)</w:t>
            </w:r>
          </w:p>
        </w:tc>
        <w:tc>
          <w:tcPr>
            <w:tcW w:w="1640" w:type="dxa"/>
            <w:vAlign w:val="bottom"/>
          </w:tcPr>
          <w:p>
            <w:pPr>
              <w:ind w:left="540"/>
              <w:spacing w:after="0"/>
              <w:rPr>
                <w:sz w:val="20"/>
                <w:szCs w:val="20"/>
                <w:color w:val="auto"/>
              </w:rPr>
            </w:pPr>
            <w:r>
              <w:rPr>
                <w:rFonts w:ascii="Arial" w:cs="Arial" w:eastAsia="Arial" w:hAnsi="Arial"/>
                <w:sz w:val="18"/>
                <w:szCs w:val="18"/>
                <w:color w:val="auto"/>
              </w:rPr>
              <w:t>6.1</w:t>
            </w:r>
          </w:p>
        </w:tc>
      </w:tr>
      <w:tr>
        <w:trPr>
          <w:trHeight w:val="216"/>
        </w:trPr>
        <w:tc>
          <w:tcPr>
            <w:tcW w:w="720" w:type="dxa"/>
            <w:vAlign w:val="bottom"/>
          </w:tcPr>
          <w:p>
            <w:pPr>
              <w:spacing w:after="0"/>
              <w:rPr>
                <w:sz w:val="18"/>
                <w:szCs w:val="18"/>
                <w:color w:val="auto"/>
              </w:rPr>
            </w:pPr>
          </w:p>
        </w:tc>
        <w:tc>
          <w:tcPr>
            <w:tcW w:w="8800" w:type="dxa"/>
            <w:vAlign w:val="bottom"/>
          </w:tcPr>
          <w:p>
            <w:pPr>
              <w:ind w:left="180"/>
              <w:spacing w:after="0"/>
              <w:rPr>
                <w:sz w:val="20"/>
                <w:szCs w:val="20"/>
                <w:color w:val="auto"/>
              </w:rPr>
            </w:pPr>
            <w:r>
              <w:rPr>
                <w:rFonts w:ascii="Arial" w:cs="Arial" w:eastAsia="Arial" w:hAnsi="Arial"/>
                <w:sz w:val="18"/>
                <w:szCs w:val="18"/>
                <w:color w:val="auto"/>
              </w:rPr>
              <w:t>(e)</w:t>
            </w:r>
          </w:p>
        </w:tc>
        <w:tc>
          <w:tcPr>
            <w:tcW w:w="1640" w:type="dxa"/>
            <w:vAlign w:val="bottom"/>
          </w:tcPr>
          <w:p>
            <w:pPr>
              <w:ind w:left="540"/>
              <w:spacing w:after="0"/>
              <w:rPr>
                <w:sz w:val="20"/>
                <w:szCs w:val="20"/>
                <w:color w:val="auto"/>
              </w:rPr>
            </w:pPr>
            <w:r>
              <w:rPr>
                <w:rFonts w:ascii="Arial" w:cs="Arial" w:eastAsia="Arial" w:hAnsi="Arial"/>
                <w:sz w:val="18"/>
                <w:szCs w:val="18"/>
                <w:color w:val="auto"/>
              </w:rPr>
              <w:t>5.14</w:t>
            </w:r>
          </w:p>
        </w:tc>
      </w:tr>
      <w:tr>
        <w:trPr>
          <w:trHeight w:val="216"/>
        </w:trPr>
        <w:tc>
          <w:tcPr>
            <w:tcW w:w="9520" w:type="dxa"/>
            <w:vAlign w:val="bottom"/>
            <w:gridSpan w:val="2"/>
          </w:tcPr>
          <w:p>
            <w:pPr>
              <w:spacing w:after="0"/>
              <w:rPr>
                <w:sz w:val="20"/>
                <w:szCs w:val="20"/>
                <w:color w:val="auto"/>
              </w:rPr>
            </w:pPr>
            <w:r>
              <w:rPr>
                <w:rFonts w:ascii="Arial" w:cs="Arial" w:eastAsia="Arial" w:hAnsi="Arial"/>
                <w:sz w:val="18"/>
                <w:szCs w:val="18"/>
                <w:color w:val="auto"/>
              </w:rPr>
              <w:t>Section 316(a)</w:t>
            </w:r>
          </w:p>
        </w:tc>
        <w:tc>
          <w:tcPr>
            <w:tcW w:w="1640" w:type="dxa"/>
            <w:vAlign w:val="bottom"/>
          </w:tcPr>
          <w:p>
            <w:pPr>
              <w:ind w:left="540"/>
              <w:spacing w:after="0"/>
              <w:rPr>
                <w:sz w:val="20"/>
                <w:szCs w:val="20"/>
                <w:color w:val="auto"/>
              </w:rPr>
            </w:pPr>
            <w:r>
              <w:rPr>
                <w:rFonts w:ascii="Arial" w:cs="Arial" w:eastAsia="Arial" w:hAnsi="Arial"/>
                <w:sz w:val="18"/>
                <w:szCs w:val="18"/>
                <w:color w:val="auto"/>
              </w:rPr>
              <w:t>1.1</w:t>
            </w:r>
          </w:p>
        </w:tc>
      </w:tr>
      <w:tr>
        <w:trPr>
          <w:trHeight w:val="216"/>
        </w:trPr>
        <w:tc>
          <w:tcPr>
            <w:tcW w:w="720" w:type="dxa"/>
            <w:vAlign w:val="bottom"/>
          </w:tcPr>
          <w:p>
            <w:pPr>
              <w:spacing w:after="0"/>
              <w:rPr>
                <w:sz w:val="18"/>
                <w:szCs w:val="18"/>
                <w:color w:val="auto"/>
              </w:rPr>
            </w:pPr>
          </w:p>
        </w:tc>
        <w:tc>
          <w:tcPr>
            <w:tcW w:w="8800" w:type="dxa"/>
            <w:vAlign w:val="bottom"/>
          </w:tcPr>
          <w:p>
            <w:pPr>
              <w:ind w:left="180"/>
              <w:spacing w:after="0"/>
              <w:rPr>
                <w:sz w:val="20"/>
                <w:szCs w:val="20"/>
                <w:color w:val="auto"/>
              </w:rPr>
            </w:pPr>
            <w:r>
              <w:rPr>
                <w:rFonts w:ascii="Arial" w:cs="Arial" w:eastAsia="Arial" w:hAnsi="Arial"/>
                <w:sz w:val="18"/>
                <w:szCs w:val="18"/>
                <w:color w:val="auto"/>
              </w:rPr>
              <w:t>(a)(1)(A)</w:t>
            </w:r>
          </w:p>
        </w:tc>
        <w:tc>
          <w:tcPr>
            <w:tcW w:w="1640" w:type="dxa"/>
            <w:vAlign w:val="bottom"/>
          </w:tcPr>
          <w:p>
            <w:pPr>
              <w:ind w:left="540"/>
              <w:spacing w:after="0"/>
              <w:rPr>
                <w:sz w:val="20"/>
                <w:szCs w:val="20"/>
                <w:color w:val="auto"/>
              </w:rPr>
            </w:pPr>
            <w:r>
              <w:rPr>
                <w:rFonts w:ascii="Arial" w:cs="Arial" w:eastAsia="Arial" w:hAnsi="Arial"/>
                <w:sz w:val="18"/>
                <w:szCs w:val="18"/>
                <w:color w:val="auto"/>
              </w:rPr>
              <w:t>5.2, 5.12</w:t>
            </w:r>
          </w:p>
        </w:tc>
      </w:tr>
      <w:tr>
        <w:trPr>
          <w:trHeight w:val="216"/>
        </w:trPr>
        <w:tc>
          <w:tcPr>
            <w:tcW w:w="720" w:type="dxa"/>
            <w:vAlign w:val="bottom"/>
          </w:tcPr>
          <w:p>
            <w:pPr>
              <w:spacing w:after="0"/>
              <w:rPr>
                <w:sz w:val="18"/>
                <w:szCs w:val="18"/>
                <w:color w:val="auto"/>
              </w:rPr>
            </w:pPr>
          </w:p>
        </w:tc>
        <w:tc>
          <w:tcPr>
            <w:tcW w:w="8800" w:type="dxa"/>
            <w:vAlign w:val="bottom"/>
          </w:tcPr>
          <w:p>
            <w:pPr>
              <w:ind w:left="180"/>
              <w:spacing w:after="0"/>
              <w:rPr>
                <w:sz w:val="20"/>
                <w:szCs w:val="20"/>
                <w:color w:val="auto"/>
              </w:rPr>
            </w:pPr>
            <w:r>
              <w:rPr>
                <w:rFonts w:ascii="Arial" w:cs="Arial" w:eastAsia="Arial" w:hAnsi="Arial"/>
                <w:sz w:val="18"/>
                <w:szCs w:val="18"/>
                <w:color w:val="auto"/>
              </w:rPr>
              <w:t>(a)(1)(B)</w:t>
            </w:r>
          </w:p>
        </w:tc>
        <w:tc>
          <w:tcPr>
            <w:tcW w:w="1640" w:type="dxa"/>
            <w:vAlign w:val="bottom"/>
          </w:tcPr>
          <w:p>
            <w:pPr>
              <w:ind w:left="540"/>
              <w:spacing w:after="0"/>
              <w:rPr>
                <w:sz w:val="20"/>
                <w:szCs w:val="20"/>
                <w:color w:val="auto"/>
              </w:rPr>
            </w:pPr>
            <w:r>
              <w:rPr>
                <w:rFonts w:ascii="Arial" w:cs="Arial" w:eastAsia="Arial" w:hAnsi="Arial"/>
                <w:sz w:val="18"/>
                <w:szCs w:val="18"/>
                <w:color w:val="auto"/>
              </w:rPr>
              <w:t>5.13</w:t>
            </w:r>
          </w:p>
        </w:tc>
      </w:tr>
      <w:tr>
        <w:trPr>
          <w:trHeight w:val="216"/>
        </w:trPr>
        <w:tc>
          <w:tcPr>
            <w:tcW w:w="720" w:type="dxa"/>
            <w:vAlign w:val="bottom"/>
          </w:tcPr>
          <w:p>
            <w:pPr>
              <w:spacing w:after="0"/>
              <w:rPr>
                <w:sz w:val="18"/>
                <w:szCs w:val="18"/>
                <w:color w:val="auto"/>
              </w:rPr>
            </w:pPr>
          </w:p>
        </w:tc>
        <w:tc>
          <w:tcPr>
            <w:tcW w:w="8800" w:type="dxa"/>
            <w:vAlign w:val="bottom"/>
          </w:tcPr>
          <w:p>
            <w:pPr>
              <w:ind w:left="180"/>
              <w:spacing w:after="0"/>
              <w:rPr>
                <w:sz w:val="20"/>
                <w:szCs w:val="20"/>
                <w:color w:val="auto"/>
              </w:rPr>
            </w:pPr>
            <w:r>
              <w:rPr>
                <w:rFonts w:ascii="Arial" w:cs="Arial" w:eastAsia="Arial" w:hAnsi="Arial"/>
                <w:sz w:val="18"/>
                <w:szCs w:val="18"/>
                <w:color w:val="auto"/>
              </w:rPr>
              <w:t>(a)(2)</w:t>
            </w:r>
          </w:p>
        </w:tc>
        <w:tc>
          <w:tcPr>
            <w:tcW w:w="1640" w:type="dxa"/>
            <w:vAlign w:val="bottom"/>
          </w:tcPr>
          <w:p>
            <w:pPr>
              <w:ind w:left="540"/>
              <w:spacing w:after="0"/>
              <w:rPr>
                <w:sz w:val="20"/>
                <w:szCs w:val="20"/>
                <w:color w:val="auto"/>
              </w:rPr>
            </w:pPr>
            <w:r>
              <w:rPr>
                <w:rFonts w:ascii="Arial" w:cs="Arial" w:eastAsia="Arial" w:hAnsi="Arial"/>
                <w:sz w:val="18"/>
                <w:szCs w:val="18"/>
                <w:color w:val="auto"/>
                <w:w w:val="93"/>
              </w:rPr>
              <w:t>Not Applicable</w:t>
            </w:r>
          </w:p>
        </w:tc>
      </w:tr>
      <w:tr>
        <w:trPr>
          <w:trHeight w:val="216"/>
        </w:trPr>
        <w:tc>
          <w:tcPr>
            <w:tcW w:w="720" w:type="dxa"/>
            <w:vAlign w:val="bottom"/>
          </w:tcPr>
          <w:p>
            <w:pPr>
              <w:spacing w:after="0"/>
              <w:rPr>
                <w:sz w:val="18"/>
                <w:szCs w:val="18"/>
                <w:color w:val="auto"/>
              </w:rPr>
            </w:pPr>
          </w:p>
        </w:tc>
        <w:tc>
          <w:tcPr>
            <w:tcW w:w="8800" w:type="dxa"/>
            <w:vAlign w:val="bottom"/>
          </w:tcPr>
          <w:p>
            <w:pPr>
              <w:ind w:left="180"/>
              <w:spacing w:after="0"/>
              <w:rPr>
                <w:sz w:val="20"/>
                <w:szCs w:val="20"/>
                <w:color w:val="auto"/>
              </w:rPr>
            </w:pPr>
            <w:r>
              <w:rPr>
                <w:rFonts w:ascii="Arial" w:cs="Arial" w:eastAsia="Arial" w:hAnsi="Arial"/>
                <w:sz w:val="18"/>
                <w:szCs w:val="18"/>
                <w:color w:val="auto"/>
              </w:rPr>
              <w:t>(b)</w:t>
            </w:r>
          </w:p>
        </w:tc>
        <w:tc>
          <w:tcPr>
            <w:tcW w:w="1640" w:type="dxa"/>
            <w:vAlign w:val="bottom"/>
          </w:tcPr>
          <w:p>
            <w:pPr>
              <w:ind w:left="540"/>
              <w:spacing w:after="0"/>
              <w:rPr>
                <w:sz w:val="20"/>
                <w:szCs w:val="20"/>
                <w:color w:val="auto"/>
              </w:rPr>
            </w:pPr>
            <w:r>
              <w:rPr>
                <w:rFonts w:ascii="Arial" w:cs="Arial" w:eastAsia="Arial" w:hAnsi="Arial"/>
                <w:sz w:val="18"/>
                <w:szCs w:val="18"/>
                <w:color w:val="auto"/>
              </w:rPr>
              <w:t>5.8</w:t>
            </w:r>
          </w:p>
        </w:tc>
      </w:tr>
      <w:tr>
        <w:trPr>
          <w:trHeight w:val="216"/>
        </w:trPr>
        <w:tc>
          <w:tcPr>
            <w:tcW w:w="720" w:type="dxa"/>
            <w:vAlign w:val="bottom"/>
          </w:tcPr>
          <w:p>
            <w:pPr>
              <w:spacing w:after="0"/>
              <w:rPr>
                <w:sz w:val="18"/>
                <w:szCs w:val="18"/>
                <w:color w:val="auto"/>
              </w:rPr>
            </w:pPr>
          </w:p>
        </w:tc>
        <w:tc>
          <w:tcPr>
            <w:tcW w:w="8800" w:type="dxa"/>
            <w:vAlign w:val="bottom"/>
          </w:tcPr>
          <w:p>
            <w:pPr>
              <w:ind w:left="180"/>
              <w:spacing w:after="0"/>
              <w:rPr>
                <w:sz w:val="20"/>
                <w:szCs w:val="20"/>
                <w:color w:val="auto"/>
              </w:rPr>
            </w:pPr>
            <w:r>
              <w:rPr>
                <w:rFonts w:ascii="Arial" w:cs="Arial" w:eastAsia="Arial" w:hAnsi="Arial"/>
                <w:sz w:val="18"/>
                <w:szCs w:val="18"/>
                <w:color w:val="auto"/>
              </w:rPr>
              <w:t>(c)</w:t>
            </w:r>
          </w:p>
        </w:tc>
        <w:tc>
          <w:tcPr>
            <w:tcW w:w="1640" w:type="dxa"/>
            <w:vAlign w:val="bottom"/>
          </w:tcPr>
          <w:p>
            <w:pPr>
              <w:ind w:left="540"/>
              <w:spacing w:after="0"/>
              <w:rPr>
                <w:sz w:val="20"/>
                <w:szCs w:val="20"/>
                <w:color w:val="auto"/>
              </w:rPr>
            </w:pPr>
            <w:r>
              <w:rPr>
                <w:rFonts w:ascii="Arial" w:cs="Arial" w:eastAsia="Arial" w:hAnsi="Arial"/>
                <w:sz w:val="18"/>
                <w:szCs w:val="18"/>
                <w:color w:val="auto"/>
              </w:rPr>
              <w:t>1.4</w:t>
            </w:r>
          </w:p>
        </w:tc>
      </w:tr>
      <w:tr>
        <w:trPr>
          <w:trHeight w:val="216"/>
        </w:trPr>
        <w:tc>
          <w:tcPr>
            <w:tcW w:w="9520" w:type="dxa"/>
            <w:vAlign w:val="bottom"/>
            <w:gridSpan w:val="2"/>
          </w:tcPr>
          <w:p>
            <w:pPr>
              <w:spacing w:after="0"/>
              <w:rPr>
                <w:sz w:val="20"/>
                <w:szCs w:val="20"/>
                <w:color w:val="auto"/>
              </w:rPr>
            </w:pPr>
            <w:r>
              <w:rPr>
                <w:rFonts w:ascii="Arial" w:cs="Arial" w:eastAsia="Arial" w:hAnsi="Arial"/>
                <w:sz w:val="18"/>
                <w:szCs w:val="18"/>
                <w:color w:val="auto"/>
              </w:rPr>
              <w:t>Section 317(a)(1)</w:t>
            </w:r>
          </w:p>
        </w:tc>
        <w:tc>
          <w:tcPr>
            <w:tcW w:w="1640" w:type="dxa"/>
            <w:vAlign w:val="bottom"/>
          </w:tcPr>
          <w:p>
            <w:pPr>
              <w:ind w:left="540"/>
              <w:spacing w:after="0"/>
              <w:rPr>
                <w:sz w:val="20"/>
                <w:szCs w:val="20"/>
                <w:color w:val="auto"/>
              </w:rPr>
            </w:pPr>
            <w:r>
              <w:rPr>
                <w:rFonts w:ascii="Arial" w:cs="Arial" w:eastAsia="Arial" w:hAnsi="Arial"/>
                <w:sz w:val="18"/>
                <w:szCs w:val="18"/>
                <w:color w:val="auto"/>
              </w:rPr>
              <w:t>5.3</w:t>
            </w:r>
          </w:p>
        </w:tc>
      </w:tr>
      <w:tr>
        <w:trPr>
          <w:trHeight w:val="216"/>
        </w:trPr>
        <w:tc>
          <w:tcPr>
            <w:tcW w:w="720" w:type="dxa"/>
            <w:vAlign w:val="bottom"/>
          </w:tcPr>
          <w:p>
            <w:pPr>
              <w:spacing w:after="0"/>
              <w:rPr>
                <w:sz w:val="18"/>
                <w:szCs w:val="18"/>
                <w:color w:val="auto"/>
              </w:rPr>
            </w:pPr>
          </w:p>
        </w:tc>
        <w:tc>
          <w:tcPr>
            <w:tcW w:w="8800" w:type="dxa"/>
            <w:vAlign w:val="bottom"/>
          </w:tcPr>
          <w:p>
            <w:pPr>
              <w:ind w:left="180"/>
              <w:spacing w:after="0"/>
              <w:rPr>
                <w:sz w:val="20"/>
                <w:szCs w:val="20"/>
                <w:color w:val="auto"/>
              </w:rPr>
            </w:pPr>
            <w:r>
              <w:rPr>
                <w:rFonts w:ascii="Arial" w:cs="Arial" w:eastAsia="Arial" w:hAnsi="Arial"/>
                <w:sz w:val="18"/>
                <w:szCs w:val="18"/>
                <w:color w:val="auto"/>
              </w:rPr>
              <w:t>(a)(2)</w:t>
            </w:r>
          </w:p>
        </w:tc>
        <w:tc>
          <w:tcPr>
            <w:tcW w:w="1640" w:type="dxa"/>
            <w:vAlign w:val="bottom"/>
          </w:tcPr>
          <w:p>
            <w:pPr>
              <w:ind w:left="540"/>
              <w:spacing w:after="0"/>
              <w:rPr>
                <w:sz w:val="20"/>
                <w:szCs w:val="20"/>
                <w:color w:val="auto"/>
              </w:rPr>
            </w:pPr>
            <w:r>
              <w:rPr>
                <w:rFonts w:ascii="Arial" w:cs="Arial" w:eastAsia="Arial" w:hAnsi="Arial"/>
                <w:sz w:val="18"/>
                <w:szCs w:val="18"/>
                <w:color w:val="auto"/>
              </w:rPr>
              <w:t>5.4</w:t>
            </w:r>
          </w:p>
        </w:tc>
      </w:tr>
      <w:tr>
        <w:trPr>
          <w:trHeight w:val="216"/>
        </w:trPr>
        <w:tc>
          <w:tcPr>
            <w:tcW w:w="720" w:type="dxa"/>
            <w:vAlign w:val="bottom"/>
          </w:tcPr>
          <w:p>
            <w:pPr>
              <w:spacing w:after="0"/>
              <w:rPr>
                <w:sz w:val="18"/>
                <w:szCs w:val="18"/>
                <w:color w:val="auto"/>
              </w:rPr>
            </w:pPr>
          </w:p>
        </w:tc>
        <w:tc>
          <w:tcPr>
            <w:tcW w:w="8800" w:type="dxa"/>
            <w:vAlign w:val="bottom"/>
          </w:tcPr>
          <w:p>
            <w:pPr>
              <w:ind w:left="180"/>
              <w:spacing w:after="0"/>
              <w:rPr>
                <w:sz w:val="20"/>
                <w:szCs w:val="20"/>
                <w:color w:val="auto"/>
              </w:rPr>
            </w:pPr>
            <w:r>
              <w:rPr>
                <w:rFonts w:ascii="Arial" w:cs="Arial" w:eastAsia="Arial" w:hAnsi="Arial"/>
                <w:sz w:val="18"/>
                <w:szCs w:val="18"/>
                <w:color w:val="auto"/>
              </w:rPr>
              <w:t>(b)</w:t>
            </w:r>
          </w:p>
        </w:tc>
        <w:tc>
          <w:tcPr>
            <w:tcW w:w="1640" w:type="dxa"/>
            <w:vAlign w:val="bottom"/>
          </w:tcPr>
          <w:p>
            <w:pPr>
              <w:ind w:left="540"/>
              <w:spacing w:after="0"/>
              <w:rPr>
                <w:sz w:val="20"/>
                <w:szCs w:val="20"/>
                <w:color w:val="auto"/>
              </w:rPr>
            </w:pPr>
            <w:r>
              <w:rPr>
                <w:rFonts w:ascii="Arial" w:cs="Arial" w:eastAsia="Arial" w:hAnsi="Arial"/>
                <w:sz w:val="18"/>
                <w:szCs w:val="18"/>
                <w:color w:val="auto"/>
              </w:rPr>
              <w:t>10.3</w:t>
            </w:r>
          </w:p>
        </w:tc>
      </w:tr>
      <w:tr>
        <w:trPr>
          <w:trHeight w:val="230"/>
        </w:trPr>
        <w:tc>
          <w:tcPr>
            <w:tcW w:w="9520" w:type="dxa"/>
            <w:vAlign w:val="bottom"/>
            <w:gridSpan w:val="2"/>
          </w:tcPr>
          <w:p>
            <w:pPr>
              <w:spacing w:after="0"/>
              <w:rPr>
                <w:sz w:val="20"/>
                <w:szCs w:val="20"/>
                <w:color w:val="auto"/>
              </w:rPr>
            </w:pPr>
            <w:r>
              <w:rPr>
                <w:rFonts w:ascii="Arial" w:cs="Arial" w:eastAsia="Arial" w:hAnsi="Arial"/>
                <w:sz w:val="18"/>
                <w:szCs w:val="18"/>
                <w:color w:val="auto"/>
              </w:rPr>
              <w:t>Section 318(a)</w:t>
            </w:r>
          </w:p>
        </w:tc>
        <w:tc>
          <w:tcPr>
            <w:tcW w:w="1640" w:type="dxa"/>
            <w:vAlign w:val="bottom"/>
          </w:tcPr>
          <w:p>
            <w:pPr>
              <w:ind w:left="540"/>
              <w:spacing w:after="0"/>
              <w:rPr>
                <w:sz w:val="20"/>
                <w:szCs w:val="20"/>
                <w:color w:val="auto"/>
              </w:rPr>
            </w:pPr>
            <w:r>
              <w:rPr>
                <w:rFonts w:ascii="Arial" w:cs="Arial" w:eastAsia="Arial" w:hAnsi="Arial"/>
                <w:sz w:val="18"/>
                <w:szCs w:val="18"/>
                <w:color w:val="auto"/>
              </w:rPr>
              <w:t>1.7</w:t>
            </w:r>
          </w:p>
        </w:tc>
      </w:tr>
      <w:tr>
        <w:trPr>
          <w:trHeight w:val="459"/>
        </w:trPr>
        <w:tc>
          <w:tcPr>
            <w:tcW w:w="720" w:type="dxa"/>
            <w:vAlign w:val="bottom"/>
          </w:tcPr>
          <w:p>
            <w:pPr>
              <w:spacing w:after="0"/>
              <w:rPr>
                <w:sz w:val="20"/>
                <w:szCs w:val="20"/>
                <w:color w:val="auto"/>
              </w:rPr>
            </w:pPr>
            <w:r>
              <w:rPr>
                <w:rFonts w:ascii="Arial" w:cs="Arial" w:eastAsia="Arial" w:hAnsi="Arial"/>
                <w:sz w:val="18"/>
                <w:szCs w:val="18"/>
                <w:color w:val="auto"/>
              </w:rPr>
              <w:t>NOTE:</w:t>
            </w:r>
          </w:p>
        </w:tc>
        <w:tc>
          <w:tcPr>
            <w:tcW w:w="8800" w:type="dxa"/>
            <w:vAlign w:val="bottom"/>
          </w:tcPr>
          <w:p>
            <w:pPr>
              <w:ind w:left="200"/>
              <w:spacing w:after="0"/>
              <w:rPr>
                <w:sz w:val="20"/>
                <w:szCs w:val="20"/>
                <w:color w:val="auto"/>
              </w:rPr>
            </w:pPr>
            <w:r>
              <w:rPr>
                <w:rFonts w:ascii="Arial" w:cs="Arial" w:eastAsia="Arial" w:hAnsi="Arial"/>
                <w:sz w:val="18"/>
                <w:szCs w:val="18"/>
                <w:color w:val="auto"/>
              </w:rPr>
              <w:t>This reconciliation and tie shall not, for any purpose, be deemed to be a part of the Indenture.</w:t>
            </w:r>
          </w:p>
        </w:tc>
        <w:tc>
          <w:tcPr>
            <w:tcW w:w="1640" w:type="dxa"/>
            <w:vAlign w:val="bottom"/>
          </w:tcPr>
          <w:p>
            <w:pPr>
              <w:spacing w:after="0"/>
              <w:rPr>
                <w:sz w:val="24"/>
                <w:szCs w:val="24"/>
                <w:color w:val="auto"/>
              </w:rPr>
            </w:pPr>
          </w:p>
        </w:tc>
      </w:tr>
      <w:tr>
        <w:trPr>
          <w:trHeight w:val="365"/>
        </w:trPr>
        <w:tc>
          <w:tcPr>
            <w:tcW w:w="720" w:type="dxa"/>
            <w:vAlign w:val="bottom"/>
          </w:tcPr>
          <w:p>
            <w:pPr>
              <w:spacing w:after="0"/>
              <w:rPr>
                <w:sz w:val="24"/>
                <w:szCs w:val="24"/>
                <w:color w:val="auto"/>
              </w:rPr>
            </w:pPr>
          </w:p>
        </w:tc>
        <w:tc>
          <w:tcPr>
            <w:tcW w:w="8800" w:type="dxa"/>
            <w:vAlign w:val="bottom"/>
          </w:tcPr>
          <w:p>
            <w:pPr>
              <w:ind w:left="4880"/>
              <w:spacing w:after="0"/>
              <w:rPr>
                <w:sz w:val="20"/>
                <w:szCs w:val="20"/>
                <w:color w:val="auto"/>
              </w:rPr>
            </w:pPr>
            <w:r>
              <w:rPr>
                <w:rFonts w:ascii="Arial" w:cs="Arial" w:eastAsia="Arial" w:hAnsi="Arial"/>
                <w:sz w:val="18"/>
                <w:szCs w:val="18"/>
                <w:color w:val="auto"/>
              </w:rPr>
              <w:t>-v-</w:t>
            </w:r>
          </w:p>
        </w:tc>
        <w:tc>
          <w:tcPr>
            <w:tcW w:w="16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160"/>
          </w:cols>
          <w:pgMar w:left="240" w:top="274" w:right="4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08" w:name="page109"/>
    <w:bookmarkEnd w:id="108"/>
    <w:p>
      <w:pPr>
        <w:ind w:right="240"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INDENTURE, dated as of , 20 , between Fluidigm Corporation, a corporation duly organized and existing under the laws of the State of Delaware (herein called the “Company”), having its principal executive office at 7000 Shoreline Court, Suite 100, South San Francisco, California, 94080,</w:t>
      </w:r>
    </w:p>
    <w:p>
      <w:pPr>
        <w:spacing w:after="0"/>
        <w:tabs>
          <w:tab w:leader="none" w:pos="1200" w:val="left"/>
        </w:tabs>
        <w:rPr>
          <w:sz w:val="20"/>
          <w:szCs w:val="20"/>
          <w:color w:val="auto"/>
        </w:rPr>
      </w:pPr>
      <w:r>
        <w:rPr>
          <w:rFonts w:ascii="Arial" w:cs="Arial" w:eastAsia="Arial" w:hAnsi="Arial"/>
          <w:sz w:val="18"/>
          <w:szCs w:val="18"/>
          <w:color w:val="auto"/>
        </w:rPr>
        <w:t>and</w:t>
      </w:r>
      <w:r>
        <w:rPr>
          <w:sz w:val="20"/>
          <w:szCs w:val="20"/>
          <w:color w:val="auto"/>
        </w:rPr>
        <w:tab/>
      </w:r>
      <w:r>
        <w:rPr>
          <w:rFonts w:ascii="Arial" w:cs="Arial" w:eastAsia="Arial" w:hAnsi="Arial"/>
          <w:sz w:val="18"/>
          <w:szCs w:val="18"/>
          <w:color w:val="auto"/>
        </w:rPr>
        <w:t>, as Trustee (herein called the “Trustee”).</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RECITALS OF THE COMPANY</w:t>
      </w:r>
    </w:p>
    <w:p>
      <w:pPr>
        <w:spacing w:after="0" w:line="229" w:lineRule="exact"/>
        <w:rPr>
          <w:sz w:val="20"/>
          <w:szCs w:val="20"/>
          <w:color w:val="auto"/>
        </w:rPr>
      </w:pPr>
    </w:p>
    <w:p>
      <w:pPr>
        <w:ind w:right="500" w:firstLine="456"/>
        <w:spacing w:after="0" w:line="264" w:lineRule="auto"/>
        <w:rPr>
          <w:sz w:val="20"/>
          <w:szCs w:val="20"/>
          <w:color w:val="auto"/>
        </w:rPr>
      </w:pPr>
      <w:r>
        <w:rPr>
          <w:rFonts w:ascii="Arial" w:cs="Arial" w:eastAsia="Arial" w:hAnsi="Arial"/>
          <w:sz w:val="18"/>
          <w:szCs w:val="18"/>
          <w:color w:val="auto"/>
        </w:rPr>
        <w:t>The Company has duly authorized the execution and delivery of this Indenture to provide for the issuance from time to time of its unsecured subordinated debentures, notes or other evidences of indebtedness (herein called the “Securities”), to be issued in one or more series as provided in this Indenture.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things necessary to make this Indenture a valid agreement of the Company, in accordance with its terms, have been done.</w:t>
      </w:r>
    </w:p>
    <w:p>
      <w:pPr>
        <w:spacing w:after="0" w:line="225"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Indenture is subject to, and will be governed by, the provisions of the Trust Indenture Act that are required to be a part of and govern indentures qualified under the Trust Indenture Act.</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NOW, THEREFORE, THIS INDENTURE WITNESSETH:</w:t>
      </w:r>
    </w:p>
    <w:p>
      <w:pPr>
        <w:spacing w:after="0" w:line="229"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For and in consideration of the premises and the purchase of the Securities by the Holders thereof, it is mutually covenanted and agreed, for the equal and proportionate benefit of all Holders of the Securities or of series thereof appertaining, as follows:</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DEFINITIONS AND OTHER PROVISIONS OF GENERAL APPLICATION</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Section 1.1</w:t>
      </w:r>
      <w:r>
        <w:rPr>
          <w:sz w:val="20"/>
          <w:szCs w:val="20"/>
          <w:color w:val="auto"/>
        </w:rPr>
        <w:tab/>
      </w:r>
      <w:r>
        <w:rPr>
          <w:rFonts w:ascii="Arial" w:cs="Arial" w:eastAsia="Arial" w:hAnsi="Arial"/>
          <w:sz w:val="16"/>
          <w:szCs w:val="16"/>
          <w:b w:val="1"/>
          <w:bCs w:val="1"/>
          <w:color w:val="auto"/>
        </w:rPr>
        <w:t>Definitions.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all purposes of this Indenture, except as otherwise expressly provided or unless the context otherwise requires:</w:t>
      </w:r>
    </w:p>
    <w:p>
      <w:pPr>
        <w:spacing w:after="0" w:line="117" w:lineRule="exact"/>
        <w:rPr>
          <w:sz w:val="20"/>
          <w:szCs w:val="20"/>
          <w:color w:val="auto"/>
        </w:rPr>
      </w:pPr>
    </w:p>
    <w:p>
      <w:pPr>
        <w:ind w:left="1300" w:hanging="397"/>
        <w:spacing w:after="0"/>
        <w:tabs>
          <w:tab w:leader="none" w:pos="130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terms defined in this Article have the meanings assigned to them in this Article and include the plural as well as the singular;</w:t>
      </w:r>
    </w:p>
    <w:p>
      <w:pPr>
        <w:spacing w:after="0" w:line="128" w:lineRule="exact"/>
        <w:rPr>
          <w:rFonts w:ascii="Arial" w:cs="Arial" w:eastAsia="Arial" w:hAnsi="Arial"/>
          <w:sz w:val="17"/>
          <w:szCs w:val="17"/>
          <w:color w:val="auto"/>
        </w:rPr>
      </w:pPr>
    </w:p>
    <w:p>
      <w:pPr>
        <w:ind w:left="460" w:right="80" w:firstLine="443"/>
        <w:spacing w:after="0" w:line="277" w:lineRule="auto"/>
        <w:tabs>
          <w:tab w:leader="none" w:pos="1288" w:val="left"/>
        </w:tabs>
        <w:numPr>
          <w:ilvl w:val="0"/>
          <w:numId w:val="96"/>
        </w:numPr>
        <w:rPr>
          <w:rFonts w:ascii="Arial" w:cs="Arial" w:eastAsia="Arial" w:hAnsi="Arial"/>
          <w:sz w:val="18"/>
          <w:szCs w:val="18"/>
          <w:color w:val="auto"/>
        </w:rPr>
      </w:pPr>
      <w:r>
        <w:rPr>
          <w:rFonts w:ascii="Arial" w:cs="Arial" w:eastAsia="Arial" w:hAnsi="Arial"/>
          <w:sz w:val="18"/>
          <w:szCs w:val="18"/>
          <w:color w:val="auto"/>
        </w:rPr>
        <w:t>all other terms used herein which are defined in the Trust Indenture Act, either directly or by reference therein, have the meanings assigned to them therein;</w:t>
      </w:r>
    </w:p>
    <w:p>
      <w:pPr>
        <w:spacing w:after="0" w:line="62" w:lineRule="exact"/>
        <w:rPr>
          <w:rFonts w:ascii="Arial" w:cs="Arial" w:eastAsia="Arial" w:hAnsi="Arial"/>
          <w:sz w:val="18"/>
          <w:szCs w:val="18"/>
          <w:color w:val="auto"/>
        </w:rPr>
      </w:pPr>
    </w:p>
    <w:p>
      <w:pPr>
        <w:jc w:val="both"/>
        <w:ind w:left="460" w:firstLine="443"/>
        <w:spacing w:after="0" w:line="259" w:lineRule="auto"/>
        <w:tabs>
          <w:tab w:leader="none" w:pos="1288" w:val="left"/>
        </w:tabs>
        <w:numPr>
          <w:ilvl w:val="0"/>
          <w:numId w:val="96"/>
        </w:numPr>
        <w:rPr>
          <w:rFonts w:ascii="Arial" w:cs="Arial" w:eastAsia="Arial" w:hAnsi="Arial"/>
          <w:sz w:val="18"/>
          <w:szCs w:val="18"/>
          <w:color w:val="auto"/>
        </w:rPr>
      </w:pPr>
      <w:r>
        <w:rPr>
          <w:rFonts w:ascii="Arial" w:cs="Arial" w:eastAsia="Arial" w:hAnsi="Arial"/>
          <w:sz w:val="18"/>
          <w:szCs w:val="18"/>
          <w:color w:val="auto"/>
        </w:rPr>
        <w:t>all accounting terms not otherwise defined herein have the meanings assigned to them in accordance with generally accepted accounting principles in the United States of America, and, except as otherwise herein expressly provided, the term “generally accepted accounting principles” with respect to any computation required or permitted hereunder shall mean such accounting principles in the United States of America as are generally accepted at the date of such computation;</w:t>
      </w:r>
    </w:p>
    <w:p>
      <w:pPr>
        <w:sectPr>
          <w:pgSz w:w="11900" w:h="16838" w:orient="portrait"/>
          <w:cols w:equalWidth="0" w:num="1">
            <w:col w:w="11400"/>
          </w:cols>
          <w:pgMar w:left="240" w:top="274" w:right="259" w:bottom="1440" w:gutter="0" w:footer="0" w:header="0"/>
        </w:sectPr>
      </w:pPr>
    </w:p>
    <w:bookmarkStart w:id="109" w:name="page110"/>
    <w:bookmarkEnd w:id="109"/>
    <w:p>
      <w:pPr>
        <w:ind w:left="1300" w:hanging="397"/>
        <w:spacing w:after="0"/>
        <w:tabs>
          <w:tab w:leader="none" w:pos="1300" w:val="left"/>
        </w:tabs>
        <w:numPr>
          <w:ilvl w:val="0"/>
          <w:numId w:val="9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references to “$” refer to the lawful currency of the United States of America;</w:t>
      </w:r>
    </w:p>
    <w:p>
      <w:pPr>
        <w:spacing w:after="0" w:line="117" w:lineRule="exact"/>
        <w:rPr>
          <w:rFonts w:ascii="Arial" w:cs="Arial" w:eastAsia="Arial" w:hAnsi="Arial"/>
          <w:sz w:val="18"/>
          <w:szCs w:val="18"/>
          <w:color w:val="auto"/>
        </w:rPr>
      </w:pPr>
    </w:p>
    <w:p>
      <w:pPr>
        <w:ind w:left="460" w:right="240" w:firstLine="443"/>
        <w:spacing w:after="0" w:line="277" w:lineRule="auto"/>
        <w:tabs>
          <w:tab w:leader="none" w:pos="1288" w:val="left"/>
        </w:tabs>
        <w:numPr>
          <w:ilvl w:val="0"/>
          <w:numId w:val="97"/>
        </w:numPr>
        <w:rPr>
          <w:rFonts w:ascii="Arial" w:cs="Arial" w:eastAsia="Arial" w:hAnsi="Arial"/>
          <w:sz w:val="18"/>
          <w:szCs w:val="18"/>
          <w:color w:val="auto"/>
        </w:rPr>
      </w:pPr>
      <w:r>
        <w:rPr>
          <w:rFonts w:ascii="Arial" w:cs="Arial" w:eastAsia="Arial" w:hAnsi="Arial"/>
          <w:sz w:val="18"/>
          <w:szCs w:val="18"/>
          <w:color w:val="auto"/>
        </w:rPr>
        <w:t>unless the context otherwise requires, any reference to an “Article” or a “Section” refers to an Article or a Section, as the case may be, of this Indenture; and</w:t>
      </w:r>
    </w:p>
    <w:p>
      <w:pPr>
        <w:spacing w:after="0" w:line="62" w:lineRule="exact"/>
        <w:rPr>
          <w:rFonts w:ascii="Arial" w:cs="Arial" w:eastAsia="Arial" w:hAnsi="Arial"/>
          <w:sz w:val="18"/>
          <w:szCs w:val="18"/>
          <w:color w:val="auto"/>
        </w:rPr>
      </w:pPr>
    </w:p>
    <w:p>
      <w:pPr>
        <w:ind w:left="460" w:right="120" w:firstLine="443"/>
        <w:spacing w:after="0" w:line="277" w:lineRule="auto"/>
        <w:tabs>
          <w:tab w:leader="none" w:pos="1288"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words “herein,” “hereof” and “hereunder” and other words of similar import refer to this Indenture as a whole and not to any particular Article, Section or other subdivision.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“Act,” when used with respect to any Holder, has the meaning specified in Section 1.4.</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“Additional Interest” has the meaning specified in Section 5.2(b).</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“Affiliate” of any specified Person means any other Person directly or indirectly controlling or controlled by or under direct or indirect common control with such specified Person.</w:t>
      </w:r>
    </w:p>
    <w:p>
      <w:pPr>
        <w:spacing w:after="0" w:line="170"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“Authenticating Agent” means any Person authorized by the Trustee pursuant to Section 6.14 to act on behalf of the Trustee to authenticate Securities of one or more series.</w:t>
      </w:r>
    </w:p>
    <w:p>
      <w:pPr>
        <w:spacing w:after="0" w:line="170"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“Board of Directors” means either the board of directors of the Company or any duly authorized committee of that board empowered to act for it with respect to this Indenture.</w:t>
      </w:r>
    </w:p>
    <w:p>
      <w:pPr>
        <w:spacing w:after="0" w:line="17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“Board Resolution” means a copy of a resolution certified by the Secretary or an Assistant Secretary of the Company to have been duly adopted by the Board of Directors and to be in full force and effect on the date of such certification, and delivered to the Trustee.</w:t>
      </w:r>
    </w:p>
    <w:p>
      <w:pPr>
        <w:spacing w:after="0" w:line="170"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“Business Day,” when used with respect to any Place of Payment, means each Monday, Tuesday, Wednesday, Thursday and Friday which is not a day on which banking institutions in that Place of Payment are authorized or obligated by law or executive order to close.</w:t>
      </w:r>
    </w:p>
    <w:p>
      <w:pPr>
        <w:spacing w:after="0" w:line="170"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“Commission” means the Securities and Exchange Commission, from time to time constituted, created under the Exchange Act, or, if at any time after the execution of this instrument such Commission is not existing and performing the duties now assigned to it under the Trust Indenture Act, then the body performing such duties at such time.</w:t>
      </w:r>
    </w:p>
    <w:p>
      <w:pPr>
        <w:spacing w:after="0" w:line="181" w:lineRule="exact"/>
        <w:rPr>
          <w:sz w:val="20"/>
          <w:szCs w:val="20"/>
          <w:color w:val="auto"/>
        </w:rPr>
      </w:pPr>
    </w:p>
    <w:p>
      <w:pPr>
        <w:ind w:right="160" w:firstLine="456"/>
        <w:spacing w:after="0" w:line="273" w:lineRule="auto"/>
        <w:rPr>
          <w:sz w:val="20"/>
          <w:szCs w:val="20"/>
          <w:color w:val="auto"/>
        </w:rPr>
      </w:pPr>
      <w:r>
        <w:rPr>
          <w:rFonts w:ascii="Arial" w:cs="Arial" w:eastAsia="Arial" w:hAnsi="Arial"/>
          <w:sz w:val="17"/>
          <w:szCs w:val="17"/>
          <w:color w:val="auto"/>
        </w:rPr>
        <w:t xml:space="preserve">“Common Stock” includes any stock of any class of the Company which has no preference in respect of dividends or of amounts payable in the event of any voluntary or involuntary liquidation, dissolution or winding-up of the Company and which is not subject to redemption by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subject to the provisions of Article 14 and any indenture supplemental hereto, shares issuable upon conversion of Securities shall include only shares of the class designated as Common Stock of the Company at the date of this Indenture or shares of any class or classes resulting from any reclassification or reclassifications thereof and which have no preference in respect of dividends or of amounts payable in the event of any voluntary or involuntary liquidation, dissolution or winding-up of the Company and which are not subject to redemption by the Company;</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110" w:name="page111"/>
    <w:bookmarkEnd w:id="110"/>
    <w:p>
      <w:pPr>
        <w:jc w:val="both"/>
        <w:ind w:right="200"/>
        <w:spacing w:after="0" w:line="264"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if at any time there shall be more than one such resulting class, the shares of each such class then so issuable shall be substantially in the proportion which the total number of shares of such class resulting from all such reclassifications bears to the total number of shares of all such classes resulting from all such reclassifications.</w:t>
      </w:r>
    </w:p>
    <w:p>
      <w:pPr>
        <w:spacing w:after="0" w:line="18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“Company” means the corporation named as the “Company” in the first paragraph of this instrument until a successor Person shall have become such pursuant to the applicable provisions of this Indenture, and thereafter “Company” shall mean such successor Person.</w:t>
      </w:r>
    </w:p>
    <w:p>
      <w:pPr>
        <w:spacing w:after="0" w:line="170" w:lineRule="exact"/>
        <w:rPr>
          <w:sz w:val="20"/>
          <w:szCs w:val="20"/>
          <w:color w:val="auto"/>
        </w:rPr>
      </w:pPr>
    </w:p>
    <w:p>
      <w:pPr>
        <w:ind w:firstLine="464"/>
        <w:spacing w:after="0" w:line="312" w:lineRule="auto"/>
        <w:tabs>
          <w:tab w:leader="none" w:pos="751" w:val="left"/>
        </w:tabs>
        <w:numPr>
          <w:ilvl w:val="0"/>
          <w:numId w:val="98"/>
        </w:numPr>
        <w:rPr>
          <w:rFonts w:ascii="Arial" w:cs="Arial" w:eastAsia="Arial" w:hAnsi="Arial"/>
          <w:sz w:val="16"/>
          <w:szCs w:val="16"/>
          <w:color w:val="auto"/>
        </w:rPr>
      </w:pPr>
      <w:r>
        <w:rPr>
          <w:rFonts w:ascii="Arial" w:cs="Arial" w:eastAsia="Arial" w:hAnsi="Arial"/>
          <w:sz w:val="16"/>
          <w:szCs w:val="16"/>
          <w:color w:val="auto"/>
        </w:rPr>
        <w:t>“Company Request” or “Company Order” means a written request or order signed by any two of the following in the name of the Company: the Chairman of the Board, the Vice Chairman of the Board, the Chief Executive Officer, the President or any executive officer, the principal financial officer, the principal accounting officer, the Treasurer, an Assistant Treasurer, the Secretary or an Assistant Secretary of the Company, and delivered to the Trustee.</w:t>
      </w:r>
    </w:p>
    <w:p>
      <w:pPr>
        <w:spacing w:after="0" w:line="14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81" w:lineRule="exact"/>
        <w:rPr>
          <w:sz w:val="20"/>
          <w:szCs w:val="20"/>
          <w:color w:val="auto"/>
        </w:rPr>
      </w:pPr>
    </w:p>
    <w:p>
      <w:pPr>
        <w:ind w:right="200" w:firstLine="456"/>
        <w:spacing w:after="0" w:line="308" w:lineRule="auto"/>
        <w:rPr>
          <w:sz w:val="20"/>
          <w:szCs w:val="20"/>
          <w:color w:val="auto"/>
        </w:rPr>
      </w:pPr>
      <w:r>
        <w:rPr>
          <w:rFonts w:ascii="Arial" w:cs="Arial" w:eastAsia="Arial" w:hAnsi="Arial"/>
          <w:sz w:val="17"/>
          <w:szCs w:val="17"/>
          <w:color w:val="auto"/>
        </w:rPr>
        <w:t>“Corporate Trust Office” means the corporate trust office of the Trustee at , Attention: Corporate Trust Department, or such other office, designated by the Trustee by written notice to the Company, at which at any particular time its corporate trust business shall be administered.</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“corporation” means a corporation, association, company, joint-stock company or business trust.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“Covenant Defeasance” has the meaning specified in Section 13.3.</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“Defaulted Interest” has the meaning specified in Section 3.7.</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“Defeasance” has the meaning specified in Section 13.2.</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“Depositary” means, with respect to Securities of any series issuable in whole or in part in the form of one or more Global Securities, a clearing agency registered under the Exchange Act that is designated to act as Depositary for such Securities as contemplated by Section 3.1.</w:t>
      </w:r>
    </w:p>
    <w:p>
      <w:pPr>
        <w:spacing w:after="0" w:line="170"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“Designated Senior Debt” means the Company’s obligations under any particular Senior Debt in which the instrument creating or evidencing the same or the assumption or guarantee thereof (or related agreements or documents to which the Company is a party) expressly provides that such Senior Debt shall be “Designated Senior Debt” for purposes of this Indenture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instrument, agreement or other document may place limitations and conditions on the right of such Senior Debt to exercise the rights of Designated Senior Debt). If any payment made to any holder of any Designated Senior Debt or its Representative with respect to such Designated Senior Debt is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4" w:right="279" w:bottom="1440" w:gutter="0" w:footer="0" w:header="0"/>
        </w:sectPr>
      </w:pPr>
    </w:p>
    <w:bookmarkStart w:id="111" w:name="page112"/>
    <w:bookmarkEnd w:id="111"/>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rescinded or must otherwise be returned by such holder or Representative upon the insolvency, bankruptcy or reorganization of the Company or otherwise, the reinstated Indebtedness of the Company arising as a result of such rescission or return shall constitute Designated Senior Debt effective as of the date of such rescission or return.</w:t>
      </w:r>
    </w:p>
    <w:p>
      <w:pPr>
        <w:spacing w:after="0" w:line="18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“euro” or “euros” means the currency adopted by those nations participating in the third stage of the economic and monetary union provisions of the Treaty on European Union, signed at Maastricht on February 7, 1992.</w:t>
      </w:r>
    </w:p>
    <w:p>
      <w:pPr>
        <w:spacing w:after="0" w:line="17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“European Economic Area” means the member nations of the European Economic Area pursuant to the Oporto Agreement on the European Economic Area dated May 2, 1992, as amended.</w:t>
      </w:r>
    </w:p>
    <w:p>
      <w:pPr>
        <w:spacing w:after="0" w:line="170"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“European Union” means the member nations of the European Union established by the Treaty of European Union, signed at Maastricht on February 7, 1992, which amended the Treaty of Rome establishing the European Community.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“Event of Default” has the meaning specified in Section 5.1.</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“Exchange Act” means the Securities Exchange Act of 1934 and any statute successor thereto, in each case as amended from time to time.</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“Expiration Date” has the meaning specified in Section 1.4.</w:t>
      </w:r>
    </w:p>
    <w:p>
      <w:pPr>
        <w:spacing w:after="0" w:line="225"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 xml:space="preserve">“Foreign Government Obligation” means with respect to Securities of any series which are not denominated in the currency of the United States of America (x) any security which is (i) a direct obligation of the government which issued or caused to be issued the currency in which such security is denominated and for the payment of which obligations its full faith and credit is pledged or, with respect to Securities of any series which are denominated in euros, a direct obligation of any member nation of the European Union for the payment of which obligation the full faith and credit of the respective nation is pledged so long as such nation has a credit rating at least equal to that of the highest rated member nation of the European Economic Area, or (ii) an obligation of a Person controlled or supervised by and acting as an agency or instrumentality of a government specified in clause (i) above the timely payment of which is unconditionally guaranteed as a full faith and credit obligation by the such government, which, in either case (i) or (ii), is not callable or redeemable at the option of the issuer thereof, and (y) any depositary receipt issued by a bank (as defined in Section 3(a)(2) of the Securities Act) as custodian with respect to any Foreign Government Obligation which is specified in clause (x) above and held by such bank for the account of the holder of such depositary receipt, or with respect to any specific payment of principal of or interest on any Foreign Government Obligation which is so specified and held,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(except as required by law) such custodian is not authorized to make any deduction from the amount payable to the holder of such depositary receipt from any amount received by the custodian in respect of the Foreign Government Obligation or the specific payment of principal or interest evidenced by such depositary receipt.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112" w:name="page113"/>
    <w:bookmarkEnd w:id="112"/>
    <w:p>
      <w:pPr>
        <w:jc w:val="both"/>
        <w:ind w:right="160" w:firstLine="456"/>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“Global Security” means, with respect to any series of Securities, a Security executed by the Company and delivered by the Trustee to the Depositary or held by the Trustee as custodian for the Depositary pursuant to a safekeeping agreement with the Depositary, all in accordance with the Indenture, which shall be registered in global form without interest coupons in the name of the Depositary or its nominee.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“Holder” means a Person in whose name a Security is registered in the Security Register.</w:t>
      </w:r>
    </w:p>
    <w:p>
      <w:pPr>
        <w:spacing w:after="0" w:line="225" w:lineRule="exact"/>
        <w:rPr>
          <w:sz w:val="20"/>
          <w:szCs w:val="20"/>
          <w:color w:val="auto"/>
        </w:rPr>
      </w:pPr>
    </w:p>
    <w:p>
      <w:pPr>
        <w:ind w:firstLine="456"/>
        <w:spacing w:after="0" w:line="267" w:lineRule="auto"/>
        <w:rPr>
          <w:sz w:val="20"/>
          <w:szCs w:val="20"/>
          <w:color w:val="auto"/>
        </w:rPr>
      </w:pPr>
      <w:r>
        <w:rPr>
          <w:rFonts w:ascii="Arial" w:cs="Arial" w:eastAsia="Arial" w:hAnsi="Arial"/>
          <w:sz w:val="17"/>
          <w:szCs w:val="17"/>
          <w:color w:val="auto"/>
        </w:rPr>
        <w:t>“Indebtedness” means, with respect to any Person, and without duplication, whether absolute or contingent, secured or unsecured, due or to become due, (a) all indebtedness, obligations and other liabilities (contingent or otherwise) of such Person evidenced by a credit or loan agreement, note, bond, debenture, or other written obligation (whether or not the recourse of the lender is to the whole of the assets of such person or to only a portion thereof) or for money borrowed (including obligations of such Person in respect of overdrafts, foreign exchange contracts, currency exchange agreements, interest rate protection agreements, and any loans or advances from banks, whether or not evidenced by notes or similar instruments); (b) all obligations and liabilities (contingent or otherwise) of such Person evidenced by a note or similar instrument given in connection with the acquisition of any businesses, properties or assets of any kind; (c) all obligations and liabilities (contingent or otherwise) in respect of leases of such Person required, in conformity with generally accepted accounting principles, to be accounted for as capitalized lease obligations on the balance sheet of such Person and all obligations and other liabilities (contingent or otherwise) or as lessee under any leases or related documents for facilities, capital equipment or related assets, whether or not capitalized, entered into or leased for financing purposes; (d) all obligations of such Person (contingent or otherwise) with respect to interest rate and currency swaps, caps, floors, collars, hedge agreements, forward contracts or similar agreements or arrangements; (e) all obligations and other liabilities (contingent or otherwise) of such Person with respect to letters of credit, bankers’ acceptances or similar facilities, including reimbursement obligations with respect to the foregoing; (f) all obligations and liabilities of such Person or assumed as the deferred purchase price of property or services, but excluding trade accounts payable and accrued liabilities arising in the ordinary course of business; (g) all obligations of the type referred to in (a) through (f) above of another Person the payment of which, in either case, such Person has assumed or guaranteed or for which such Person is responsible or liable directly or indirectly, jointly or severally, as obligor, guarantor or otherwise, or which are secured by a lien on such Person’s property; and (h) any and all renewals, extensions, modifications, replacements, restatements and refundings of, or, any indebtedness or obligation issued in exchange for, any such indebtedness or obligation of the kind described in clauses (a) through (g) above.</w:t>
      </w:r>
    </w:p>
    <w:p>
      <w:pPr>
        <w:spacing w:after="0" w:line="191" w:lineRule="exact"/>
        <w:rPr>
          <w:sz w:val="20"/>
          <w:szCs w:val="20"/>
          <w:color w:val="auto"/>
        </w:rPr>
      </w:pPr>
    </w:p>
    <w:p>
      <w:pPr>
        <w:ind w:right="420" w:firstLine="456"/>
        <w:spacing w:after="0" w:line="276" w:lineRule="auto"/>
        <w:rPr>
          <w:sz w:val="20"/>
          <w:szCs w:val="20"/>
          <w:color w:val="auto"/>
        </w:rPr>
      </w:pPr>
      <w:r>
        <w:rPr>
          <w:rFonts w:ascii="Arial" w:cs="Arial" w:eastAsia="Arial" w:hAnsi="Arial"/>
          <w:sz w:val="17"/>
          <w:szCs w:val="17"/>
          <w:color w:val="auto"/>
        </w:rPr>
        <w:t xml:space="preserve">“Indenture” means this instrument as originally executed and as it may from time to time be supplemented or amended by one or more indentures supplemental hereto entered into pursuant to the applicable provisions hereof, including, for all purposes of this instrument and any such supplemental indenture, the provisions of the Trust Indenture Act that are deemed to be a part of and govern this instrument and any such supplemental indenture, respectively. The term “Indenture” shall also include the terms of particular series of Securities established as contemplated by Section 3.1;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at any time more than one Person is acting as Trustee under</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74" w:right="279" w:bottom="1440" w:gutter="0" w:footer="0" w:header="0"/>
        </w:sectPr>
      </w:pPr>
    </w:p>
    <w:bookmarkStart w:id="113" w:name="page114"/>
    <w:bookmarkEnd w:id="113"/>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this Indenture due to the appointment of one or more separate Trustees for any one or more separate series of Securities, “Indenture” shall mean, with respect to such series of Securities for which any such Person is Trustee, this instrument as originally executed or as it may from time to time be supplemented or amended by one or more indentures supplemental hereto entered into pursuant to the applicable provisions hereof and shall include the terms of particular series of Securities for which such Person is Trustee established as contemplated by Section 3.1, exclusive, however, of any provisions or terms which relate solely to other series of Securities for which such Person is not Trustee, regardless of when such terms or provisions were adopted, and exclusive of any provisions or terms adopted by means of one or more indentures supplemental hereto executed and delivered after such Person had become such Trustee, but to which such person, as such Trustee, was not a party;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in the event that this Indenture is supplemented or amended by one or more indentures supplemental hereto which are only applicable to certain series of Securities, the term “Indenture” for a particular series of Securities shall only include the supplemental indentures applicable thereto.</w:t>
      </w:r>
    </w:p>
    <w:p>
      <w:pPr>
        <w:spacing w:after="0" w:line="182"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“interest,” when used with respect to an Original Issue Discount Security, which by its terms bears interest only at Maturity, means interest payable at Maturity.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“Interest Payment Date,” when used with respect to any Security, means the Stated Maturity of an installment of interest on such Security.</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“Investment Company Act” means the Investment Company Act of 1940 and any statute successor thereto, in each case as amended from time to time.</w:t>
      </w:r>
    </w:p>
    <w:p>
      <w:pPr>
        <w:spacing w:after="0" w:line="248"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“Maturity,” when used with respect to any Security, means the date on which the principal of such Security or an installment of principal becomes due and payable as therein or herein provided, whether at the Stated Maturity or by declaration of acceleration, repurchase at the option of the Holder, upon redemption or otherwise.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“Non-Payment Default” has the meaning specified in Section 15.2.</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“Notice of Default” means a written notice of the kind specified in Section 5.1(4).</w:t>
      </w:r>
    </w:p>
    <w:p>
      <w:pPr>
        <w:spacing w:after="0" w:line="225"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“Officers’ Certificate” means a certificate signed by any two of the following in the name of the Company: the Chairman of the Board, a Vice Chairman of the Board, the Chief Executive Officer, the President, any executive officer, the principal financial officer, the principal accounting officer, the Treasurer, an Assistant Treasurer, the Secretary or an Assistant Secretary, of the Company, and delivered to the Trustee. One of the officers signing an Officers’ Certificate given pursuant to Section 10.4 shall be the principal executive or principal financial officer of the Company.</w:t>
      </w:r>
    </w:p>
    <w:p>
      <w:pPr>
        <w:spacing w:after="0" w:line="171"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“Opinion of Counsel” means a written opinion of counsel, who may be counsel for, or an employee of, the Company, and who shall be reasonably acceptable to the Trustee.</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40" w:top="274" w:right="319" w:bottom="1440" w:gutter="0" w:footer="0" w:header="0"/>
        </w:sectPr>
      </w:pPr>
    </w:p>
    <w:bookmarkStart w:id="114" w:name="page115"/>
    <w:bookmarkEnd w:id="114"/>
    <w:p>
      <w:pPr>
        <w:ind w:right="2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“Original Issue Discount Security” means any Security that provides for an amount less than the principal amount thereof to be due and payable upon a declaration of acceleration of the Maturity thereof pursuant to Section 5.2.</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“Outstanding,” when used with respect to Securities, means, as of the date of determination, all Securities theretofore authenticated and delivered under this Indenture, except</w:t>
      </w:r>
    </w:p>
    <w:p>
      <w:pPr>
        <w:spacing w:after="0" w:line="62" w:lineRule="exact"/>
        <w:rPr>
          <w:sz w:val="20"/>
          <w:szCs w:val="20"/>
          <w:color w:val="auto"/>
        </w:rPr>
      </w:pPr>
    </w:p>
    <w:p>
      <w:pPr>
        <w:ind w:left="1300" w:hanging="397"/>
        <w:spacing w:after="0"/>
        <w:tabs>
          <w:tab w:leader="none" w:pos="13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Securities theretofore canceled by the Trustee or delivered to the Trustee for cancellation;</w:t>
      </w:r>
    </w:p>
    <w:p>
      <w:pPr>
        <w:spacing w:after="0" w:line="117" w:lineRule="exact"/>
        <w:rPr>
          <w:rFonts w:ascii="Arial" w:cs="Arial" w:eastAsia="Arial" w:hAnsi="Arial"/>
          <w:sz w:val="18"/>
          <w:szCs w:val="18"/>
          <w:color w:val="auto"/>
        </w:rPr>
      </w:pPr>
    </w:p>
    <w:p>
      <w:pPr>
        <w:jc w:val="both"/>
        <w:ind w:left="460" w:right="40" w:firstLine="443"/>
        <w:spacing w:after="0" w:line="259" w:lineRule="auto"/>
        <w:tabs>
          <w:tab w:leader="none" w:pos="1288" w:val="left"/>
        </w:tabs>
        <w:numPr>
          <w:ilvl w:val="0"/>
          <w:numId w:val="99"/>
        </w:numPr>
        <w:rPr>
          <w:rFonts w:ascii="Arial" w:cs="Arial" w:eastAsia="Arial" w:hAnsi="Arial"/>
          <w:sz w:val="18"/>
          <w:szCs w:val="18"/>
          <w:color w:val="auto"/>
        </w:rPr>
      </w:pPr>
      <w:r>
        <w:rPr>
          <w:rFonts w:ascii="Arial" w:cs="Arial" w:eastAsia="Arial" w:hAnsi="Arial"/>
          <w:sz w:val="18"/>
          <w:szCs w:val="18"/>
          <w:color w:val="auto"/>
        </w:rPr>
        <w:t xml:space="preserve">Securities for whose payment or redemption money in the necessary amount has been theretofore deposited with the Trustee or any Paying Agent (other than the Company) in trust or set aside and segregated in trust by the Company (if the Company shall act as its own Paying Agent) for the Holders of such Securities;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Securities are to be redeemed, notice of such redemption has been duly given pursuant to this Indenture or provision therefor satisfactory to the Trustee has been made;</w:t>
      </w:r>
    </w:p>
    <w:p>
      <w:pPr>
        <w:spacing w:after="0" w:line="78" w:lineRule="exact"/>
        <w:rPr>
          <w:rFonts w:ascii="Arial" w:cs="Arial" w:eastAsia="Arial" w:hAnsi="Arial"/>
          <w:sz w:val="18"/>
          <w:szCs w:val="18"/>
          <w:color w:val="auto"/>
        </w:rPr>
      </w:pPr>
    </w:p>
    <w:p>
      <w:pPr>
        <w:ind w:left="1300" w:hanging="397"/>
        <w:spacing w:after="0"/>
        <w:tabs>
          <w:tab w:leader="none" w:pos="13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Securities as to which Defeasance has been effected pursuant to Section 13.2; and</w:t>
      </w:r>
    </w:p>
    <w:p>
      <w:pPr>
        <w:spacing w:after="0" w:line="117" w:lineRule="exact"/>
        <w:rPr>
          <w:rFonts w:ascii="Arial" w:cs="Arial" w:eastAsia="Arial" w:hAnsi="Arial"/>
          <w:sz w:val="18"/>
          <w:szCs w:val="18"/>
          <w:color w:val="auto"/>
        </w:rPr>
      </w:pPr>
    </w:p>
    <w:p>
      <w:pPr>
        <w:jc w:val="both"/>
        <w:ind w:left="460" w:right="80" w:firstLine="443"/>
        <w:spacing w:after="0" w:line="312" w:lineRule="auto"/>
        <w:tabs>
          <w:tab w:leader="none" w:pos="1288" w:val="left"/>
        </w:tabs>
        <w:numPr>
          <w:ilvl w:val="0"/>
          <w:numId w:val="99"/>
        </w:numPr>
        <w:rPr>
          <w:rFonts w:ascii="Arial" w:cs="Arial" w:eastAsia="Arial" w:hAnsi="Arial"/>
          <w:sz w:val="16"/>
          <w:szCs w:val="16"/>
          <w:color w:val="auto"/>
        </w:rPr>
      </w:pPr>
      <w:r>
        <w:rPr>
          <w:rFonts w:ascii="Arial" w:cs="Arial" w:eastAsia="Arial" w:hAnsi="Arial"/>
          <w:sz w:val="16"/>
          <w:szCs w:val="16"/>
          <w:color w:val="auto"/>
        </w:rPr>
        <w:t>Securities which have been paid pursuant to Section 3.6 or in exchange for or in lieu of which other Securities have been authenticated and delivered pursuant to this Indenture, other than any such Securities in respect of which there shall have been presented to the Trustee proof satisfactory to it that such Securities are held by a bona fide purchaser in whose hands such Securities are valid obligations of the Company;</w:t>
      </w:r>
    </w:p>
    <w:p>
      <w:pPr>
        <w:spacing w:after="0" w:line="147" w:lineRule="exact"/>
        <w:rPr>
          <w:sz w:val="20"/>
          <w:szCs w:val="20"/>
          <w:color w:val="auto"/>
        </w:rPr>
      </w:pPr>
    </w:p>
    <w:p>
      <w:pPr>
        <w:spacing w:after="0" w:line="268"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determining whether the Holders of the requisite principal amount of the Outstanding Securities have given, made or taken any request, demand, authorization, direction, notice, consent, waiver or other action hereunder as of any date, (A) the principal amount of an Original Issue Discount Security which shall be deemed to be Outstanding shall be the amount of the principal thereof which would be due and payable as of such date upon acceleration of the Maturity thereof to such date pursuant to Section 5.2, (B) if, as of such date, the principal amount payable at the Stated Maturity of a Security is not determinable, the principal amount of such Security which shall be deemed to be Outstanding shall be the amount as specified or determined as contemplated by Section 3.1, (C) the principal amount of a Security denominated in one or more non-U.S. dollar currencies or currency units which shall be deemed to be Outstanding shall be the U.S. dollar equivalent, determined as of such date in the manner provided as contemplated by Section 3.1, of the principal amount of such Security (or, in the case of a Security described in clause (A) or (B) above, of the amount determined as provided in such clause), and (D) Securities owned by the Company or any other obligor upon the Securities or any Affiliate of the Company or of such other obligor shall be disregarded and deemed not to be Outstanding, except that, in determining whether the Trustee shall be protected in relying upon any such request, demand, authorization, direction, notice, consent, waiver or other action, only Securities which the Trustee knows to be so owned shall be so disregarded. Securities so owned which have been pledged in good faith may be regarded as Outstanding if the pledgee establishes to the satisfaction of the Trustee the pledgee’s right so to act with respect to such Securities and that the pledgee is not the Company or any other obligor upon the Securities or any Affiliate of the Company or of such other obligor.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115" w:name="page116"/>
    <w:bookmarkEnd w:id="115"/>
    <w:p>
      <w:pPr>
        <w:ind w:right="34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“Paying Agent” means any Person authorized by the Company to pay the principal of or any premium or interest on any Securities on behalf of the Company.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“Payment Blockage Notice” has the meaning specified in Section 15.2.</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“Payment Default” has the meaning specified in Section 15.2.</w:t>
      </w:r>
    </w:p>
    <w:p>
      <w:pPr>
        <w:spacing w:after="0" w:line="22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“Person” means any individual, corporation, limited liability company, partnership, joint venture, trust, unincorporated organization or government or any agency or political subdivision thereof.</w:t>
      </w:r>
    </w:p>
    <w:p>
      <w:pPr>
        <w:spacing w:after="0" w:line="170"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“Place of Payment,” when used with respect to the Securities of any series, means the place or places where the principal of and any premium and interest on the Securities of that series are payable as specified as contemplated by Section 3.1.</w:t>
      </w:r>
    </w:p>
    <w:p>
      <w:pPr>
        <w:spacing w:after="0" w:line="170"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“Predecessor Security” of any particular Security means every previous Security evidencing all or a portion of the same debt as that evidenced by such particular Security; and, for the purposes of this definition, any Security authenticated and delivered under Section 3.6 in exchange for or in lieu of a mutilated, destroyed, lost or stolen Security shall be deemed to evidence the same debt as the mutilated, destroyed, lost or stolen Security.</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“Prospectus” means the prospectus (including any prospectus supplement) used with respect to the offer and sale of the Securities of any series.</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“Record Date” means any Regular Record Date or Special Record Date.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“Redemption Date,” when used with respect to any Security to be redeemed, means the date fixed for such redemption by or pursuant to this Indenture.</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“Redemption Price,” when used with respect to any Security to be redeemed, means the price at which it is to be redeemed pursuant to this Indenture.</w:t>
      </w:r>
    </w:p>
    <w:p>
      <w:pPr>
        <w:spacing w:after="0" w:line="248"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“Regular Record Date” for the interest payable on any Interest Payment Date on the Securities of any series means the date specified for that purpose as contemplated by Section 3.1.</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“Reporting Default” has the meaning specified in Section 5.2(b).</w:t>
      </w:r>
    </w:p>
    <w:p>
      <w:pPr>
        <w:spacing w:after="0" w:line="225"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“Representative” means the (a) indenture trustee or other trustee, agent or representative for any Senior Debt or (b) with respect to any Senior Debt that does not have any such trustee, agent or other representative, (i) in the case of such Senior Debt issued pursuant to an agreement providing for voting arrangements as among the holders or owners of such Senior Debt, any holder or owner of such Senior Debt acting with the consent of the required persons necessary to bind such holders or owners of such Senior Debt and (ii) in the case of all other such Senior Debt, the holder or owner of such Senior Debt.</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116" w:name="page117"/>
    <w:bookmarkEnd w:id="116"/>
    <w:p>
      <w:pPr>
        <w:ind w:right="76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“Responsible Officer” means, when used with respect to the Trustee, an officer of the Trustee in the Corporate Trust Office assigned and duly authorized by the Trustee to administer its corporate trust matters.</w:t>
      </w:r>
    </w:p>
    <w:p>
      <w:pPr>
        <w:spacing w:after="0" w:line="170"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“Securities” has the meaning stated in the first recital of this Indenture and more particularly means any Securities authenticated and delivered under this Indenture.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“Securities Act” means the Securities Act of 1933 and any statute successor thereto, in each case as amended from time to time.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“Security Register” and “Security Registrar” have the respective meanings specified in Section 3.5.</w:t>
      </w:r>
    </w:p>
    <w:p>
      <w:pPr>
        <w:spacing w:after="0" w:line="225"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“Senior Debt” means the principal of, premium, if any, interest (including all interest accruing subsequent to the commencement of any bankruptcy or similar proceeding, whether or not a claim for post-petition interest is allowable as a claim in any such proceeding) and rent payable on or in connection with, and all fees, costs, expenses and other amounts accrued or due on or in connection with, Indebtedness of the Company, whether outstanding on the date of this Indenture or thereafter created, incurred, assumed, guaranteed or in effect guaranteed by the Company (including all deferrals, renewals, extensions or refundings of, or amendments, modifications or supplements to, the foregoing), unless in the case of any particular Indebtedness the instrument creating or evidencing the same or the assumption or guarantee thereof expressly provides that such Indebtedness shall not be senior in right of payment to the Securities or expressly provides that such Indebtedness is “</w:t>
      </w:r>
      <w:r>
        <w:rPr>
          <w:rFonts w:ascii="Arial" w:cs="Arial" w:eastAsia="Arial" w:hAnsi="Arial"/>
          <w:sz w:val="17"/>
          <w:szCs w:val="17"/>
          <w:i w:val="1"/>
          <w:iCs w:val="1"/>
          <w:color w:val="auto"/>
        </w:rPr>
        <w:t>pari passu</w:t>
      </w:r>
      <w:r>
        <w:rPr>
          <w:rFonts w:ascii="Arial" w:cs="Arial" w:eastAsia="Arial" w:hAnsi="Arial"/>
          <w:sz w:val="17"/>
          <w:szCs w:val="17"/>
          <w:color w:val="auto"/>
        </w:rPr>
        <w:t>” or “ junior” to the Securities. Notwithstanding the foregoing, the term Senior Debt shall not include any Indebtedness of the Company to any Subsidiary of the Company. If any payment made to any holder of any Senior Debt or its Representative with respect to such Senior Debt is rescinded or must otherwise be returned by such holder or Representative upon the insolvency, bankruptcy or reorganization of the Company or otherwise, the reinstated Indebtedness of the Company arising as a result of such rescission or return shall constitute Senior Debt effective as of the date of such rescission or return.</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“Special Record Date” for the payment of any Defaulted Interest means a date fixed by the Trustee pursuant to Section 3.7.</w:t>
      </w:r>
    </w:p>
    <w:p>
      <w:pPr>
        <w:spacing w:after="0" w:line="225" w:lineRule="exact"/>
        <w:rPr>
          <w:sz w:val="20"/>
          <w:szCs w:val="20"/>
          <w:color w:val="auto"/>
        </w:rPr>
      </w:pPr>
    </w:p>
    <w:p>
      <w:pPr>
        <w:ind w:right="220" w:firstLine="456"/>
        <w:spacing w:after="0" w:line="308" w:lineRule="auto"/>
        <w:rPr>
          <w:sz w:val="20"/>
          <w:szCs w:val="20"/>
          <w:color w:val="auto"/>
        </w:rPr>
      </w:pPr>
      <w:r>
        <w:rPr>
          <w:rFonts w:ascii="Arial" w:cs="Arial" w:eastAsia="Arial" w:hAnsi="Arial"/>
          <w:sz w:val="17"/>
          <w:szCs w:val="17"/>
          <w:color w:val="auto"/>
        </w:rPr>
        <w:t>“Stated Maturity,” when used with respect to any Security or any installment of principal thereof or interest thereon, means the date specified in such Security as the fixed date on which the principal of such Security or such installment of principal or interest is due and payable.</w:t>
      </w:r>
    </w:p>
    <w:p>
      <w:pPr>
        <w:spacing w:after="0" w:line="14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“Subsidiary” means a Person of which at least a majority of the outstanding voting stock having the power to elect a majority of the board of directors of such Person (in the case of a corporation) is, or of which at least a majority of the equity interests (in the case of a Person which is not a corporation) are, at the time owned, directly or indirectly, by the Company or by one or more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117" w:name="page118"/>
    <w:bookmarkEnd w:id="117"/>
    <w:p>
      <w:pPr>
        <w:jc w:val="both"/>
        <w:ind w:right="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 Subsidiaries, or by the Company and one or more other Subsidiaries. For the purposes of this definition, “voting stock” means stock or similar interests to the Company which ordinarily has or have voting power for the election of directors or persons performing similar functions, whether at all times or only so long as no senior class of stock or other interests has or have such voting power by reason of any contingency.</w:t>
      </w:r>
    </w:p>
    <w:p>
      <w:pPr>
        <w:spacing w:after="0" w:line="181"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 xml:space="preserve">“Trust Indenture Act” means the Trust Indenture Act of 1939 as in force at the date as of which this instrument was executed;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event the Trust Indenture Act of 1939 is amended after such date, “Trust Indenture Act” means, to the extent required by any such amendment, the Trust Indenture Act of 1939 as so amended.</w:t>
      </w:r>
    </w:p>
    <w:p>
      <w:pPr>
        <w:spacing w:after="0" w:line="18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“Trustee” means the Person named as the “Trustee” in the first paragraph of this instrument until a successor Trustee shall have become such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w:t>
      </w:r>
    </w:p>
    <w:p>
      <w:pPr>
        <w:spacing w:after="0" w:line="18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“U.S. Government Obligation” means (x) any security which is (i) a direct obligation of the United States of America for the payment of which the full faith and credit of the United States of America is pledged or (ii) an obligation of a Person controlled or supervised by and acting as an agency or instrumentality of the United States of America the payment of which is unconditionally guaranteed as a full faith and credit obligation by the United States of America, which, in either case (i) or (ii), is not callable or redeemable at the option of the issuer thereof, and (y) any depositary receipt issued by a bank (as defined in Section 3(a)(2) of the Securities Act) as custodian with respect to any U.S. Government Obligation which is specified in clause (x) above and held by such bank for the account of the holder of such depositary receipt, or with respect to any specific payment of principal of or interest on any U.S. Government Obligation which is so specified and held,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(except as required by law) such custodian is not authorized to make any deduction from the amount payable to the holder of such depositary receipt from any amount received by the custodian in respect of the U.S. Government Obligation or the specific payment of principal or interest evidenced by such depositary receipt.</w:t>
      </w:r>
    </w:p>
    <w:p>
      <w:pPr>
        <w:spacing w:after="0" w:line="28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Section 1.2</w:t>
      </w:r>
      <w:r>
        <w:rPr>
          <w:sz w:val="20"/>
          <w:szCs w:val="20"/>
          <w:color w:val="auto"/>
        </w:rPr>
        <w:tab/>
      </w:r>
      <w:r>
        <w:rPr>
          <w:rFonts w:ascii="Arial" w:cs="Arial" w:eastAsia="Arial" w:hAnsi="Arial"/>
          <w:sz w:val="16"/>
          <w:szCs w:val="16"/>
          <w:b w:val="1"/>
          <w:bCs w:val="1"/>
          <w:color w:val="auto"/>
        </w:rPr>
        <w:t>Compliance Certificates and Opinions.</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Upon any application or request by the Company to the Trustee to take any action under any provision of this Indenture, the Company shall furnish to the Trustee such certificates and opinions as may be required under the Trust Indenture Act. Each such certificate or opinion shall be given in the form of an Officers’ Certificate, if to be given by an officer of the Company, or an Opinion of Counsel, if to be given by counsel, and shall comply with the requirements of the Trust Indenture Act and any other requirements set forth in this Indenture.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Every certificate or opinion with respect to compliance with a condition or covenant provided for in this Indenture shall include,</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118" w:name="page119"/>
    <w:bookmarkEnd w:id="118"/>
    <w:p>
      <w:pPr>
        <w:ind w:left="1300" w:hanging="397"/>
        <w:spacing w:after="0"/>
        <w:tabs>
          <w:tab w:leader="none" w:pos="1300" w:val="left"/>
        </w:tabs>
        <w:numPr>
          <w:ilvl w:val="0"/>
          <w:numId w:val="10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statement that each individual signing such certificate or opinion has read such covenant or condition and the definitions herein relating</w:t>
      </w:r>
    </w:p>
    <w:p>
      <w:pPr>
        <w:spacing w:after="0" w:line="4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thereto;</w:t>
      </w:r>
    </w:p>
    <w:p>
      <w:pPr>
        <w:spacing w:after="0" w:line="102" w:lineRule="exact"/>
        <w:rPr>
          <w:rFonts w:ascii="Arial" w:cs="Arial" w:eastAsia="Arial" w:hAnsi="Arial"/>
          <w:sz w:val="16"/>
          <w:szCs w:val="16"/>
          <w:color w:val="auto"/>
        </w:rPr>
      </w:pPr>
    </w:p>
    <w:p>
      <w:pPr>
        <w:ind w:left="460" w:right="340" w:firstLine="443"/>
        <w:spacing w:after="0" w:line="277" w:lineRule="auto"/>
        <w:tabs>
          <w:tab w:leader="none" w:pos="1288"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62" w:lineRule="exact"/>
        <w:rPr>
          <w:rFonts w:ascii="Arial" w:cs="Arial" w:eastAsia="Arial" w:hAnsi="Arial"/>
          <w:sz w:val="18"/>
          <w:szCs w:val="18"/>
          <w:color w:val="auto"/>
        </w:rPr>
      </w:pPr>
    </w:p>
    <w:p>
      <w:pPr>
        <w:ind w:left="460" w:right="120" w:firstLine="443"/>
        <w:spacing w:after="0" w:line="308" w:lineRule="auto"/>
        <w:tabs>
          <w:tab w:leader="none" w:pos="1288" w:val="left"/>
        </w:tabs>
        <w:numPr>
          <w:ilvl w:val="0"/>
          <w:numId w:val="100"/>
        </w:numPr>
        <w:rPr>
          <w:rFonts w:ascii="Arial" w:cs="Arial" w:eastAsia="Arial" w:hAnsi="Arial"/>
          <w:sz w:val="17"/>
          <w:szCs w:val="17"/>
          <w:color w:val="auto"/>
        </w:rPr>
      </w:pPr>
      <w:r>
        <w:rPr>
          <w:rFonts w:ascii="Arial" w:cs="Arial" w:eastAsia="Arial" w:hAnsi="Arial"/>
          <w:sz w:val="17"/>
          <w:szCs w:val="17"/>
          <w:color w:val="auto"/>
        </w:rPr>
        <w:t>a statement that, in the opinion of each such individual, he or she has made such examination or investigation as is necessary to enable him or her to express an informed opinion as to whether or not such covenant or condition has been complied with; and</w:t>
      </w:r>
    </w:p>
    <w:p>
      <w:pPr>
        <w:spacing w:after="0" w:line="38" w:lineRule="exact"/>
        <w:rPr>
          <w:rFonts w:ascii="Arial" w:cs="Arial" w:eastAsia="Arial" w:hAnsi="Arial"/>
          <w:sz w:val="17"/>
          <w:szCs w:val="17"/>
          <w:color w:val="auto"/>
        </w:rPr>
      </w:pPr>
    </w:p>
    <w:p>
      <w:pPr>
        <w:ind w:left="1300" w:hanging="397"/>
        <w:spacing w:after="0"/>
        <w:tabs>
          <w:tab w:leader="none" w:pos="13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 statement as to whether, in the opinion of each such individual, such condition or covenant has been complied with.</w:t>
      </w:r>
    </w:p>
    <w:p>
      <w:pPr>
        <w:spacing w:after="0" w:line="32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Section 1.3</w:t>
      </w:r>
      <w:r>
        <w:rPr>
          <w:sz w:val="20"/>
          <w:szCs w:val="20"/>
          <w:color w:val="auto"/>
        </w:rPr>
        <w:tab/>
      </w:r>
      <w:r>
        <w:rPr>
          <w:rFonts w:ascii="Arial" w:cs="Arial" w:eastAsia="Arial" w:hAnsi="Arial"/>
          <w:sz w:val="16"/>
          <w:szCs w:val="16"/>
          <w:b w:val="1"/>
          <w:bCs w:val="1"/>
          <w:color w:val="auto"/>
        </w:rPr>
        <w:t>Form of Documents Delivered to Trustee.</w:t>
      </w:r>
    </w:p>
    <w:p>
      <w:pPr>
        <w:spacing w:after="0" w:line="12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Any certificate or opinion of an officer of the Company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his or her certificate or opinion is based are erroneous. Any such certificate or opinion of counsel may be based, insofar as it relates to factual matters, upon a certificate or opinion of, or representations by, an officer or officers of the Company stating that the information with respect to such factual matters is in the possession of the Company, unless such counsel knows, or in the exercise of reasonable care should know, that the certificate or opinion or representations with respect to such matters are erroneous.</w:t>
      </w:r>
    </w:p>
    <w:p>
      <w:pPr>
        <w:spacing w:after="0" w:line="193"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Any such certificate or opinion of an officer of the Company or of counsel may be based, insofar as it relates to accounting matters, upon a certificate or opinion of, or representations by, an accountant or firm of accountants in the employ of the Company, unless such officer or counsel, as the case may be, knows, that the certificate or opinion or representations with respect to the accounting matters upon which his or her certificate or opinion are based are erroneous.</w:t>
      </w:r>
    </w:p>
    <w:p>
      <w:pPr>
        <w:spacing w:after="0" w:line="187" w:lineRule="exact"/>
        <w:rPr>
          <w:sz w:val="20"/>
          <w:szCs w:val="20"/>
          <w:color w:val="auto"/>
        </w:rPr>
      </w:pPr>
    </w:p>
    <w:p>
      <w:pPr>
        <w:ind w:right="740" w:firstLine="456"/>
        <w:spacing w:after="0" w:line="277" w:lineRule="auto"/>
        <w:rPr>
          <w:sz w:val="20"/>
          <w:szCs w:val="20"/>
          <w:color w:val="auto"/>
        </w:rPr>
      </w:pPr>
      <w:r>
        <w:rPr>
          <w:rFonts w:ascii="Arial" w:cs="Arial" w:eastAsia="Arial" w:hAnsi="Arial"/>
          <w:sz w:val="18"/>
          <w:szCs w:val="18"/>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119" w:name="page120"/>
    <w:bookmarkEnd w:id="119"/>
    <w:p>
      <w:pPr>
        <w:spacing w:after="0"/>
        <w:tabs>
          <w:tab w:leader="none" w:pos="9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1.4</w:t>
      </w:r>
      <w:r>
        <w:rPr>
          <w:sz w:val="20"/>
          <w:szCs w:val="20"/>
          <w:color w:val="auto"/>
        </w:rPr>
        <w:tab/>
      </w:r>
      <w:r>
        <w:rPr>
          <w:rFonts w:ascii="Arial" w:cs="Arial" w:eastAsia="Arial" w:hAnsi="Arial"/>
          <w:sz w:val="16"/>
          <w:szCs w:val="16"/>
          <w:b w:val="1"/>
          <w:bCs w:val="1"/>
          <w:color w:val="auto"/>
        </w:rPr>
        <w:t>Acts of Holders; Record Dates.</w:t>
      </w:r>
    </w:p>
    <w:p>
      <w:pPr>
        <w:spacing w:after="0" w:line="121"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Any request, demand, authorization, direction, notice, consent, waiver or other action provided or permitted by this Indenture to be given, made or taken by Holders may be embodied in and evidenced by one or more instruments of substantially similar tenor signed by such Holders in person or by an agent duly appointed in writing; and, except as herein otherwise expressly provided, such action shall become effective when such instrument or instruments are delivered to the Trustee and, where it is hereby expressly required, to the Company. The Trustee shall promptly deliver to the Company copies of any such instrument or instruments delivered to the Trustee. Such instrument or instruments (and the action embodied therein and evidenced thereby) are herein sometimes referred to as the “Act” of the Holders signing such instrument or instruments. Proof of execution of any such instrument or of a writing appointing any such agent shall be sufficient for any purpose of this Indenture and (subject to Section 6.1) conclusive in favor of the Trustee and the Company, if made in the manner provided in this Section.</w:t>
      </w:r>
    </w:p>
    <w:p>
      <w:pPr>
        <w:spacing w:after="0" w:line="192"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him or her the execution thereof. Where such execution is by a signer acting in a capacity other than his or her individual capacity, such certificate or affidavit shall also constitute sufficient proof of his or her authority. The fact and date of the execution of any such instrument or writing, or the authority of the Person executing the same, may also be proved in any other manner that the Trustee deems sufficient.</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ownership of Securities shall be proved by the Security Register.</w:t>
      </w:r>
    </w:p>
    <w:p>
      <w:pPr>
        <w:spacing w:after="0" w:line="225"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Any request, demand, authorization, direction, notice, consent, waiver or other Act of the Holder of any Security shall bind every future Holder of the same Security and the Holder of every Security issued upon the registration of transfer thereof or in exchange therefor or in lieu thereof in respect of anything done, omitted or suffered to be done by the Trustee or the Company in reliance thereon, whether or not notation of such action is made upon such Security.</w:t>
      </w:r>
    </w:p>
    <w:p>
      <w:pPr>
        <w:spacing w:after="0" w:line="14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 xml:space="preserve">The Company may set any day as a record date for the purpose of determining the Holders of Outstanding Securities of any series entitled to give, make or take any request, demand, authorization, direction, vote, notice, consent, waiver or other action provided or permitted by this Indenture to be given, made or taken by Holders of Securities of such series. If any record date is set pursuant to this paragraph, the Holders of Outstanding Securities of the relevant series on such record date, and no other Holders, shall be entitled to take the relevant action, whether or not such Holders remain Holders after such record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action shall be effective hereunder unless taken on or prior to the applicable Expiration Date by Holders of the requisite principal amount of Outstanding Securities of such series on such record date. Nothing in this paragraph shall be construed to prevent the Company from setting a new record date for any action for which a record date has previously been set pursuant to this paragraph (whereupon the record date previously set shall automatically and with no action by any Person be canceled and of no</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0" w:right="239" w:bottom="1440" w:gutter="0" w:footer="0" w:header="0"/>
        </w:sectPr>
      </w:pPr>
    </w:p>
    <w:bookmarkStart w:id="120" w:name="page121"/>
    <w:bookmarkEnd w:id="120"/>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effect), and nothing in this paragraph shall be construed to render ineffective any action taken by Holders of the requisite principal amount of Outstanding Securities of the relevant series on the date such action is taken. Promptly after any record date is set pursuant to this paragraph, the Company, at its own expense, shall cause notice of such record date, the proposed action by Holders and the applicable Expiration Date to be given to the Trustee in writing and to each Holder of Securities of the relevant series in the manner set forth in Section 1.6.</w:t>
      </w:r>
    </w:p>
    <w:p>
      <w:pPr>
        <w:spacing w:after="0" w:line="187" w:lineRule="exact"/>
        <w:rPr>
          <w:sz w:val="20"/>
          <w:szCs w:val="20"/>
          <w:color w:val="auto"/>
        </w:rPr>
      </w:pPr>
    </w:p>
    <w:p>
      <w:pPr>
        <w:ind w:right="200" w:firstLine="456"/>
        <w:spacing w:after="0" w:line="293" w:lineRule="auto"/>
        <w:rPr>
          <w:sz w:val="20"/>
          <w:szCs w:val="20"/>
          <w:color w:val="auto"/>
        </w:rPr>
      </w:pPr>
      <w:r>
        <w:rPr>
          <w:rFonts w:ascii="Arial" w:cs="Arial" w:eastAsia="Arial" w:hAnsi="Arial"/>
          <w:sz w:val="16"/>
          <w:szCs w:val="16"/>
          <w:color w:val="auto"/>
        </w:rPr>
        <w:t>With respect to any record date set pursuant to this Section, the Company may designate any day as the “Expiration Date” and from time to time may change the Expiration Date to any earlier or later day; provided that no such change shall be effective unless notice of the proposed new Expiration Date is given to the Trustee in writing, and to each Holder of Securities of the relevant series in the manner set forth in Section 1.6, on or prior to the existing Expiration Date. If an Expiration Date is not designated with respect to any record date set pursuant to this Section, the Company shall be deemed to have initially designated the 180th day after such record date as the Expiration Date with respect thereto, subject to its right to change the Expiration Date as provided in this paragraph. Notwithstanding the foregoing, no Expiration Date shall be later than the 180th day after the applicable record date.</w:t>
      </w:r>
    </w:p>
    <w:p>
      <w:pPr>
        <w:spacing w:after="0" w:line="165"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Without limiting the foregoing, a Holder entitled hereunder to take any action hereunder with regard to any particular Security may do so with regard to all or any part of the principal amount of such Security or by one or more duly appointed agents each of which may do so pursuant to such appointment with regard to all or any part of such principal amount.</w:t>
      </w:r>
    </w:p>
    <w:p>
      <w:pPr>
        <w:spacing w:after="0" w:line="28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Section 1.5</w:t>
      </w:r>
      <w:r>
        <w:rPr>
          <w:sz w:val="20"/>
          <w:szCs w:val="20"/>
          <w:color w:val="auto"/>
        </w:rPr>
        <w:tab/>
      </w:r>
      <w:r>
        <w:rPr>
          <w:rFonts w:ascii="Arial" w:cs="Arial" w:eastAsia="Arial" w:hAnsi="Arial"/>
          <w:sz w:val="15"/>
          <w:szCs w:val="15"/>
          <w:b w:val="1"/>
          <w:bCs w:val="1"/>
          <w:color w:val="auto"/>
        </w:rPr>
        <w:t>Notices, etc., to Trustee and Company.</w:t>
      </w:r>
    </w:p>
    <w:p>
      <w:pPr>
        <w:spacing w:after="0" w:line="12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Any request, demand, authorization, direction, notice, consent, waiver or Act of Holders or other document provided or permitted by this Indenture to be made upon, given or furnished to, or filed with,</w:t>
      </w:r>
    </w:p>
    <w:p>
      <w:pPr>
        <w:spacing w:after="0" w:line="62" w:lineRule="exact"/>
        <w:rPr>
          <w:sz w:val="20"/>
          <w:szCs w:val="20"/>
          <w:color w:val="auto"/>
        </w:rPr>
      </w:pPr>
    </w:p>
    <w:p>
      <w:pPr>
        <w:ind w:left="460" w:firstLine="443"/>
        <w:spacing w:after="0" w:line="264" w:lineRule="auto"/>
        <w:tabs>
          <w:tab w:leader="none" w:pos="1288"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xml:space="preserve">the Trustee by any Holder or by the Company shall be sufficient for every purpose hereunder if made, given, furnished or filed in writing (or by facsimile transmissions,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oral confirmation of receipt shall have been received) to or with the Trustee at its Corporate Trust Office, Attention: Corporate Trust Department, or</w:t>
      </w:r>
    </w:p>
    <w:p>
      <w:pPr>
        <w:spacing w:after="0" w:line="73" w:lineRule="exact"/>
        <w:rPr>
          <w:rFonts w:ascii="Arial" w:cs="Arial" w:eastAsia="Arial" w:hAnsi="Arial"/>
          <w:sz w:val="18"/>
          <w:szCs w:val="18"/>
          <w:color w:val="auto"/>
        </w:rPr>
      </w:pPr>
    </w:p>
    <w:p>
      <w:pPr>
        <w:ind w:left="460" w:firstLine="443"/>
        <w:spacing w:after="0" w:line="259" w:lineRule="auto"/>
        <w:tabs>
          <w:tab w:leader="none" w:pos="1288"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Company by the Trustee or by any Holder shall be sufficient for every purpose hereunder (unless otherwise herein expressly provided) if in writing and mailed by first-class postage prepaid, personally delivered or sent via overnight courier to the Company addressed to it at the address of its principal office specified in the first paragraph of this instrument or at any other address previously furnished in writing to the Trustee by the Company, Attention: Chief Financial Officer.</w:t>
      </w:r>
    </w:p>
    <w:p>
      <w:pPr>
        <w:spacing w:after="0" w:line="29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Section 1.6</w:t>
      </w:r>
      <w:r>
        <w:rPr>
          <w:sz w:val="20"/>
          <w:szCs w:val="20"/>
          <w:color w:val="auto"/>
        </w:rPr>
        <w:tab/>
      </w:r>
      <w:r>
        <w:rPr>
          <w:rFonts w:ascii="Arial" w:cs="Arial" w:eastAsia="Arial" w:hAnsi="Arial"/>
          <w:sz w:val="16"/>
          <w:szCs w:val="16"/>
          <w:b w:val="1"/>
          <w:bCs w:val="1"/>
          <w:color w:val="auto"/>
        </w:rPr>
        <w:t>Notice to Holders; Waiver.</w:t>
      </w:r>
    </w:p>
    <w:p>
      <w:pPr>
        <w:spacing w:after="0" w:line="12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Where this Indenture provides for notice to Holders of any event, such notice shall be sufficiently given (unless otherwise herein expressly provided) if in writing and mailed by first-class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121" w:name="page122"/>
    <w:bookmarkEnd w:id="121"/>
    <w:p>
      <w:pPr>
        <w:ind w:right="2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postage prepaid, or delivered by hand or overnight courier, to each Holder affected by such event, at its address as it appears in the Security Register, not later than the latest date (if any), and not earlier than the earliest date (if any), prescribed for the giving of such notice. Neither the failure to mail or deliver by hand or overnight courier any notice, nor any defect in any notice so mailed or delivered by hand or overnight courier, to any particular Holder shall affect the sufficiency of such notice with respect to other Holders. 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165" w:lineRule="exact"/>
        <w:rPr>
          <w:sz w:val="20"/>
          <w:szCs w:val="20"/>
          <w:color w:val="auto"/>
        </w:rPr>
      </w:pPr>
    </w:p>
    <w:p>
      <w:pPr>
        <w:ind w:right="300" w:firstLine="456"/>
        <w:spacing w:after="0" w:line="308" w:lineRule="auto"/>
        <w:rPr>
          <w:sz w:val="20"/>
          <w:szCs w:val="20"/>
          <w:color w:val="auto"/>
        </w:rPr>
      </w:pPr>
      <w:r>
        <w:rPr>
          <w:rFonts w:ascii="Arial" w:cs="Arial" w:eastAsia="Arial" w:hAnsi="Arial"/>
          <w:sz w:val="17"/>
          <w:szCs w:val="17"/>
          <w:color w:val="auto"/>
        </w:rPr>
        <w:t>In case by reason of the suspension of regular mail service or by reason of any other cause it shall be impracticable to give such notice by mail, then such notification as shall be made with the approval of the Trustee shall constitute a sufficient notification for every purpose hereunder.</w:t>
      </w:r>
    </w:p>
    <w:p>
      <w:pPr>
        <w:spacing w:after="0" w:line="25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Section 1.7</w:t>
      </w:r>
      <w:r>
        <w:rPr>
          <w:sz w:val="20"/>
          <w:szCs w:val="20"/>
          <w:color w:val="auto"/>
        </w:rPr>
        <w:tab/>
      </w:r>
      <w:r>
        <w:rPr>
          <w:rFonts w:ascii="Arial" w:cs="Arial" w:eastAsia="Arial" w:hAnsi="Arial"/>
          <w:sz w:val="16"/>
          <w:szCs w:val="16"/>
          <w:b w:val="1"/>
          <w:bCs w:val="1"/>
          <w:color w:val="auto"/>
        </w:rPr>
        <w:t>Conflict with Trust Indenture Act.</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any provision hereof limits, qualifies or conflicts with a provision of the Trust Indenture Act that is required under the Trust Indenture Act to be a part of and govern this Indenture, the latter provision shall control. If any provision of this Indenture modifies or excludes any provision of the Trust Indenture Act, which may be so modified or excluded, the latter provision shall be deemed to apply to this Indenture as so modified or to be excluded, as the case may be.</w:t>
      </w:r>
    </w:p>
    <w:p>
      <w:pPr>
        <w:spacing w:after="0" w:line="29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Section 1.8</w:t>
      </w:r>
      <w:r>
        <w:rPr>
          <w:sz w:val="20"/>
          <w:szCs w:val="20"/>
          <w:color w:val="auto"/>
        </w:rPr>
        <w:tab/>
      </w:r>
      <w:r>
        <w:rPr>
          <w:rFonts w:ascii="Arial" w:cs="Arial" w:eastAsia="Arial" w:hAnsi="Arial"/>
          <w:sz w:val="16"/>
          <w:szCs w:val="16"/>
          <w:b w:val="1"/>
          <w:bCs w:val="1"/>
          <w:color w:val="auto"/>
        </w:rPr>
        <w:t>Effect of Headings and Table of Contents.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Article and Section headings herein and the Table of Contents are for convenience only and shall not affect the construction hereof.</w:t>
      </w:r>
    </w:p>
    <w:p>
      <w:pPr>
        <w:spacing w:after="0" w:line="32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Section 1.9</w:t>
      </w:r>
      <w:r>
        <w:rPr>
          <w:sz w:val="20"/>
          <w:szCs w:val="20"/>
          <w:color w:val="auto"/>
        </w:rPr>
        <w:tab/>
      </w:r>
      <w:r>
        <w:rPr>
          <w:rFonts w:ascii="Arial" w:cs="Arial" w:eastAsia="Arial" w:hAnsi="Arial"/>
          <w:sz w:val="15"/>
          <w:szCs w:val="15"/>
          <w:b w:val="1"/>
          <w:bCs w:val="1"/>
          <w:color w:val="auto"/>
        </w:rPr>
        <w:t>Successors and Assigns.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covenants and agreements in this Indenture by the Company shall bind its successors and assigns, whether so expressed or not.</w:t>
      </w:r>
    </w:p>
    <w:p>
      <w:pPr>
        <w:spacing w:after="0" w:line="329"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Section 1.10</w:t>
      </w:r>
      <w:r>
        <w:rPr>
          <w:sz w:val="20"/>
          <w:szCs w:val="20"/>
          <w:color w:val="auto"/>
        </w:rPr>
        <w:tab/>
      </w:r>
      <w:r>
        <w:rPr>
          <w:rFonts w:ascii="Arial" w:cs="Arial" w:eastAsia="Arial" w:hAnsi="Arial"/>
          <w:sz w:val="16"/>
          <w:szCs w:val="16"/>
          <w:b w:val="1"/>
          <w:bCs w:val="1"/>
          <w:color w:val="auto"/>
        </w:rPr>
        <w:t>Separability Clause.</w:t>
      </w:r>
    </w:p>
    <w:p>
      <w:pPr>
        <w:spacing w:after="0" w:line="121"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In case any provision in this Indenture or in the Securities shall be invalid, illegal or unenforceable, the validity, legality and enforceability of the remaining provisions shall not in any way be affected or impaired thereby.</w:t>
      </w:r>
    </w:p>
    <w:p>
      <w:pPr>
        <w:spacing w:after="0" w:line="27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Section 1.11</w:t>
      </w:r>
      <w:r>
        <w:rPr>
          <w:sz w:val="20"/>
          <w:szCs w:val="20"/>
          <w:color w:val="auto"/>
        </w:rPr>
        <w:tab/>
      </w:r>
      <w:r>
        <w:rPr>
          <w:rFonts w:ascii="Arial" w:cs="Arial" w:eastAsia="Arial" w:hAnsi="Arial"/>
          <w:sz w:val="16"/>
          <w:szCs w:val="16"/>
          <w:b w:val="1"/>
          <w:bCs w:val="1"/>
          <w:color w:val="auto"/>
        </w:rPr>
        <w:t>Benefits of Indenture.</w:t>
      </w:r>
    </w:p>
    <w:p>
      <w:pPr>
        <w:spacing w:after="0" w:line="121" w:lineRule="exact"/>
        <w:rPr>
          <w:sz w:val="20"/>
          <w:szCs w:val="20"/>
          <w:color w:val="auto"/>
        </w:rPr>
      </w:pPr>
    </w:p>
    <w:p>
      <w:pPr>
        <w:ind w:right="120" w:firstLine="456"/>
        <w:spacing w:after="0" w:line="308" w:lineRule="auto"/>
        <w:rPr>
          <w:sz w:val="20"/>
          <w:szCs w:val="20"/>
          <w:color w:val="auto"/>
        </w:rPr>
      </w:pPr>
      <w:r>
        <w:rPr>
          <w:rFonts w:ascii="Arial" w:cs="Arial" w:eastAsia="Arial" w:hAnsi="Arial"/>
          <w:sz w:val="17"/>
          <w:szCs w:val="17"/>
          <w:color w:val="auto"/>
        </w:rPr>
        <w:t>Nothing in this Indenture or in the Securities, express or implied, shall give to any Person, other than the parties hereto and their successors hereunder, the holders of Senior Debt and the Holders, any benefit or any legal or equitable right, remedy or claim under this Indenture.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122" w:name="page123"/>
    <w:bookmarkEnd w:id="122"/>
    <w:p>
      <w:pPr>
        <w:spacing w:after="0"/>
        <w:tabs>
          <w:tab w:leader="none" w:pos="10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1.12</w:t>
      </w:r>
      <w:r>
        <w:rPr>
          <w:sz w:val="20"/>
          <w:szCs w:val="20"/>
          <w:color w:val="auto"/>
        </w:rPr>
        <w:tab/>
      </w:r>
      <w:r>
        <w:rPr>
          <w:rFonts w:ascii="Arial" w:cs="Arial" w:eastAsia="Arial" w:hAnsi="Arial"/>
          <w:sz w:val="16"/>
          <w:szCs w:val="16"/>
          <w:b w:val="1"/>
          <w:bCs w:val="1"/>
          <w:color w:val="auto"/>
        </w:rPr>
        <w:t>Governing Law.</w:t>
      </w:r>
    </w:p>
    <w:p>
      <w:pPr>
        <w:spacing w:after="0" w:line="117"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b w:val="1"/>
          <w:bCs w:val="1"/>
          <w:color w:val="auto"/>
        </w:rPr>
        <w:t>THIS INDENTURE AND THE SECURITIES SHALL BE GOVERNED BY AND CONSTRUED IN ACCORDANCE WITH THE LAWS OF THE STATE OF NEW YORK.</w:t>
      </w:r>
    </w:p>
    <w:p>
      <w:pPr>
        <w:spacing w:after="0" w:line="270"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Section 1.13</w:t>
      </w:r>
      <w:r>
        <w:rPr>
          <w:sz w:val="20"/>
          <w:szCs w:val="20"/>
          <w:color w:val="auto"/>
        </w:rPr>
        <w:tab/>
      </w:r>
      <w:r>
        <w:rPr>
          <w:rFonts w:ascii="Arial" w:cs="Arial" w:eastAsia="Arial" w:hAnsi="Arial"/>
          <w:sz w:val="16"/>
          <w:szCs w:val="16"/>
          <w:b w:val="1"/>
          <w:bCs w:val="1"/>
          <w:color w:val="auto"/>
        </w:rPr>
        <w:t>Legal Holidays.</w:t>
      </w:r>
    </w:p>
    <w:p>
      <w:pPr>
        <w:spacing w:after="0" w:line="12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In any case where any Interest Payment Date, Redemption Date or Stated Maturity of any Security or the last date on which a Holder has the right to convert a Security at a particular conversion price or conversion rate, as the case may be, shall not be a Business Day at any Place of Payment, then (notwithstanding any other provision of this Indenture or of the Securities (other than a provision of any Security which specifically states that such provision shall apply in lieu of this Section)) payment of interest or principal (and premium, if any) or, if applicable to a particular series of Securities, conversion need not be made at such Place of Payment on such date, but may be made on the next succeeding Business Day at such Place of Payment with the same force and effect as if made on the Interest Payment Date or Redemption Date, at the Stated Maturity or on such last day for conversion, as the case may be.</w:t>
      </w:r>
    </w:p>
    <w:p>
      <w:pPr>
        <w:spacing w:after="0" w:line="269"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Section 1.14</w:t>
      </w:r>
      <w:r>
        <w:rPr>
          <w:sz w:val="20"/>
          <w:szCs w:val="20"/>
          <w:color w:val="auto"/>
        </w:rPr>
        <w:tab/>
      </w:r>
      <w:r>
        <w:rPr>
          <w:rFonts w:ascii="Arial" w:cs="Arial" w:eastAsia="Arial" w:hAnsi="Arial"/>
          <w:sz w:val="16"/>
          <w:szCs w:val="16"/>
          <w:b w:val="1"/>
          <w:bCs w:val="1"/>
          <w:color w:val="auto"/>
        </w:rPr>
        <w:t>Indenture and Securities Solely Corporate Obligations.</w:t>
      </w:r>
    </w:p>
    <w:p>
      <w:pPr>
        <w:spacing w:after="0" w:line="121"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No recourse for the payment of the principal of or premium, if any, or interest on any Security, or for any claim based thereon or otherwise in respect thereof, and no recourse under or upon any obligation, covenant or agreement of the Company in this Indenture or in any supplemental indenture or in any Security, or because of the creation of any indebtedness represented thereby, shall be had against any incorporator, stockholder, employee, agent, officer, or director or subsidiary, as such, past, present or future, of the Company or of any successor corporation, either directly or through the Company or any successor corporation, whether by virtue of any constitution, statute or rule of law, or by the enforcement of any assessment or penalty or otherwise; it being expressly understood that all such liability is hereby expressly waived and released as a condition of, and as a consideration for, the execution of this Indenture and the issue of the Securities.</w:t>
      </w:r>
    </w:p>
    <w:p>
      <w:pPr>
        <w:spacing w:after="0" w:line="293"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Section 1.15</w:t>
      </w:r>
      <w:r>
        <w:rPr>
          <w:sz w:val="20"/>
          <w:szCs w:val="20"/>
          <w:color w:val="auto"/>
        </w:rPr>
        <w:tab/>
      </w:r>
      <w:r>
        <w:rPr>
          <w:rFonts w:ascii="Arial" w:cs="Arial" w:eastAsia="Arial" w:hAnsi="Arial"/>
          <w:sz w:val="16"/>
          <w:szCs w:val="16"/>
          <w:b w:val="1"/>
          <w:bCs w:val="1"/>
          <w:color w:val="auto"/>
        </w:rPr>
        <w:t>Indenture May be Executed in Counterparts.</w:t>
      </w:r>
    </w:p>
    <w:p>
      <w:pPr>
        <w:spacing w:after="0" w:line="12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This instrument may be executed in any number of counterparts, each of which shall be an original, but such counterparts shall together constitute but one and the same instrument.</w:t>
      </w: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SECURITY FORMS</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Section 2.1</w:t>
      </w:r>
      <w:r>
        <w:rPr>
          <w:sz w:val="20"/>
          <w:szCs w:val="20"/>
          <w:color w:val="auto"/>
        </w:rPr>
        <w:tab/>
      </w:r>
      <w:r>
        <w:rPr>
          <w:rFonts w:ascii="Arial" w:cs="Arial" w:eastAsia="Arial" w:hAnsi="Arial"/>
          <w:sz w:val="16"/>
          <w:szCs w:val="16"/>
          <w:b w:val="1"/>
          <w:bCs w:val="1"/>
          <w:color w:val="auto"/>
        </w:rPr>
        <w:t>Forms Generally.</w:t>
      </w:r>
    </w:p>
    <w:p>
      <w:pPr>
        <w:spacing w:after="0" w:line="121" w:lineRule="exact"/>
        <w:rPr>
          <w:sz w:val="20"/>
          <w:szCs w:val="20"/>
          <w:color w:val="auto"/>
        </w:rPr>
      </w:pPr>
    </w:p>
    <w:p>
      <w:pPr>
        <w:ind w:right="280" w:firstLine="456"/>
        <w:spacing w:after="0" w:line="308" w:lineRule="auto"/>
        <w:rPr>
          <w:sz w:val="20"/>
          <w:szCs w:val="20"/>
          <w:color w:val="auto"/>
        </w:rPr>
      </w:pPr>
      <w:r>
        <w:rPr>
          <w:rFonts w:ascii="Arial" w:cs="Arial" w:eastAsia="Arial" w:hAnsi="Arial"/>
          <w:sz w:val="17"/>
          <w:szCs w:val="17"/>
          <w:color w:val="auto"/>
        </w:rPr>
        <w:t>The Securities of each series shall be in substantially such form as shall be established by or pursuant to a Board Resolution and as set forth in such Board Resolution (including such terms as set forth in any form of Securities for each series approved by such Board Resolution) or, to the</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270" w:right="299" w:bottom="1440" w:gutter="0" w:footer="0" w:header="0"/>
        </w:sectPr>
      </w:pPr>
    </w:p>
    <w:bookmarkStart w:id="123" w:name="page124"/>
    <w:bookmarkEnd w:id="123"/>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extent established pursuant to rather than set forth in a Board Resolution, in an Officers’ Certificate detailing such establishment (including any exhibit attached thereto), or in one or more indentures supplemental hereto, in each case with such appropriate insertions, omissions, substitutions and other variations as are required or permitted by this Indenture, and may have such letters, numbers or other marks of identification and such legends or endorsements placed thereon as may be required to comply with the rules of any securities exchange or Depositary therefor or as may, consistently herewith, be determined by the officers executing such Securities, as evidenced by their execution thereof. If the form of Securities of any series is established by action taken pursuant to a Board Resolution, a copy of an appropriate record of such action shall be certified by the Secretary or an Assistant Secretary of the Company and delivered to the Trustee at or prior to the delivery of the Company Order contemplated by Section 3.3 for the authentication and delivery of such Securities. Any such Board Resolution or record of such action shall have attached thereto a true and correct copy of the form of Security referred to therein approved by or pursuant to such Board Resolution.</w:t>
      </w:r>
    </w:p>
    <w:p>
      <w:pPr>
        <w:spacing w:after="0" w:line="182" w:lineRule="exact"/>
        <w:rPr>
          <w:sz w:val="20"/>
          <w:szCs w:val="20"/>
          <w:color w:val="auto"/>
        </w:rPr>
      </w:pPr>
    </w:p>
    <w:p>
      <w:pPr>
        <w:ind w:right="800" w:firstLine="456"/>
        <w:spacing w:after="0" w:line="277" w:lineRule="auto"/>
        <w:rPr>
          <w:sz w:val="20"/>
          <w:szCs w:val="20"/>
          <w:color w:val="auto"/>
        </w:rPr>
      </w:pPr>
      <w:r>
        <w:rPr>
          <w:rFonts w:ascii="Arial" w:cs="Arial" w:eastAsia="Arial" w:hAnsi="Arial"/>
          <w:sz w:val="18"/>
          <w:szCs w:val="18"/>
          <w:color w:val="auto"/>
        </w:rPr>
        <w:t>The definitive Securities shall be printed, lithographed or engraved on steel engraved borders or may be produced in any other manner, all as determined by the officers executing such Securities, as evidenced by their execution of such Securities.</w:t>
      </w:r>
    </w:p>
    <w:p>
      <w:pPr>
        <w:spacing w:after="0" w:line="27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Section 2.2</w:t>
      </w:r>
      <w:r>
        <w:rPr>
          <w:sz w:val="20"/>
          <w:szCs w:val="20"/>
          <w:color w:val="auto"/>
        </w:rPr>
        <w:tab/>
      </w:r>
      <w:r>
        <w:rPr>
          <w:rFonts w:ascii="Arial" w:cs="Arial" w:eastAsia="Arial" w:hAnsi="Arial"/>
          <w:sz w:val="16"/>
          <w:szCs w:val="16"/>
          <w:b w:val="1"/>
          <w:bCs w:val="1"/>
          <w:color w:val="auto"/>
        </w:rPr>
        <w:t>Form of Legend for Global Securities.</w:t>
      </w:r>
    </w:p>
    <w:p>
      <w:pPr>
        <w:spacing w:after="0" w:line="121"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Unless otherwise specified as contemplated by Section 3.1 for the Securities evidenced thereby, every Global Security authenticated and delivered hereunder shall bear a legend in substantially the following form:</w:t>
      </w:r>
    </w:p>
    <w:p>
      <w:pPr>
        <w:spacing w:after="0" w:line="166" w:lineRule="exact"/>
        <w:rPr>
          <w:sz w:val="20"/>
          <w:szCs w:val="20"/>
          <w:color w:val="auto"/>
        </w:rPr>
      </w:pPr>
    </w:p>
    <w:p>
      <w:pPr>
        <w:ind w:right="40" w:firstLine="456"/>
        <w:spacing w:after="0" w:line="258" w:lineRule="auto"/>
        <w:rPr>
          <w:sz w:val="20"/>
          <w:szCs w:val="20"/>
          <w:color w:val="auto"/>
        </w:rPr>
      </w:pPr>
      <w:r>
        <w:rPr>
          <w:rFonts w:ascii="Arial" w:cs="Arial" w:eastAsia="Arial" w:hAnsi="Arial"/>
          <w:sz w:val="18"/>
          <w:szCs w:val="18"/>
          <w:b w:val="1"/>
          <w:bCs w:val="1"/>
          <w:color w:val="auto"/>
        </w:rPr>
        <w:t>THIS SECURITY IS A GLOBAL SECURITY WITHIN THE MEANING OF THE INDENTURE HEREINAFTER REFERRED TO AND IS REGISTERED IN THE NAME OF A DEPOSITARY OR A NOMINEE THEREOF. THIS SECURITY MAY NOT BE EXCHANGED IN WHOLE OR IN PART FOR A SECURITY REGISTERED, AND NO TRANSFER OF THIS SECURITY IN WHOLE OR IN PART MAY BE REGISTERED, IN THE NAME OF ANY PERSON OTHER THAN SUCH DEPOSITARY OR A NOMINEE THEREOF, EXCEPT IN THE LIMITED CIRCUMSTANCES DESCRIBED IN THE INDENTURE.</w:t>
      </w:r>
    </w:p>
    <w:p>
      <w:pPr>
        <w:spacing w:after="0" w:line="292"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Section 2.3</w:t>
      </w:r>
      <w:r>
        <w:rPr>
          <w:sz w:val="20"/>
          <w:szCs w:val="20"/>
          <w:color w:val="auto"/>
        </w:rPr>
        <w:tab/>
      </w:r>
      <w:r>
        <w:rPr>
          <w:rFonts w:ascii="Arial" w:cs="Arial" w:eastAsia="Arial" w:hAnsi="Arial"/>
          <w:sz w:val="16"/>
          <w:szCs w:val="16"/>
          <w:b w:val="1"/>
          <w:bCs w:val="1"/>
          <w:color w:val="auto"/>
        </w:rPr>
        <w:t>Form of Trustee’s Certificate of Authentication.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Trustee’s certificates of authentication shall be in substantially the following form:</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is one of the Securities of the series designated herein referred to in the within-mentioned Indenture.</w:t>
      </w:r>
    </w:p>
    <w:p>
      <w:pPr>
        <w:spacing w:after="0" w:line="252" w:lineRule="exact"/>
        <w:rPr>
          <w:sz w:val="20"/>
          <w:szCs w:val="20"/>
          <w:color w:val="auto"/>
        </w:rPr>
      </w:pPr>
    </w:p>
    <w:p>
      <w:pPr>
        <w:ind w:left="108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-10160</wp:posOffset>
            </wp:positionV>
            <wp:extent cx="25146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514600"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Authorized Officer</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74" w:right="259" w:bottom="1440" w:gutter="0" w:footer="0" w:header="0"/>
        </w:sectPr>
      </w:pPr>
    </w:p>
    <w:bookmarkStart w:id="124" w:name="page125"/>
    <w:bookmarkEnd w:id="12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SECURITIES</w:t>
      </w:r>
    </w:p>
    <w:p>
      <w:pPr>
        <w:spacing w:after="0" w:line="22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Section 3.1</w:t>
      </w:r>
      <w:r>
        <w:rPr>
          <w:sz w:val="20"/>
          <w:szCs w:val="20"/>
          <w:color w:val="auto"/>
        </w:rPr>
        <w:tab/>
      </w:r>
      <w:r>
        <w:rPr>
          <w:rFonts w:ascii="Arial" w:cs="Arial" w:eastAsia="Arial" w:hAnsi="Arial"/>
          <w:sz w:val="16"/>
          <w:szCs w:val="16"/>
          <w:b w:val="1"/>
          <w:bCs w:val="1"/>
          <w:color w:val="auto"/>
        </w:rPr>
        <w:t>Amount Unlimited; Issuable in Series.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aggregate principal amount of Securities that may be authenticated and delivered under this Indenture is unlimited.</w:t>
      </w:r>
    </w:p>
    <w:p>
      <w:pPr>
        <w:spacing w:after="0" w:line="225" w:lineRule="exact"/>
        <w:rPr>
          <w:sz w:val="20"/>
          <w:szCs w:val="20"/>
          <w:color w:val="auto"/>
        </w:rPr>
      </w:pPr>
    </w:p>
    <w:p>
      <w:pPr>
        <w:ind w:right="160" w:firstLine="456"/>
        <w:spacing w:after="0" w:line="297" w:lineRule="auto"/>
        <w:rPr>
          <w:sz w:val="20"/>
          <w:szCs w:val="20"/>
          <w:color w:val="auto"/>
        </w:rPr>
      </w:pPr>
      <w:r>
        <w:rPr>
          <w:rFonts w:ascii="Arial" w:cs="Arial" w:eastAsia="Arial" w:hAnsi="Arial"/>
          <w:sz w:val="16"/>
          <w:szCs w:val="16"/>
          <w:color w:val="auto"/>
        </w:rPr>
        <w:t>The Securities may be issued in one or more series up to the aggregate principal amount of Securities of that series from time to time authorized by or pursuant to a Board Resolution of the Company, pursuant to one or more indentures supplemental hereto or pursuant to an Officers’ Certificate pursuant to authority granted under a Board Resolution. Prior to the initial issuance of Securities of any series, there shall be established in or pursuant to a Board Resolution of the Company, and set forth in an Officers’ Certificate of the Company, established in one or more indentures supplemental hereto, or established in an Officers’ Certificate pursuant to authority granted under a Board Resolution with respect to the Securities of the series:</w:t>
      </w:r>
    </w:p>
    <w:p>
      <w:pPr>
        <w:spacing w:after="0" w:line="50" w:lineRule="exact"/>
        <w:rPr>
          <w:sz w:val="20"/>
          <w:szCs w:val="20"/>
          <w:color w:val="auto"/>
        </w:rPr>
      </w:pPr>
    </w:p>
    <w:p>
      <w:pPr>
        <w:ind w:left="1300" w:hanging="397"/>
        <w:spacing w:after="0"/>
        <w:tabs>
          <w:tab w:leader="none" w:pos="13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title of the Securities of the series (which shall distinguish the Securities of the series from Securities of any other series);</w:t>
      </w:r>
    </w:p>
    <w:p>
      <w:pPr>
        <w:spacing w:after="0" w:line="117" w:lineRule="exact"/>
        <w:rPr>
          <w:rFonts w:ascii="Arial" w:cs="Arial" w:eastAsia="Arial" w:hAnsi="Arial"/>
          <w:sz w:val="18"/>
          <w:szCs w:val="18"/>
          <w:color w:val="auto"/>
        </w:rPr>
      </w:pPr>
    </w:p>
    <w:p>
      <w:pPr>
        <w:ind w:left="460" w:right="20" w:firstLine="443"/>
        <w:spacing w:after="0" w:line="259" w:lineRule="auto"/>
        <w:tabs>
          <w:tab w:leader="none" w:pos="1288"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 3.4, 3.5, 3.6, 9.6 or 11.7 and except for any Securities which, pursuant to Section 3.3, are deemed never to have been authenticated and delivered hereunder);</w:t>
      </w:r>
    </w:p>
    <w:p>
      <w:pPr>
        <w:spacing w:after="0" w:line="78" w:lineRule="exact"/>
        <w:rPr>
          <w:rFonts w:ascii="Arial" w:cs="Arial" w:eastAsia="Arial" w:hAnsi="Arial"/>
          <w:sz w:val="18"/>
          <w:szCs w:val="18"/>
          <w:color w:val="auto"/>
        </w:rPr>
      </w:pPr>
    </w:p>
    <w:p>
      <w:pPr>
        <w:ind w:left="460" w:right="100" w:firstLine="443"/>
        <w:spacing w:after="0" w:line="277" w:lineRule="auto"/>
        <w:tabs>
          <w:tab w:leader="none" w:pos="1288"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Person to whom any interest on a Security of the series shall be payable, if other than the Person in whose name that Security (or one or more Predecessor Securities) is registered at the close of business on the Regular Record Date for such interest;</w:t>
      </w:r>
    </w:p>
    <w:p>
      <w:pPr>
        <w:spacing w:after="0" w:line="62" w:lineRule="exact"/>
        <w:rPr>
          <w:rFonts w:ascii="Arial" w:cs="Arial" w:eastAsia="Arial" w:hAnsi="Arial"/>
          <w:sz w:val="18"/>
          <w:szCs w:val="18"/>
          <w:color w:val="auto"/>
        </w:rPr>
      </w:pPr>
    </w:p>
    <w:p>
      <w:pPr>
        <w:ind w:left="1300" w:hanging="397"/>
        <w:spacing w:after="0"/>
        <w:tabs>
          <w:tab w:leader="none" w:pos="13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date or dates on which the principal of any Securities of the series is payable;</w:t>
      </w:r>
    </w:p>
    <w:p>
      <w:pPr>
        <w:spacing w:after="0" w:line="117" w:lineRule="exact"/>
        <w:rPr>
          <w:rFonts w:ascii="Arial" w:cs="Arial" w:eastAsia="Arial" w:hAnsi="Arial"/>
          <w:sz w:val="18"/>
          <w:szCs w:val="18"/>
          <w:color w:val="auto"/>
        </w:rPr>
      </w:pPr>
    </w:p>
    <w:p>
      <w:pPr>
        <w:jc w:val="both"/>
        <w:ind w:left="460" w:firstLine="443"/>
        <w:spacing w:after="0" w:line="264" w:lineRule="auto"/>
        <w:tabs>
          <w:tab w:leader="none" w:pos="1288"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rate or rates (which may be fixed or variable) at which any Securities of the series shall bear interest, if any, the date or dates from which any such interest shall accrue, the Interest Payment Dates on which any such interest shall be payable and the Regular Record Date for any such interest payable on any Interest Payment Date (or the method for determining the dates and rates);</w:t>
      </w:r>
    </w:p>
    <w:p>
      <w:pPr>
        <w:spacing w:after="0" w:line="73" w:lineRule="exact"/>
        <w:rPr>
          <w:rFonts w:ascii="Arial" w:cs="Arial" w:eastAsia="Arial" w:hAnsi="Arial"/>
          <w:sz w:val="18"/>
          <w:szCs w:val="18"/>
          <w:color w:val="auto"/>
        </w:rPr>
      </w:pPr>
    </w:p>
    <w:p>
      <w:pPr>
        <w:ind w:left="1300" w:hanging="397"/>
        <w:spacing w:after="0"/>
        <w:tabs>
          <w:tab w:leader="none" w:pos="13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place or places where the principal of and any premium and interest on any Securities of the series shall be payable;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0" w:right="239" w:bottom="1440" w:gutter="0" w:footer="0" w:header="0"/>
        </w:sectPr>
      </w:pPr>
    </w:p>
    <w:bookmarkStart w:id="125" w:name="page126"/>
    <w:bookmarkEnd w:id="125"/>
    <w:p>
      <w:pPr>
        <w:ind w:right="60" w:firstLine="443"/>
        <w:spacing w:after="0" w:line="264" w:lineRule="auto"/>
        <w:tabs>
          <w:tab w:leader="none" w:pos="828" w:val="left"/>
        </w:tabs>
        <w:numPr>
          <w:ilvl w:val="0"/>
          <w:numId w:val="10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period or periods within which, the price or prices at which and the terms and conditions upon which any Securities of the series may be redeemed, in whole or in part, at the option of the Company and, if other than by a Board Resolution, the manner in which any election by the Company to redeem the Securities shall be evidenced;</w:t>
      </w:r>
    </w:p>
    <w:p>
      <w:pPr>
        <w:spacing w:after="0" w:line="73" w:lineRule="exact"/>
        <w:rPr>
          <w:rFonts w:ascii="Arial" w:cs="Arial" w:eastAsia="Arial" w:hAnsi="Arial"/>
          <w:sz w:val="18"/>
          <w:szCs w:val="18"/>
          <w:color w:val="auto"/>
        </w:rPr>
      </w:pPr>
    </w:p>
    <w:p>
      <w:pPr>
        <w:ind w:firstLine="443"/>
        <w:spacing w:after="0" w:line="312" w:lineRule="auto"/>
        <w:tabs>
          <w:tab w:leader="none" w:pos="828"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obligation, if any, of the Company to redeem or purchase any Securities of the series pursuant to any sinking fund or analogous provisions or any redemption or purchase at the option of the Holder thereof and the period or periods within which, the price or prices at which and the terms and conditions upon which any Securities of the series shall be redeemed or purchased, in whole or in part, pursuant to such obligation;</w:t>
      </w:r>
    </w:p>
    <w:p>
      <w:pPr>
        <w:spacing w:after="0" w:line="38" w:lineRule="exact"/>
        <w:rPr>
          <w:rFonts w:ascii="Arial" w:cs="Arial" w:eastAsia="Arial" w:hAnsi="Arial"/>
          <w:sz w:val="16"/>
          <w:szCs w:val="16"/>
          <w:color w:val="auto"/>
        </w:rPr>
      </w:pPr>
    </w:p>
    <w:p>
      <w:pPr>
        <w:ind w:left="840" w:hanging="397"/>
        <w:spacing w:after="0"/>
        <w:tabs>
          <w:tab w:leader="none" w:pos="84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if other than denominations of $1,000 and any integral multiple thereof, the denominations in which any Securities of the series shall be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issuable;</w:t>
      </w:r>
    </w:p>
    <w:p>
      <w:pPr>
        <w:spacing w:after="0" w:line="102" w:lineRule="exact"/>
        <w:rPr>
          <w:rFonts w:ascii="Arial" w:cs="Arial" w:eastAsia="Arial" w:hAnsi="Arial"/>
          <w:sz w:val="16"/>
          <w:szCs w:val="16"/>
          <w:color w:val="auto"/>
        </w:rPr>
      </w:pPr>
    </w:p>
    <w:p>
      <w:pPr>
        <w:ind w:right="300" w:firstLine="443"/>
        <w:spacing w:after="0" w:line="277" w:lineRule="auto"/>
        <w:tabs>
          <w:tab w:leader="none" w:pos="918"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if the amount of principal of or any premium or interest on any Securities of the series may be determined with reference to an index or pursuant to a formula, the manner in which such amounts shall be determined;</w:t>
      </w:r>
    </w:p>
    <w:p>
      <w:pPr>
        <w:spacing w:after="0" w:line="62" w:lineRule="exact"/>
        <w:rPr>
          <w:rFonts w:ascii="Arial" w:cs="Arial" w:eastAsia="Arial" w:hAnsi="Arial"/>
          <w:sz w:val="18"/>
          <w:szCs w:val="18"/>
          <w:color w:val="auto"/>
        </w:rPr>
      </w:pPr>
    </w:p>
    <w:p>
      <w:pPr>
        <w:ind w:right="140" w:firstLine="443"/>
        <w:spacing w:after="0" w:line="264" w:lineRule="auto"/>
        <w:tabs>
          <w:tab w:leader="none" w:pos="911"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if other than the currency of the United States of America, the currency, currencies or currency units in which the principal of or any premium or interest on any Securities of the series shall be payable and the manner of determining the equivalent thereof in the currency of the United States of America for any purpose, including for purposes of the definition of “Outstanding” in Section 1.1;</w:t>
      </w:r>
    </w:p>
    <w:p>
      <w:pPr>
        <w:spacing w:after="0" w:line="73" w:lineRule="exact"/>
        <w:rPr>
          <w:rFonts w:ascii="Arial" w:cs="Arial" w:eastAsia="Arial" w:hAnsi="Arial"/>
          <w:sz w:val="18"/>
          <w:szCs w:val="18"/>
          <w:color w:val="auto"/>
        </w:rPr>
      </w:pPr>
    </w:p>
    <w:p>
      <w:pPr>
        <w:ind w:right="20" w:firstLine="443"/>
        <w:spacing w:after="0" w:line="257" w:lineRule="auto"/>
        <w:tabs>
          <w:tab w:leader="none" w:pos="918"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if the principal of or any premium or interest on any Securities of the series is to be payable, at the election of the Company or the Holder thereof, in one or more currencies or currency units other than that or those in which such Securities are stated to be payable, the currency, currencies or currency units in which the principal of or any premium or interest on such Securities as to which such election is made shall be payable, the periods within which and the terms and conditions upon which such election is to be made and the amount so payable (or the manner in which such amount shall be determined);</w:t>
      </w:r>
    </w:p>
    <w:p>
      <w:pPr>
        <w:spacing w:after="0" w:line="80" w:lineRule="exact"/>
        <w:rPr>
          <w:rFonts w:ascii="Arial" w:cs="Arial" w:eastAsia="Arial" w:hAnsi="Arial"/>
          <w:sz w:val="18"/>
          <w:szCs w:val="18"/>
          <w:color w:val="auto"/>
        </w:rPr>
      </w:pPr>
    </w:p>
    <w:p>
      <w:pPr>
        <w:ind w:right="140" w:firstLine="443"/>
        <w:spacing w:after="0" w:line="264" w:lineRule="auto"/>
        <w:tabs>
          <w:tab w:leader="none" w:pos="918"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percentage of the principal amount at which the Securities will be issued, and, if other than the entire principal amount thereof, the portion of the principal amount of any Securities of the series which shall be payable upon declaration of acceleration of the Maturity thereof pursuant to Section 5.2;</w:t>
      </w:r>
    </w:p>
    <w:p>
      <w:pPr>
        <w:spacing w:after="0" w:line="73" w:lineRule="exact"/>
        <w:rPr>
          <w:rFonts w:ascii="Arial" w:cs="Arial" w:eastAsia="Arial" w:hAnsi="Arial"/>
          <w:sz w:val="18"/>
          <w:szCs w:val="18"/>
          <w:color w:val="auto"/>
        </w:rPr>
      </w:pPr>
    </w:p>
    <w:p>
      <w:pPr>
        <w:ind w:right="100" w:firstLine="443"/>
        <w:spacing w:after="0" w:line="257" w:lineRule="auto"/>
        <w:tabs>
          <w:tab w:leader="none" w:pos="918"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if the principal amount payable at the Stated Maturity of any Securities of the series will not be determinable as of any one or more dates prior to the Stated Maturity, the amount which shall be deemed to be the principal amount of such Securities as of any such date for any purpose thereunder or hereunder, including the principal amount thereof which shall be due and payable upon any Maturity other than the Stated Maturity or which shall be deemed to be Outstanding as of any date prior to the Stated Maturity (or, in any such case, the manner in which such amount deemed to be the principal amount shall be determined);</w:t>
      </w:r>
    </w:p>
    <w:p>
      <w:pPr>
        <w:spacing w:after="0" w:line="12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60"/>
          </w:cols>
          <w:pgMar w:left="700" w:top="274" w:right="239" w:bottom="1440" w:gutter="0" w:footer="0" w:header="0"/>
        </w:sectPr>
      </w:pPr>
    </w:p>
    <w:bookmarkStart w:id="126" w:name="page127"/>
    <w:bookmarkEnd w:id="126"/>
    <w:p>
      <w:pPr>
        <w:jc w:val="both"/>
        <w:ind w:firstLine="443"/>
        <w:spacing w:after="0" w:line="264" w:lineRule="auto"/>
        <w:tabs>
          <w:tab w:leader="none" w:pos="918" w:val="left"/>
        </w:tabs>
        <w:numPr>
          <w:ilvl w:val="0"/>
          <w:numId w:val="10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applicable, that the Securities of the series, in whole or any specified part, shall be defeasible pursuant to Section 13.2 or Section 13.3 or both such Sections, or any other defeasance provisions applicable to any Securities of the series, and, if other than by a Board Resolution, the manner in which any election by the Company to defease such Securities shall be evidenced;</w:t>
      </w:r>
    </w:p>
    <w:p>
      <w:pPr>
        <w:spacing w:after="0" w:line="73" w:lineRule="exact"/>
        <w:rPr>
          <w:rFonts w:ascii="Arial" w:cs="Arial" w:eastAsia="Arial" w:hAnsi="Arial"/>
          <w:sz w:val="18"/>
          <w:szCs w:val="18"/>
          <w:color w:val="auto"/>
        </w:rPr>
      </w:pPr>
    </w:p>
    <w:p>
      <w:pPr>
        <w:ind w:left="920" w:hanging="477"/>
        <w:spacing w:after="0"/>
        <w:tabs>
          <w:tab w:leader="none" w:pos="9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if applicable, the terms of any right to convert or exchange Securities of the series;</w:t>
      </w:r>
    </w:p>
    <w:p>
      <w:pPr>
        <w:spacing w:after="0" w:line="117" w:lineRule="exact"/>
        <w:rPr>
          <w:rFonts w:ascii="Arial" w:cs="Arial" w:eastAsia="Arial" w:hAnsi="Arial"/>
          <w:sz w:val="18"/>
          <w:szCs w:val="18"/>
          <w:color w:val="auto"/>
        </w:rPr>
      </w:pPr>
    </w:p>
    <w:p>
      <w:pPr>
        <w:ind w:firstLine="443"/>
        <w:spacing w:after="0" w:line="297" w:lineRule="auto"/>
        <w:tabs>
          <w:tab w:leader="none" w:pos="918" w:val="left"/>
        </w:tabs>
        <w:numPr>
          <w:ilvl w:val="0"/>
          <w:numId w:val="104"/>
        </w:numPr>
        <w:rPr>
          <w:rFonts w:ascii="Arial" w:cs="Arial" w:eastAsia="Arial" w:hAnsi="Arial"/>
          <w:sz w:val="16"/>
          <w:szCs w:val="16"/>
          <w:color w:val="auto"/>
        </w:rPr>
      </w:pPr>
      <w:r>
        <w:rPr>
          <w:rFonts w:ascii="Arial" w:cs="Arial" w:eastAsia="Arial" w:hAnsi="Arial"/>
          <w:sz w:val="16"/>
          <w:szCs w:val="16"/>
          <w:color w:val="auto"/>
        </w:rPr>
        <w:t>if applicable, that any Securities of the series shall be issuable in whole or in part in the form of one or more Global Securities and, in such case, the respective Depositaries for such Global Securities, the form of any legend or legends which shall be borne by any such Global Security in addition to or in lieu of that set forth in Section 2.2 and any circumstances in addition to or in lieu of those set forth in clause (2) of the last paragraph of Section 3.5 in which any such Global Security may be exchanged in whole or in part for Securities registered, and any transfer of such Global Security in whole or in part may be registered, in the name or names of Persons other than the Depositary for such Global Security or a nominee thereof;</w:t>
      </w:r>
    </w:p>
    <w:p>
      <w:pPr>
        <w:spacing w:after="0" w:line="50" w:lineRule="exact"/>
        <w:rPr>
          <w:rFonts w:ascii="Arial" w:cs="Arial" w:eastAsia="Arial" w:hAnsi="Arial"/>
          <w:sz w:val="16"/>
          <w:szCs w:val="16"/>
          <w:color w:val="auto"/>
        </w:rPr>
      </w:pPr>
    </w:p>
    <w:p>
      <w:pPr>
        <w:ind w:right="20" w:firstLine="443"/>
        <w:spacing w:after="0" w:line="308" w:lineRule="auto"/>
        <w:tabs>
          <w:tab w:leader="none" w:pos="918" w:val="left"/>
        </w:tabs>
        <w:numPr>
          <w:ilvl w:val="0"/>
          <w:numId w:val="104"/>
        </w:numPr>
        <w:rPr>
          <w:rFonts w:ascii="Arial" w:cs="Arial" w:eastAsia="Arial" w:hAnsi="Arial"/>
          <w:sz w:val="17"/>
          <w:szCs w:val="17"/>
          <w:color w:val="auto"/>
        </w:rPr>
      </w:pPr>
      <w:r>
        <w:rPr>
          <w:rFonts w:ascii="Arial" w:cs="Arial" w:eastAsia="Arial" w:hAnsi="Arial"/>
          <w:sz w:val="17"/>
          <w:szCs w:val="17"/>
          <w:color w:val="auto"/>
        </w:rPr>
        <w:t>any deletion of or addition to or change in the Events of Default which applies to any Securities of the series and any change in the right of the Trustee or the requisite Holders of such Securities to declare the principal amount thereof due and payable pursuant to Section 5.2;</w:t>
      </w:r>
    </w:p>
    <w:p>
      <w:pPr>
        <w:spacing w:after="0" w:line="38" w:lineRule="exact"/>
        <w:rPr>
          <w:rFonts w:ascii="Arial" w:cs="Arial" w:eastAsia="Arial" w:hAnsi="Arial"/>
          <w:sz w:val="17"/>
          <w:szCs w:val="17"/>
          <w:color w:val="auto"/>
        </w:rPr>
      </w:pPr>
    </w:p>
    <w:p>
      <w:pPr>
        <w:ind w:right="160" w:firstLine="443"/>
        <w:spacing w:after="0" w:line="264" w:lineRule="auto"/>
        <w:tabs>
          <w:tab w:leader="none" w:pos="918"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any addition to or change in or modification to the subordinated provisions of this Indenture relating to the Securities of that series (including the provisions of Article 15), or different subordination provisions, including a different definition of “Senior Debt” or “Designated Senior Debt,” will apply to Securities of the series;</w:t>
      </w:r>
    </w:p>
    <w:p>
      <w:pPr>
        <w:spacing w:after="0" w:line="73" w:lineRule="exact"/>
        <w:rPr>
          <w:rFonts w:ascii="Arial" w:cs="Arial" w:eastAsia="Arial" w:hAnsi="Arial"/>
          <w:sz w:val="18"/>
          <w:szCs w:val="18"/>
          <w:color w:val="auto"/>
        </w:rPr>
      </w:pPr>
    </w:p>
    <w:p>
      <w:pPr>
        <w:ind w:left="920" w:hanging="477"/>
        <w:spacing w:after="0"/>
        <w:tabs>
          <w:tab w:leader="none" w:pos="9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any deletion of or addition to or change in the covenants set forth in Article 10 which applies to Securities of the series;</w:t>
      </w:r>
    </w:p>
    <w:p>
      <w:pPr>
        <w:spacing w:after="0" w:line="117" w:lineRule="exact"/>
        <w:rPr>
          <w:rFonts w:ascii="Arial" w:cs="Arial" w:eastAsia="Arial" w:hAnsi="Arial"/>
          <w:sz w:val="18"/>
          <w:szCs w:val="18"/>
          <w:color w:val="auto"/>
        </w:rPr>
      </w:pPr>
    </w:p>
    <w:p>
      <w:pPr>
        <w:ind w:right="480" w:firstLine="443"/>
        <w:spacing w:after="0" w:line="277" w:lineRule="auto"/>
        <w:tabs>
          <w:tab w:leader="none" w:pos="918"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any Authenticating Agents, Paying Agents, Security Registrars or such other agents necessary in connection with the issuance of the Securities of such series, including, without limitation, exchange rate agents and calculation agents;</w:t>
      </w:r>
    </w:p>
    <w:p>
      <w:pPr>
        <w:spacing w:after="0" w:line="62" w:lineRule="exact"/>
        <w:rPr>
          <w:rFonts w:ascii="Arial" w:cs="Arial" w:eastAsia="Arial" w:hAnsi="Arial"/>
          <w:sz w:val="18"/>
          <w:szCs w:val="18"/>
          <w:color w:val="auto"/>
        </w:rPr>
      </w:pPr>
    </w:p>
    <w:p>
      <w:pPr>
        <w:ind w:right="300" w:firstLine="443"/>
        <w:spacing w:after="0" w:line="277" w:lineRule="auto"/>
        <w:tabs>
          <w:tab w:leader="none" w:pos="918"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if applicable, the terms of any security that will be provided for a series of Securities, including provisions regarding the circumstances under which collateral may be released or substituted;</w:t>
      </w:r>
    </w:p>
    <w:p>
      <w:pPr>
        <w:spacing w:after="0" w:line="62" w:lineRule="exact"/>
        <w:rPr>
          <w:rFonts w:ascii="Arial" w:cs="Arial" w:eastAsia="Arial" w:hAnsi="Arial"/>
          <w:sz w:val="18"/>
          <w:szCs w:val="18"/>
          <w:color w:val="auto"/>
        </w:rPr>
      </w:pPr>
    </w:p>
    <w:p>
      <w:pPr>
        <w:ind w:left="920" w:hanging="477"/>
        <w:spacing w:after="0"/>
        <w:tabs>
          <w:tab w:leader="none" w:pos="92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if applicable, the terms of any guaranties for the Securities and any circumstances under which there may be additional obligors on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Securities;</w:t>
      </w:r>
    </w:p>
    <w:p>
      <w:pPr>
        <w:spacing w:after="0" w:line="102" w:lineRule="exact"/>
        <w:rPr>
          <w:rFonts w:ascii="Arial" w:cs="Arial" w:eastAsia="Arial" w:hAnsi="Arial"/>
          <w:sz w:val="16"/>
          <w:szCs w:val="16"/>
          <w:color w:val="auto"/>
        </w:rPr>
      </w:pPr>
    </w:p>
    <w:p>
      <w:pPr>
        <w:ind w:left="920" w:hanging="477"/>
        <w:spacing w:after="0"/>
        <w:tabs>
          <w:tab w:leader="none" w:pos="9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any provisions granting special rights to holders when a specified event occurs;</w:t>
      </w:r>
    </w:p>
    <w:p>
      <w:pPr>
        <w:spacing w:after="0" w:line="15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40"/>
          </w:cols>
          <w:pgMar w:left="700" w:top="274" w:right="259" w:bottom="1440" w:gutter="0" w:footer="0" w:header="0"/>
        </w:sectPr>
      </w:pPr>
    </w:p>
    <w:bookmarkStart w:id="127" w:name="page128"/>
    <w:bookmarkEnd w:id="127"/>
    <w:p>
      <w:pPr>
        <w:ind w:left="1380" w:hanging="477"/>
        <w:spacing w:after="0"/>
        <w:tabs>
          <w:tab w:leader="none" w:pos="13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provisions with respect to any special interest premium or other premium;</w:t>
      </w:r>
    </w:p>
    <w:p>
      <w:pPr>
        <w:spacing w:after="0" w:line="117" w:lineRule="exact"/>
        <w:rPr>
          <w:rFonts w:ascii="Arial" w:cs="Arial" w:eastAsia="Arial" w:hAnsi="Arial"/>
          <w:sz w:val="18"/>
          <w:szCs w:val="18"/>
          <w:color w:val="auto"/>
        </w:rPr>
      </w:pPr>
    </w:p>
    <w:p>
      <w:pPr>
        <w:ind w:left="1380" w:hanging="477"/>
        <w:spacing w:after="0"/>
        <w:tabs>
          <w:tab w:leader="none" w:pos="13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any special tax provisions that apply to any series of Securities;</w:t>
      </w:r>
    </w:p>
    <w:p>
      <w:pPr>
        <w:spacing w:after="0" w:line="117" w:lineRule="exact"/>
        <w:rPr>
          <w:rFonts w:ascii="Arial" w:cs="Arial" w:eastAsia="Arial" w:hAnsi="Arial"/>
          <w:sz w:val="18"/>
          <w:szCs w:val="18"/>
          <w:color w:val="auto"/>
        </w:rPr>
      </w:pPr>
    </w:p>
    <w:p>
      <w:pPr>
        <w:ind w:left="1380" w:hanging="477"/>
        <w:spacing w:after="0"/>
        <w:tabs>
          <w:tab w:leader="none" w:pos="13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with respect to any series of Securities that do not bear interest, the date for certain required reports to the Trustee;</w:t>
      </w:r>
    </w:p>
    <w:p>
      <w:pPr>
        <w:spacing w:after="0" w:line="117" w:lineRule="exact"/>
        <w:rPr>
          <w:rFonts w:ascii="Arial" w:cs="Arial" w:eastAsia="Arial" w:hAnsi="Arial"/>
          <w:sz w:val="18"/>
          <w:szCs w:val="18"/>
          <w:color w:val="auto"/>
        </w:rPr>
      </w:pPr>
    </w:p>
    <w:p>
      <w:pPr>
        <w:ind w:left="1380" w:hanging="477"/>
        <w:spacing w:after="0"/>
        <w:tabs>
          <w:tab w:leader="none" w:pos="13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any and all additional, eliminated or changed terms that will apply to such series of Securities; and</w:t>
      </w:r>
    </w:p>
    <w:p>
      <w:pPr>
        <w:spacing w:after="0" w:line="117" w:lineRule="exact"/>
        <w:rPr>
          <w:rFonts w:ascii="Arial" w:cs="Arial" w:eastAsia="Arial" w:hAnsi="Arial"/>
          <w:sz w:val="18"/>
          <w:szCs w:val="18"/>
          <w:color w:val="auto"/>
        </w:rPr>
      </w:pPr>
    </w:p>
    <w:p>
      <w:pPr>
        <w:ind w:left="460" w:right="80" w:firstLine="443"/>
        <w:spacing w:after="0" w:line="277" w:lineRule="auto"/>
        <w:tabs>
          <w:tab w:leader="none" w:pos="1378"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any other terms of the series of Securities (which terms shall not be inconsistent with the provisions of this Indenture, except as permitted by Section 9.1(5)).</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All Securities of any one series shall be substantially identical except as to denomination and except as may otherwise be provided in or pursuant to the Board Resolution referred to above and (subject to Section 3.3) set forth, or determined in the manner provided, in the Officers’ Certificate (including any exhibit attached thereto) referred to above or in any such indenture supplemental hereto.</w:t>
      </w:r>
    </w:p>
    <w:p>
      <w:pPr>
        <w:spacing w:after="0" w:line="18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If any of the terms of the series are established by action taken pursuant to a Board Resolution, a copy of an appropriate record of such action shall be certified by the Secretary or an Assistant Secretary of the Company and delivered to the Trustee at or prior to the delivery of the Officers’ Certificate (including any exhibit attached thereto) setting forth the terms of the series.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Securities shall be subordinated in right of payment to Senior Debt as provided in Article 15.</w:t>
      </w:r>
    </w:p>
    <w:p>
      <w:pPr>
        <w:spacing w:after="0" w:line="32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Section 3.2</w:t>
      </w:r>
      <w:r>
        <w:rPr>
          <w:sz w:val="20"/>
          <w:szCs w:val="20"/>
          <w:color w:val="auto"/>
        </w:rPr>
        <w:tab/>
      </w:r>
      <w:r>
        <w:rPr>
          <w:rFonts w:ascii="Arial" w:cs="Arial" w:eastAsia="Arial" w:hAnsi="Arial"/>
          <w:sz w:val="15"/>
          <w:szCs w:val="15"/>
          <w:b w:val="1"/>
          <w:bCs w:val="1"/>
          <w:color w:val="auto"/>
        </w:rPr>
        <w:t>Denominations.</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Securities of each series shall be issuable only in registered form without coupons and only in such denominations as shall be specified as contemplated by Section 3.1. In the absence of any such specified denomination with respect to the Securities of any series, the Securities of such series shall be issuable in denominations of $1,000 and any integral multiple thereof.</w:t>
      </w:r>
    </w:p>
    <w:p>
      <w:pPr>
        <w:spacing w:after="0" w:line="28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Section 3.3</w:t>
      </w:r>
      <w:r>
        <w:rPr>
          <w:sz w:val="20"/>
          <w:szCs w:val="20"/>
          <w:color w:val="auto"/>
        </w:rPr>
        <w:tab/>
      </w:r>
      <w:r>
        <w:rPr>
          <w:rFonts w:ascii="Arial" w:cs="Arial" w:eastAsia="Arial" w:hAnsi="Arial"/>
          <w:sz w:val="16"/>
          <w:szCs w:val="16"/>
          <w:b w:val="1"/>
          <w:bCs w:val="1"/>
          <w:color w:val="auto"/>
        </w:rPr>
        <w:t>Execution, Authentication, Delivery and Dating.</w:t>
      </w:r>
    </w:p>
    <w:p>
      <w:pPr>
        <w:spacing w:after="0" w:line="121" w:lineRule="exact"/>
        <w:rPr>
          <w:sz w:val="20"/>
          <w:szCs w:val="20"/>
          <w:color w:val="auto"/>
        </w:rPr>
      </w:pPr>
    </w:p>
    <w:p>
      <w:pPr>
        <w:jc w:val="both"/>
        <w:ind w:right="20" w:firstLine="456"/>
        <w:spacing w:after="0" w:line="312" w:lineRule="auto"/>
        <w:rPr>
          <w:sz w:val="20"/>
          <w:szCs w:val="20"/>
          <w:color w:val="auto"/>
        </w:rPr>
      </w:pPr>
      <w:r>
        <w:rPr>
          <w:rFonts w:ascii="Arial" w:cs="Arial" w:eastAsia="Arial" w:hAnsi="Arial"/>
          <w:sz w:val="16"/>
          <w:szCs w:val="16"/>
          <w:color w:val="auto"/>
        </w:rPr>
        <w:t>The Securities shall be executed on behalf of the Company by its Chairman of the Board, its Vice Chairman of the Board, its Chief Executive Officer, its principal financial officer, its principal accounting officer, its President or one of its executive officers, and attested by its Treasurer, its Secretary or one of its Assistant Treasurers or Assistant Secretaries. The signature of any of these officers on the Securities may be manual or facsimile.</w:t>
      </w:r>
    </w:p>
    <w:p>
      <w:pPr>
        <w:spacing w:after="0" w:line="14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Securities bearing the manual or facsimile signatures of individuals who were at any time the proper officers of the Company shall bind the Company, notwithstanding that such individuals or any of them have ceased to hold such offices prior to the authentication and delivery of such Securities or did not hold such offices at the date of such Securities.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274" w:right="299" w:bottom="1440" w:gutter="0" w:footer="0" w:header="0"/>
        </w:sectPr>
      </w:pPr>
    </w:p>
    <w:bookmarkStart w:id="128" w:name="page129"/>
    <w:bookmarkEnd w:id="128"/>
    <w:p>
      <w:pPr>
        <w:ind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 any time and from time to time after the execution and delivery of this Indenture, the Company may deliver Securities of any series executed by the Company to the Trustee for authentication, together with a Company Order for the authentication and delivery of such Securities, and the Trustee in accordance with the Company Order shall authenticate and deliver such Securities. If the form or terms of the Securities of the series have been established by or pursuant to one or more Board Resolutions as permitted by Sections 2.1 and 3.1, in authenticating such Securities, and accepting the additional responsibilities under this Indenture in relation to such Securities, the Trustee shall be entitled to receive, and (subject to Section 6.1) shall be fully protected in relying upon, a certified copy of such Board Resolution, an Officers’ Certificate setting forth the terms of the series or supplemental indenture hereto and an Opinion of Counsel (which opinion of Counsel may contain customary qualifications and exceptions), with such Opinion of Counsel stating,</w:t>
      </w:r>
    </w:p>
    <w:p>
      <w:pPr>
        <w:spacing w:after="0" w:line="59" w:lineRule="exact"/>
        <w:rPr>
          <w:sz w:val="20"/>
          <w:szCs w:val="20"/>
          <w:color w:val="auto"/>
        </w:rPr>
      </w:pPr>
    </w:p>
    <w:p>
      <w:pPr>
        <w:ind w:left="460" w:right="120" w:firstLine="443"/>
        <w:spacing w:after="0" w:line="277" w:lineRule="auto"/>
        <w:tabs>
          <w:tab w:leader="none" w:pos="1288"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if the form of such Securities has been established by or pursuant to Board Resolution as permitted by Section 2.1, that such form has been established in conformity with the provisions of this Indenture;</w:t>
      </w:r>
    </w:p>
    <w:p>
      <w:pPr>
        <w:spacing w:after="0" w:line="62" w:lineRule="exact"/>
        <w:rPr>
          <w:rFonts w:ascii="Arial" w:cs="Arial" w:eastAsia="Arial" w:hAnsi="Arial"/>
          <w:sz w:val="18"/>
          <w:szCs w:val="18"/>
          <w:color w:val="auto"/>
        </w:rPr>
      </w:pPr>
    </w:p>
    <w:p>
      <w:pPr>
        <w:ind w:left="460" w:right="220" w:firstLine="443"/>
        <w:spacing w:after="0" w:line="277" w:lineRule="auto"/>
        <w:tabs>
          <w:tab w:leader="none" w:pos="1288"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if the terms of such Securities have been established by or pursuant to Board Resolution as permitted by Section 3.1, that such terms have been established in conformity with the provisions of this Indenture; and</w:t>
      </w:r>
    </w:p>
    <w:p>
      <w:pPr>
        <w:spacing w:after="0" w:line="62" w:lineRule="exact"/>
        <w:rPr>
          <w:rFonts w:ascii="Arial" w:cs="Arial" w:eastAsia="Arial" w:hAnsi="Arial"/>
          <w:sz w:val="18"/>
          <w:szCs w:val="18"/>
          <w:color w:val="auto"/>
        </w:rPr>
      </w:pPr>
    </w:p>
    <w:p>
      <w:pPr>
        <w:ind w:left="460" w:right="360" w:firstLine="443"/>
        <w:spacing w:after="0" w:line="259" w:lineRule="auto"/>
        <w:tabs>
          <w:tab w:leader="none" w:pos="1288"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that such Securities, when authenticated and delivered by the Trustee and issued by the Company in the manner and subject to any conditions specified in such Opinion of Counsel, will constitute valid and binding obligations of the Company enforceable in accordance with their terms, subject to bankruptcy, insolvency, fraudulent transfer, reorganization, moratorium and similar laws of general applicability relating to or affecting creditors’ rights and to general equity principles.</w:t>
      </w:r>
    </w:p>
    <w:p>
      <w:pPr>
        <w:spacing w:after="0" w:line="18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If such form or terms have been so established, the Trustee shall not be required to authenticate such Securities if the issue of such Securities pursuant to this Indenture will affect the Trustee’s own rights, duties or immunities under the Securities and this Indenture or otherwise in a manner which is not reasonably acceptable to the Trustee.</w:t>
      </w:r>
    </w:p>
    <w:p>
      <w:pPr>
        <w:spacing w:after="0" w:line="181"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Notwithstanding the provisions of Section 3.1 and of this Section 3.3, if all Securities of a series are not to be originally issued at one time, it shall not be necessary to deliver an Officers’ Certificate or supplemental indenture hereto otherwise required pursuant to Section 3.1 or the Company Order and Opinion of Counsel otherwise required pursuant to this Section 3.3 at or prior to the authentication of each Security of such series if such documents are delivered at or prior to the authentication upon original issuance of the first Security of such series to be issued.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Security shall be dated the date of its authentication.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129" w:name="page130"/>
    <w:bookmarkEnd w:id="129"/>
    <w:p>
      <w:pPr>
        <w:ind w:firstLine="456"/>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Security shall be entitled to any benefit under this Indenture or be valid or obligatory for any purpose unless there appears on such Security a certificate of authentication substantially in the form provided for herein executed by the Trustee by manual signature, and such certificate upon any Security shall be conclusive evidence, and the only evidence, that such Security has been duly authenticated and delivered hereunder. Notwithstanding the foregoing, if any Security shall have been authenticated and delivered hereunder but never issued and sold by the Company, and the Company shall deliver such Security to the Trustee for cancellation as provided in Section 3.9, for all purposes of this Indenture such Security shall be deemed never to have been authenticated and delivered hereunder and shall never be entitled to the benefits of this Indenture.</w:t>
      </w:r>
    </w:p>
    <w:p>
      <w:pPr>
        <w:spacing w:after="0" w:line="178" w:lineRule="exact"/>
        <w:rPr>
          <w:sz w:val="20"/>
          <w:szCs w:val="20"/>
          <w:color w:val="auto"/>
        </w:rPr>
      </w:pPr>
    </w:p>
    <w:p>
      <w:pPr>
        <w:ind w:right="200" w:firstLine="456"/>
        <w:spacing w:after="0" w:line="312" w:lineRule="auto"/>
        <w:rPr>
          <w:sz w:val="20"/>
          <w:szCs w:val="20"/>
          <w:color w:val="auto"/>
        </w:rPr>
      </w:pPr>
      <w:r>
        <w:rPr>
          <w:rFonts w:ascii="Arial" w:cs="Arial" w:eastAsia="Arial" w:hAnsi="Arial"/>
          <w:sz w:val="16"/>
          <w:szCs w:val="16"/>
          <w:color w:val="auto"/>
        </w:rPr>
        <w:t>Neither the Company nor the Trustee shall have any responsibility for any defect in the CUSIP number that appears on any Security, check, advice of payment or redemption notice, and any such document may contain a statement to the effect that CUSIP numbers have been assigned by an independent service for convenience of reference and that neither the Company nor the Trustee shall be liable for any inaccuracy in such numbers.</w:t>
      </w:r>
    </w:p>
    <w:p>
      <w:pPr>
        <w:spacing w:after="0" w:line="25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Section 3.4</w:t>
      </w:r>
      <w:r>
        <w:rPr>
          <w:sz w:val="20"/>
          <w:szCs w:val="20"/>
          <w:color w:val="auto"/>
        </w:rPr>
        <w:tab/>
      </w:r>
      <w:r>
        <w:rPr>
          <w:rFonts w:ascii="Arial" w:cs="Arial" w:eastAsia="Arial" w:hAnsi="Arial"/>
          <w:sz w:val="16"/>
          <w:szCs w:val="16"/>
          <w:b w:val="1"/>
          <w:bCs w:val="1"/>
          <w:color w:val="auto"/>
        </w:rPr>
        <w:t>Temporary Securities.</w:t>
      </w:r>
    </w:p>
    <w:p>
      <w:pPr>
        <w:spacing w:after="0" w:line="121"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Pending the preparation of definitive Securities of any series, the Company may execute, and upon Company Order the Trustee shall authenticate and deliver, temporary Securities which are printed, lithographed, typewritten, mimeographed or otherwise produced, in any authorized denomination, substantially of the tenor of the definitive Securities in lieu of which they are issued and with such appropriate insertions, omissions, substitutions and other variations as the officers executing such Securities may determine, as evidenced by their execution of such Securities.</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temporary Securities of any series are issued, the Company will cause definitive Securities of that series to be prepared without unreasonable delay. After the preparation of definitive Securities of such series, the temporary Securities of such series shall be exchangeable for definitive Securities of such series upon surrender of the temporary Securities of such series at the office or agency of the Company in a Place of Payment for that series, without charge to the Holder. Upon surrender for cancellation of any one or more temporary Securities of any series, the Company shall execute and the Trustee shall authenticate and deliver in exchange therefor one or more definitive Securities of the same series, of any authorized denominations and of like tenor and aggregate principal amount. Until so exchanged, the temporary Securities of any series shall in all respects be entitled to the same benefits under this Indenture as definitive Securities of such series and tenor.</w:t>
      </w:r>
    </w:p>
    <w:p>
      <w:pPr>
        <w:spacing w:after="0" w:line="29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Section 3.5</w:t>
      </w:r>
      <w:r>
        <w:rPr>
          <w:sz w:val="20"/>
          <w:szCs w:val="20"/>
          <w:color w:val="auto"/>
        </w:rPr>
        <w:tab/>
      </w:r>
      <w:r>
        <w:rPr>
          <w:rFonts w:ascii="Arial" w:cs="Arial" w:eastAsia="Arial" w:hAnsi="Arial"/>
          <w:sz w:val="16"/>
          <w:szCs w:val="16"/>
          <w:b w:val="1"/>
          <w:bCs w:val="1"/>
          <w:color w:val="auto"/>
        </w:rPr>
        <w:t>Registration; Registration of Transfer and Exchange.</w:t>
      </w:r>
    </w:p>
    <w:p>
      <w:pPr>
        <w:spacing w:after="0" w:line="121"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The Company shall cause to be kept at the Corporate Trust Office of the Trustee a register (the register maintained in such office and in any other office or agency of the Company in a Place of Payment being herein sometimes collectively referred to as the “Security Register”) in which, subject to such reasonable regulations as it may prescribe, the Company shall provide for the registration of Securities and of transfers of Securities. The Trustee is hereby appointed “Security Registrar” for the purpose of registering Securities and transfers of Securities as herein provided.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4" w:right="239" w:bottom="1440" w:gutter="0" w:footer="0" w:header="0"/>
        </w:sectPr>
      </w:pPr>
    </w:p>
    <w:bookmarkStart w:id="130" w:name="page131"/>
    <w:bookmarkEnd w:id="130"/>
    <w:p>
      <w:pPr>
        <w:jc w:val="both"/>
        <w:ind w:right="120" w:firstLine="456"/>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Upon surrender for registration of transfer of any Security of a series at the office or agency of the Company in a Place of Payment for that series, the Company shall execute, and the Trustee shall authenticate and deliver, in the name of the designated transferee or transferees, one or more new Securities of the same series, of any authorized denominations and of like tenor and aggregate principal amount.</w:t>
      </w:r>
    </w:p>
    <w:p>
      <w:pPr>
        <w:spacing w:after="0" w:line="166"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At the option of the Holder, Securities of any series may be exchanged for other Securities of the same series, of any authorized denominations and of like tenor and aggregate principal amount, upon surrender of the Securities to be exchanged at such office or agency. Whenever any Securities are so surrendered for exchange, the Company shall execute, and the Trustee shall authenticate and deliver, the Securities that the Holder making the exchange is entitled to receive. All Securities issued upon any registration of transfer or exchange of Securities shall be the valid obligations of the Company, evidencing the same debt, and entitled to the same benefits under this Indenture, as the Securities surrendered upon such registration of transfer or exchange.</w:t>
      </w:r>
    </w:p>
    <w:p>
      <w:pPr>
        <w:spacing w:after="0" w:line="158"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Every Security presented or surrendered for registration of transfer or for exchange shall (if so required by the Company or the Trustee) be duly endorsed, or be accompanied by a written instrument of transfer in form satisfactory to the Company and the Security Registrar duly executed, by the Holder thereof or its attorney duly authorized in writing.</w:t>
      </w:r>
    </w:p>
    <w:p>
      <w:pPr>
        <w:spacing w:after="0" w:line="18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No service charge shall be made for any registration of transfer or exchange of Securities, but the Company may require payment of a sum sufficient to cover any tax or other governmental charge that may be imposed in connection with any registration of transfer or exchange of Securities, other than exchanges pursuant to Section 3.4, 9.6 or 11.7 not involving any transfer.</w:t>
      </w:r>
    </w:p>
    <w:p>
      <w:pPr>
        <w:spacing w:after="0" w:line="181" w:lineRule="exact"/>
        <w:rPr>
          <w:sz w:val="20"/>
          <w:szCs w:val="20"/>
          <w:color w:val="auto"/>
        </w:rPr>
      </w:pPr>
    </w:p>
    <w:p>
      <w:pPr>
        <w:jc w:val="both"/>
        <w:ind w:right="100" w:firstLine="456"/>
        <w:spacing w:after="0" w:line="257" w:lineRule="auto"/>
        <w:rPr>
          <w:sz w:val="20"/>
          <w:szCs w:val="20"/>
          <w:color w:val="auto"/>
        </w:rPr>
      </w:pPr>
      <w:r>
        <w:rPr>
          <w:rFonts w:ascii="Arial" w:cs="Arial" w:eastAsia="Arial" w:hAnsi="Arial"/>
          <w:sz w:val="18"/>
          <w:szCs w:val="18"/>
          <w:color w:val="auto"/>
        </w:rPr>
        <w:t>If the Securities of any series (or of any series and specified tenor) are to be redeemed in part, the Company shall not be required (A) to issue, register the transfer of or exchange any Securities of that series (or of that series and specified tenor, as the case may be) during a period beginning at the opening of business 15 days before the day of the mailing of a notice of redemption of any such Securities selected for redemption under Section 11.3 and ending at the close of business on the day of such mailing, or (B) to register the transfer of or exchange any Security so selected for redemption in whole or in part, except the unredeemed portion of any Security being redeemed in part.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provisions of clauses (1), (2), (3) and (4) below shall apply only to Global Securities:</w:t>
      </w:r>
    </w:p>
    <w:p>
      <w:pPr>
        <w:spacing w:after="0" w:line="117" w:lineRule="exact"/>
        <w:rPr>
          <w:sz w:val="20"/>
          <w:szCs w:val="20"/>
          <w:color w:val="auto"/>
        </w:rPr>
      </w:pPr>
    </w:p>
    <w:p>
      <w:pPr>
        <w:ind w:left="460" w:right="540" w:firstLine="443"/>
        <w:spacing w:after="0" w:line="264" w:lineRule="auto"/>
        <w:tabs>
          <w:tab w:leader="none" w:pos="1288" w:val="left"/>
        </w:tabs>
        <w:numPr>
          <w:ilvl w:val="0"/>
          <w:numId w:val="107"/>
        </w:numPr>
        <w:rPr>
          <w:rFonts w:ascii="Arial" w:cs="Arial" w:eastAsia="Arial" w:hAnsi="Arial"/>
          <w:sz w:val="18"/>
          <w:szCs w:val="18"/>
          <w:color w:val="auto"/>
        </w:rPr>
      </w:pPr>
      <w:r>
        <w:rPr>
          <w:rFonts w:ascii="Arial" w:cs="Arial" w:eastAsia="Arial" w:hAnsi="Arial"/>
          <w:sz w:val="18"/>
          <w:szCs w:val="18"/>
          <w:color w:val="auto"/>
        </w:rPr>
        <w:t>Each Global Security authenticated under this Indenture shall be registered in the name of the Depositary designated for such Global Security or a nominee thereof and delivered to such Depositary or a nominee thereof or custodian therefor, and each such Global Security shall constitute a single Security for all purposes of this Indenture.</w:t>
      </w:r>
    </w:p>
    <w:p>
      <w:pPr>
        <w:spacing w:after="0" w:line="73" w:lineRule="exact"/>
        <w:rPr>
          <w:rFonts w:ascii="Arial" w:cs="Arial" w:eastAsia="Arial" w:hAnsi="Arial"/>
          <w:sz w:val="18"/>
          <w:szCs w:val="18"/>
          <w:color w:val="auto"/>
        </w:rPr>
      </w:pPr>
    </w:p>
    <w:p>
      <w:pPr>
        <w:ind w:left="460" w:firstLine="443"/>
        <w:spacing w:after="0" w:line="312" w:lineRule="auto"/>
        <w:tabs>
          <w:tab w:leader="none" w:pos="1288" w:val="left"/>
        </w:tabs>
        <w:numPr>
          <w:ilvl w:val="0"/>
          <w:numId w:val="107"/>
        </w:numPr>
        <w:rPr>
          <w:rFonts w:ascii="Arial" w:cs="Arial" w:eastAsia="Arial" w:hAnsi="Arial"/>
          <w:sz w:val="16"/>
          <w:szCs w:val="16"/>
          <w:color w:val="auto"/>
        </w:rPr>
      </w:pPr>
      <w:r>
        <w:rPr>
          <w:rFonts w:ascii="Arial" w:cs="Arial" w:eastAsia="Arial" w:hAnsi="Arial"/>
          <w:sz w:val="16"/>
          <w:szCs w:val="16"/>
          <w:color w:val="auto"/>
        </w:rPr>
        <w:t>Notwithstanding any other provision in this Indenture, no Global Security may be exchanged in whole or in part for Securities registered, and no transfer of a Global Security in whole or in part may be registered, in the name of any Person other than the Depositary for such Global Security or a nominee thereof unless (A) such Depositary (i) has notified the Company that it is unwilling or unable to continue as Depositary for such Global</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274" w:right="279" w:bottom="1440" w:gutter="0" w:footer="0" w:header="0"/>
        </w:sectPr>
      </w:pPr>
    </w:p>
    <w:bookmarkStart w:id="131" w:name="page132"/>
    <w:bookmarkEnd w:id="131"/>
    <w:p>
      <w:pPr>
        <w:ind w:left="460" w:right="2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Security or (ii) has ceased to be a clearing agency registered under the Exchange Act, (B) there shall have occurred and be continuing an Event of Default with respect to such Global Security or (C) there shall exist such circumstances, if any, in addition to or in lieu of the foregoing as have been specified for this purpose as contemplated by Section 3.1.</w:t>
      </w:r>
    </w:p>
    <w:p>
      <w:pPr>
        <w:spacing w:after="0" w:line="73" w:lineRule="exact"/>
        <w:rPr>
          <w:sz w:val="20"/>
          <w:szCs w:val="20"/>
          <w:color w:val="auto"/>
        </w:rPr>
      </w:pPr>
    </w:p>
    <w:p>
      <w:pPr>
        <w:ind w:left="460" w:firstLine="443"/>
        <w:spacing w:after="0" w:line="342" w:lineRule="auto"/>
        <w:tabs>
          <w:tab w:leader="none" w:pos="1288" w:val="left"/>
        </w:tabs>
        <w:numPr>
          <w:ilvl w:val="0"/>
          <w:numId w:val="108"/>
        </w:numPr>
        <w:rPr>
          <w:rFonts w:ascii="Arial" w:cs="Arial" w:eastAsia="Arial" w:hAnsi="Arial"/>
          <w:sz w:val="16"/>
          <w:szCs w:val="16"/>
          <w:color w:val="auto"/>
        </w:rPr>
      </w:pPr>
      <w:r>
        <w:rPr>
          <w:rFonts w:ascii="Arial" w:cs="Arial" w:eastAsia="Arial" w:hAnsi="Arial"/>
          <w:sz w:val="16"/>
          <w:szCs w:val="16"/>
          <w:color w:val="auto"/>
        </w:rPr>
        <w:t>Subject to clause (2) above, any exchange of a Global Security for other Securities may be made in whole or in part, and all Securities issued in exchange for a Global Security or any portion thereof shall be registered in such names as the Depositary for such Global Security shall direct.</w:t>
      </w:r>
    </w:p>
    <w:p>
      <w:pPr>
        <w:spacing w:after="0" w:line="15" w:lineRule="exact"/>
        <w:rPr>
          <w:rFonts w:ascii="Arial" w:cs="Arial" w:eastAsia="Arial" w:hAnsi="Arial"/>
          <w:sz w:val="16"/>
          <w:szCs w:val="16"/>
          <w:color w:val="auto"/>
        </w:rPr>
      </w:pPr>
    </w:p>
    <w:p>
      <w:pPr>
        <w:ind w:left="460" w:right="60" w:firstLine="443"/>
        <w:spacing w:after="0" w:line="312" w:lineRule="auto"/>
        <w:tabs>
          <w:tab w:leader="none" w:pos="1288" w:val="left"/>
        </w:tabs>
        <w:numPr>
          <w:ilvl w:val="0"/>
          <w:numId w:val="108"/>
        </w:numPr>
        <w:rPr>
          <w:rFonts w:ascii="Arial" w:cs="Arial" w:eastAsia="Arial" w:hAnsi="Arial"/>
          <w:sz w:val="16"/>
          <w:szCs w:val="16"/>
          <w:color w:val="auto"/>
        </w:rPr>
      </w:pPr>
      <w:r>
        <w:rPr>
          <w:rFonts w:ascii="Arial" w:cs="Arial" w:eastAsia="Arial" w:hAnsi="Arial"/>
          <w:sz w:val="16"/>
          <w:szCs w:val="16"/>
          <w:color w:val="auto"/>
        </w:rPr>
        <w:t>Every Security authenticated and delivered upon registration of transfer of, or in exchange for or in lieu of, a Global Security or any portion thereof, whether pursuant to this Section, Section 3.4, 3.6, 9.6 or 11.7 or otherwise, shall be authenticated and delivered in the form of, and shall be, a Global Security, unless such Security is registered in the name of a Person other than the Depositary for such Global Security or a nominee thereof.</w:t>
      </w:r>
    </w:p>
    <w:p>
      <w:pPr>
        <w:spacing w:after="0" w:line="25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Section 3.6</w:t>
      </w:r>
      <w:r>
        <w:rPr>
          <w:sz w:val="20"/>
          <w:szCs w:val="20"/>
          <w:color w:val="auto"/>
        </w:rPr>
        <w:tab/>
      </w:r>
      <w:r>
        <w:rPr>
          <w:rFonts w:ascii="Arial" w:cs="Arial" w:eastAsia="Arial" w:hAnsi="Arial"/>
          <w:sz w:val="16"/>
          <w:szCs w:val="16"/>
          <w:b w:val="1"/>
          <w:bCs w:val="1"/>
          <w:color w:val="auto"/>
        </w:rPr>
        <w:t>Mutilated, Destroyed, Lost and Stolen Securities.</w:t>
      </w:r>
    </w:p>
    <w:p>
      <w:pPr>
        <w:spacing w:after="0" w:line="121" w:lineRule="exact"/>
        <w:rPr>
          <w:sz w:val="20"/>
          <w:szCs w:val="20"/>
          <w:color w:val="auto"/>
        </w:rPr>
      </w:pPr>
    </w:p>
    <w:p>
      <w:pPr>
        <w:ind w:right="100" w:firstLine="456"/>
        <w:spacing w:after="0" w:line="308" w:lineRule="auto"/>
        <w:rPr>
          <w:sz w:val="20"/>
          <w:szCs w:val="20"/>
          <w:color w:val="auto"/>
        </w:rPr>
      </w:pPr>
      <w:r>
        <w:rPr>
          <w:rFonts w:ascii="Arial" w:cs="Arial" w:eastAsia="Arial" w:hAnsi="Arial"/>
          <w:sz w:val="17"/>
          <w:szCs w:val="17"/>
          <w:color w:val="auto"/>
        </w:rPr>
        <w:t>If any mutilated Security is surrendered to the Trustee, the Company shall execute and the Trustee shall authenticate and deliver in exchange therefor a new Security of the same series and of like tenor and principal amount and bearing a number not contemporaneously outstanding.</w:t>
      </w:r>
    </w:p>
    <w:p>
      <w:pPr>
        <w:spacing w:after="0" w:line="147"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If there shall be delivered to the Company and the Trustee (i) evidence to their satisfaction of the destruction, loss or theft of any Security and (ii) such security or indemnity as may be required by them to save each of them and any agent of either of them harmless, then, in the absence of notice to the Company or the Trustee that such Security has been acquired by a bona fide purchaser, the Company shall execute and the Trustee shall authenticate and deliver, in lieu of any such destroyed, lost or stolen Security, a new Security of the same series and of like tenor and principal amount and bearing a number not contemporaneously outstanding.</w:t>
      </w:r>
    </w:p>
    <w:p>
      <w:pPr>
        <w:spacing w:after="0" w:line="188"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In case any such mutilated, destroyed, lost or stolen Security has become or is about to become due and payable, the Company in its discretion may, instead of issuing a new Security, pay such Security.</w:t>
      </w:r>
    </w:p>
    <w:p>
      <w:pPr>
        <w:spacing w:after="0" w:line="170" w:lineRule="exact"/>
        <w:rPr>
          <w:sz w:val="20"/>
          <w:szCs w:val="20"/>
          <w:color w:val="auto"/>
        </w:rPr>
      </w:pPr>
    </w:p>
    <w:p>
      <w:pPr>
        <w:jc w:val="center"/>
        <w:ind w:right="300"/>
        <w:spacing w:after="0" w:line="342" w:lineRule="auto"/>
        <w:rPr>
          <w:sz w:val="20"/>
          <w:szCs w:val="20"/>
          <w:color w:val="auto"/>
        </w:rPr>
      </w:pPr>
      <w:r>
        <w:rPr>
          <w:rFonts w:ascii="Arial" w:cs="Arial" w:eastAsia="Arial" w:hAnsi="Arial"/>
          <w:sz w:val="16"/>
          <w:szCs w:val="16"/>
          <w:color w:val="auto"/>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spacing w:after="0" w:line="124" w:lineRule="exact"/>
        <w:rPr>
          <w:sz w:val="20"/>
          <w:szCs w:val="20"/>
          <w:color w:val="auto"/>
        </w:rPr>
      </w:pPr>
    </w:p>
    <w:p>
      <w:pPr>
        <w:jc w:val="both"/>
        <w:ind w:right="180" w:firstLine="456"/>
        <w:spacing w:after="0" w:line="312" w:lineRule="auto"/>
        <w:rPr>
          <w:sz w:val="20"/>
          <w:szCs w:val="20"/>
          <w:color w:val="auto"/>
        </w:rPr>
      </w:pPr>
      <w:r>
        <w:rPr>
          <w:rFonts w:ascii="Arial" w:cs="Arial" w:eastAsia="Arial" w:hAnsi="Arial"/>
          <w:sz w:val="16"/>
          <w:szCs w:val="16"/>
          <w:color w:val="auto"/>
        </w:rPr>
        <w:t>Every new Security of any series issued pursuant to this Section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132" w:name="page133"/>
    <w:bookmarkEnd w:id="132"/>
    <w:p>
      <w:pPr>
        <w:ind w:right="30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provisions of this Section are exclusive and shall preclude (to the extent lawful) all other rights and remedies with respect to the replacement or payment of mutilated, destroyed, lost or stolen Securities.</w:t>
      </w:r>
    </w:p>
    <w:p>
      <w:pPr>
        <w:spacing w:after="0" w:line="27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Section 3.7</w:t>
      </w:r>
      <w:r>
        <w:rPr>
          <w:sz w:val="20"/>
          <w:szCs w:val="20"/>
          <w:color w:val="auto"/>
        </w:rPr>
        <w:tab/>
      </w:r>
      <w:r>
        <w:rPr>
          <w:rFonts w:ascii="Arial" w:cs="Arial" w:eastAsia="Arial" w:hAnsi="Arial"/>
          <w:sz w:val="16"/>
          <w:szCs w:val="16"/>
          <w:b w:val="1"/>
          <w:bCs w:val="1"/>
          <w:color w:val="auto"/>
        </w:rPr>
        <w:t>Payment of Interest; Interest Rights Preserved.</w:t>
      </w:r>
    </w:p>
    <w:p>
      <w:pPr>
        <w:spacing w:after="0" w:line="12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Except as otherwise provided as contemplated by Section 3.1 with respect to any series of Securities, interest on any Security which is payable, and is punctually paid or duly provided for, on any Interest Payment Date shall be paid to the Person in whose name that Security (or one or more Predecessor Securities) is registered at the close of business on the Regular Record Date for such interest.</w:t>
      </w:r>
    </w:p>
    <w:p>
      <w:pPr>
        <w:spacing w:after="0" w:line="181"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Any interest on any Security of any series which is payable, but is not punctually paid or duly provided for, on any Interest Payment Date (herein called “Defaulted Interest”) shall forthwith cease to be payable to the Holder on the relevant Regular Record Date by virtue of having been such Holder, and such Defaulted Interest may be paid by the Company, at its election in each case, as provided in clause (1) or (2) below:</w:t>
      </w:r>
    </w:p>
    <w:p>
      <w:pPr>
        <w:spacing w:after="0" w:line="57" w:lineRule="exact"/>
        <w:rPr>
          <w:sz w:val="20"/>
          <w:szCs w:val="20"/>
          <w:color w:val="auto"/>
        </w:rPr>
      </w:pPr>
    </w:p>
    <w:p>
      <w:pPr>
        <w:ind w:left="460" w:firstLine="443"/>
        <w:spacing w:after="0" w:line="286" w:lineRule="auto"/>
        <w:tabs>
          <w:tab w:leader="none" w:pos="1285"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Company may elect to make payment of any Defaulted Interest to the Persons in whose names the Securities of such series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Security of such series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be not more than 15 days and not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given to each Holder of Securities of such series in the manner set forth in Section 1.6, not less than 10 days prior to such Special Record Date. Notice of the proposed payment of such Defaulted Interest and the Special Record Date therefor having been so given, such Defaulted Interest shall be paid to the Persons in whose names the Securities of such series (or their respective Predecessor Securities) are registered at the close of business on such Special Record Date and shall no longer be payable pursuant to the following clause (2).</w:t>
      </w:r>
    </w:p>
    <w:p>
      <w:pPr>
        <w:spacing w:after="0" w:line="63" w:lineRule="exact"/>
        <w:rPr>
          <w:rFonts w:ascii="Arial" w:cs="Arial" w:eastAsia="Arial" w:hAnsi="Arial"/>
          <w:sz w:val="16"/>
          <w:szCs w:val="16"/>
          <w:color w:val="auto"/>
        </w:rPr>
      </w:pPr>
    </w:p>
    <w:p>
      <w:pPr>
        <w:ind w:left="460" w:right="80" w:firstLine="443"/>
        <w:spacing w:after="0" w:line="277" w:lineRule="auto"/>
        <w:tabs>
          <w:tab w:leader="none" w:pos="128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Company may make payment of any Defaulted Interest on the Securities of any series in any other lawful manner not inconsistent with the requirements of any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4" w:right="239" w:bottom="1440" w:gutter="0" w:footer="0" w:header="0"/>
        </w:sectPr>
      </w:pPr>
    </w:p>
    <w:bookmarkStart w:id="133" w:name="page134"/>
    <w:bookmarkEnd w:id="133"/>
    <w:p>
      <w:pPr>
        <w:ind w:left="460" w:right="2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124"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Subject to the foregoing provisions of this Section, each Security delivered under this Indenture upon registration of transfer of or in exchange for or in lieu of any other Security shall carry the rights to interest accrued and unpaid, and to accrue, which were carried by such other Security.</w:t>
      </w:r>
    </w:p>
    <w:p>
      <w:pPr>
        <w:spacing w:after="0" w:line="25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Section 3.8</w:t>
      </w:r>
      <w:r>
        <w:rPr>
          <w:sz w:val="20"/>
          <w:szCs w:val="20"/>
          <w:color w:val="auto"/>
        </w:rPr>
        <w:tab/>
      </w:r>
      <w:r>
        <w:rPr>
          <w:rFonts w:ascii="Arial" w:cs="Arial" w:eastAsia="Arial" w:hAnsi="Arial"/>
          <w:sz w:val="15"/>
          <w:szCs w:val="15"/>
          <w:b w:val="1"/>
          <w:bCs w:val="1"/>
          <w:color w:val="auto"/>
        </w:rPr>
        <w:t>Persons Deemed Owners.</w:t>
      </w:r>
    </w:p>
    <w:p>
      <w:pPr>
        <w:spacing w:after="0" w:line="121"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Prior to due presentment of a Security for registration of transfer, the Company, the Trustee and any agent of the Company or the Trustee may treat the Person in whose name such Security is registered as the owner of such Security for the purpose of receiving payment of principal of and any premium and (subject to Section 3.7) any interest on such Security and for all other purposes whatsoever, whether or not such Security be overdue, and neither the Company, the Trustee nor any agent of the Company or the Trustee shall be affected by notice to the contrary.</w:t>
      </w:r>
    </w:p>
    <w:p>
      <w:pPr>
        <w:spacing w:after="0" w:line="27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Section 3.9</w:t>
      </w:r>
      <w:r>
        <w:rPr>
          <w:sz w:val="20"/>
          <w:szCs w:val="20"/>
          <w:color w:val="auto"/>
        </w:rPr>
        <w:tab/>
      </w:r>
      <w:r>
        <w:rPr>
          <w:rFonts w:ascii="Arial" w:cs="Arial" w:eastAsia="Arial" w:hAnsi="Arial"/>
          <w:sz w:val="16"/>
          <w:szCs w:val="16"/>
          <w:b w:val="1"/>
          <w:bCs w:val="1"/>
          <w:color w:val="auto"/>
        </w:rPr>
        <w:t>Cancellation.</w:t>
      </w:r>
    </w:p>
    <w:p>
      <w:pPr>
        <w:spacing w:after="0" w:line="121" w:lineRule="exact"/>
        <w:rPr>
          <w:sz w:val="20"/>
          <w:szCs w:val="20"/>
          <w:color w:val="auto"/>
        </w:rPr>
      </w:pPr>
    </w:p>
    <w:p>
      <w:pPr>
        <w:ind w:right="140" w:firstLine="456"/>
        <w:spacing w:after="0" w:line="272" w:lineRule="auto"/>
        <w:rPr>
          <w:sz w:val="20"/>
          <w:szCs w:val="20"/>
          <w:color w:val="auto"/>
        </w:rPr>
      </w:pPr>
      <w:r>
        <w:rPr>
          <w:rFonts w:ascii="Arial" w:cs="Arial" w:eastAsia="Arial" w:hAnsi="Arial"/>
          <w:sz w:val="17"/>
          <w:szCs w:val="17"/>
          <w:color w:val="auto"/>
        </w:rPr>
        <w:t>All Securities surrendered for payment, redemption, registration of transfer or exchange or for credit against any sinking fund payment shall, if surrendered to any Person other than the Trustee, be delivered to the Trustee and shall be promptly canceled by it. The Company may at any time deliver to the Trustee for cancellation any Securities previously authenticated and delivered hereunder which the Company may have acquired in any manner whatsoever, and may deliver to the Trustee (or to any other Person for delivery to the Trustee) for cancellation any Securities previously authenticated hereunder which the Company has not issued and sold, and all Securities so delivered shall be promptly canceled by the Trustee. No Securities shall be authenticated in lieu of or in exchange for any Securities canceled as provided in this Section, except as expressly permitted by this Indenture. All canceled Securities held by the Trustee shall be disposed of in accordance with its customary procedures.</w:t>
      </w:r>
    </w:p>
    <w:p>
      <w:pPr>
        <w:spacing w:after="0" w:line="282"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Section 3.10</w:t>
      </w:r>
      <w:r>
        <w:rPr>
          <w:sz w:val="20"/>
          <w:szCs w:val="20"/>
          <w:color w:val="auto"/>
        </w:rPr>
        <w:tab/>
      </w:r>
      <w:r>
        <w:rPr>
          <w:rFonts w:ascii="Arial" w:cs="Arial" w:eastAsia="Arial" w:hAnsi="Arial"/>
          <w:sz w:val="16"/>
          <w:szCs w:val="16"/>
          <w:b w:val="1"/>
          <w:bCs w:val="1"/>
          <w:color w:val="auto"/>
        </w:rPr>
        <w:t>Computation of Interest.</w:t>
      </w:r>
    </w:p>
    <w:p>
      <w:pPr>
        <w:spacing w:after="0" w:line="12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Except as otherwise specified as contemplated by Section 3.1 for Securities of any series, interest on the Securities of each series shall be computed on the basis of a 360-day year of twelve 30-day months.</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40"/>
          </w:cols>
          <w:pgMar w:left="240" w:top="274" w:right="319" w:bottom="1440" w:gutter="0" w:footer="0" w:header="0"/>
        </w:sectPr>
      </w:pPr>
    </w:p>
    <w:bookmarkStart w:id="134" w:name="page135"/>
    <w:bookmarkEnd w:id="134"/>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4</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SATISFACTION AND DISCHARGE</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Section 4.1</w:t>
      </w:r>
      <w:r>
        <w:rPr>
          <w:sz w:val="20"/>
          <w:szCs w:val="20"/>
          <w:color w:val="auto"/>
        </w:rPr>
        <w:tab/>
      </w:r>
      <w:r>
        <w:rPr>
          <w:rFonts w:ascii="Arial" w:cs="Arial" w:eastAsia="Arial" w:hAnsi="Arial"/>
          <w:sz w:val="16"/>
          <w:szCs w:val="16"/>
          <w:b w:val="1"/>
          <w:bCs w:val="1"/>
          <w:color w:val="auto"/>
        </w:rPr>
        <w:t>Satisfaction and Discharge of Indenture.</w:t>
      </w:r>
    </w:p>
    <w:p>
      <w:pPr>
        <w:spacing w:after="0" w:line="121"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This Indenture shall upon Company Request cease to be of further effect (except as to any surviving rights of registration of transfer or exchange of Securities herein expressly provided for), and the Trustee, at the expense of the Company, shall execute proper instruments acknowledging satisfaction and discharge of this Indenture, when</w:t>
      </w:r>
    </w:p>
    <w:p>
      <w:pPr>
        <w:spacing w:after="0" w:line="73" w:lineRule="exact"/>
        <w:rPr>
          <w:sz w:val="20"/>
          <w:szCs w:val="20"/>
          <w:color w:val="auto"/>
        </w:rPr>
      </w:pPr>
    </w:p>
    <w:p>
      <w:pPr>
        <w:ind w:left="1300" w:hanging="397"/>
        <w:spacing w:after="0"/>
        <w:tabs>
          <w:tab w:leader="none" w:pos="13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either</w:t>
      </w:r>
    </w:p>
    <w:p>
      <w:pPr>
        <w:spacing w:after="0" w:line="117" w:lineRule="exact"/>
        <w:rPr>
          <w:rFonts w:ascii="Arial" w:cs="Arial" w:eastAsia="Arial" w:hAnsi="Arial"/>
          <w:sz w:val="18"/>
          <w:szCs w:val="18"/>
          <w:color w:val="auto"/>
        </w:rPr>
      </w:pPr>
    </w:p>
    <w:p>
      <w:pPr>
        <w:ind w:left="920" w:right="140" w:firstLine="421"/>
        <w:spacing w:after="0" w:line="259" w:lineRule="auto"/>
        <w:tabs>
          <w:tab w:leader="none" w:pos="177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all Securities theretofore authenticated and delivered (other than (i) Securities which have been destroyed, lost or stolen and which have been replaced or paid as provided in Section 3.6 and (ii) Securities for whose payment money has theretofore been deposited in trust or segregated and held in trust by the Trustee or the Company and thereafter repaid to the Company or discharged from such trust, as provided in Section 10.3) have been delivered to the Trustee for cancellation; or</w:t>
      </w:r>
    </w:p>
    <w:p>
      <w:pPr>
        <w:spacing w:after="0" w:line="78" w:lineRule="exact"/>
        <w:rPr>
          <w:rFonts w:ascii="Arial" w:cs="Arial" w:eastAsia="Arial" w:hAnsi="Arial"/>
          <w:sz w:val="18"/>
          <w:szCs w:val="18"/>
          <w:color w:val="auto"/>
        </w:rPr>
      </w:pPr>
    </w:p>
    <w:p>
      <w:pPr>
        <w:ind w:left="1760" w:hanging="419"/>
        <w:spacing w:after="0"/>
        <w:tabs>
          <w:tab w:leader="none" w:pos="176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all such Securities not theretofore delivered to the Trustee for cancellation</w:t>
      </w:r>
    </w:p>
    <w:p>
      <w:pPr>
        <w:spacing w:after="0" w:line="117" w:lineRule="exact"/>
        <w:rPr>
          <w:rFonts w:ascii="Arial" w:cs="Arial" w:eastAsia="Arial" w:hAnsi="Arial"/>
          <w:sz w:val="18"/>
          <w:szCs w:val="18"/>
          <w:color w:val="auto"/>
        </w:rPr>
      </w:pPr>
    </w:p>
    <w:p>
      <w:pPr>
        <w:ind w:left="2240" w:hanging="351"/>
        <w:spacing w:after="0"/>
        <w:tabs>
          <w:tab w:leader="none" w:pos="2240" w:val="left"/>
        </w:tabs>
        <w:numPr>
          <w:ilvl w:val="2"/>
          <w:numId w:val="110"/>
        </w:numPr>
        <w:rPr>
          <w:rFonts w:ascii="Arial" w:cs="Arial" w:eastAsia="Arial" w:hAnsi="Arial"/>
          <w:sz w:val="18"/>
          <w:szCs w:val="18"/>
          <w:color w:val="auto"/>
        </w:rPr>
      </w:pPr>
      <w:r>
        <w:rPr>
          <w:rFonts w:ascii="Arial" w:cs="Arial" w:eastAsia="Arial" w:hAnsi="Arial"/>
          <w:sz w:val="18"/>
          <w:szCs w:val="18"/>
          <w:color w:val="auto"/>
        </w:rPr>
        <w:t>have become due and payable, or</w:t>
      </w:r>
    </w:p>
    <w:p>
      <w:pPr>
        <w:spacing w:after="0" w:line="117" w:lineRule="exact"/>
        <w:rPr>
          <w:rFonts w:ascii="Arial" w:cs="Arial" w:eastAsia="Arial" w:hAnsi="Arial"/>
          <w:sz w:val="18"/>
          <w:szCs w:val="18"/>
          <w:color w:val="auto"/>
        </w:rPr>
      </w:pPr>
    </w:p>
    <w:p>
      <w:pPr>
        <w:ind w:left="2280" w:hanging="391"/>
        <w:spacing w:after="0"/>
        <w:tabs>
          <w:tab w:leader="none" w:pos="2280" w:val="left"/>
        </w:tabs>
        <w:numPr>
          <w:ilvl w:val="2"/>
          <w:numId w:val="110"/>
        </w:numPr>
        <w:rPr>
          <w:rFonts w:ascii="Arial" w:cs="Arial" w:eastAsia="Arial" w:hAnsi="Arial"/>
          <w:sz w:val="18"/>
          <w:szCs w:val="18"/>
          <w:color w:val="auto"/>
        </w:rPr>
      </w:pPr>
      <w:r>
        <w:rPr>
          <w:rFonts w:ascii="Arial" w:cs="Arial" w:eastAsia="Arial" w:hAnsi="Arial"/>
          <w:sz w:val="18"/>
          <w:szCs w:val="18"/>
          <w:color w:val="auto"/>
        </w:rPr>
        <w:t>will become due and payable at their Stated Maturity within one year, or</w:t>
      </w:r>
    </w:p>
    <w:p>
      <w:pPr>
        <w:spacing w:after="0" w:line="117" w:lineRule="exact"/>
        <w:rPr>
          <w:rFonts w:ascii="Arial" w:cs="Arial" w:eastAsia="Arial" w:hAnsi="Arial"/>
          <w:sz w:val="18"/>
          <w:szCs w:val="18"/>
          <w:color w:val="auto"/>
        </w:rPr>
      </w:pPr>
    </w:p>
    <w:p>
      <w:pPr>
        <w:ind w:left="1500" w:right="340" w:firstLine="389"/>
        <w:spacing w:after="0" w:line="277" w:lineRule="auto"/>
        <w:tabs>
          <w:tab w:leader="none" w:pos="2347" w:val="left"/>
        </w:tabs>
        <w:numPr>
          <w:ilvl w:val="2"/>
          <w:numId w:val="110"/>
        </w:numPr>
        <w:rPr>
          <w:rFonts w:ascii="Arial" w:cs="Arial" w:eastAsia="Arial" w:hAnsi="Arial"/>
          <w:sz w:val="18"/>
          <w:szCs w:val="18"/>
          <w:color w:val="auto"/>
        </w:rPr>
      </w:pPr>
      <w:r>
        <w:rPr>
          <w:rFonts w:ascii="Arial" w:cs="Arial" w:eastAsia="Arial" w:hAnsi="Arial"/>
          <w:sz w:val="18"/>
          <w:szCs w:val="18"/>
          <w:color w:val="auto"/>
        </w:rPr>
        <w:t>are to be called for redemption within one year under arrangements satisfactory to the Trustee for the giving of notice of redemption by the Trustee in the name, and at the expense, of the Company,</w:t>
      </w:r>
    </w:p>
    <w:p>
      <w:pPr>
        <w:spacing w:after="0" w:line="62" w:lineRule="exact"/>
        <w:rPr>
          <w:rFonts w:ascii="Arial" w:cs="Arial" w:eastAsia="Arial" w:hAnsi="Arial"/>
          <w:sz w:val="18"/>
          <w:szCs w:val="18"/>
          <w:color w:val="auto"/>
        </w:rPr>
      </w:pPr>
    </w:p>
    <w:p>
      <w:pPr>
        <w:ind w:left="920" w:firstLine="421"/>
        <w:spacing w:after="0" w:line="259" w:lineRule="auto"/>
        <w:tabs>
          <w:tab w:leader="none" w:pos="176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and the Company, in the case of (i), (ii) or (iii) above, has deposited or caused to be deposited with the Trustee as trust funds in trust for the purpose money in an amount sufficient to pay and discharge the entire indebtedness on such Securities not theretofore delivered to the Trustee for cancellation, for principal and any premium and interest to the date of such deposit (in the case of Securities which have become due and payable) or to the Stated Maturity or Redemption Date, as the case may be;</w:t>
      </w:r>
    </w:p>
    <w:p>
      <w:pPr>
        <w:spacing w:after="0" w:line="78" w:lineRule="exact"/>
        <w:rPr>
          <w:rFonts w:ascii="Arial" w:cs="Arial" w:eastAsia="Arial" w:hAnsi="Arial"/>
          <w:sz w:val="18"/>
          <w:szCs w:val="18"/>
          <w:color w:val="auto"/>
        </w:rPr>
      </w:pPr>
    </w:p>
    <w:p>
      <w:pPr>
        <w:ind w:left="1300" w:hanging="397"/>
        <w:spacing w:after="0"/>
        <w:tabs>
          <w:tab w:leader="none" w:pos="13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Company has paid or caused to be paid all other sums payable hereunder by the Company; and</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20"/>
          </w:cols>
          <w:pgMar w:left="240" w:top="270" w:right="339" w:bottom="1440" w:gutter="0" w:footer="0" w:header="0"/>
        </w:sectPr>
      </w:pPr>
    </w:p>
    <w:bookmarkStart w:id="135" w:name="page136"/>
    <w:bookmarkEnd w:id="135"/>
    <w:p>
      <w:pPr>
        <w:ind w:left="460" w:right="420" w:firstLine="443"/>
        <w:spacing w:after="0" w:line="277" w:lineRule="auto"/>
        <w:tabs>
          <w:tab w:leader="none" w:pos="1288" w:val="left"/>
        </w:tabs>
        <w:numPr>
          <w:ilvl w:val="0"/>
          <w:numId w:val="1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has delivered to the Trustee an Officers’ Certificate and an Opinion of Counsel, each stating that all conditions precedent herein provided for relating to the satisfaction and discharge of this Indenture have been complied with.</w:t>
      </w:r>
    </w:p>
    <w:p>
      <w:pPr>
        <w:spacing w:after="0" w:line="170"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Notwithstanding the satisfaction and discharge of this Indenture, the obligations of the Company to the Trustee under Section 6.7, the obligations of the Trustee to any Authenticating Agent under Section 6.14 and, if money shall have been deposited with the Trustee pursuant to subclause (B) of clause (1) of this Section, the obligations of the Trustee under Section 4.2 and the last paragraph of Section 10.3 shall survive.</w:t>
      </w:r>
    </w:p>
    <w:p>
      <w:pPr>
        <w:spacing w:after="0" w:line="27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Section 4.2</w:t>
      </w:r>
      <w:r>
        <w:rPr>
          <w:sz w:val="20"/>
          <w:szCs w:val="20"/>
          <w:color w:val="auto"/>
        </w:rPr>
        <w:tab/>
      </w:r>
      <w:r>
        <w:rPr>
          <w:rFonts w:ascii="Arial" w:cs="Arial" w:eastAsia="Arial" w:hAnsi="Arial"/>
          <w:sz w:val="16"/>
          <w:szCs w:val="16"/>
          <w:b w:val="1"/>
          <w:bCs w:val="1"/>
          <w:color w:val="auto"/>
        </w:rPr>
        <w:t>Application of Trust Money.</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Subject to the provisions of the last paragraph of Section 10.3, all money deposited with the Trustee pursuant to Section 4.1 shall be held in trust and applied by it, in accordance with the provisions of the Securities and this Indenture, to the payment, either directly or through any Paying Agent (including the Company acting as its own Paying Agent) as the Trustee may determine, to the Persons entitled thereto, of the principal and any premium and interest for whose payment such money has been deposited with the Trustee.</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5</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REMEDIES</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Section 5.1</w:t>
      </w:r>
      <w:r>
        <w:rPr>
          <w:sz w:val="20"/>
          <w:szCs w:val="20"/>
          <w:color w:val="auto"/>
        </w:rPr>
        <w:tab/>
      </w:r>
      <w:r>
        <w:rPr>
          <w:rFonts w:ascii="Arial" w:cs="Arial" w:eastAsia="Arial" w:hAnsi="Arial"/>
          <w:sz w:val="16"/>
          <w:szCs w:val="16"/>
          <w:b w:val="1"/>
          <w:bCs w:val="1"/>
          <w:color w:val="auto"/>
        </w:rPr>
        <w:t>Events of Default.</w:t>
      </w:r>
    </w:p>
    <w:p>
      <w:pPr>
        <w:spacing w:after="0" w:line="121"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“Event of Default,” wherever used herein with respect to Securities of any series, means any one of the following events (whatever the reason for such Event of Default and whether it shall be occasioned by the provisions of Article 15 or be voluntary or involuntary or be effected by operation of law or pursuant to any judgment, decree or order of any court or any order, rule or regulation of any administrative or governmental body), unless in the Board Resolution (or an Officers’ Certificate detailing such establishment pursuant to such Board Resolution) or supplemental indenture establishing such series, it is provided that such series shall not have the benefit of said Event of Default:</w:t>
      </w:r>
    </w:p>
    <w:p>
      <w:pPr>
        <w:spacing w:after="0" w:line="64" w:lineRule="exact"/>
        <w:rPr>
          <w:sz w:val="20"/>
          <w:szCs w:val="20"/>
          <w:color w:val="auto"/>
        </w:rPr>
      </w:pPr>
    </w:p>
    <w:p>
      <w:pPr>
        <w:ind w:left="1300" w:hanging="397"/>
        <w:spacing w:after="0"/>
        <w:tabs>
          <w:tab w:leader="none" w:pos="130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default in the payment of the principal or the Redemption Price of or any premium on any Security of that series at its Maturity; or</w:t>
      </w:r>
    </w:p>
    <w:p>
      <w:pPr>
        <w:spacing w:after="0" w:line="128" w:lineRule="exact"/>
        <w:rPr>
          <w:rFonts w:ascii="Arial" w:cs="Arial" w:eastAsia="Arial" w:hAnsi="Arial"/>
          <w:sz w:val="17"/>
          <w:szCs w:val="17"/>
          <w:color w:val="auto"/>
        </w:rPr>
      </w:pPr>
    </w:p>
    <w:p>
      <w:pPr>
        <w:ind w:left="460" w:right="20" w:firstLine="443"/>
        <w:spacing w:after="0" w:line="277" w:lineRule="auto"/>
        <w:tabs>
          <w:tab w:leader="none" w:pos="1288" w:val="left"/>
        </w:tabs>
        <w:numPr>
          <w:ilvl w:val="0"/>
          <w:numId w:val="112"/>
        </w:numPr>
        <w:rPr>
          <w:rFonts w:ascii="Arial" w:cs="Arial" w:eastAsia="Arial" w:hAnsi="Arial"/>
          <w:sz w:val="18"/>
          <w:szCs w:val="18"/>
          <w:color w:val="auto"/>
        </w:rPr>
      </w:pPr>
      <w:r>
        <w:rPr>
          <w:rFonts w:ascii="Arial" w:cs="Arial" w:eastAsia="Arial" w:hAnsi="Arial"/>
          <w:sz w:val="18"/>
          <w:szCs w:val="18"/>
          <w:color w:val="auto"/>
        </w:rPr>
        <w:t>default in the payment of any interest upon any Security of that series when it becomes due and payable, and continuance of such default for a period of 30 days; or</w:t>
      </w:r>
    </w:p>
    <w:p>
      <w:pPr>
        <w:spacing w:after="0" w:line="62" w:lineRule="exact"/>
        <w:rPr>
          <w:rFonts w:ascii="Arial" w:cs="Arial" w:eastAsia="Arial" w:hAnsi="Arial"/>
          <w:sz w:val="18"/>
          <w:szCs w:val="18"/>
          <w:color w:val="auto"/>
        </w:rPr>
      </w:pPr>
    </w:p>
    <w:p>
      <w:pPr>
        <w:ind w:left="1300" w:hanging="397"/>
        <w:spacing w:after="0"/>
        <w:tabs>
          <w:tab w:leader="none" w:pos="13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default in the deposit of any sinking fund payment, when and as due by the terms of a Security of that series; or</w:t>
      </w:r>
    </w:p>
    <w:p>
      <w:pPr>
        <w:spacing w:after="0" w:line="117" w:lineRule="exact"/>
        <w:rPr>
          <w:rFonts w:ascii="Arial" w:cs="Arial" w:eastAsia="Arial" w:hAnsi="Arial"/>
          <w:sz w:val="18"/>
          <w:szCs w:val="18"/>
          <w:color w:val="auto"/>
        </w:rPr>
      </w:pPr>
    </w:p>
    <w:p>
      <w:pPr>
        <w:ind w:left="460" w:right="260" w:firstLine="443"/>
        <w:spacing w:after="0" w:line="277" w:lineRule="auto"/>
        <w:tabs>
          <w:tab w:leader="none" w:pos="1288" w:val="left"/>
        </w:tabs>
        <w:numPr>
          <w:ilvl w:val="0"/>
          <w:numId w:val="112"/>
        </w:numPr>
        <w:rPr>
          <w:rFonts w:ascii="Arial" w:cs="Arial" w:eastAsia="Arial" w:hAnsi="Arial"/>
          <w:sz w:val="18"/>
          <w:szCs w:val="18"/>
          <w:color w:val="auto"/>
        </w:rPr>
      </w:pPr>
      <w:r>
        <w:rPr>
          <w:rFonts w:ascii="Arial" w:cs="Arial" w:eastAsia="Arial" w:hAnsi="Arial"/>
          <w:sz w:val="18"/>
          <w:szCs w:val="18"/>
          <w:color w:val="auto"/>
        </w:rPr>
        <w:t>default in the performance, or breach, of any covenant or warranty of the Company in this Indenture (other than a covenant or warranty a default in whose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74" w:right="239" w:bottom="1440" w:gutter="0" w:footer="0" w:header="0"/>
        </w:sectPr>
      </w:pPr>
    </w:p>
    <w:bookmarkStart w:id="136" w:name="page137"/>
    <w:bookmarkEnd w:id="136"/>
    <w:p>
      <w:pPr>
        <w:ind w:left="460"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performance or whose breach is elsewhere in this Section specifically dealt with or which has expressly been included in this Indenture solely for the benefit of series of Securities other than that series), and continuance of such default or breach for a period of 90 days after there has been given, by registered or certified mail, to the Company by the Trustee or to the Company and the Trustee by the Holders of at least 25% in principal amount of the Outstanding Securities of that series a written notice specifying such default or breach and requiring it to be remedied and stating that such notice is a “Notice of Default” hereunder; or</w:t>
      </w:r>
    </w:p>
    <w:p>
      <w:pPr>
        <w:spacing w:after="0" w:line="80" w:lineRule="exact"/>
        <w:rPr>
          <w:sz w:val="20"/>
          <w:szCs w:val="20"/>
          <w:color w:val="auto"/>
        </w:rPr>
      </w:pPr>
    </w:p>
    <w:p>
      <w:pPr>
        <w:ind w:left="460" w:firstLine="443"/>
        <w:spacing w:after="0" w:line="293" w:lineRule="auto"/>
        <w:tabs>
          <w:tab w:leader="none" w:pos="1288"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entry by a court having jurisdiction in the premises of (A) a decree or order for relief in respect of the Company in an involuntary case or proceeding under any applicable Federal or State bankruptcy, insolvency, reorganization or other similar law or (B) a decree or order adjudging the Company a bankrupt or insolvent, or approving as properly filed a petition seeking reorganization, arrangement, adjustment or composition of or in respect of the Company under any applicable Federal or State law, or appointing a custodian, receiver, liquidator, assignee, trustee, sequestrator or other similar official of the Company or of any substantial part of its property, or ordering the winding up or liquidation of its affairs, and the continuance of any such decree or order for relief or any such other decree or order unstayed and in effect for a period of 90 consecutive days; or</w:t>
      </w:r>
    </w:p>
    <w:p>
      <w:pPr>
        <w:spacing w:after="0" w:line="56" w:lineRule="exact"/>
        <w:rPr>
          <w:rFonts w:ascii="Arial" w:cs="Arial" w:eastAsia="Arial" w:hAnsi="Arial"/>
          <w:sz w:val="16"/>
          <w:szCs w:val="16"/>
          <w:color w:val="auto"/>
        </w:rPr>
      </w:pPr>
    </w:p>
    <w:p>
      <w:pPr>
        <w:ind w:left="460" w:firstLine="443"/>
        <w:spacing w:after="0" w:line="290" w:lineRule="auto"/>
        <w:tabs>
          <w:tab w:leader="none" w:pos="1288"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commencement by the Company of a voluntary case or proceeding under any applicable Federal or State bankruptcy, insolvency, reorganization or other similar law or of any other case or proceeding to be adjudicated a bankrupt or insolvent, or the consent by it to the entry of a decree or order for relief in respect of the Company in an involuntary case or proceeding under any applicable Federal or State bankruptcy, insolvency, reorganization or other similar law or to the commencement of any bankruptcy or insolvency case or proceeding against it, or the filing by it of a petition or answer or consent seeking reorganization or relief under any applicable Federal or State law, or the consent by it to the filing of such petition or to the appointment of or taking possession by a custodian, receiver, liquidator, assignee, trustee, sequestrator or other similar official of the Company or of any substantial part of its property, or the making by it of an assignment for the benefit of creditors, or the admission by it in writing of its inability to pay its debts generally as they become due, or the taking of corporate action by the Company in furtherance of any such action; or</w:t>
      </w:r>
    </w:p>
    <w:p>
      <w:pPr>
        <w:spacing w:after="0" w:line="58" w:lineRule="exact"/>
        <w:rPr>
          <w:rFonts w:ascii="Arial" w:cs="Arial" w:eastAsia="Arial" w:hAnsi="Arial"/>
          <w:sz w:val="16"/>
          <w:szCs w:val="16"/>
          <w:color w:val="auto"/>
        </w:rPr>
      </w:pPr>
    </w:p>
    <w:p>
      <w:pPr>
        <w:ind w:left="460" w:right="100" w:firstLine="443"/>
        <w:spacing w:after="0" w:line="277" w:lineRule="auto"/>
        <w:tabs>
          <w:tab w:leader="none" w:pos="1288"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Securities of that series in the Board Resolution (or in an Officers’ Certificate detailing such establishment pursuant to such Board Resolution) or supplemental indenture establishing that series.</w:t>
      </w:r>
    </w:p>
    <w:p>
      <w:pPr>
        <w:spacing w:after="0" w:line="27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Section 5.2</w:t>
      </w:r>
      <w:r>
        <w:rPr>
          <w:sz w:val="20"/>
          <w:szCs w:val="20"/>
          <w:color w:val="auto"/>
        </w:rPr>
        <w:tab/>
      </w:r>
      <w:r>
        <w:rPr>
          <w:rFonts w:ascii="Arial" w:cs="Arial" w:eastAsia="Arial" w:hAnsi="Arial"/>
          <w:sz w:val="16"/>
          <w:szCs w:val="16"/>
          <w:b w:val="1"/>
          <w:bCs w:val="1"/>
          <w:color w:val="auto"/>
        </w:rPr>
        <w:t>Acceleration of Maturity; Rescission and Annulment.</w:t>
      </w:r>
    </w:p>
    <w:p>
      <w:pPr>
        <w:spacing w:after="0" w:line="121" w:lineRule="exact"/>
        <w:rPr>
          <w:sz w:val="20"/>
          <w:szCs w:val="20"/>
          <w:color w:val="auto"/>
        </w:rPr>
      </w:pPr>
    </w:p>
    <w:p>
      <w:pPr>
        <w:ind w:right="140" w:firstLine="464"/>
        <w:spacing w:after="0" w:line="264" w:lineRule="auto"/>
        <w:tabs>
          <w:tab w:leader="none" w:pos="836" w:val="left"/>
        </w:tabs>
        <w:numPr>
          <w:ilvl w:val="0"/>
          <w:numId w:val="114"/>
        </w:numPr>
        <w:rPr>
          <w:rFonts w:ascii="Arial" w:cs="Arial" w:eastAsia="Arial" w:hAnsi="Arial"/>
          <w:sz w:val="18"/>
          <w:szCs w:val="18"/>
          <w:color w:val="auto"/>
        </w:rPr>
      </w:pPr>
      <w:r>
        <w:rPr>
          <w:rFonts w:ascii="Arial" w:cs="Arial" w:eastAsia="Arial" w:hAnsi="Arial"/>
          <w:sz w:val="18"/>
          <w:szCs w:val="18"/>
          <w:color w:val="auto"/>
        </w:rPr>
        <w:t>Unless the Board Resolution (or Officers’ Certificate detailing such establishment pursuant to such Board Resolution) or supplemental indenture establishing such series provides otherwise, if an Event of Default (other than an Event of Default specified in Section 5.1(5) or 5.1(6)) with respect to Securities of any series at the time Outstanding occurs and is continuing, then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74" w:right="259" w:bottom="1440" w:gutter="0" w:footer="0" w:header="0"/>
        </w:sectPr>
      </w:pPr>
    </w:p>
    <w:bookmarkStart w:id="137" w:name="page138"/>
    <w:bookmarkEnd w:id="137"/>
    <w:p>
      <w:pPr>
        <w:ind w:right="2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every such case the Trustee or the Holders of not less than 25% in principal amount of the Outstanding Securities of that series may declare the principal amount of all the Securities of that series (or, if any Securities of that series are Original Issue Discount Securities, such portion of the principal amount of such Securities as may be specified by the terms thereof), and premium, if any, together with accrued and unpaid interest, if any, thereon, to be due and payable immediately, by a notice in writing to the Company (and to the Trustee if given by the Holders), and upon any such declaration such principal amount (or specified amount), and premium, if any, together with accrued and unpaid interest, if any, thereon, shall become immediately due and payable. If an Event of Default specified in Section 5.1(5) or 5.1(6) with respect to Securities of any series at the time Outstanding occurs, the principal amount of all the Securities of that series (or, if any Securities of that series are Original Issue Discount Securities, such portion of the principal amount of such Securities as may be specified by the terms thereof), and premium, if any, together with accrued and unpaid interest, if any, thereon, shall automatically, and without any declaration or other action on the part of the Trustee or any Holder, become immediately due and payable. Any payments by the Company on the Securities following any such acceleration will be subject to the subordination provisions of Article 15 to the extent provided therein.</w:t>
      </w:r>
    </w:p>
    <w:p>
      <w:pPr>
        <w:spacing w:after="0" w:line="169" w:lineRule="exact"/>
        <w:rPr>
          <w:sz w:val="20"/>
          <w:szCs w:val="20"/>
          <w:color w:val="auto"/>
        </w:rPr>
      </w:pPr>
    </w:p>
    <w:p>
      <w:pPr>
        <w:ind w:firstLine="464"/>
        <w:spacing w:after="0" w:line="269" w:lineRule="auto"/>
        <w:tabs>
          <w:tab w:leader="none" w:pos="846" w:val="left"/>
        </w:tabs>
        <w:numPr>
          <w:ilvl w:val="0"/>
          <w:numId w:val="115"/>
        </w:numPr>
        <w:rPr>
          <w:rFonts w:ascii="Arial" w:cs="Arial" w:eastAsia="Arial" w:hAnsi="Arial"/>
          <w:sz w:val="17"/>
          <w:szCs w:val="17"/>
          <w:color w:val="auto"/>
        </w:rPr>
      </w:pPr>
      <w:r>
        <w:rPr>
          <w:rFonts w:ascii="Arial" w:cs="Arial" w:eastAsia="Arial" w:hAnsi="Arial"/>
          <w:sz w:val="17"/>
          <w:szCs w:val="17"/>
          <w:color w:val="auto"/>
        </w:rPr>
        <w:t>Notwithstanding the foregoing, at the election of the Company, the sole remedy with respect to an Event of Default for the failure by the Company to comply with its obligations under Section 314(a)(1) of the Trust Indenture Act relating to the Company’s failure to file any documents or reports that the Company is required to file with the SEC pursuant to Section 13 or 15(d) of the Exchange Act or of its covenants set forth in Section 7.4 (any such Event of Default, a “Reporting Default”), shall for the first 180 calendar days after the occurrence of such Reporting Default consist exclusively of the right to receive additional interest (the “Additional Interest”) on the Securities at an annual rate equal to (i) 0.25% of the principal amount of the Securities for the first 90 calendar days after the occurrence of such Reporting Default and (ii) 0.50% of the principal amount of the Securities from the 91st day to, and including, the 180th day after the occurrence of such Reporting Default. If the Company so elects, the Additional Interest shall accrue on all Outstanding Securities from and including the date on which such Reporting Default first occurs until such violation is cured or waived and shall be payable as provided in Section 3.7. On the 181st day after such Reporting Default (if such violation is not cured or waived prior to such 181st calendar day), then the Trustee or the Holders of not less than 25% in principal amount of the Outstanding securities may declare the principal of, and premium, if any, together with accrued and unpaid interest, if any, on all such Securities to be due and payable immediately.</w:t>
      </w:r>
    </w:p>
    <w:p>
      <w:pPr>
        <w:spacing w:after="0" w:line="18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If the Company elects to pay the Additional Interest as the sole remedy for the Reporting Default, the Company shall notify in writing, by a certificate, the Holders, the Paying Agent and the Trustee of such election at any time on or before the close of business on the first Business Day following the date on which such Event of Default first occurs. Unless and until a Responsible Officer of the Trustee receives at the Corporate Trust Office such a certificate, the Trustee may assume without inquiry that Additional Interest is not payable. The Company shall pay the Additional Interest semi-annually in arrears, with the first semi-annual payment due on the first Interest Payment Date following the date of such Reporting Default, in the same manner as described on the face of the Security.</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74" w:right="239" w:bottom="1440" w:gutter="0" w:footer="0" w:header="0"/>
        </w:sectPr>
      </w:pPr>
    </w:p>
    <w:bookmarkStart w:id="138" w:name="page139"/>
    <w:bookmarkEnd w:id="138"/>
    <w:p>
      <w:pPr>
        <w:ind w:right="320" w:firstLine="464"/>
        <w:spacing w:after="0" w:line="312" w:lineRule="auto"/>
        <w:tabs>
          <w:tab w:leader="none" w:pos="826" w:val="left"/>
        </w:tabs>
        <w:numPr>
          <w:ilvl w:val="0"/>
          <w:numId w:val="11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 any time after such a declaration of acceleration with respect to Securities of any series has been made and before a judgment or decree for payment of the money due has been obtained by the Trustee as hereinafter in this Article provided, the Holders of a majority in principal amount of the Outstanding Securities of that series, by written notice to the Company and the Trustee, may rescind and annul such declaration and its consequences if</w:t>
      </w:r>
    </w:p>
    <w:p>
      <w:pPr>
        <w:spacing w:after="0" w:line="38" w:lineRule="exact"/>
        <w:rPr>
          <w:rFonts w:ascii="Arial" w:cs="Arial" w:eastAsia="Arial" w:hAnsi="Arial"/>
          <w:sz w:val="16"/>
          <w:szCs w:val="16"/>
          <w:color w:val="auto"/>
        </w:rPr>
      </w:pPr>
    </w:p>
    <w:p>
      <w:pPr>
        <w:ind w:left="1300" w:hanging="397"/>
        <w:spacing w:after="0"/>
        <w:tabs>
          <w:tab w:leader="none" w:pos="130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the Company has paid or deposited with the Trustee a sum sufficient to pay</w:t>
      </w:r>
    </w:p>
    <w:p>
      <w:pPr>
        <w:spacing w:after="0" w:line="117" w:lineRule="exact"/>
        <w:rPr>
          <w:rFonts w:ascii="Arial" w:cs="Arial" w:eastAsia="Arial" w:hAnsi="Arial"/>
          <w:sz w:val="18"/>
          <w:szCs w:val="18"/>
          <w:color w:val="auto"/>
        </w:rPr>
      </w:pPr>
    </w:p>
    <w:p>
      <w:pPr>
        <w:ind w:left="1780" w:hanging="439"/>
        <w:spacing w:after="0"/>
        <w:tabs>
          <w:tab w:leader="none" w:pos="1780" w:val="left"/>
        </w:tabs>
        <w:numPr>
          <w:ilvl w:val="2"/>
          <w:numId w:val="116"/>
        </w:numPr>
        <w:rPr>
          <w:rFonts w:ascii="Arial" w:cs="Arial" w:eastAsia="Arial" w:hAnsi="Arial"/>
          <w:sz w:val="18"/>
          <w:szCs w:val="18"/>
          <w:color w:val="auto"/>
        </w:rPr>
      </w:pPr>
      <w:r>
        <w:rPr>
          <w:rFonts w:ascii="Arial" w:cs="Arial" w:eastAsia="Arial" w:hAnsi="Arial"/>
          <w:sz w:val="18"/>
          <w:szCs w:val="18"/>
          <w:color w:val="auto"/>
        </w:rPr>
        <w:t>all overdue interest on all Securities of that series,</w:t>
      </w:r>
    </w:p>
    <w:p>
      <w:pPr>
        <w:spacing w:after="0" w:line="117" w:lineRule="exact"/>
        <w:rPr>
          <w:rFonts w:ascii="Arial" w:cs="Arial" w:eastAsia="Arial" w:hAnsi="Arial"/>
          <w:sz w:val="18"/>
          <w:szCs w:val="18"/>
          <w:color w:val="auto"/>
        </w:rPr>
      </w:pPr>
    </w:p>
    <w:p>
      <w:pPr>
        <w:ind w:left="920" w:right="100" w:firstLine="421"/>
        <w:spacing w:after="0" w:line="277" w:lineRule="auto"/>
        <w:tabs>
          <w:tab w:leader="none" w:pos="1760" w:val="left"/>
        </w:tabs>
        <w:numPr>
          <w:ilvl w:val="2"/>
          <w:numId w:val="116"/>
        </w:numPr>
        <w:rPr>
          <w:rFonts w:ascii="Arial" w:cs="Arial" w:eastAsia="Arial" w:hAnsi="Arial"/>
          <w:sz w:val="18"/>
          <w:szCs w:val="18"/>
          <w:color w:val="auto"/>
        </w:rPr>
      </w:pPr>
      <w:r>
        <w:rPr>
          <w:rFonts w:ascii="Arial" w:cs="Arial" w:eastAsia="Arial" w:hAnsi="Arial"/>
          <w:sz w:val="18"/>
          <w:szCs w:val="18"/>
          <w:color w:val="auto"/>
        </w:rPr>
        <w:t>the principal of (and premium, if any, on) any Securities of that series which have become due otherwise than by such declaration of acceleration and any interest thereon at the rate or rates prescribed therefor in such Securities,</w:t>
      </w:r>
    </w:p>
    <w:p>
      <w:pPr>
        <w:spacing w:after="0" w:line="62" w:lineRule="exact"/>
        <w:rPr>
          <w:rFonts w:ascii="Arial" w:cs="Arial" w:eastAsia="Arial" w:hAnsi="Arial"/>
          <w:sz w:val="18"/>
          <w:szCs w:val="18"/>
          <w:color w:val="auto"/>
        </w:rPr>
      </w:pPr>
    </w:p>
    <w:p>
      <w:pPr>
        <w:ind w:left="920" w:right="400" w:firstLine="421"/>
        <w:spacing w:after="0" w:line="277" w:lineRule="auto"/>
        <w:tabs>
          <w:tab w:leader="none" w:pos="1760" w:val="left"/>
        </w:tabs>
        <w:numPr>
          <w:ilvl w:val="2"/>
          <w:numId w:val="116"/>
        </w:numPr>
        <w:rPr>
          <w:rFonts w:ascii="Arial" w:cs="Arial" w:eastAsia="Arial" w:hAnsi="Arial"/>
          <w:sz w:val="18"/>
          <w:szCs w:val="18"/>
          <w:color w:val="auto"/>
        </w:rPr>
      </w:pPr>
      <w:r>
        <w:rPr>
          <w:rFonts w:ascii="Arial" w:cs="Arial" w:eastAsia="Arial" w:hAnsi="Arial"/>
          <w:sz w:val="18"/>
          <w:szCs w:val="18"/>
          <w:color w:val="auto"/>
        </w:rPr>
        <w:t>to the extent that payment of such interest is lawful, interest upon overdue interest at the rate or rates prescribed therefor in such Securities, and</w:t>
      </w:r>
    </w:p>
    <w:p>
      <w:pPr>
        <w:spacing w:after="0" w:line="62" w:lineRule="exact"/>
        <w:rPr>
          <w:rFonts w:ascii="Arial" w:cs="Arial" w:eastAsia="Arial" w:hAnsi="Arial"/>
          <w:sz w:val="18"/>
          <w:szCs w:val="18"/>
          <w:color w:val="auto"/>
        </w:rPr>
      </w:pPr>
    </w:p>
    <w:p>
      <w:pPr>
        <w:ind w:left="920" w:right="140" w:firstLine="421"/>
        <w:spacing w:after="0" w:line="277" w:lineRule="auto"/>
        <w:tabs>
          <w:tab w:leader="none" w:pos="1770" w:val="left"/>
        </w:tabs>
        <w:numPr>
          <w:ilvl w:val="2"/>
          <w:numId w:val="116"/>
        </w:numPr>
        <w:rPr>
          <w:rFonts w:ascii="Arial" w:cs="Arial" w:eastAsia="Arial" w:hAnsi="Arial"/>
          <w:sz w:val="18"/>
          <w:szCs w:val="18"/>
          <w:color w:val="auto"/>
        </w:rPr>
      </w:pPr>
      <w:r>
        <w:rPr>
          <w:rFonts w:ascii="Arial" w:cs="Arial" w:eastAsia="Arial" w:hAnsi="Arial"/>
          <w:sz w:val="18"/>
          <w:szCs w:val="18"/>
          <w:color w:val="auto"/>
        </w:rPr>
        <w:t>all sums paid or advanced by the Trustee hereunder and the reasonable compensation, expenses, disbursements and advances of the Trustee, its agents and counsel; and</w:t>
      </w:r>
    </w:p>
    <w:p>
      <w:pPr>
        <w:spacing w:after="0" w:line="62" w:lineRule="exact"/>
        <w:rPr>
          <w:rFonts w:ascii="Arial" w:cs="Arial" w:eastAsia="Arial" w:hAnsi="Arial"/>
          <w:sz w:val="18"/>
          <w:szCs w:val="18"/>
          <w:color w:val="auto"/>
        </w:rPr>
      </w:pPr>
    </w:p>
    <w:p>
      <w:pPr>
        <w:ind w:left="460" w:right="320" w:firstLine="443"/>
        <w:spacing w:after="0" w:line="277" w:lineRule="auto"/>
        <w:tabs>
          <w:tab w:leader="none" w:pos="1288" w:val="left"/>
        </w:tabs>
        <w:numPr>
          <w:ilvl w:val="1"/>
          <w:numId w:val="116"/>
        </w:numPr>
        <w:rPr>
          <w:rFonts w:ascii="Arial" w:cs="Arial" w:eastAsia="Arial" w:hAnsi="Arial"/>
          <w:sz w:val="18"/>
          <w:szCs w:val="18"/>
          <w:color w:val="auto"/>
        </w:rPr>
      </w:pPr>
      <w:r>
        <w:rPr>
          <w:rFonts w:ascii="Arial" w:cs="Arial" w:eastAsia="Arial" w:hAnsi="Arial"/>
          <w:sz w:val="18"/>
          <w:szCs w:val="18"/>
          <w:color w:val="auto"/>
        </w:rPr>
        <w:t>all Events of Default with respect to Securities of that series, other than the non-payment of the principal of Securities of that series that have become due solely by such declaration of acceleration, have been cured or waived as provided in Section 5.13.</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such rescission shall affect any subsequent default or impair any right consequent thereon.</w:t>
      </w:r>
    </w:p>
    <w:p>
      <w:pPr>
        <w:spacing w:after="0" w:line="32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Section 5.3</w:t>
      </w:r>
      <w:r>
        <w:rPr>
          <w:sz w:val="20"/>
          <w:szCs w:val="20"/>
          <w:color w:val="auto"/>
        </w:rPr>
        <w:tab/>
      </w:r>
      <w:r>
        <w:rPr>
          <w:rFonts w:ascii="Arial" w:cs="Arial" w:eastAsia="Arial" w:hAnsi="Arial"/>
          <w:sz w:val="16"/>
          <w:szCs w:val="16"/>
          <w:b w:val="1"/>
          <w:bCs w:val="1"/>
          <w:color w:val="auto"/>
        </w:rPr>
        <w:t>Collection of Indebtedness and Suits for Enforcement by Trustee.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covenants that if</w:t>
      </w:r>
    </w:p>
    <w:p>
      <w:pPr>
        <w:spacing w:after="0" w:line="117" w:lineRule="exact"/>
        <w:rPr>
          <w:sz w:val="20"/>
          <w:szCs w:val="20"/>
          <w:color w:val="auto"/>
        </w:rPr>
      </w:pPr>
    </w:p>
    <w:p>
      <w:pPr>
        <w:ind w:left="1300" w:hanging="397"/>
        <w:spacing w:after="0"/>
        <w:tabs>
          <w:tab w:leader="none" w:pos="130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default is made in the payment of the principal or the Redemption Price of (or premium, if any, on) any Security at the Maturity thereof, or</w:t>
      </w:r>
    </w:p>
    <w:p>
      <w:pPr>
        <w:spacing w:after="0" w:line="140" w:lineRule="exact"/>
        <w:rPr>
          <w:rFonts w:ascii="Arial" w:cs="Arial" w:eastAsia="Arial" w:hAnsi="Arial"/>
          <w:sz w:val="16"/>
          <w:szCs w:val="16"/>
          <w:color w:val="auto"/>
        </w:rPr>
      </w:pPr>
    </w:p>
    <w:p>
      <w:pPr>
        <w:ind w:left="460" w:right="20" w:firstLine="443"/>
        <w:spacing w:after="0" w:line="277" w:lineRule="auto"/>
        <w:tabs>
          <w:tab w:leader="none" w:pos="1288" w:val="left"/>
        </w:tabs>
        <w:numPr>
          <w:ilvl w:val="0"/>
          <w:numId w:val="117"/>
        </w:numPr>
        <w:rPr>
          <w:rFonts w:ascii="Arial" w:cs="Arial" w:eastAsia="Arial" w:hAnsi="Arial"/>
          <w:sz w:val="18"/>
          <w:szCs w:val="18"/>
          <w:color w:val="auto"/>
        </w:rPr>
      </w:pPr>
      <w:r>
        <w:rPr>
          <w:rFonts w:ascii="Arial" w:cs="Arial" w:eastAsia="Arial" w:hAnsi="Arial"/>
          <w:sz w:val="18"/>
          <w:szCs w:val="18"/>
          <w:color w:val="auto"/>
        </w:rPr>
        <w:t>default is made in the payment of any interest on any Security when such interest becomes due and payable and such default continues for a period of 30 days.</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will, upon demand of the Trustee, pay to it, for the benefit of the Holders of such Securities, the whole amount then due and payable on such Securities for principal and any premium and interest and, to the extent that payment of such interest shall be legally enforceable, interest on any overdue principal and premium and on any overdue interest, at the rate or rates prescribed therefor in such Securities, and, in addition thereto, such further amount as shall be sufficient to cover the costs and expenses of collection, including the reasonable compensation, expenses, disbursements and advances of the Trustee, its agents and counsel.</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274" w:right="279" w:bottom="1440" w:gutter="0" w:footer="0" w:header="0"/>
        </w:sectPr>
      </w:pPr>
    </w:p>
    <w:bookmarkStart w:id="139" w:name="page140"/>
    <w:bookmarkEnd w:id="139"/>
    <w:p>
      <w:pPr>
        <w:ind w:right="8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an Event of Default with respect to Securities of any series occurs and is continuing, the Trustee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29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Section 5.4</w:t>
      </w:r>
      <w:r>
        <w:rPr>
          <w:sz w:val="20"/>
          <w:szCs w:val="20"/>
          <w:color w:val="auto"/>
        </w:rPr>
        <w:tab/>
      </w:r>
      <w:r>
        <w:rPr>
          <w:rFonts w:ascii="Arial" w:cs="Arial" w:eastAsia="Arial" w:hAnsi="Arial"/>
          <w:sz w:val="16"/>
          <w:szCs w:val="16"/>
          <w:b w:val="1"/>
          <w:bCs w:val="1"/>
          <w:color w:val="auto"/>
        </w:rPr>
        <w:t>Trustee May File Proofs of Claim.</w:t>
      </w:r>
    </w:p>
    <w:p>
      <w:pPr>
        <w:spacing w:after="0" w:line="121"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 xml:space="preserve">In case of any judicial proceeding relative to the Company (or any other obligor upon the Securities), its property or its creditors, the Trustee shall be entitled and empowered, by intervention in such proceeding or otherwise, to take any and all actions authorized under the Trust Indenture Act in order to have claims of the Holders and the Trustee allowed in any such proceeding. In particular, the Trustee shall be authorized to collect and receive any moneys or other property payable or deliverable on any such claims and to distribute the same; 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reasonable compensation, expenses, disbursements and advances of the Trustee, its agents and counsel, and any other amounts due the Trustee under Section 6.7. No provision of this Indenture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Trustee may, on behalf of the Holders, vote for the election of a trustee in bankruptcy or similar official and be a member of a creditors’ or other similar committee.</w:t>
      </w:r>
    </w:p>
    <w:p>
      <w:pPr>
        <w:spacing w:after="0" w:line="28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Section 5.5</w:t>
      </w:r>
      <w:r>
        <w:rPr>
          <w:sz w:val="20"/>
          <w:szCs w:val="20"/>
          <w:color w:val="auto"/>
        </w:rPr>
        <w:tab/>
      </w:r>
      <w:r>
        <w:rPr>
          <w:rFonts w:ascii="Arial" w:cs="Arial" w:eastAsia="Arial" w:hAnsi="Arial"/>
          <w:sz w:val="15"/>
          <w:szCs w:val="15"/>
          <w:b w:val="1"/>
          <w:bCs w:val="1"/>
          <w:color w:val="auto"/>
        </w:rPr>
        <w:t>Trustee May Enforce Claims Without Possession of Securities.</w:t>
      </w:r>
    </w:p>
    <w:p>
      <w:pPr>
        <w:spacing w:after="0" w:line="12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Securities in respect of which such judgment has been recovered.</w:t>
      </w:r>
    </w:p>
    <w:p>
      <w:pPr>
        <w:spacing w:after="0" w:line="292"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Section 5.6</w:t>
      </w:r>
      <w:r>
        <w:rPr>
          <w:sz w:val="20"/>
          <w:szCs w:val="20"/>
          <w:color w:val="auto"/>
        </w:rPr>
        <w:tab/>
      </w:r>
      <w:r>
        <w:rPr>
          <w:rFonts w:ascii="Arial" w:cs="Arial" w:eastAsia="Arial" w:hAnsi="Arial"/>
          <w:sz w:val="16"/>
          <w:szCs w:val="16"/>
          <w:b w:val="1"/>
          <w:bCs w:val="1"/>
          <w:color w:val="auto"/>
        </w:rPr>
        <w:t>Application of Money Collected.</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Any money collected by the Trustee pursuant to this Article shall be applied in the following order, at the date or dates fixed by the Trustee and, in case of the distribution of such money on account of principal or any premium or interest, upon presentation of the Securities and the notation thereon of the payment if only partially paid and upon surrender thereof if fully paid:</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FIRST: To the payment of all amounts due the Trustee under Section 6.7;</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274" w:right="259" w:bottom="1440" w:gutter="0" w:footer="0" w:header="0"/>
        </w:sectPr>
      </w:pPr>
    </w:p>
    <w:bookmarkStart w:id="140" w:name="page141"/>
    <w:bookmarkEnd w:id="140"/>
    <w:p>
      <w:pPr>
        <w:ind w:right="100" w:firstLine="456"/>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SECOND: Subject to Article 15, to the payment of the amounts then due and unpaid for principal of and any premium, if any, and interest on the Securities in respect of which or for the benefit of which such money has been collected, ratably, without preference or priority of any kind, according to the amounts due and payable on such Securities for principal and any premium, if any, and interest, respectively; and</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THIRD: The balance, if any, to the Company or any other Person or Persons entitled thereto.</w:t>
      </w:r>
    </w:p>
    <w:p>
      <w:pPr>
        <w:spacing w:after="0" w:line="32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Section 5.7</w:t>
      </w:r>
      <w:r>
        <w:rPr>
          <w:sz w:val="20"/>
          <w:szCs w:val="20"/>
          <w:color w:val="auto"/>
        </w:rPr>
        <w:tab/>
      </w:r>
      <w:r>
        <w:rPr>
          <w:rFonts w:ascii="Arial" w:cs="Arial" w:eastAsia="Arial" w:hAnsi="Arial"/>
          <w:sz w:val="16"/>
          <w:szCs w:val="16"/>
          <w:b w:val="1"/>
          <w:bCs w:val="1"/>
          <w:color w:val="auto"/>
        </w:rPr>
        <w:t>Limitation on Suits.</w:t>
      </w:r>
    </w:p>
    <w:p>
      <w:pPr>
        <w:spacing w:after="0" w:line="12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No Holder of any Security of any series shall have any right to institute any proceeding, judicial or otherwise, with respect to this Indenture, or for the appointment of a receiver or trustee, or for any other remedy hereunder, unless</w:t>
      </w:r>
    </w:p>
    <w:p>
      <w:pPr>
        <w:spacing w:after="0" w:line="62" w:lineRule="exact"/>
        <w:rPr>
          <w:sz w:val="20"/>
          <w:szCs w:val="20"/>
          <w:color w:val="auto"/>
        </w:rPr>
      </w:pPr>
    </w:p>
    <w:p>
      <w:pPr>
        <w:ind w:left="1300" w:hanging="397"/>
        <w:spacing w:after="0"/>
        <w:tabs>
          <w:tab w:leader="none" w:pos="130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such Holder has previously given written notice to the Trustee of a continuing Event of Default with respect to the Securities of that series;</w:t>
      </w:r>
    </w:p>
    <w:p>
      <w:pPr>
        <w:spacing w:after="0" w:line="140" w:lineRule="exact"/>
        <w:rPr>
          <w:rFonts w:ascii="Arial" w:cs="Arial" w:eastAsia="Arial" w:hAnsi="Arial"/>
          <w:sz w:val="16"/>
          <w:szCs w:val="16"/>
          <w:color w:val="auto"/>
        </w:rPr>
      </w:pPr>
    </w:p>
    <w:p>
      <w:pPr>
        <w:ind w:left="460" w:right="40" w:firstLine="443"/>
        <w:spacing w:after="0" w:line="277" w:lineRule="auto"/>
        <w:tabs>
          <w:tab w:leader="none" w:pos="1288"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the Outstanding Securities of that series shall have made written request to the Trustee to institute proceedings in respect of such Event of Default in its own name as Trustee hereunder;</w:t>
      </w:r>
    </w:p>
    <w:p>
      <w:pPr>
        <w:spacing w:after="0" w:line="62" w:lineRule="exact"/>
        <w:rPr>
          <w:rFonts w:ascii="Arial" w:cs="Arial" w:eastAsia="Arial" w:hAnsi="Arial"/>
          <w:sz w:val="18"/>
          <w:szCs w:val="18"/>
          <w:color w:val="auto"/>
        </w:rPr>
      </w:pPr>
    </w:p>
    <w:p>
      <w:pPr>
        <w:ind w:left="460" w:right="600" w:firstLine="443"/>
        <w:spacing w:after="0" w:line="277" w:lineRule="auto"/>
        <w:tabs>
          <w:tab w:leader="none" w:pos="1288" w:val="left"/>
        </w:tabs>
        <w:numPr>
          <w:ilvl w:val="0"/>
          <w:numId w:val="118"/>
        </w:numPr>
        <w:rPr>
          <w:rFonts w:ascii="Arial" w:cs="Arial" w:eastAsia="Arial" w:hAnsi="Arial"/>
          <w:sz w:val="18"/>
          <w:szCs w:val="18"/>
          <w:color w:val="auto"/>
        </w:rPr>
      </w:pPr>
      <w:r>
        <w:rPr>
          <w:rFonts w:ascii="Arial" w:cs="Arial" w:eastAsia="Arial" w:hAnsi="Arial"/>
          <w:sz w:val="18"/>
          <w:szCs w:val="18"/>
          <w:color w:val="auto"/>
        </w:rPr>
        <w:t>such Holder or Holders have offered to the Trustee reasonable indemnity against the costs, expenses and liabilities to be incurred in compliance with such request;</w:t>
      </w:r>
    </w:p>
    <w:p>
      <w:pPr>
        <w:spacing w:after="0" w:line="62" w:lineRule="exact"/>
        <w:rPr>
          <w:rFonts w:ascii="Arial" w:cs="Arial" w:eastAsia="Arial" w:hAnsi="Arial"/>
          <w:sz w:val="18"/>
          <w:szCs w:val="18"/>
          <w:color w:val="auto"/>
        </w:rPr>
      </w:pPr>
    </w:p>
    <w:p>
      <w:pPr>
        <w:ind w:left="1300" w:hanging="397"/>
        <w:spacing w:after="0"/>
        <w:tabs>
          <w:tab w:leader="none" w:pos="130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the Trustee for 60 days after its receipt of such notice, request and offer of indemnity has failed to institute any such proceeding; and</w:t>
      </w:r>
    </w:p>
    <w:p>
      <w:pPr>
        <w:spacing w:after="0" w:line="128" w:lineRule="exact"/>
        <w:rPr>
          <w:rFonts w:ascii="Arial" w:cs="Arial" w:eastAsia="Arial" w:hAnsi="Arial"/>
          <w:sz w:val="17"/>
          <w:szCs w:val="17"/>
          <w:color w:val="auto"/>
        </w:rPr>
      </w:pPr>
    </w:p>
    <w:p>
      <w:pPr>
        <w:ind w:left="460" w:right="100" w:firstLine="443"/>
        <w:spacing w:after="0" w:line="277" w:lineRule="auto"/>
        <w:tabs>
          <w:tab w:leader="none" w:pos="1288" w:val="left"/>
        </w:tabs>
        <w:numPr>
          <w:ilvl w:val="0"/>
          <w:numId w:val="118"/>
        </w:numPr>
        <w:rPr>
          <w:rFonts w:ascii="Arial" w:cs="Arial" w:eastAsia="Arial" w:hAnsi="Arial"/>
          <w:sz w:val="18"/>
          <w:szCs w:val="18"/>
          <w:color w:val="auto"/>
        </w:rPr>
      </w:pPr>
      <w:r>
        <w:rPr>
          <w:rFonts w:ascii="Arial" w:cs="Arial" w:eastAsia="Arial" w:hAnsi="Arial"/>
          <w:sz w:val="18"/>
          <w:szCs w:val="18"/>
          <w:color w:val="auto"/>
        </w:rPr>
        <w:t>no direction inconsistent with such written request has been given to the Trustee during such 60-day period by the Holders of a majority in principal amount of the Outstanding Securities of that series;</w:t>
      </w:r>
    </w:p>
    <w:p>
      <w:pPr>
        <w:spacing w:after="0" w:line="17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it being understood and intended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of such Holders.</w:t>
      </w:r>
    </w:p>
    <w:p>
      <w:pPr>
        <w:spacing w:after="0" w:line="29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Section 5.8</w:t>
      </w:r>
      <w:r>
        <w:rPr>
          <w:sz w:val="20"/>
          <w:szCs w:val="20"/>
          <w:color w:val="auto"/>
        </w:rPr>
        <w:tab/>
      </w:r>
      <w:r>
        <w:rPr>
          <w:rFonts w:ascii="Arial" w:cs="Arial" w:eastAsia="Arial" w:hAnsi="Arial"/>
          <w:sz w:val="16"/>
          <w:szCs w:val="16"/>
          <w:b w:val="1"/>
          <w:bCs w:val="1"/>
          <w:color w:val="auto"/>
        </w:rPr>
        <w:t>Unconditional Right of Holders to Receive Principal, Premium and Interest and to Convert.</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Notwithstanding any other provision in this Indenture, the Holder of any Security shall have the right, which is absolute and unconditional, to receive payment of the principal of and any premium and (subject to Section 3.7) interest on such Security on the respective Stated Maturities expressed in such Security (or, in the case of redemption, on the Redemption Date), to convert such Securities in accordance with Article 14 to the extent that such right to convert is applicable to such Security, and to institute suit for the enforcement of any such payment, and such rights shall not be impaired without the consent of such Holder.</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60"/>
          </w:cols>
          <w:pgMar w:left="240" w:top="274" w:right="299" w:bottom="1440" w:gutter="0" w:footer="0" w:header="0"/>
        </w:sectPr>
      </w:pPr>
    </w:p>
    <w:bookmarkStart w:id="141" w:name="page142"/>
    <w:bookmarkEnd w:id="141"/>
    <w:p>
      <w:pPr>
        <w:spacing w:after="0"/>
        <w:tabs>
          <w:tab w:leader="none" w:pos="10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5.9</w:t>
      </w:r>
      <w:r>
        <w:rPr>
          <w:sz w:val="20"/>
          <w:szCs w:val="20"/>
          <w:color w:val="auto"/>
        </w:rPr>
        <w:tab/>
      </w:r>
      <w:r>
        <w:rPr>
          <w:rFonts w:ascii="Arial" w:cs="Arial" w:eastAsia="Arial" w:hAnsi="Arial"/>
          <w:sz w:val="15"/>
          <w:szCs w:val="15"/>
          <w:b w:val="1"/>
          <w:bCs w:val="1"/>
          <w:color w:val="auto"/>
        </w:rPr>
        <w:t>Restoration of Rights and Remedies.</w:t>
      </w:r>
    </w:p>
    <w:p>
      <w:pPr>
        <w:spacing w:after="0" w:line="121" w:lineRule="exact"/>
        <w:rPr>
          <w:sz w:val="20"/>
          <w:szCs w:val="20"/>
          <w:color w:val="auto"/>
        </w:rPr>
      </w:pPr>
    </w:p>
    <w:p>
      <w:pPr>
        <w:ind w:right="180" w:firstLine="456"/>
        <w:spacing w:after="0" w:line="302" w:lineRule="auto"/>
        <w:rPr>
          <w:sz w:val="20"/>
          <w:szCs w:val="20"/>
          <w:color w:val="auto"/>
        </w:rPr>
      </w:pPr>
      <w:r>
        <w:rPr>
          <w:rFonts w:ascii="Arial" w:cs="Arial" w:eastAsia="Arial" w:hAnsi="Arial"/>
          <w:sz w:val="16"/>
          <w:szCs w:val="16"/>
          <w:color w:val="auto"/>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258"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Section 5.10</w:t>
      </w:r>
      <w:r>
        <w:rPr>
          <w:sz w:val="20"/>
          <w:szCs w:val="20"/>
          <w:color w:val="auto"/>
        </w:rPr>
        <w:tab/>
      </w:r>
      <w:r>
        <w:rPr>
          <w:rFonts w:ascii="Arial" w:cs="Arial" w:eastAsia="Arial" w:hAnsi="Arial"/>
          <w:sz w:val="16"/>
          <w:szCs w:val="16"/>
          <w:b w:val="1"/>
          <w:bCs w:val="1"/>
          <w:color w:val="auto"/>
        </w:rPr>
        <w:t>Rights and Remedies Cumulative.</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Except as otherwise provided with respect to the replacement or payment of mutilated, destroyed, lost or stolen Securities in the last paragraph of Section 3.6,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292"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Section 5.11</w:t>
      </w:r>
      <w:r>
        <w:rPr>
          <w:sz w:val="20"/>
          <w:szCs w:val="20"/>
          <w:color w:val="auto"/>
        </w:rPr>
        <w:tab/>
      </w:r>
      <w:r>
        <w:rPr>
          <w:rFonts w:ascii="Arial" w:cs="Arial" w:eastAsia="Arial" w:hAnsi="Arial"/>
          <w:sz w:val="16"/>
          <w:szCs w:val="16"/>
          <w:b w:val="1"/>
          <w:bCs w:val="1"/>
          <w:color w:val="auto"/>
        </w:rPr>
        <w:t>Delay or Omission Not Waiver.</w:t>
      </w:r>
    </w:p>
    <w:p>
      <w:pPr>
        <w:spacing w:after="0" w:line="12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(subject to the limitations contained in this Indenture) or by the Holders, as the case may be.</w:t>
      </w:r>
    </w:p>
    <w:p>
      <w:pPr>
        <w:spacing w:after="0" w:line="291"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Section 5.12</w:t>
      </w:r>
      <w:r>
        <w:rPr>
          <w:sz w:val="20"/>
          <w:szCs w:val="20"/>
          <w:color w:val="auto"/>
        </w:rPr>
        <w:tab/>
      </w:r>
      <w:r>
        <w:rPr>
          <w:rFonts w:ascii="Arial" w:cs="Arial" w:eastAsia="Arial" w:hAnsi="Arial"/>
          <w:sz w:val="16"/>
          <w:szCs w:val="16"/>
          <w:b w:val="1"/>
          <w:bCs w:val="1"/>
          <w:color w:val="auto"/>
        </w:rPr>
        <w:t>Control by Holders.</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 xml:space="preserve">The Holders of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73" w:lineRule="exact"/>
        <w:rPr>
          <w:sz w:val="20"/>
          <w:szCs w:val="20"/>
          <w:color w:val="auto"/>
        </w:rPr>
      </w:pPr>
    </w:p>
    <w:p>
      <w:pPr>
        <w:ind w:left="460" w:right="20" w:firstLine="443"/>
        <w:spacing w:after="0" w:line="308" w:lineRule="auto"/>
        <w:tabs>
          <w:tab w:leader="none" w:pos="1288" w:val="left"/>
        </w:tabs>
        <w:numPr>
          <w:ilvl w:val="0"/>
          <w:numId w:val="119"/>
        </w:numPr>
        <w:rPr>
          <w:rFonts w:ascii="Arial" w:cs="Arial" w:eastAsia="Arial" w:hAnsi="Arial"/>
          <w:sz w:val="17"/>
          <w:szCs w:val="17"/>
          <w:color w:val="auto"/>
        </w:rPr>
      </w:pPr>
      <w:r>
        <w:rPr>
          <w:rFonts w:ascii="Arial" w:cs="Arial" w:eastAsia="Arial" w:hAnsi="Arial"/>
          <w:sz w:val="17"/>
          <w:szCs w:val="17"/>
          <w:color w:val="auto"/>
        </w:rPr>
        <w:t>such direction shall not be in conflict with any rule of law or with this Indenture and the Trustee shall not have determined that the action so directed would be unjustly prejudicial to Holders of Securities of that series, or any other series, not taking part in such direction; and</w:t>
      </w:r>
    </w:p>
    <w:p>
      <w:pPr>
        <w:spacing w:after="0" w:line="38" w:lineRule="exact"/>
        <w:rPr>
          <w:rFonts w:ascii="Arial" w:cs="Arial" w:eastAsia="Arial" w:hAnsi="Arial"/>
          <w:sz w:val="17"/>
          <w:szCs w:val="17"/>
          <w:color w:val="auto"/>
        </w:rPr>
      </w:pPr>
    </w:p>
    <w:p>
      <w:pPr>
        <w:ind w:left="1300" w:hanging="397"/>
        <w:spacing w:after="0"/>
        <w:tabs>
          <w:tab w:leader="none" w:pos="130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the Trustee may take any other action deemed proper by the Trustee that is not inconsistent with such direction or this Indenture.</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270" w:right="259" w:bottom="1440" w:gutter="0" w:footer="0" w:header="0"/>
        </w:sectPr>
      </w:pPr>
    </w:p>
    <w:bookmarkStart w:id="142" w:name="page143"/>
    <w:bookmarkEnd w:id="142"/>
    <w:p>
      <w:pPr>
        <w:spacing w:after="0"/>
        <w:tabs>
          <w:tab w:leader="none" w:pos="10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5.13</w:t>
      </w:r>
      <w:r>
        <w:rPr>
          <w:sz w:val="20"/>
          <w:szCs w:val="20"/>
          <w:color w:val="auto"/>
        </w:rPr>
        <w:tab/>
      </w:r>
      <w:r>
        <w:rPr>
          <w:rFonts w:ascii="Arial" w:cs="Arial" w:eastAsia="Arial" w:hAnsi="Arial"/>
          <w:sz w:val="16"/>
          <w:szCs w:val="16"/>
          <w:b w:val="1"/>
          <w:bCs w:val="1"/>
          <w:color w:val="auto"/>
        </w:rPr>
        <w:t>Waiver of Past Defaults.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Holders of not less than a majority in principal amount of the Outstanding Securities of any series may on behalf of the Holders of all the Securities of such series waive any past default hereunder with respect to such series and its consequences, except</w:t>
      </w:r>
    </w:p>
    <w:p>
      <w:pPr>
        <w:spacing w:after="0" w:line="62" w:lineRule="exact"/>
        <w:rPr>
          <w:sz w:val="20"/>
          <w:szCs w:val="20"/>
          <w:color w:val="auto"/>
        </w:rPr>
      </w:pPr>
    </w:p>
    <w:p>
      <w:pPr>
        <w:ind w:left="460" w:right="280" w:firstLine="443"/>
        <w:spacing w:after="0" w:line="264" w:lineRule="auto"/>
        <w:tabs>
          <w:tab w:leader="none" w:pos="1288"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 default in the payment of the principal of or any premium or interest on any Security of such series as and when the same shall become due and payable by the terms thereof, otherwise than by acceleration (unless such default has been cured and a sum sufficient to pay all matured installments of interest, principal and premium, if any, has been deposited with the Trustee), or</w:t>
      </w:r>
    </w:p>
    <w:p>
      <w:pPr>
        <w:spacing w:after="0" w:line="73" w:lineRule="exact"/>
        <w:rPr>
          <w:rFonts w:ascii="Arial" w:cs="Arial" w:eastAsia="Arial" w:hAnsi="Arial"/>
          <w:sz w:val="18"/>
          <w:szCs w:val="18"/>
          <w:color w:val="auto"/>
        </w:rPr>
      </w:pPr>
    </w:p>
    <w:p>
      <w:pPr>
        <w:ind w:left="1300" w:hanging="397"/>
        <w:spacing w:after="0"/>
        <w:tabs>
          <w:tab w:leader="none" w:pos="130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to the extent such right is applicable to such Security, a failure by the Company on request to convert any Security into Common Stock; or</w:t>
      </w:r>
    </w:p>
    <w:p>
      <w:pPr>
        <w:spacing w:after="0" w:line="140" w:lineRule="exact"/>
        <w:rPr>
          <w:rFonts w:ascii="Arial" w:cs="Arial" w:eastAsia="Arial" w:hAnsi="Arial"/>
          <w:sz w:val="16"/>
          <w:szCs w:val="16"/>
          <w:color w:val="auto"/>
        </w:rPr>
      </w:pPr>
    </w:p>
    <w:p>
      <w:pPr>
        <w:ind w:left="460" w:right="20" w:firstLine="443"/>
        <w:spacing w:after="0" w:line="277" w:lineRule="auto"/>
        <w:tabs>
          <w:tab w:leader="none" w:pos="1288"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in respect of a covenant or provision hereof which under Article 9 cannot be modified or amended without the consent of the Holder of each Outstanding Security of such series affected.</w:t>
      </w:r>
    </w:p>
    <w:p>
      <w:pPr>
        <w:spacing w:after="0" w:line="170" w:lineRule="exact"/>
        <w:rPr>
          <w:sz w:val="20"/>
          <w:szCs w:val="20"/>
          <w:color w:val="auto"/>
        </w:rPr>
      </w:pPr>
    </w:p>
    <w:p>
      <w:pPr>
        <w:ind w:right="460" w:firstLine="456"/>
        <w:spacing w:after="0" w:line="308" w:lineRule="auto"/>
        <w:rPr>
          <w:sz w:val="20"/>
          <w:szCs w:val="20"/>
          <w:color w:val="auto"/>
        </w:rPr>
      </w:pPr>
      <w:r>
        <w:rPr>
          <w:rFonts w:ascii="Arial" w:cs="Arial" w:eastAsia="Arial" w:hAnsi="Arial"/>
          <w:sz w:val="17"/>
          <w:szCs w:val="17"/>
          <w:color w:val="auto"/>
        </w:rPr>
        <w:t>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251"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Section 5.14</w:t>
      </w:r>
      <w:r>
        <w:rPr>
          <w:sz w:val="20"/>
          <w:szCs w:val="20"/>
          <w:color w:val="auto"/>
        </w:rPr>
        <w:tab/>
      </w:r>
      <w:r>
        <w:rPr>
          <w:rFonts w:ascii="Arial" w:cs="Arial" w:eastAsia="Arial" w:hAnsi="Arial"/>
          <w:sz w:val="16"/>
          <w:szCs w:val="16"/>
          <w:b w:val="1"/>
          <w:bCs w:val="1"/>
          <w:color w:val="auto"/>
        </w:rPr>
        <w:t>Undertaking for Costs.</w:t>
      </w:r>
    </w:p>
    <w:p>
      <w:pPr>
        <w:spacing w:after="0" w:line="121" w:lineRule="exact"/>
        <w:rPr>
          <w:sz w:val="20"/>
          <w:szCs w:val="20"/>
          <w:color w:val="auto"/>
        </w:rPr>
      </w:pPr>
    </w:p>
    <w:p>
      <w:pPr>
        <w:ind w:right="200" w:firstLine="456"/>
        <w:spacing w:after="0" w:line="302" w:lineRule="auto"/>
        <w:rPr>
          <w:sz w:val="20"/>
          <w:szCs w:val="20"/>
          <w:color w:val="auto"/>
        </w:rPr>
      </w:pPr>
      <w:r>
        <w:rPr>
          <w:rFonts w:ascii="Arial" w:cs="Arial" w:eastAsia="Arial" w:hAnsi="Arial"/>
          <w:sz w:val="16"/>
          <w:szCs w:val="16"/>
          <w:color w:val="auto"/>
        </w:rPr>
        <w:t xml:space="preserve">In any suit for the enforcement of any right or remedy under this Indenture, or in any suit against the Trustee for any action taken, suffered or omitted by it as Trustee, a court may require any party litigant in such suit to file an undertaking to pay the costs of such suit, and may assess costs against any such party litigant, in the manner and to the extent provided in the Trust Indenture Act;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neither this Section nor the Trust Indenture Act shall be deemed to authorize any court to require such an undertaking or to make such an assessment in any suit instituted by the Company.</w:t>
      </w:r>
    </w:p>
    <w:p>
      <w:pPr>
        <w:spacing w:after="0" w:line="154"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This Section does not apply to a suit by a Holder to enforce payment of principal of or interest on any Security on the respective due dates, a suit by a Holder to enforce the right to convert in any suit for the enforcement of the right to convert any Security in accordance with Article 14 to the extent such right to convert is applicable to such Security, or a suit by Holders of more than 10% in principal amount of the Outstanding Securities.</w:t>
      </w:r>
    </w:p>
    <w:p>
      <w:pPr>
        <w:spacing w:after="0" w:line="270"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Section 5.15</w:t>
      </w:r>
      <w:r>
        <w:rPr>
          <w:sz w:val="20"/>
          <w:szCs w:val="20"/>
          <w:color w:val="auto"/>
        </w:rPr>
        <w:tab/>
      </w:r>
      <w:r>
        <w:rPr>
          <w:rFonts w:ascii="Arial" w:cs="Arial" w:eastAsia="Arial" w:hAnsi="Arial"/>
          <w:sz w:val="16"/>
          <w:szCs w:val="16"/>
          <w:b w:val="1"/>
          <w:bCs w:val="1"/>
          <w:color w:val="auto"/>
        </w:rPr>
        <w:t>Waiver of Usury, Stay or Extension Laws.</w:t>
      </w:r>
    </w:p>
    <w:p>
      <w:pPr>
        <w:spacing w:after="0" w:line="121" w:lineRule="exact"/>
        <w:rPr>
          <w:sz w:val="20"/>
          <w:szCs w:val="20"/>
          <w:color w:val="auto"/>
        </w:rPr>
      </w:pPr>
    </w:p>
    <w:p>
      <w:pPr>
        <w:jc w:val="both"/>
        <w:ind w:right="40" w:firstLine="456"/>
        <w:spacing w:after="0" w:line="257" w:lineRule="auto"/>
        <w:rPr>
          <w:sz w:val="20"/>
          <w:szCs w:val="20"/>
          <w:color w:val="auto"/>
        </w:rPr>
      </w:pPr>
      <w:r>
        <w:rPr>
          <w:rFonts w:ascii="Arial" w:cs="Arial" w:eastAsia="Arial" w:hAnsi="Arial"/>
          <w:sz w:val="18"/>
          <w:szCs w:val="18"/>
          <w:color w:val="auto"/>
        </w:rPr>
        <w:t>The Company covenants (to the extent that it may lawfully do so) that it will not at any time insist upon, or plead, or in any manner whatsoever claim or take the benefit or advantage of, any usury, stay or extension law wherever enacted, now or at any time hereafter in force, which may affect the covenants or the performance of this Indenture; and the Company (to the extent that it may lawfully do so) hereby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70" w:right="239" w:bottom="1440" w:gutter="0" w:footer="0" w:header="0"/>
        </w:sectPr>
      </w:pPr>
    </w:p>
    <w:bookmarkStart w:id="143" w:name="page144"/>
    <w:bookmarkEnd w:id="14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6</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TRUSTEE</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Section 6.1</w:t>
      </w:r>
      <w:r>
        <w:rPr>
          <w:sz w:val="20"/>
          <w:szCs w:val="20"/>
          <w:color w:val="auto"/>
        </w:rPr>
        <w:tab/>
      </w:r>
      <w:r>
        <w:rPr>
          <w:rFonts w:ascii="Arial" w:cs="Arial" w:eastAsia="Arial" w:hAnsi="Arial"/>
          <w:sz w:val="16"/>
          <w:szCs w:val="16"/>
          <w:b w:val="1"/>
          <w:bCs w:val="1"/>
          <w:color w:val="auto"/>
        </w:rPr>
        <w:t>Certain Duties and Responsibilities.</w:t>
      </w:r>
    </w:p>
    <w:p>
      <w:pPr>
        <w:spacing w:after="0" w:line="121"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The duties and responsibilities of the Trustee shall be as provided by the Trust Indenture Act and as set forth herein. Notwithstanding the foregoing, no provision of this Indenture shall require the Trustee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 Whether or not therein expressly so provided, every provision of this Indenture relating to the conduct or affecting the liability of or affording protection to the Trustee shall be subject to the provisions of this Section.</w:t>
      </w:r>
    </w:p>
    <w:p>
      <w:pPr>
        <w:spacing w:after="0" w:line="262"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Section 6.2</w:t>
      </w:r>
      <w:r>
        <w:rPr>
          <w:sz w:val="20"/>
          <w:szCs w:val="20"/>
          <w:color w:val="auto"/>
        </w:rPr>
        <w:tab/>
      </w:r>
      <w:r>
        <w:rPr>
          <w:rFonts w:ascii="Arial" w:cs="Arial" w:eastAsia="Arial" w:hAnsi="Arial"/>
          <w:sz w:val="16"/>
          <w:szCs w:val="16"/>
          <w:b w:val="1"/>
          <w:bCs w:val="1"/>
          <w:color w:val="auto"/>
        </w:rPr>
        <w:t>Notice of Defaults.</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 xml:space="preserve">If a default occurs hereunder with respect to Securities of any series, the Trustee shall give the Holders of Securities of such series notice of such default as and to the extent provided by the Trust Indenture Act;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except in the case of a default in the payment of principal or Redemption Price of (or premium, if any) or interest on any Securities of such series or in the payment of any sinking fund installment or any conversion right applicable to Securities of such series, the Trustee shall be protected in withholding such notice if and so long as a trust committee of directors and/or Responsible Officers of the Trustee in good faith determine that the withholding of such notice is in the interests of the holders of Securities of such series;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case of any default of the character specified in Section 5.1(4) with respect to Securities of such series, no such notice to Holders shall be given until at least 60 days after the occurrence thereof. For the purpose of this Section, the term “default” means any event that is, or after notice or lapse of time or both would become, an Event of Default with respect to Securities of such series.</w:t>
      </w:r>
    </w:p>
    <w:p>
      <w:pPr>
        <w:spacing w:after="0" w:line="17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Except with respect to Section 10.1, the Trustee shall have no duty to inquire as to the performance of the Company with respect to the covenants contained in Article 10. In addition, the Trustee shall not be deemed to have knowledge of an Event of Default except (i) any Default or Event of Default occurring pursuant to Sections 5.1(1), 5.1(2) and 5.1(3) (defaults in payments on the Securities) or (ii) any Default or Event of Default of which a Responsible Officer the Trustee shall have received written notification or obtained actual knowledge.</w:t>
      </w:r>
    </w:p>
    <w:p>
      <w:pPr>
        <w:spacing w:after="0" w:line="187" w:lineRule="exact"/>
        <w:rPr>
          <w:sz w:val="20"/>
          <w:szCs w:val="20"/>
          <w:color w:val="auto"/>
        </w:rPr>
      </w:pPr>
    </w:p>
    <w:p>
      <w:pPr>
        <w:jc w:val="both"/>
        <w:ind w:right="420" w:firstLine="456"/>
        <w:spacing w:after="0" w:line="312" w:lineRule="auto"/>
        <w:rPr>
          <w:sz w:val="20"/>
          <w:szCs w:val="20"/>
          <w:color w:val="auto"/>
        </w:rPr>
      </w:pPr>
      <w:r>
        <w:rPr>
          <w:rFonts w:ascii="Arial" w:cs="Arial" w:eastAsia="Arial" w:hAnsi="Arial"/>
          <w:sz w:val="16"/>
          <w:szCs w:val="16"/>
          <w:color w:val="auto"/>
        </w:rPr>
        <w:t>Delivery of reports, information and documents to the Trustee under Section 7.4 is for informational purposes only and the Trustee’s receipt of the foregoing shall not constitute constructive notice of any information contained therein or determinable from information contained therein, including the Company’s compliance with any of their covenants hereunder (as to which the Trustee is entitled to rely conclusively on Officers’ Certificates).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70" w:right="239" w:bottom="1440" w:gutter="0" w:footer="0" w:header="0"/>
        </w:sectPr>
      </w:pPr>
    </w:p>
    <w:bookmarkStart w:id="144" w:name="page145"/>
    <w:bookmarkEnd w:id="144"/>
    <w:p>
      <w:pPr>
        <w:spacing w:after="0"/>
        <w:tabs>
          <w:tab w:leader="none" w:pos="10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6.3</w:t>
      </w:r>
      <w:r>
        <w:rPr>
          <w:sz w:val="20"/>
          <w:szCs w:val="20"/>
          <w:color w:val="auto"/>
        </w:rPr>
        <w:tab/>
      </w:r>
      <w:r>
        <w:rPr>
          <w:rFonts w:ascii="Arial" w:cs="Arial" w:eastAsia="Arial" w:hAnsi="Arial"/>
          <w:sz w:val="16"/>
          <w:szCs w:val="16"/>
          <w:b w:val="1"/>
          <w:bCs w:val="1"/>
          <w:color w:val="auto"/>
        </w:rPr>
        <w:t>Certain Rights of Trustee.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Subject to the provisions of Section 6.1:</w:t>
      </w:r>
    </w:p>
    <w:p>
      <w:pPr>
        <w:spacing w:after="0" w:line="117" w:lineRule="exact"/>
        <w:rPr>
          <w:sz w:val="20"/>
          <w:szCs w:val="20"/>
          <w:color w:val="auto"/>
        </w:rPr>
      </w:pPr>
    </w:p>
    <w:p>
      <w:pPr>
        <w:ind w:left="460" w:right="240" w:firstLine="443"/>
        <w:spacing w:after="0" w:line="312" w:lineRule="auto"/>
        <w:tabs>
          <w:tab w:leader="none" w:pos="1288" w:val="left"/>
        </w:tabs>
        <w:numPr>
          <w:ilvl w:val="0"/>
          <w:numId w:val="121"/>
        </w:numPr>
        <w:rPr>
          <w:rFonts w:ascii="Arial" w:cs="Arial" w:eastAsia="Arial" w:hAnsi="Arial"/>
          <w:sz w:val="16"/>
          <w:szCs w:val="16"/>
          <w:color w:val="auto"/>
        </w:rPr>
      </w:pPr>
      <w:r>
        <w:rPr>
          <w:rFonts w:ascii="Arial" w:cs="Arial" w:eastAsia="Arial" w:hAnsi="Arial"/>
          <w:sz w:val="16"/>
          <w:szCs w:val="16"/>
          <w:color w:val="auto"/>
        </w:rPr>
        <w:t>in the absence of bad faith on the part of the Trustee, the Trustee may rely and shall be protected in acting or refraining from acting upon any resolution, certificate, statement, instrument, opinion, report, notice, request, direction, consent, order, bond, debenture, note, other evidence of indebtedness or other paper or document believed by it to be genuine and to have been signed or presented by the proper party or parties;</w:t>
      </w:r>
    </w:p>
    <w:p>
      <w:pPr>
        <w:spacing w:after="0" w:line="38" w:lineRule="exact"/>
        <w:rPr>
          <w:rFonts w:ascii="Arial" w:cs="Arial" w:eastAsia="Arial" w:hAnsi="Arial"/>
          <w:sz w:val="16"/>
          <w:szCs w:val="16"/>
          <w:color w:val="auto"/>
        </w:rPr>
      </w:pPr>
    </w:p>
    <w:p>
      <w:pPr>
        <w:ind w:left="460" w:right="180" w:firstLine="443"/>
        <w:spacing w:after="0" w:line="277" w:lineRule="auto"/>
        <w:tabs>
          <w:tab w:leader="none" w:pos="1288"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any request or direction of the Company mentioned herein shall be sufficiently evidenced by a Company Request or Company Order, and any resolution of the Board of Directors shall be sufficiently evidenced by a Board Resolution;</w:t>
      </w:r>
    </w:p>
    <w:p>
      <w:pPr>
        <w:spacing w:after="0" w:line="62" w:lineRule="exact"/>
        <w:rPr>
          <w:rFonts w:ascii="Arial" w:cs="Arial" w:eastAsia="Arial" w:hAnsi="Arial"/>
          <w:sz w:val="18"/>
          <w:szCs w:val="18"/>
          <w:color w:val="auto"/>
        </w:rPr>
      </w:pPr>
    </w:p>
    <w:p>
      <w:pPr>
        <w:ind w:left="460" w:firstLine="443"/>
        <w:spacing w:after="0" w:line="264" w:lineRule="auto"/>
        <w:tabs>
          <w:tab w:leader="none" w:pos="1288" w:val="left"/>
        </w:tabs>
        <w:numPr>
          <w:ilvl w:val="0"/>
          <w:numId w:val="121"/>
        </w:numPr>
        <w:rPr>
          <w:rFonts w:ascii="Arial" w:cs="Arial" w:eastAsia="Arial" w:hAnsi="Arial"/>
          <w:sz w:val="18"/>
          <w:szCs w:val="18"/>
          <w:color w:val="auto"/>
        </w:rPr>
      </w:pPr>
      <w:r>
        <w:rPr>
          <w:rFonts w:ascii="Arial" w:cs="Arial" w:eastAsia="Arial" w:hAnsi="Arial"/>
          <w:sz w:val="18"/>
          <w:szCs w:val="18"/>
          <w:color w:val="auto"/>
        </w:rPr>
        <w:t>whenever in the administration of this Indenture the Trustee shall deem it desirable that a matter be proved or established prior to taking, suffering or omitting any action hereunder, the Trustee (unless other evidence be herein specifically prescribed) is entitled to and may, in the absence of bad faith on its part, rely upon an Officers’ Certificate;</w:t>
      </w:r>
    </w:p>
    <w:p>
      <w:pPr>
        <w:spacing w:after="0" w:line="73" w:lineRule="exact"/>
        <w:rPr>
          <w:rFonts w:ascii="Arial" w:cs="Arial" w:eastAsia="Arial" w:hAnsi="Arial"/>
          <w:sz w:val="18"/>
          <w:szCs w:val="18"/>
          <w:color w:val="auto"/>
        </w:rPr>
      </w:pPr>
    </w:p>
    <w:p>
      <w:pPr>
        <w:ind w:left="460" w:right="740" w:firstLine="443"/>
        <w:spacing w:after="0" w:line="342" w:lineRule="auto"/>
        <w:tabs>
          <w:tab w:leader="none" w:pos="1288"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Trustee may consult with counsel and the written advice of such counsel or any Opinion of Counsel shall be full and complete authorization and protection in respect of any action taken, suffered or omitted by it hereunder in good faith and in reliance thereon;</w:t>
      </w:r>
    </w:p>
    <w:p>
      <w:pPr>
        <w:spacing w:after="0" w:line="15" w:lineRule="exact"/>
        <w:rPr>
          <w:rFonts w:ascii="Arial" w:cs="Arial" w:eastAsia="Arial" w:hAnsi="Arial"/>
          <w:sz w:val="16"/>
          <w:szCs w:val="16"/>
          <w:color w:val="auto"/>
        </w:rPr>
      </w:pPr>
    </w:p>
    <w:p>
      <w:pPr>
        <w:ind w:left="460" w:right="140" w:firstLine="443"/>
        <w:spacing w:after="0" w:line="264" w:lineRule="auto"/>
        <w:tabs>
          <w:tab w:leader="none" w:pos="1288"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Trustee shall be under no obligation to exercise any of the rights or powers vested in it by this Indenture at the request or direction of any of the Holders pursuant to this Indenture, unless such Holders shall have offered to the Trustee reasonable security or indemnity against the costs, expenses and liabilities which might be incurred by it in compliance with such request or direction;</w:t>
      </w:r>
    </w:p>
    <w:p>
      <w:pPr>
        <w:spacing w:after="0" w:line="73" w:lineRule="exact"/>
        <w:rPr>
          <w:rFonts w:ascii="Arial" w:cs="Arial" w:eastAsia="Arial" w:hAnsi="Arial"/>
          <w:sz w:val="18"/>
          <w:szCs w:val="18"/>
          <w:color w:val="auto"/>
        </w:rPr>
      </w:pPr>
    </w:p>
    <w:p>
      <w:pPr>
        <w:ind w:left="460" w:right="40" w:firstLine="443"/>
        <w:spacing w:after="0" w:line="257" w:lineRule="auto"/>
        <w:tabs>
          <w:tab w:leader="none" w:pos="1288"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and</w:t>
      </w:r>
    </w:p>
    <w:p>
      <w:pPr>
        <w:spacing w:after="0" w:line="80" w:lineRule="exact"/>
        <w:rPr>
          <w:rFonts w:ascii="Arial" w:cs="Arial" w:eastAsia="Arial" w:hAnsi="Arial"/>
          <w:sz w:val="18"/>
          <w:szCs w:val="18"/>
          <w:color w:val="auto"/>
        </w:rPr>
      </w:pPr>
    </w:p>
    <w:p>
      <w:pPr>
        <w:ind w:left="460" w:right="200" w:firstLine="443"/>
        <w:spacing w:after="0" w:line="264" w:lineRule="auto"/>
        <w:tabs>
          <w:tab w:leader="none" w:pos="1288"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270" w:right="279" w:bottom="1440" w:gutter="0" w:footer="0" w:header="0"/>
        </w:sectPr>
      </w:pPr>
    </w:p>
    <w:bookmarkStart w:id="145" w:name="page146"/>
    <w:bookmarkEnd w:id="145"/>
    <w:p>
      <w:pPr>
        <w:spacing w:after="0"/>
        <w:tabs>
          <w:tab w:leader="none" w:pos="10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6.4</w:t>
      </w:r>
      <w:r>
        <w:rPr>
          <w:sz w:val="20"/>
          <w:szCs w:val="20"/>
          <w:color w:val="auto"/>
        </w:rPr>
        <w:tab/>
      </w:r>
      <w:r>
        <w:rPr>
          <w:rFonts w:ascii="Arial" w:cs="Arial" w:eastAsia="Arial" w:hAnsi="Arial"/>
          <w:sz w:val="15"/>
          <w:szCs w:val="15"/>
          <w:b w:val="1"/>
          <w:bCs w:val="1"/>
          <w:color w:val="auto"/>
        </w:rPr>
        <w:t>Not Responsible for Recitals or Issuance of Securities.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recitals contained herein and in the Securities, except the Trustee’s certificates of authentication, shall be taken as the statements of the Company, and neither the Trustee nor any Authenticating Agent assumes any responsibility for their correctness. The Trustee makes no representations as to the validity, sufficiency or priority of this Indenture or of the Securities. Neither the Trustee nor any Authenticating Agent shall be accountable for the use or application by the Company of Securities or the proceeds thereof.</w:t>
      </w:r>
    </w:p>
    <w:p>
      <w:pPr>
        <w:spacing w:after="0" w:line="29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Section 6.5</w:t>
      </w:r>
      <w:r>
        <w:rPr>
          <w:sz w:val="20"/>
          <w:szCs w:val="20"/>
          <w:color w:val="auto"/>
        </w:rPr>
        <w:tab/>
      </w:r>
      <w:r>
        <w:rPr>
          <w:rFonts w:ascii="Arial" w:cs="Arial" w:eastAsia="Arial" w:hAnsi="Arial"/>
          <w:sz w:val="16"/>
          <w:szCs w:val="16"/>
          <w:b w:val="1"/>
          <w:bCs w:val="1"/>
          <w:color w:val="auto"/>
        </w:rPr>
        <w:t>May Hold Securities and Act as Trustee under Other Indentures.</w:t>
      </w:r>
    </w:p>
    <w:p>
      <w:pPr>
        <w:spacing w:after="0" w:line="121"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The Trustee, any Authenticating Agent, any Paying Agent, any Security Registrar or any other agent of the Company, in its individual or any other capacity, may become the owner or pledgee of Securities and, subject to Sections 6.8 and 6.13, may otherwise deal with the Company with the same rights it would have if it were not Trustee, Authenticating Agent, Paying Agent, Security Registrar or such other agent.</w:t>
      </w:r>
    </w:p>
    <w:p>
      <w:pPr>
        <w:spacing w:after="0" w:line="166"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Subject to the limitations imposed by the Trust Indenture Act, nothing in this Indenture shall prohibit the Trustee from becoming and acting as trustee under other indentures under which other securities, or certificates of interest of participation in other securities, of the Company are outstanding in the same manner as if it were not Trustee hereunder.</w:t>
      </w:r>
    </w:p>
    <w:p>
      <w:pPr>
        <w:spacing w:after="0" w:line="28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Section 6.6</w:t>
      </w:r>
      <w:r>
        <w:rPr>
          <w:sz w:val="20"/>
          <w:szCs w:val="20"/>
          <w:color w:val="auto"/>
        </w:rPr>
        <w:tab/>
      </w:r>
      <w:r>
        <w:rPr>
          <w:rFonts w:ascii="Arial" w:cs="Arial" w:eastAsia="Arial" w:hAnsi="Arial"/>
          <w:sz w:val="16"/>
          <w:szCs w:val="16"/>
          <w:b w:val="1"/>
          <w:bCs w:val="1"/>
          <w:color w:val="auto"/>
        </w:rPr>
        <w:t>Money Held in Trust.</w:t>
      </w:r>
    </w:p>
    <w:p>
      <w:pPr>
        <w:spacing w:after="0" w:line="121" w:lineRule="exact"/>
        <w:rPr>
          <w:sz w:val="20"/>
          <w:szCs w:val="20"/>
          <w:color w:val="auto"/>
        </w:rPr>
      </w:pPr>
    </w:p>
    <w:p>
      <w:pPr>
        <w:jc w:val="both"/>
        <w:ind w:right="120" w:firstLine="456"/>
        <w:spacing w:after="0" w:line="277" w:lineRule="auto"/>
        <w:rPr>
          <w:sz w:val="20"/>
          <w:szCs w:val="20"/>
          <w:color w:val="auto"/>
        </w:rPr>
      </w:pPr>
      <w:r>
        <w:rPr>
          <w:rFonts w:ascii="Arial" w:cs="Arial" w:eastAsia="Arial" w:hAnsi="Arial"/>
          <w:sz w:val="18"/>
          <w:szCs w:val="18"/>
          <w:color w:val="auto"/>
        </w:rPr>
        <w:t>Money held by the Trustee in trust hereunder need not be segregated from other funds except to the extent required by law. The Trustee shall be under no liability for interest on any money received by it hereunder except as otherwise agreed with the Company.</w:t>
      </w:r>
    </w:p>
    <w:p>
      <w:pPr>
        <w:spacing w:after="0" w:line="27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Section 6.7</w:t>
      </w:r>
      <w:r>
        <w:rPr>
          <w:sz w:val="20"/>
          <w:szCs w:val="20"/>
          <w:color w:val="auto"/>
        </w:rPr>
        <w:tab/>
      </w:r>
      <w:r>
        <w:rPr>
          <w:rFonts w:ascii="Arial" w:cs="Arial" w:eastAsia="Arial" w:hAnsi="Arial"/>
          <w:sz w:val="16"/>
          <w:szCs w:val="16"/>
          <w:b w:val="1"/>
          <w:bCs w:val="1"/>
          <w:color w:val="auto"/>
        </w:rPr>
        <w:t>Compensation and Reimbursement.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agrees:</w:t>
      </w:r>
    </w:p>
    <w:p>
      <w:pPr>
        <w:spacing w:after="0" w:line="117" w:lineRule="exact"/>
        <w:rPr>
          <w:sz w:val="20"/>
          <w:szCs w:val="20"/>
          <w:color w:val="auto"/>
        </w:rPr>
      </w:pPr>
    </w:p>
    <w:p>
      <w:pPr>
        <w:ind w:left="460" w:right="80" w:firstLine="443"/>
        <w:spacing w:after="0" w:line="277" w:lineRule="auto"/>
        <w:tabs>
          <w:tab w:leader="none" w:pos="1288"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to pay to the Trustee from time to time reasonable compensation for all services rendered by it hereunder (which compensation shall not be limited by any provision of law in regard to the compensation of a trustee of an express trust);</w:t>
      </w:r>
    </w:p>
    <w:p>
      <w:pPr>
        <w:spacing w:after="0" w:line="62" w:lineRule="exact"/>
        <w:rPr>
          <w:rFonts w:ascii="Arial" w:cs="Arial" w:eastAsia="Arial" w:hAnsi="Arial"/>
          <w:sz w:val="18"/>
          <w:szCs w:val="18"/>
          <w:color w:val="auto"/>
        </w:rPr>
      </w:pPr>
    </w:p>
    <w:p>
      <w:pPr>
        <w:ind w:left="460" w:right="100" w:firstLine="443"/>
        <w:spacing w:after="0" w:line="259" w:lineRule="auto"/>
        <w:tabs>
          <w:tab w:leader="none" w:pos="1288" w:val="left"/>
        </w:tabs>
        <w:numPr>
          <w:ilvl w:val="0"/>
          <w:numId w:val="122"/>
        </w:numPr>
        <w:rPr>
          <w:rFonts w:ascii="Arial" w:cs="Arial" w:eastAsia="Arial" w:hAnsi="Arial"/>
          <w:sz w:val="18"/>
          <w:szCs w:val="18"/>
          <w:color w:val="auto"/>
        </w:rPr>
      </w:pPr>
      <w:r>
        <w:rPr>
          <w:rFonts w:ascii="Arial" w:cs="Arial" w:eastAsia="Arial" w:hAnsi="Arial"/>
          <w:sz w:val="18"/>
          <w:szCs w:val="18"/>
          <w:color w:val="auto"/>
        </w:rPr>
        <w:t>except as otherwise expressly provided herein, to reimburse the Trustee upon its request for all reasonable expenses, disbursements and advances incurred or made by the Trustee in accordance with any provision of this Indenture (including the reasonable compensation and the expenses and disbursements of its agents and counsel), except any such expense, disbursement or advance as may be attributable to its negligence or bad faith; and</w:t>
      </w:r>
    </w:p>
    <w:p>
      <w:pPr>
        <w:spacing w:after="0" w:line="78" w:lineRule="exact"/>
        <w:rPr>
          <w:rFonts w:ascii="Arial" w:cs="Arial" w:eastAsia="Arial" w:hAnsi="Arial"/>
          <w:sz w:val="18"/>
          <w:szCs w:val="18"/>
          <w:color w:val="auto"/>
        </w:rPr>
      </w:pPr>
    </w:p>
    <w:p>
      <w:pPr>
        <w:ind w:left="460" w:right="280" w:firstLine="443"/>
        <w:spacing w:after="0" w:line="277" w:lineRule="auto"/>
        <w:tabs>
          <w:tab w:leader="none" w:pos="1288"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to indemnify the Trustee for, and to hold it harmless against, any loss, liability or expense incurred without negligence or bad faith on its part, arising out of or in connection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270" w:right="259" w:bottom="1440" w:gutter="0" w:footer="0" w:header="0"/>
        </w:sectPr>
      </w:pPr>
    </w:p>
    <w:bookmarkStart w:id="146" w:name="page147"/>
    <w:bookmarkEnd w:id="146"/>
    <w:p>
      <w:pPr>
        <w:ind w:left="460" w:right="1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 the acceptance or administration of the trust or trusts hereunder, including the costs and expenses of defending itself against any claim or liability in connection with the exercise or performance of any of its powers or duties hereunder.</w:t>
      </w:r>
    </w:p>
    <w:p>
      <w:pPr>
        <w:spacing w:after="0" w:line="170"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When the Trustee incurs expenses or renders services after an Event of Default specified in Section 5.1(5) or Section 5.1(6) hereof occurs, the expenses and the compensation for the services (including the fees and expenses of its agents and counsel) are intended to constitute expenses of administration under any applicable bankruptcy, insolvency, reorganization or similar law.</w:t>
      </w:r>
    </w:p>
    <w:p>
      <w:pPr>
        <w:spacing w:after="0" w:line="28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Section 6.8</w:t>
      </w:r>
      <w:r>
        <w:rPr>
          <w:sz w:val="20"/>
          <w:szCs w:val="20"/>
          <w:color w:val="auto"/>
        </w:rPr>
        <w:tab/>
      </w:r>
      <w:r>
        <w:rPr>
          <w:rFonts w:ascii="Arial" w:cs="Arial" w:eastAsia="Arial" w:hAnsi="Arial"/>
          <w:sz w:val="16"/>
          <w:szCs w:val="16"/>
          <w:b w:val="1"/>
          <w:bCs w:val="1"/>
          <w:color w:val="auto"/>
        </w:rPr>
        <w:t>Conflicting Interests.</w:t>
      </w:r>
    </w:p>
    <w:p>
      <w:pPr>
        <w:spacing w:after="0" w:line="12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If the Trustee has or shall acquire a conflicting interest within the meaning of the Trust Indenture Act and there is an Event of Default under the Securities of that series, the Trustee shall either eliminate such interest or resign, to the extent and in the manner provided by, and subject to the provisions of, the Trust Indenture Act and this Indenture. To the extent permitted by the Trust Indenture Act, the Trustee shall not be deemed to have a conflicting interest by virtue of being a trustee under this Indenture with respect to Securities of more than one series.</w:t>
      </w:r>
    </w:p>
    <w:p>
      <w:pPr>
        <w:spacing w:after="0" w:line="29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Section 6.9</w:t>
      </w:r>
      <w:r>
        <w:rPr>
          <w:sz w:val="20"/>
          <w:szCs w:val="20"/>
          <w:color w:val="auto"/>
        </w:rPr>
        <w:tab/>
      </w:r>
      <w:r>
        <w:rPr>
          <w:rFonts w:ascii="Arial" w:cs="Arial" w:eastAsia="Arial" w:hAnsi="Arial"/>
          <w:sz w:val="16"/>
          <w:szCs w:val="16"/>
          <w:b w:val="1"/>
          <w:bCs w:val="1"/>
          <w:color w:val="auto"/>
        </w:rPr>
        <w:t>Corporate Trustee Required; Eligibility.</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There shall at all times be one (and only one) Trustee hereunder with respect to the Securities of each series, which may be Trustee hereunder for Securities of one or more other series. Each Trustee shall be a Person that is eligible pursuant to the Trust Indenture Act to act as such and has (or if the Trustee is a member of a bank holding company system, its bank holding company has) a combined capital and surplus of at least $50,000,000. If any such Person or bank holding company publishes reports of condition at least annually, pursuant to law or to the requirements of its supervising or examining authority, then for the purposes of this Section and to the extent permitted by the Trust Indenture Act, the combined capital and surplus of such Person or bank holding company shall be deemed to be its combined capital and surplus as set forth in its most recent report of condition so published. If at any time the Trustee with respect to the Securities of any series shall cease to be eligible in accordance with the provisions of this Section, it shall resign immediately in the manner and with the effect hereinafter specified in this Article.</w:t>
      </w:r>
    </w:p>
    <w:p>
      <w:pPr>
        <w:spacing w:after="0" w:line="283"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Section 6.10</w:t>
      </w:r>
      <w:r>
        <w:rPr>
          <w:sz w:val="20"/>
          <w:szCs w:val="20"/>
          <w:color w:val="auto"/>
        </w:rPr>
        <w:tab/>
      </w:r>
      <w:r>
        <w:rPr>
          <w:rFonts w:ascii="Arial" w:cs="Arial" w:eastAsia="Arial" w:hAnsi="Arial"/>
          <w:sz w:val="15"/>
          <w:szCs w:val="15"/>
          <w:b w:val="1"/>
          <w:bCs w:val="1"/>
          <w:color w:val="auto"/>
        </w:rPr>
        <w:t>Resignation and Removal; Appointment of Successor.</w:t>
      </w:r>
    </w:p>
    <w:p>
      <w:pPr>
        <w:spacing w:after="0" w:line="121"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No resignation or removal of the Trustee and no appointment of a successor Trustee pursuant to this Article shall become effective until the acceptance of appointment by the successor Trustee in accordance with the applicable requirements of Section 6.11. The Trustee may resign at any time with respect to the Securities of one or more series by giving written notice thereof to the Company. If the instrument of acceptance by a successor Trustee required by Section 6.11 shall not have been delivered to the Trustee within 30 days after the giving of such notice of resignation, the resigning Trustee may petition any court of competent jurisdiction for the appointment of a successor Trustee with respect to the Securities of such series.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74" w:right="239" w:bottom="1440" w:gutter="0" w:footer="0" w:header="0"/>
        </w:sectPr>
      </w:pPr>
    </w:p>
    <w:bookmarkStart w:id="147" w:name="page148"/>
    <w:bookmarkEnd w:id="147"/>
    <w:p>
      <w:pPr>
        <w:ind w:right="42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Trustee may be removed at any time with respect to the Securities of any series by Act of the Holders of a majority in principal amount of the Outstanding Securities of such series, delivered to the Trustee and to the Company.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at any time:</w:t>
      </w:r>
    </w:p>
    <w:p>
      <w:pPr>
        <w:spacing w:after="0" w:line="117" w:lineRule="exact"/>
        <w:rPr>
          <w:sz w:val="20"/>
          <w:szCs w:val="20"/>
          <w:color w:val="auto"/>
        </w:rPr>
      </w:pPr>
    </w:p>
    <w:p>
      <w:pPr>
        <w:ind w:left="460" w:right="160" w:firstLine="443"/>
        <w:spacing w:after="0" w:line="277" w:lineRule="auto"/>
        <w:tabs>
          <w:tab w:leader="none" w:pos="1288"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Trustee shall fail to comply with Section 6.8 after written request therefor by the Company or by any Holder who has been a bona fide Holder of a Security for at least six months, or</w:t>
      </w:r>
    </w:p>
    <w:p>
      <w:pPr>
        <w:spacing w:after="0" w:line="62" w:lineRule="exact"/>
        <w:rPr>
          <w:rFonts w:ascii="Arial" w:cs="Arial" w:eastAsia="Arial" w:hAnsi="Arial"/>
          <w:sz w:val="18"/>
          <w:szCs w:val="18"/>
          <w:color w:val="auto"/>
        </w:rPr>
      </w:pPr>
    </w:p>
    <w:p>
      <w:pPr>
        <w:ind w:left="1300" w:hanging="397"/>
        <w:spacing w:after="0"/>
        <w:tabs>
          <w:tab w:leader="none" w:pos="130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the Trustee shall cease to be eligible under Section 6.9 and shall fail to resign after written request therefor by the Company or by any such</w:t>
      </w:r>
    </w:p>
    <w:p>
      <w:pPr>
        <w:spacing w:after="0" w:line="4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Holder, or</w:t>
      </w:r>
    </w:p>
    <w:p>
      <w:pPr>
        <w:spacing w:after="0" w:line="102" w:lineRule="exact"/>
        <w:rPr>
          <w:rFonts w:ascii="Arial" w:cs="Arial" w:eastAsia="Arial" w:hAnsi="Arial"/>
          <w:sz w:val="16"/>
          <w:szCs w:val="16"/>
          <w:color w:val="auto"/>
        </w:rPr>
      </w:pPr>
    </w:p>
    <w:p>
      <w:pPr>
        <w:ind w:left="460" w:right="60" w:firstLine="443"/>
        <w:spacing w:after="0" w:line="264" w:lineRule="auto"/>
        <w:tabs>
          <w:tab w:leader="none" w:pos="1288"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181"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then, in any such case, (A) the Company by a Board Resolution may remove the Trustee with respect to all Securities, or (B) subject to Section 5.14, any Holder who has been a bona fide Holder of a Security for at least six months may, on behalf of himself and all others similarly situated, petition any court of competent jurisdiction for the removal of the Trustee with respect to all Securities and the appointment of a successor Trustee or Trustees.</w:t>
      </w:r>
    </w:p>
    <w:p>
      <w:pPr>
        <w:spacing w:after="0" w:line="14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If the Trustee shall resign, be removed or become incapable of acting, or if a vacancy shall occur in the office of Trustee for any cause, with respect to the Securities of one or more series, the Company, by a Board Resolution, shall promptly appoint a successor Trustee or Trustees with respect to the Securities of that or those series (it being understood that any such successor Trustee may be appointed with respect to the Securities of one or more or all of such series and that at any time there shall be only one Trustee with respect to the Securities of any particular series) and shall comply with the applicable requirements of Section 6.11. If, within one year after such resignation, removal or incapability, or the occurrence of such vacancy, a successor Trustee with respect to the Securities of any series shall be appointed by Act of the Holders of a majority in principal amount of the Outstanding Securities of such series delivered to the Company and the retiring Trustee, the successor Trustee so appointed shall, forthwith upon its acceptance of such appointment in accordance with the applicable requirements of Section 6.11, become the successor Trustee with respect to the Securities of such series and to that extent supersede the successor Trustee appointed by the Company. If no successor Trustee with respect to the Securities of any series shall have been so appointed by the Company or the Holders and accepted appointment in the manner required by Section 6.11, the retiring Trustee may petition, or any Holder who has been a bona fide Holder of a Security of such series for at least six months may petition, on behalf of himself and all others similarly situated, any court of competent jurisdiction for the appointment of a successor Trustee with respect to the Securities of such series.</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274" w:right="259" w:bottom="1440" w:gutter="0" w:footer="0" w:header="0"/>
        </w:sectPr>
      </w:pPr>
    </w:p>
    <w:bookmarkStart w:id="148" w:name="page149"/>
    <w:bookmarkEnd w:id="148"/>
    <w:p>
      <w:pPr>
        <w:ind w:right="20" w:firstLine="456"/>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shall give notice of each resignation and each removal of the Trustee with respect to the Securities of any series and each appointment of a successor Trustee with respect to the Securities of any series to all Holders of Securities of such series in the manner provided in Section 1.6. Each notice shall include the name of the successor Trustee with respect to the Securities of such series and the address of its Corporate Trust Office.</w:t>
      </w:r>
    </w:p>
    <w:p>
      <w:pPr>
        <w:spacing w:after="0" w:line="25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Section 6.11</w:t>
      </w:r>
      <w:r>
        <w:rPr>
          <w:sz w:val="20"/>
          <w:szCs w:val="20"/>
          <w:color w:val="auto"/>
        </w:rPr>
        <w:tab/>
      </w:r>
      <w:r>
        <w:rPr>
          <w:rFonts w:ascii="Arial" w:cs="Arial" w:eastAsia="Arial" w:hAnsi="Arial"/>
          <w:sz w:val="15"/>
          <w:szCs w:val="15"/>
          <w:b w:val="1"/>
          <w:bCs w:val="1"/>
          <w:color w:val="auto"/>
        </w:rPr>
        <w:t>Acceptance of Appointment by Successor.</w:t>
      </w:r>
    </w:p>
    <w:p>
      <w:pPr>
        <w:spacing w:after="0" w:line="121"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16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all property and money held by such retiring Trustee hereunder with respect to the Securities of that or those series to which the appointment of such successor Trustee relates.</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274" w:right="259" w:bottom="1440" w:gutter="0" w:footer="0" w:header="0"/>
        </w:sectPr>
      </w:pPr>
    </w:p>
    <w:bookmarkStart w:id="149" w:name="page150"/>
    <w:bookmarkEnd w:id="149"/>
    <w:p>
      <w:pPr>
        <w:ind w:right="80" w:firstLine="456"/>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Upon request of any such successor Trustee, the Company shall execute any and all instruments for more fully and certainly vesting in and confirming to such successor Trustee all such rights, powers and trusts referred to in the first or second preceding paragraph, as the case may be.</w:t>
      </w:r>
    </w:p>
    <w:p>
      <w:pPr>
        <w:spacing w:after="0" w:line="14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No successor Trustee shall accept its appointment unless at the time of such acceptance such successor Trustee shall be qualified and eligible under this Article.</w:t>
      </w:r>
    </w:p>
    <w:p>
      <w:pPr>
        <w:spacing w:after="0" w:line="27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Section 6.12</w:t>
      </w:r>
      <w:r>
        <w:rPr>
          <w:sz w:val="20"/>
          <w:szCs w:val="20"/>
          <w:color w:val="auto"/>
        </w:rPr>
        <w:tab/>
      </w:r>
      <w:r>
        <w:rPr>
          <w:rFonts w:ascii="Arial" w:cs="Arial" w:eastAsia="Arial" w:hAnsi="Arial"/>
          <w:sz w:val="15"/>
          <w:szCs w:val="15"/>
          <w:b w:val="1"/>
          <w:bCs w:val="1"/>
          <w:color w:val="auto"/>
        </w:rPr>
        <w:t>Merger, Conversion, Consolidation or Succession to Business.</w:t>
      </w:r>
    </w:p>
    <w:p>
      <w:pPr>
        <w:spacing w:after="0" w:line="121"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 xml:space="preserve">Any corporation into which the Trustee may be merged or converted or with which it may be consolidated, or any corporation resulting from any merger, conversion or consolidation to which the Trustee shall be a party, or any corporation succeeding to all or substantially all the corporate trust business of the Trustee (including the administration of the trust created by this Indenture), shall be the successor of the Trustee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such corporation shall be otherwise qualified and eligible under this Article, without the execution or filing of any paper or any further act on the part of any of the parties hereto.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 In the event that any Securities shall not have been authenticated by such predecessor Trustee, any such successor Trustee may authenticate and deliver such Securities in either its own name or that of a predecessor Trustee, with the full force and effect which this Indenture provides for the certificate of authentication of the Trustee.</w:t>
      </w:r>
    </w:p>
    <w:p>
      <w:pPr>
        <w:spacing w:after="0" w:line="286"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Section 6.13</w:t>
      </w:r>
      <w:r>
        <w:rPr>
          <w:sz w:val="20"/>
          <w:szCs w:val="20"/>
          <w:color w:val="auto"/>
        </w:rPr>
        <w:tab/>
      </w:r>
      <w:r>
        <w:rPr>
          <w:rFonts w:ascii="Arial" w:cs="Arial" w:eastAsia="Arial" w:hAnsi="Arial"/>
          <w:sz w:val="16"/>
          <w:szCs w:val="16"/>
          <w:b w:val="1"/>
          <w:bCs w:val="1"/>
          <w:color w:val="auto"/>
        </w:rPr>
        <w:t>Preferential Collection of Claims Against Company.</w:t>
      </w:r>
    </w:p>
    <w:p>
      <w:pPr>
        <w:spacing w:after="0" w:line="12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If and when the Trustee shall be or become a creditor of the Company (or any other obligor upon the Securities), the Trustee shall be subject to the provisions of the Trust Indenture Act regarding the collection of claims against the Company (or any such other obligor).</w:t>
      </w:r>
    </w:p>
    <w:p>
      <w:pPr>
        <w:spacing w:after="0" w:line="27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Section 6.14</w:t>
      </w:r>
      <w:r>
        <w:rPr>
          <w:sz w:val="20"/>
          <w:szCs w:val="20"/>
          <w:color w:val="auto"/>
        </w:rPr>
        <w:tab/>
      </w:r>
      <w:r>
        <w:rPr>
          <w:rFonts w:ascii="Arial" w:cs="Arial" w:eastAsia="Arial" w:hAnsi="Arial"/>
          <w:sz w:val="16"/>
          <w:szCs w:val="16"/>
          <w:b w:val="1"/>
          <w:bCs w:val="1"/>
          <w:color w:val="auto"/>
        </w:rPr>
        <w:t>Appointment of Authenticating Agent.</w:t>
      </w:r>
    </w:p>
    <w:p>
      <w:pPr>
        <w:spacing w:after="0" w:line="12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Trustee may appoint an Authenticating Agent or Agents with respect to one or more series of Securities which shall be authorized to act on behalf of the Trustee to authenticate Securities of such series issued upon original issue and upon exchange, registration of transfer or partial redemption thereof or pursuant to Section 3.6, and Securities so authenticated shall be entitled to the benefits of this Indenture and shall be valid and obligatory for all purposes as if authenticated by the Trustee hereunder. Wherever reference is made in this Indenture to the authentication and delivery of Securities by the Trustee or the Trustee’s certificate of authentication, such reference shall be deemed to include authentication and delivery on behalf of the Trustee by an Authenticating Agent and a certificate of authentication executed on behalf of the Trustee by an Authenticating Agent. Each Authenticating Agent shall be acceptable to the Company and shall at all times be a corporation organized and doing business under the laws of the United States of America, any state thereof or the District of Columbia, authorized under such laws to act as Authenticating Agent, having (or if the Authenticating Agent is a member of a bank holding company system, its bank</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274" w:right="279" w:bottom="1440" w:gutter="0" w:footer="0" w:header="0"/>
        </w:sectPr>
      </w:pPr>
    </w:p>
    <w:bookmarkStart w:id="150" w:name="page151"/>
    <w:bookmarkEnd w:id="150"/>
    <w:p>
      <w:pPr>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holding company has) a combined capital and surplus of not less than $50,000,000 and subject to supervision or examination by Federal or State authority. If such Authenticating Agent publishes reports of condition at least annually, pursuant to law or to the requirements of said supervising or examining authority, then for the purposes of this Section, the combined capital and surplus of such Authenticating Agent shall be deemed to be its combined capital and surplus as set forth in its most recent report of condition so published. If at any time an Authenticating Agent shall cease to be eligible in accordance with the provisions of this Section, such Authenticating Agent shall resign immediately in the manner and with the effect specified in this Section.</w:t>
      </w:r>
    </w:p>
    <w:p>
      <w:pPr>
        <w:spacing w:after="0" w:line="158"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 xml:space="preserve">Any corporation into which an Authenticating Agent may be merged or converted or with which it may be consolidated, or any corporation resulting from any merger, conversion or consolidation to which such Authenticating Agent shall be a party, or any corporation succeeding to the corporate agency or corporate trust business of an Authenticating Agent, shall continue to be an Authenticating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such corporation shall be otherwise eligible under this Section, without the execution or filing of any paper or any further act on the part of the Trustee or the Authenticating Agent.</w:t>
      </w:r>
    </w:p>
    <w:p>
      <w:pPr>
        <w:spacing w:after="0" w:line="154"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An Authenticating Agent may resign at any time by giving written notice thereof to the Trustee and to the Company. The Trustee may at any time terminate the agency of an Authenticating Agent by giving written notice thereof to such Authenticating Agent and to the Company. Upon receiving such a notice of resignation or upon such a termination, or in case at any time such Authenticating Agent shall cease to be eligible in accordance with the provisions of this Section, the Trustee may appoint a successor Authenticating Agent which shall be acceptable to the Company and shall give notice of such appointment in the manner provided in Section 1.6 to all Holders of Securities of the series with respect to which such Authenticating Agent will serve. Any successor Authenticating Agent upon acceptance of its appointment hereunder shall become vested with all the rights, powers and duties of its predecessor hereunder, with like effect as if originally named as an Authenticating Agent. No successor Authenticating Agent shall be appointed unless eligible under the provisions of this Section.</w:t>
      </w:r>
    </w:p>
    <w:p>
      <w:pPr>
        <w:spacing w:after="0" w:line="192"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Trustee agrees to pay to each Authenticating Agent from time to time reasonable compensation for its services under this Section, and the Trustee shall be entitled to be reimbursed for such payments, subject to the provisions of Section 6.7.</w:t>
      </w:r>
    </w:p>
    <w:p>
      <w:pPr>
        <w:spacing w:after="0" w:line="170"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If an appointment with respect to one or more series is made pursuant to this Section 6.14, the Securities of such series may have endorsed thereon, in lieu of the Trustee’s certificate of authentication, an alternative certificate of authentication in the following form:</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is one of the Securities of the series designated therein referred to in the within-mentioned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306705</wp:posOffset>
            </wp:positionV>
            <wp:extent cx="289877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As Authenticating Agent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Authorized Officer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274" w:right="259" w:bottom="1440" w:gutter="0" w:footer="0" w:header="0"/>
        </w:sectPr>
      </w:pPr>
    </w:p>
    <w:bookmarkStart w:id="151" w:name="page152"/>
    <w:bookmarkEnd w:id="15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7</w:t>
      </w:r>
    </w:p>
    <w:p>
      <w:pPr>
        <w:spacing w:after="0" w:line="225"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HOLDERS’ LISTS AND REPORTS BY TRUSTEE AND COMPANY</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Section 7.1</w:t>
      </w:r>
      <w:r>
        <w:rPr>
          <w:sz w:val="20"/>
          <w:szCs w:val="20"/>
          <w:color w:val="auto"/>
        </w:rPr>
        <w:tab/>
      </w:r>
      <w:r>
        <w:rPr>
          <w:rFonts w:ascii="Arial" w:cs="Arial" w:eastAsia="Arial" w:hAnsi="Arial"/>
          <w:sz w:val="16"/>
          <w:szCs w:val="16"/>
          <w:b w:val="1"/>
          <w:bCs w:val="1"/>
          <w:color w:val="auto"/>
        </w:rPr>
        <w:t>Company to Furnish Trustee Names and Addresses of Holders.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will furnish or cause to be furnished to the Trustee</w:t>
      </w:r>
    </w:p>
    <w:p>
      <w:pPr>
        <w:spacing w:after="0" w:line="117" w:lineRule="exact"/>
        <w:rPr>
          <w:sz w:val="20"/>
          <w:szCs w:val="20"/>
          <w:color w:val="auto"/>
        </w:rPr>
      </w:pPr>
    </w:p>
    <w:p>
      <w:pPr>
        <w:ind w:left="460" w:right="20" w:firstLine="443"/>
        <w:spacing w:after="0" w:line="264" w:lineRule="auto"/>
        <w:tabs>
          <w:tab w:leader="none" w:pos="1288" w:val="left"/>
        </w:tabs>
        <w:numPr>
          <w:ilvl w:val="0"/>
          <w:numId w:val="124"/>
        </w:numPr>
        <w:rPr>
          <w:rFonts w:ascii="Arial" w:cs="Arial" w:eastAsia="Arial" w:hAnsi="Arial"/>
          <w:sz w:val="18"/>
          <w:szCs w:val="18"/>
          <w:color w:val="auto"/>
        </w:rPr>
      </w:pPr>
      <w:r>
        <w:rPr>
          <w:rFonts w:ascii="Arial" w:cs="Arial" w:eastAsia="Arial" w:hAnsi="Arial"/>
          <w:sz w:val="18"/>
          <w:szCs w:val="18"/>
          <w:color w:val="auto"/>
        </w:rPr>
        <w:t>semi-annually, not later than 15 days after the Regular Record Date for each respective series of Securities, a list, in such form as the Trustee may reasonably require, of the names and addresses of the Holders of Securities of each series as of such Regular Record Date, as the case may be, or if there is no Regular Record Date for such series of Securities, semi-annually, and</w:t>
      </w:r>
    </w:p>
    <w:p>
      <w:pPr>
        <w:spacing w:after="0" w:line="73" w:lineRule="exact"/>
        <w:rPr>
          <w:rFonts w:ascii="Arial" w:cs="Arial" w:eastAsia="Arial" w:hAnsi="Arial"/>
          <w:sz w:val="18"/>
          <w:szCs w:val="18"/>
          <w:color w:val="auto"/>
        </w:rPr>
      </w:pPr>
    </w:p>
    <w:p>
      <w:pPr>
        <w:ind w:left="460" w:right="420" w:firstLine="443"/>
        <w:spacing w:after="0" w:line="277" w:lineRule="auto"/>
        <w:tabs>
          <w:tab w:leader="none" w:pos="1288"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at such other times as the Trustee may request in writing, within 30 days after the receipt by the Company of any such request, a list of similar form and content as of a date not more than 15 days prior to the time such list is furnished;</w:t>
      </w:r>
    </w:p>
    <w:p>
      <w:pPr>
        <w:spacing w:after="0" w:line="62" w:lineRule="exact"/>
        <w:rPr>
          <w:rFonts w:ascii="Arial" w:cs="Arial" w:eastAsia="Arial" w:hAnsi="Arial"/>
          <w:sz w:val="18"/>
          <w:szCs w:val="18"/>
          <w:color w:val="auto"/>
        </w:rPr>
      </w:pPr>
    </w:p>
    <w:p>
      <w:pPr>
        <w:ind w:left="1300" w:hanging="397"/>
        <w:spacing w:after="0"/>
        <w:tabs>
          <w:tab w:leader="none" w:pos="1300" w:val="left"/>
        </w:tabs>
        <w:numPr>
          <w:ilvl w:val="0"/>
          <w:numId w:val="124"/>
        </w:numPr>
        <w:rPr>
          <w:rFonts w:ascii="Arial" w:cs="Arial" w:eastAsia="Arial" w:hAnsi="Arial"/>
          <w:sz w:val="17"/>
          <w:szCs w:val="17"/>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list need be furnished by the Company to the Trustee so long as the Trustee is acting as Security Registrar.</w:t>
      </w:r>
    </w:p>
    <w:p>
      <w:pPr>
        <w:spacing w:after="0" w:line="34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Section 7.2</w:t>
      </w:r>
      <w:r>
        <w:rPr>
          <w:sz w:val="20"/>
          <w:szCs w:val="20"/>
          <w:color w:val="auto"/>
        </w:rPr>
        <w:tab/>
      </w:r>
      <w:r>
        <w:rPr>
          <w:rFonts w:ascii="Arial" w:cs="Arial" w:eastAsia="Arial" w:hAnsi="Arial"/>
          <w:sz w:val="16"/>
          <w:szCs w:val="16"/>
          <w:b w:val="1"/>
          <w:bCs w:val="1"/>
          <w:color w:val="auto"/>
        </w:rPr>
        <w:t>Preservation of Information; Communications to Holders.</w:t>
      </w:r>
    </w:p>
    <w:p>
      <w:pPr>
        <w:spacing w:after="0" w:line="121"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The Trustee shall preserve, in as current a form as is reasonably practicable, the names and addresses of Holders contained in the most recent list furnished to the Trustee as provided in Section 7.1 and the names and addresses of Holders received by the Trustee in its capacity as Security Registrar. The Trustee may destroy any list furnished to it as provided in Section 7.1 upon receipt of a new list so furnished.</w:t>
      </w:r>
    </w:p>
    <w:p>
      <w:pPr>
        <w:spacing w:after="0" w:line="16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rights of Holders to communicate with other Holders with respect to their rights under this Indenture or under the Securities, and the corresponding rights and privileges of the Trustee, shall be as provided by the Trust Indenture Act. Every Holder of Securities, by receiving and holding the same, agrees with the Company and the Trustee that neither the Company nor the Trustee nor any agent of either of them shall be held accountable by reason of any disclosure of information as to names and addresses of Holders made pursuant to the Trust Indenture Act.</w:t>
      </w:r>
    </w:p>
    <w:p>
      <w:pPr>
        <w:spacing w:after="0" w:line="29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Section 7.3</w:t>
      </w:r>
      <w:r>
        <w:rPr>
          <w:sz w:val="20"/>
          <w:szCs w:val="20"/>
          <w:color w:val="auto"/>
        </w:rPr>
        <w:tab/>
      </w:r>
      <w:r>
        <w:rPr>
          <w:rFonts w:ascii="Arial" w:cs="Arial" w:eastAsia="Arial" w:hAnsi="Arial"/>
          <w:sz w:val="15"/>
          <w:szCs w:val="15"/>
          <w:b w:val="1"/>
          <w:bCs w:val="1"/>
          <w:color w:val="auto"/>
        </w:rPr>
        <w:t>Reports by Trustee.</w:t>
      </w:r>
    </w:p>
    <w:p>
      <w:pPr>
        <w:spacing w:after="0" w:line="12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Trustee shall transmit to Holders such reports concerning the Trustee and its actions under this Indenture as may be required pursuant to the Trust Indenture Act at the times and in the manner provided pursuant thereto.</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270" w:right="259" w:bottom="1440" w:gutter="0" w:footer="0" w:header="0"/>
        </w:sectPr>
      </w:pPr>
    </w:p>
    <w:bookmarkStart w:id="152" w:name="page153"/>
    <w:bookmarkEnd w:id="152"/>
    <w:p>
      <w:pPr>
        <w:ind w:right="34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Reports so required to be transmitted at stated intervals of not more than 12 months shall be transmitted no later than July 15 in each calendar year, commencing with the first July 15 after the first issuance of Securities pursuant to this Indenture.</w:t>
      </w:r>
    </w:p>
    <w:p>
      <w:pPr>
        <w:spacing w:after="0" w:line="170" w:lineRule="exact"/>
        <w:rPr>
          <w:sz w:val="20"/>
          <w:szCs w:val="20"/>
          <w:color w:val="auto"/>
        </w:rPr>
      </w:pPr>
    </w:p>
    <w:p>
      <w:pPr>
        <w:ind w:right="40" w:firstLine="456"/>
        <w:spacing w:after="0" w:line="342" w:lineRule="auto"/>
        <w:rPr>
          <w:sz w:val="20"/>
          <w:szCs w:val="20"/>
          <w:color w:val="auto"/>
        </w:rPr>
      </w:pPr>
      <w:r>
        <w:rPr>
          <w:rFonts w:ascii="Arial" w:cs="Arial" w:eastAsia="Arial" w:hAnsi="Arial"/>
          <w:sz w:val="16"/>
          <w:szCs w:val="16"/>
          <w:color w:val="auto"/>
        </w:rPr>
        <w:t>A copy of each such report shall, at the time of such transmission to Holders, be filed by the Trustee with each stock exchange upon which any Securities are listed with the Commission and with the Company. The Company will notify the Trustee when any Securities are listed on any stock exchange.</w:t>
      </w:r>
    </w:p>
    <w:p>
      <w:pPr>
        <w:spacing w:after="0" w:line="228"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Section 7.4</w:t>
      </w:r>
      <w:r>
        <w:rPr>
          <w:sz w:val="20"/>
          <w:szCs w:val="20"/>
          <w:color w:val="auto"/>
        </w:rPr>
        <w:tab/>
      </w:r>
      <w:r>
        <w:rPr>
          <w:rFonts w:ascii="Arial" w:cs="Arial" w:eastAsia="Arial" w:hAnsi="Arial"/>
          <w:sz w:val="16"/>
          <w:szCs w:val="16"/>
          <w:b w:val="1"/>
          <w:bCs w:val="1"/>
          <w:color w:val="auto"/>
        </w:rPr>
        <w:t>Reports by Company.</w:t>
      </w:r>
    </w:p>
    <w:p>
      <w:pPr>
        <w:spacing w:after="0" w:line="12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 xml:space="preserve">Any information, documents or other reports that the Company shall file with the Commission pursuant to Section 13 or 15(d) of the Exchange Act shall be filed with the Trustee within 15 days after the same is filed with the Commission;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information, documents or reports filed or furnished with the Commission pursuant to its Electronic Data Gathering, Analysis and Retrieval (or EDGAR) system shall be deemed to be filed with the Trustee as of the time such information, documents or reports are filed or furnished via EDGAR.</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8</w:t>
      </w:r>
    </w:p>
    <w:p>
      <w:pPr>
        <w:spacing w:after="0" w:line="225"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CONSOLIDATION, MERGER, CONVEYANCE, TRANSFER OR LEASE</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Section 8.1</w:t>
      </w:r>
      <w:r>
        <w:rPr>
          <w:sz w:val="20"/>
          <w:szCs w:val="20"/>
          <w:color w:val="auto"/>
        </w:rPr>
        <w:tab/>
      </w:r>
      <w:r>
        <w:rPr>
          <w:rFonts w:ascii="Arial" w:cs="Arial" w:eastAsia="Arial" w:hAnsi="Arial"/>
          <w:sz w:val="16"/>
          <w:szCs w:val="16"/>
          <w:b w:val="1"/>
          <w:bCs w:val="1"/>
          <w:color w:val="auto"/>
        </w:rPr>
        <w:t>Company May Consolidate, etc., Only on Certain Terms.</w:t>
      </w:r>
    </w:p>
    <w:p>
      <w:pPr>
        <w:spacing w:after="0" w:line="121" w:lineRule="exact"/>
        <w:rPr>
          <w:sz w:val="20"/>
          <w:szCs w:val="20"/>
          <w:color w:val="auto"/>
        </w:rPr>
      </w:pPr>
    </w:p>
    <w:p>
      <w:pPr>
        <w:jc w:val="both"/>
        <w:ind w:right="560" w:firstLine="456"/>
        <w:spacing w:after="0" w:line="264" w:lineRule="auto"/>
        <w:rPr>
          <w:sz w:val="20"/>
          <w:szCs w:val="20"/>
          <w:color w:val="auto"/>
        </w:rPr>
      </w:pPr>
      <w:r>
        <w:rPr>
          <w:rFonts w:ascii="Arial" w:cs="Arial" w:eastAsia="Arial" w:hAnsi="Arial"/>
          <w:sz w:val="18"/>
          <w:szCs w:val="18"/>
          <w:color w:val="auto"/>
        </w:rPr>
        <w:t>The Company shall not consolidate with or merge into any other Person (other than a Subsidiary of the Company) (in a transaction in which the Company is not the surviving corporation) or convey, transfer or lease its properties and assets substantially as an entirety to any Person (other than a Subsidiary of the Company), unless:</w:t>
      </w:r>
    </w:p>
    <w:p>
      <w:pPr>
        <w:spacing w:after="0" w:line="73" w:lineRule="exact"/>
        <w:rPr>
          <w:sz w:val="20"/>
          <w:szCs w:val="20"/>
          <w:color w:val="auto"/>
        </w:rPr>
      </w:pPr>
    </w:p>
    <w:p>
      <w:pPr>
        <w:ind w:left="460" w:firstLine="443"/>
        <w:spacing w:after="0" w:line="269" w:lineRule="auto"/>
        <w:tabs>
          <w:tab w:leader="none" w:pos="1288" w:val="left"/>
        </w:tabs>
        <w:numPr>
          <w:ilvl w:val="0"/>
          <w:numId w:val="125"/>
        </w:numPr>
        <w:rPr>
          <w:rFonts w:ascii="Arial" w:cs="Arial" w:eastAsia="Arial" w:hAnsi="Arial"/>
          <w:sz w:val="17"/>
          <w:szCs w:val="17"/>
          <w:color w:val="auto"/>
        </w:rPr>
      </w:pPr>
      <w:r>
        <w:rPr>
          <w:rFonts w:ascii="Arial" w:cs="Arial" w:eastAsia="Arial" w:hAnsi="Arial"/>
          <w:sz w:val="17"/>
          <w:szCs w:val="17"/>
          <w:color w:val="auto"/>
        </w:rPr>
        <w:t>in case the Company shall consolidate with or merge into another Person (in a transaction in which the Company is not the surviving corporation) or convey, transfer or lease its properties and assets substantially as an entirety to any Person, the Person formed by such consolidation or into which the Company is merged or the Person which acquires by conveyance or transfer, or which leases, the properties and assets of the Company substantially as an entirety shall be a corporation, limited liability company, partnership, trust or other business entity, shall be organized and validly existing under the laws of the United States of America, any state thereof or the District of Columbia and shall expressly assume, by an indenture supplemental hereto, executed and delivered to the Trustee, in form satisfactory to the Trustee, the due and punctual payment of the principal of and any premium and interest on all the Securities and the performance or observance of every covenant of this Indenture on the part of the Company to be performed or observed and the conversion rights shall be provided for in accordance with Article 14, if applicable, or as otherwise specified pursuant to Section 3.1, by supplemental indenture satisfactory in form to the Trustee, executed and delivered to the Trustee, by the Person (if other than the Company) formed by such consolidation or into which the Company shall have been merged or by the Person which shall have acquired the Company’s assets;</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274" w:right="279" w:bottom="1440" w:gutter="0" w:footer="0" w:header="0"/>
        </w:sectPr>
      </w:pPr>
    </w:p>
    <w:bookmarkStart w:id="153" w:name="page154"/>
    <w:bookmarkEnd w:id="153"/>
    <w:p>
      <w:pPr>
        <w:ind w:left="460" w:right="320" w:firstLine="443"/>
        <w:spacing w:after="0" w:line="277" w:lineRule="auto"/>
        <w:tabs>
          <w:tab w:leader="none" w:pos="1288" w:val="left"/>
        </w:tabs>
        <w:numPr>
          <w:ilvl w:val="0"/>
          <w:numId w:val="1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immediately after giving effect to such transaction, no Event of Default, and no event which, after notice or lapse of time or both, would become an Event of Default, shall have occurred and be continuing; and</w:t>
      </w:r>
    </w:p>
    <w:p>
      <w:pPr>
        <w:spacing w:after="0" w:line="62" w:lineRule="exact"/>
        <w:rPr>
          <w:rFonts w:ascii="Arial" w:cs="Arial" w:eastAsia="Arial" w:hAnsi="Arial"/>
          <w:sz w:val="18"/>
          <w:szCs w:val="18"/>
          <w:color w:val="auto"/>
        </w:rPr>
      </w:pPr>
    </w:p>
    <w:p>
      <w:pPr>
        <w:ind w:left="460" w:firstLine="443"/>
        <w:spacing w:after="0" w:line="286" w:lineRule="auto"/>
        <w:tabs>
          <w:tab w:leader="none" w:pos="1288" w:val="left"/>
        </w:tabs>
        <w:numPr>
          <w:ilvl w:val="0"/>
          <w:numId w:val="126"/>
        </w:numPr>
        <w:rPr>
          <w:rFonts w:ascii="Arial" w:cs="Arial" w:eastAsia="Arial" w:hAnsi="Arial"/>
          <w:sz w:val="17"/>
          <w:szCs w:val="17"/>
          <w:color w:val="auto"/>
        </w:rPr>
      </w:pPr>
      <w:r>
        <w:rPr>
          <w:rFonts w:ascii="Arial" w:cs="Arial" w:eastAsia="Arial" w:hAnsi="Arial"/>
          <w:sz w:val="17"/>
          <w:szCs w:val="17"/>
          <w:color w:val="auto"/>
        </w:rPr>
        <w:t>the Company has delivered to the Trustee an Officers’ Certificate and an Opinion of Counsel, each stating that such consolidation, merger, conveyance, transfer or lease and, if a supplemental indenture is required in connection with such transaction, such supplemental indenture comply with this Article and that all conditions precedent herein provided for relating to such transaction have been complied with.</w:t>
      </w:r>
    </w:p>
    <w:p>
      <w:pPr>
        <w:spacing w:after="0" w:line="27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Section 8.2</w:t>
      </w:r>
      <w:r>
        <w:rPr>
          <w:sz w:val="20"/>
          <w:szCs w:val="20"/>
          <w:color w:val="auto"/>
        </w:rPr>
        <w:tab/>
      </w:r>
      <w:r>
        <w:rPr>
          <w:rFonts w:ascii="Arial" w:cs="Arial" w:eastAsia="Arial" w:hAnsi="Arial"/>
          <w:sz w:val="15"/>
          <w:szCs w:val="15"/>
          <w:b w:val="1"/>
          <w:bCs w:val="1"/>
          <w:color w:val="auto"/>
        </w:rPr>
        <w:t>Successor Substituted.</w:t>
      </w:r>
    </w:p>
    <w:p>
      <w:pPr>
        <w:spacing w:after="0" w:line="121" w:lineRule="exact"/>
        <w:rPr>
          <w:sz w:val="20"/>
          <w:szCs w:val="20"/>
          <w:color w:val="auto"/>
        </w:rPr>
      </w:pPr>
    </w:p>
    <w:p>
      <w:pPr>
        <w:jc w:val="both"/>
        <w:ind w:right="180" w:firstLine="456"/>
        <w:spacing w:after="0" w:line="297" w:lineRule="auto"/>
        <w:rPr>
          <w:sz w:val="20"/>
          <w:szCs w:val="20"/>
          <w:color w:val="auto"/>
        </w:rPr>
      </w:pPr>
      <w:r>
        <w:rPr>
          <w:rFonts w:ascii="Arial" w:cs="Arial" w:eastAsia="Arial" w:hAnsi="Arial"/>
          <w:sz w:val="16"/>
          <w:szCs w:val="16"/>
          <w:color w:val="auto"/>
        </w:rPr>
        <w:t>Upon any consolidation of the Company with, or merger of the Company into, any other Person or any conveyance, transfer or lease of the properties and assets of the Company substantially as an entirety in accordance with Section 8.1, the successor Person formed by such consolidation or into which the Company is merged or to which such conveyance, transfer or lease is made shall succeed to, and be substituted for, and may exercise every right and power of, the Company under this Indenture with the same effect as if such successor Person had been named as the Company herein, and thereafter, except in the case of a lease, the predecessor Person shall be relieved of all obligations and covenants under this Indenture and the Securities.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9</w:t>
      </w:r>
    </w:p>
    <w:p>
      <w:pPr>
        <w:spacing w:after="0" w:line="225"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SUPPLEMENTAL INDENTURES</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Section 9.1</w:t>
      </w:r>
      <w:r>
        <w:rPr>
          <w:sz w:val="20"/>
          <w:szCs w:val="20"/>
          <w:color w:val="auto"/>
        </w:rPr>
        <w:tab/>
      </w:r>
      <w:r>
        <w:rPr>
          <w:rFonts w:ascii="Arial" w:cs="Arial" w:eastAsia="Arial" w:hAnsi="Arial"/>
          <w:sz w:val="16"/>
          <w:szCs w:val="16"/>
          <w:b w:val="1"/>
          <w:bCs w:val="1"/>
          <w:color w:val="auto"/>
        </w:rPr>
        <w:t>Supplemental Indentures Without Consent of Holders.</w:t>
      </w:r>
    </w:p>
    <w:p>
      <w:pPr>
        <w:spacing w:after="0" w:line="121" w:lineRule="exact"/>
        <w:rPr>
          <w:sz w:val="20"/>
          <w:szCs w:val="20"/>
          <w:color w:val="auto"/>
        </w:rPr>
      </w:pPr>
    </w:p>
    <w:p>
      <w:pPr>
        <w:ind w:right="320" w:firstLine="456"/>
        <w:spacing w:after="0" w:line="308" w:lineRule="auto"/>
        <w:rPr>
          <w:sz w:val="20"/>
          <w:szCs w:val="20"/>
          <w:color w:val="auto"/>
        </w:rPr>
      </w:pPr>
      <w:r>
        <w:rPr>
          <w:rFonts w:ascii="Arial" w:cs="Arial" w:eastAsia="Arial" w:hAnsi="Arial"/>
          <w:sz w:val="17"/>
          <w:szCs w:val="17"/>
          <w:color w:val="auto"/>
        </w:rPr>
        <w:t>Without the consent of any Holders, the Company, when authorized by a Board Resolution, and the Trustee, at any time and from time to time, may enter into one or more indentures supplemental hereto, in form satisfactory to the Trustee, for any of the following purposes:</w:t>
      </w:r>
    </w:p>
    <w:p>
      <w:pPr>
        <w:spacing w:after="0" w:line="38" w:lineRule="exact"/>
        <w:rPr>
          <w:sz w:val="20"/>
          <w:szCs w:val="20"/>
          <w:color w:val="auto"/>
        </w:rPr>
      </w:pPr>
    </w:p>
    <w:p>
      <w:pPr>
        <w:ind w:left="460" w:right="220" w:firstLine="443"/>
        <w:spacing w:after="0" w:line="277" w:lineRule="auto"/>
        <w:tabs>
          <w:tab w:leader="none" w:pos="1288"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to evidence the succession of another Person to the Company, or successive successions, and the assumption by any such successor of the covenants of the Company herein and in the Securities in compliance with Article 8; or</w:t>
      </w:r>
    </w:p>
    <w:p>
      <w:pPr>
        <w:spacing w:after="0" w:line="62" w:lineRule="exact"/>
        <w:rPr>
          <w:rFonts w:ascii="Arial" w:cs="Arial" w:eastAsia="Arial" w:hAnsi="Arial"/>
          <w:sz w:val="18"/>
          <w:szCs w:val="18"/>
          <w:color w:val="auto"/>
        </w:rPr>
      </w:pPr>
    </w:p>
    <w:p>
      <w:pPr>
        <w:ind w:left="460" w:right="220" w:firstLine="443"/>
        <w:spacing w:after="0" w:line="264" w:lineRule="auto"/>
        <w:tabs>
          <w:tab w:leader="none" w:pos="1288"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to add to the covenants of the Company for the benefit of the Holders of all or any series of Securities (and if such covenants are to be for the benefit of less than all series of Securities, stating that such covenants are expressly being included solely for the benefit of such series) or to surrender any right or power herein conferred upon the Company; or</w:t>
      </w:r>
    </w:p>
    <w:p>
      <w:pPr>
        <w:spacing w:after="0" w:line="73" w:lineRule="exact"/>
        <w:rPr>
          <w:rFonts w:ascii="Arial" w:cs="Arial" w:eastAsia="Arial" w:hAnsi="Arial"/>
          <w:sz w:val="18"/>
          <w:szCs w:val="18"/>
          <w:color w:val="auto"/>
        </w:rPr>
      </w:pPr>
    </w:p>
    <w:p>
      <w:pPr>
        <w:ind w:left="460" w:right="20" w:firstLine="443"/>
        <w:spacing w:after="0" w:line="264" w:lineRule="auto"/>
        <w:tabs>
          <w:tab w:leader="none" w:pos="1288"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to add any additional Events of Default for the benefit of the Holders of all or any series of Securities (and if such additional Events of Default are to be for the benefit of less than all series of Securities, stating that such additional Events of Default are expressly being included solely for the benefit of such series); or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74" w:right="239" w:bottom="1440" w:gutter="0" w:footer="0" w:header="0"/>
        </w:sectPr>
      </w:pPr>
    </w:p>
    <w:bookmarkStart w:id="154" w:name="page155"/>
    <w:bookmarkEnd w:id="154"/>
    <w:p>
      <w:pPr>
        <w:ind w:right="340" w:firstLine="443"/>
        <w:spacing w:after="0" w:line="264" w:lineRule="auto"/>
        <w:tabs>
          <w:tab w:leader="none" w:pos="828" w:val="left"/>
        </w:tabs>
        <w:numPr>
          <w:ilvl w:val="0"/>
          <w:numId w:val="1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add to or change any of the provisions of this Indenture to such extent as shall be necessary to permit or facilitate the issuance of Securities in bearer form, registrable or not registrable as to principal, and with or without interest coupons, or to permit or facilitate the issuance of Securities in uncertificated form; or</w:t>
      </w:r>
    </w:p>
    <w:p>
      <w:pPr>
        <w:spacing w:after="0" w:line="73" w:lineRule="exact"/>
        <w:rPr>
          <w:rFonts w:ascii="Arial" w:cs="Arial" w:eastAsia="Arial" w:hAnsi="Arial"/>
          <w:sz w:val="18"/>
          <w:szCs w:val="18"/>
          <w:color w:val="auto"/>
        </w:rPr>
      </w:pPr>
    </w:p>
    <w:p>
      <w:pPr>
        <w:ind w:right="220" w:firstLine="443"/>
        <w:spacing w:after="0" w:line="259" w:lineRule="auto"/>
        <w:tabs>
          <w:tab w:leader="none" w:pos="828" w:val="left"/>
        </w:tabs>
        <w:numPr>
          <w:ilvl w:val="0"/>
          <w:numId w:val="128"/>
        </w:numPr>
        <w:rPr>
          <w:rFonts w:ascii="Arial" w:cs="Arial" w:eastAsia="Arial" w:hAnsi="Arial"/>
          <w:sz w:val="18"/>
          <w:szCs w:val="18"/>
          <w:color w:val="auto"/>
        </w:rPr>
      </w:pPr>
      <w:r>
        <w:rPr>
          <w:rFonts w:ascii="Arial" w:cs="Arial" w:eastAsia="Arial" w:hAnsi="Arial"/>
          <w:sz w:val="18"/>
          <w:szCs w:val="18"/>
          <w:color w:val="auto"/>
        </w:rPr>
        <w:t xml:space="preserve">to add to, change or eliminate any of the provisions of this Indenture in respect of one or more series of Securities,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addition, change or elimination (A) shall neither (i) apply to any Security of any series created prior to the execution of such supplemental indenture and entitled to the benefit of such provision nor (ii) modify the rights of the Holder of any such Security with respect to such provision or (B) shall become effective only when there is no such Security Outstanding; or</w:t>
      </w:r>
    </w:p>
    <w:p>
      <w:pPr>
        <w:spacing w:after="0" w:line="78" w:lineRule="exact"/>
        <w:rPr>
          <w:rFonts w:ascii="Arial" w:cs="Arial" w:eastAsia="Arial" w:hAnsi="Arial"/>
          <w:sz w:val="18"/>
          <w:szCs w:val="18"/>
          <w:color w:val="auto"/>
        </w:rPr>
      </w:pPr>
    </w:p>
    <w:p>
      <w:pPr>
        <w:ind w:left="840" w:hanging="397"/>
        <w:spacing w:after="0"/>
        <w:tabs>
          <w:tab w:leader="none" w:pos="84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to secure the Securities, including provisions regarding the circumstances under which Collateral may be released or substituted; or</w:t>
      </w:r>
    </w:p>
    <w:p>
      <w:pPr>
        <w:spacing w:after="0" w:line="128" w:lineRule="exact"/>
        <w:rPr>
          <w:rFonts w:ascii="Arial" w:cs="Arial" w:eastAsia="Arial" w:hAnsi="Arial"/>
          <w:sz w:val="17"/>
          <w:szCs w:val="17"/>
          <w:color w:val="auto"/>
        </w:rPr>
      </w:pPr>
    </w:p>
    <w:p>
      <w:pPr>
        <w:ind w:left="840" w:hanging="397"/>
        <w:spacing w:after="0"/>
        <w:tabs>
          <w:tab w:leader="none" w:pos="8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to add or provide for a guaranty of the Securities or additional obligors on the Securities; or</w:t>
      </w:r>
    </w:p>
    <w:p>
      <w:pPr>
        <w:spacing w:after="0" w:line="117" w:lineRule="exact"/>
        <w:rPr>
          <w:rFonts w:ascii="Arial" w:cs="Arial" w:eastAsia="Arial" w:hAnsi="Arial"/>
          <w:sz w:val="18"/>
          <w:szCs w:val="18"/>
          <w:color w:val="auto"/>
        </w:rPr>
      </w:pPr>
    </w:p>
    <w:p>
      <w:pPr>
        <w:ind w:left="840" w:hanging="397"/>
        <w:spacing w:after="0"/>
        <w:tabs>
          <w:tab w:leader="none" w:pos="8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to establish the form or terms of Securities of any series as permitted by Sections 2.1 and 3.1; or</w:t>
      </w:r>
    </w:p>
    <w:p>
      <w:pPr>
        <w:spacing w:after="0" w:line="117" w:lineRule="exact"/>
        <w:rPr>
          <w:rFonts w:ascii="Arial" w:cs="Arial" w:eastAsia="Arial" w:hAnsi="Arial"/>
          <w:sz w:val="18"/>
          <w:szCs w:val="18"/>
          <w:color w:val="auto"/>
        </w:rPr>
      </w:pPr>
    </w:p>
    <w:p>
      <w:pPr>
        <w:ind w:right="240" w:firstLine="443"/>
        <w:spacing w:after="0" w:line="264" w:lineRule="auto"/>
        <w:tabs>
          <w:tab w:leader="none" w:pos="828"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pursuant to the requirements of Section 6.11; or</w:t>
      </w:r>
    </w:p>
    <w:p>
      <w:pPr>
        <w:spacing w:after="0" w:line="73" w:lineRule="exact"/>
        <w:rPr>
          <w:rFonts w:ascii="Arial" w:cs="Arial" w:eastAsia="Arial" w:hAnsi="Arial"/>
          <w:sz w:val="18"/>
          <w:szCs w:val="18"/>
          <w:color w:val="auto"/>
        </w:rPr>
      </w:pPr>
    </w:p>
    <w:p>
      <w:pPr>
        <w:ind w:left="920" w:hanging="477"/>
        <w:spacing w:after="0"/>
        <w:tabs>
          <w:tab w:leader="none" w:pos="9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to conform this Indenture to the description of the Securities set forth in the Prospectus for such series of Securities; or</w:t>
      </w:r>
    </w:p>
    <w:p>
      <w:pPr>
        <w:spacing w:after="0" w:line="117" w:lineRule="exact"/>
        <w:rPr>
          <w:rFonts w:ascii="Arial" w:cs="Arial" w:eastAsia="Arial" w:hAnsi="Arial"/>
          <w:sz w:val="18"/>
          <w:szCs w:val="18"/>
          <w:color w:val="auto"/>
        </w:rPr>
      </w:pPr>
    </w:p>
    <w:p>
      <w:pPr>
        <w:ind w:right="440" w:firstLine="443"/>
        <w:spacing w:after="0" w:line="277" w:lineRule="auto"/>
        <w:tabs>
          <w:tab w:leader="none" w:pos="911"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to cure any ambiguity, to correct or supplement any provision herein which may be defective or inconsistent with any other provision herein, or to make any other provisions with respect to matters or questions arising under this Indenture; or</w:t>
      </w:r>
    </w:p>
    <w:p>
      <w:pPr>
        <w:spacing w:after="0" w:line="62" w:lineRule="exact"/>
        <w:rPr>
          <w:rFonts w:ascii="Arial" w:cs="Arial" w:eastAsia="Arial" w:hAnsi="Arial"/>
          <w:sz w:val="18"/>
          <w:szCs w:val="18"/>
          <w:color w:val="auto"/>
        </w:rPr>
      </w:pPr>
    </w:p>
    <w:p>
      <w:pPr>
        <w:ind w:firstLine="443"/>
        <w:spacing w:after="0" w:line="264" w:lineRule="auto"/>
        <w:tabs>
          <w:tab w:leader="none" w:pos="918" w:val="left"/>
        </w:tabs>
        <w:numPr>
          <w:ilvl w:val="0"/>
          <w:numId w:val="128"/>
        </w:numPr>
        <w:rPr>
          <w:rFonts w:ascii="Arial" w:cs="Arial" w:eastAsia="Arial" w:hAnsi="Arial"/>
          <w:sz w:val="18"/>
          <w:szCs w:val="18"/>
          <w:color w:val="auto"/>
        </w:rPr>
      </w:pPr>
      <w:r>
        <w:rPr>
          <w:rFonts w:ascii="Arial" w:cs="Arial" w:eastAsia="Arial" w:hAnsi="Arial"/>
          <w:sz w:val="18"/>
          <w:szCs w:val="18"/>
          <w:color w:val="auto"/>
        </w:rPr>
        <w:t xml:space="preserve">to supplement any of the provisions of the Indenture to such extent as shall be necessary to permit or facilitate the defeasance and discharge of any series of Securities pursuant to Articles 4 and 13,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action shall not adversely affect the interests of the Holders of Securities of such series or any other series of Securities in any material respect; or</w:t>
      </w:r>
    </w:p>
    <w:p>
      <w:pPr>
        <w:spacing w:after="0" w:line="73" w:lineRule="exact"/>
        <w:rPr>
          <w:rFonts w:ascii="Arial" w:cs="Arial" w:eastAsia="Arial" w:hAnsi="Arial"/>
          <w:sz w:val="18"/>
          <w:szCs w:val="18"/>
          <w:color w:val="auto"/>
        </w:rPr>
      </w:pPr>
    </w:p>
    <w:p>
      <w:pPr>
        <w:ind w:right="240" w:firstLine="443"/>
        <w:spacing w:after="0" w:line="264" w:lineRule="auto"/>
        <w:tabs>
          <w:tab w:leader="none" w:pos="918" w:val="left"/>
        </w:tabs>
        <w:numPr>
          <w:ilvl w:val="0"/>
          <w:numId w:val="128"/>
        </w:numPr>
        <w:rPr>
          <w:rFonts w:ascii="Arial" w:cs="Arial" w:eastAsia="Arial" w:hAnsi="Arial"/>
          <w:sz w:val="18"/>
          <w:szCs w:val="18"/>
          <w:color w:val="auto"/>
        </w:rPr>
      </w:pPr>
      <w:r>
        <w:rPr>
          <w:rFonts w:ascii="Arial" w:cs="Arial" w:eastAsia="Arial" w:hAnsi="Arial"/>
          <w:sz w:val="18"/>
          <w:szCs w:val="18"/>
          <w:color w:val="auto"/>
        </w:rPr>
        <w:t>make such other provisions in regards to matters or questions arising under the Indenture or any supplemental indenture hereto as the Board of Directors may deem necessary or desirable, and which does not in each case adversely affect the interest of the Holders of Securities of any series; or</w:t>
      </w:r>
    </w:p>
    <w:p>
      <w:pPr>
        <w:spacing w:after="0" w:line="11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960"/>
          </w:cols>
          <w:pgMar w:left="700" w:top="274" w:right="239" w:bottom="1440" w:gutter="0" w:footer="0" w:header="0"/>
        </w:sectPr>
      </w:pPr>
    </w:p>
    <w:bookmarkStart w:id="155" w:name="page156"/>
    <w:bookmarkEnd w:id="155"/>
    <w:p>
      <w:pPr>
        <w:ind w:left="900"/>
        <w:spacing w:after="0"/>
        <w:tabs>
          <w:tab w:leader="none" w:pos="13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(14)</w:t>
      </w:r>
      <w:r>
        <w:rPr>
          <w:sz w:val="20"/>
          <w:szCs w:val="20"/>
          <w:color w:val="auto"/>
        </w:rPr>
        <w:tab/>
      </w:r>
      <w:r>
        <w:rPr>
          <w:rFonts w:ascii="Arial" w:cs="Arial" w:eastAsia="Arial" w:hAnsi="Arial"/>
          <w:sz w:val="16"/>
          <w:szCs w:val="16"/>
          <w:color w:val="auto"/>
        </w:rPr>
        <w:t>comply with the requirements of the Commission in order to effect or maintain the qualification of the Indenture under the Trust Indenture</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Act.</w:t>
      </w:r>
    </w:p>
    <w:p>
      <w:pPr>
        <w:spacing w:after="0" w:line="31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Section 9.2</w:t>
      </w:r>
      <w:r>
        <w:rPr>
          <w:sz w:val="20"/>
          <w:szCs w:val="20"/>
          <w:color w:val="auto"/>
        </w:rPr>
        <w:tab/>
      </w:r>
      <w:r>
        <w:rPr>
          <w:rFonts w:ascii="Arial" w:cs="Arial" w:eastAsia="Arial" w:hAnsi="Arial"/>
          <w:sz w:val="16"/>
          <w:szCs w:val="16"/>
          <w:b w:val="1"/>
          <w:bCs w:val="1"/>
          <w:color w:val="auto"/>
        </w:rPr>
        <w:t>Supplemental Indentures with Consent of Holders.</w:t>
      </w:r>
    </w:p>
    <w:p>
      <w:pPr>
        <w:spacing w:after="0" w:line="121"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 xml:space="preserve">With the consent of the Holders of a majority in principal amount of the Outstanding Securities of each series affected by such supplemental indenture, by Act of said Holders delivered to the Company and the Trustee, the Company, when authorized by a Board Resolution, and the Trustee may enter into an indenture or indentures supplemental hereto for the purpose of adding any provisions to or changing in any manner or eliminating any of the provisions of this Indenture or of modifying in any manner the rights of the Holders of Securities of such series under this Indenture;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such supplemental indenture shall, without the consent of the Holder of each Outstanding Security affected thereby,</w:t>
      </w:r>
    </w:p>
    <w:p>
      <w:pPr>
        <w:spacing w:after="0" w:line="64" w:lineRule="exact"/>
        <w:rPr>
          <w:sz w:val="20"/>
          <w:szCs w:val="20"/>
          <w:color w:val="auto"/>
        </w:rPr>
      </w:pPr>
    </w:p>
    <w:p>
      <w:pPr>
        <w:ind w:left="460" w:firstLine="443"/>
        <w:spacing w:after="0" w:line="255" w:lineRule="auto"/>
        <w:tabs>
          <w:tab w:leader="none" w:pos="1288" w:val="left"/>
        </w:tabs>
        <w:numPr>
          <w:ilvl w:val="0"/>
          <w:numId w:val="129"/>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any installment of principal of or interest on, any Security, or reduce the principal amount thereof or the rate of interest thereon or any premium payable upon the redemption or repurchase thereof, whether at the option of the Company or at the option of the Holder, or reduce the amount of any sinking fund payments, or reduce the amount of the principal of an Original Issue Discount Security or any other Security which would be due and payable upon a declaration of acceleration of the Maturity thereof pursuant to Section 5.2 of the Indenture, or change the Place of Payment or currency in which, any Security or any premium or interest thereon is payable, or impair the right to institute suit for the enforcement of any such payment on or after the Stated Maturity thereof (or, in the case of redemption, on or after the Redemption Date), or</w:t>
      </w:r>
    </w:p>
    <w:p>
      <w:pPr>
        <w:spacing w:after="0" w:line="81" w:lineRule="exact"/>
        <w:rPr>
          <w:rFonts w:ascii="Arial" w:cs="Arial" w:eastAsia="Arial" w:hAnsi="Arial"/>
          <w:sz w:val="18"/>
          <w:szCs w:val="18"/>
          <w:color w:val="auto"/>
        </w:rPr>
      </w:pPr>
    </w:p>
    <w:p>
      <w:pPr>
        <w:ind w:left="460" w:right="180" w:firstLine="443"/>
        <w:spacing w:after="0" w:line="277" w:lineRule="auto"/>
        <w:tabs>
          <w:tab w:leader="none" w:pos="1288" w:val="left"/>
        </w:tabs>
        <w:numPr>
          <w:ilvl w:val="0"/>
          <w:numId w:val="129"/>
        </w:numPr>
        <w:rPr>
          <w:rFonts w:ascii="Arial" w:cs="Arial" w:eastAsia="Arial" w:hAnsi="Arial"/>
          <w:sz w:val="18"/>
          <w:szCs w:val="18"/>
          <w:color w:val="auto"/>
        </w:rPr>
      </w:pPr>
      <w:r>
        <w:rPr>
          <w:rFonts w:ascii="Arial" w:cs="Arial" w:eastAsia="Arial" w:hAnsi="Arial"/>
          <w:sz w:val="18"/>
          <w:szCs w:val="18"/>
          <w:color w:val="auto"/>
        </w:rPr>
        <w:t>modify the provisions of this Indenture with respect to the subordination of such series of Securities in a manner materially adverse to the Holders of Securities of such series, or</w:t>
      </w:r>
    </w:p>
    <w:p>
      <w:pPr>
        <w:spacing w:after="0" w:line="62" w:lineRule="exact"/>
        <w:rPr>
          <w:rFonts w:ascii="Arial" w:cs="Arial" w:eastAsia="Arial" w:hAnsi="Arial"/>
          <w:sz w:val="18"/>
          <w:szCs w:val="18"/>
          <w:color w:val="auto"/>
        </w:rPr>
      </w:pPr>
    </w:p>
    <w:p>
      <w:pPr>
        <w:jc w:val="both"/>
        <w:ind w:left="460" w:right="40" w:firstLine="443"/>
        <w:spacing w:after="0" w:line="264" w:lineRule="auto"/>
        <w:tabs>
          <w:tab w:leader="none" w:pos="1288"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in the case of Securities of any series that are convertible into Common Stock or other securities of the Company pursuant to Article 14 and any supplemental indenture hereto, adversely affect the rights of the Holders to convert any of the Securities of such series other than as provided in or pursuant to this Indenture or any supplemental indenture, or</w:t>
      </w:r>
    </w:p>
    <w:p>
      <w:pPr>
        <w:spacing w:after="0" w:line="73" w:lineRule="exact"/>
        <w:rPr>
          <w:rFonts w:ascii="Arial" w:cs="Arial" w:eastAsia="Arial" w:hAnsi="Arial"/>
          <w:sz w:val="18"/>
          <w:szCs w:val="18"/>
          <w:color w:val="auto"/>
        </w:rPr>
      </w:pPr>
    </w:p>
    <w:p>
      <w:pPr>
        <w:ind w:left="460" w:firstLine="443"/>
        <w:spacing w:after="0" w:line="264" w:lineRule="auto"/>
        <w:tabs>
          <w:tab w:leader="none" w:pos="1288" w:val="left"/>
        </w:tabs>
        <w:numPr>
          <w:ilvl w:val="0"/>
          <w:numId w:val="129"/>
        </w:numPr>
        <w:rPr>
          <w:rFonts w:ascii="Arial" w:cs="Arial" w:eastAsia="Arial" w:hAnsi="Arial"/>
          <w:sz w:val="18"/>
          <w:szCs w:val="18"/>
          <w:color w:val="auto"/>
        </w:rPr>
      </w:pPr>
      <w:r>
        <w:rPr>
          <w:rFonts w:ascii="Arial" w:cs="Arial" w:eastAsia="Arial" w:hAnsi="Arial"/>
          <w:sz w:val="18"/>
          <w:szCs w:val="18"/>
          <w:color w:val="auto"/>
        </w:rPr>
        <w:t>reduce the percentage in principal amount of the Outstanding Securities of any series, the consent of whose Holders is required for any such supplemental indenture, or the consent of whose Holders is required for any waiver (of compliance with certain provisions of this Indenture or certain defaults hereunder and their consequences) provided for in this Indenture, or</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274" w:right="279" w:bottom="1440" w:gutter="0" w:footer="0" w:header="0"/>
        </w:sectPr>
      </w:pPr>
    </w:p>
    <w:bookmarkStart w:id="156" w:name="page157"/>
    <w:bookmarkEnd w:id="156"/>
    <w:p>
      <w:pPr>
        <w:ind w:left="460" w:right="200" w:firstLine="443"/>
        <w:spacing w:after="0" w:line="302" w:lineRule="auto"/>
        <w:tabs>
          <w:tab w:leader="none" w:pos="1288" w:val="left"/>
        </w:tabs>
        <w:numPr>
          <w:ilvl w:val="0"/>
          <w:numId w:val="13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modify any of the provisions of this Section or Section 5.13, except to increase any such percentage or to provide that certain other provisions of this Indenture cannot be modified or waived without the consent of the Holder of each Outstanding Security affected thereby;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this clause shall not be deemed to require the consent of any Holder with respect to changes in the references to “the Trustee” and concomitant changes in this Section, or the deletion of this proviso, in accordance with the requirements of Sections 6.11 and 9.1(9).</w:t>
      </w:r>
    </w:p>
    <w:p>
      <w:pPr>
        <w:spacing w:after="0" w:line="154"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A supplemental indenture which changes or eliminates any covenant or other provision of this Indenture which has expressly been included solely for the benefit of one or more particular series of Securities, or which modifies the rights of the Holders of Securities of such series with respect to such covenant or other provision, shall be deemed not to affect the rights under this Indenture of the Holders of Securities of any other series.</w:t>
      </w:r>
    </w:p>
    <w:p>
      <w:pPr>
        <w:spacing w:after="0" w:line="166"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It shall not be necessary for any Act of Holders under this Section to approve the particular form of any proposed supplemental indenture, but it shall be sufficient if such Act shall approve the substance thereof.</w:t>
      </w:r>
    </w:p>
    <w:p>
      <w:pPr>
        <w:spacing w:after="0" w:line="27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Section 9.3</w:t>
      </w:r>
      <w:r>
        <w:rPr>
          <w:sz w:val="20"/>
          <w:szCs w:val="20"/>
          <w:color w:val="auto"/>
        </w:rPr>
        <w:tab/>
      </w:r>
      <w:r>
        <w:rPr>
          <w:rFonts w:ascii="Arial" w:cs="Arial" w:eastAsia="Arial" w:hAnsi="Arial"/>
          <w:sz w:val="16"/>
          <w:szCs w:val="16"/>
          <w:b w:val="1"/>
          <w:bCs w:val="1"/>
          <w:color w:val="auto"/>
        </w:rPr>
        <w:t>Execution of Supplemental Indentures.</w:t>
      </w:r>
    </w:p>
    <w:p>
      <w:pPr>
        <w:spacing w:after="0" w:line="121" w:lineRule="exact"/>
        <w:rPr>
          <w:sz w:val="20"/>
          <w:szCs w:val="20"/>
          <w:color w:val="auto"/>
        </w:rPr>
      </w:pPr>
    </w:p>
    <w:p>
      <w:pPr>
        <w:ind w:right="200" w:firstLine="456"/>
        <w:spacing w:after="0" w:line="302" w:lineRule="auto"/>
        <w:rPr>
          <w:sz w:val="20"/>
          <w:szCs w:val="20"/>
          <w:color w:val="auto"/>
        </w:rPr>
      </w:pPr>
      <w:r>
        <w:rPr>
          <w:rFonts w:ascii="Arial" w:cs="Arial" w:eastAsia="Arial" w:hAnsi="Arial"/>
          <w:sz w:val="16"/>
          <w:szCs w:val="16"/>
          <w:color w:val="auto"/>
        </w:rPr>
        <w:t>In executing, or accepting the additional trusts created by, any supplemental indenture permitted by this Article or the modifications thereby of the trusts created by this Indenture, the Trustee shall be entitled to receive, and (subject to Sections 6.1 and 6.3) shall be fully protected in relying upon, an Opinion of Counsel stating that the execution of such supplemental indenture is authorized or permitted by this Indenture. The Trustee may, but shall not be obligated to, enter into any such supplemental indenture which affects the Trustee’s own rights, duties or immunities under this Indenture or otherwise.</w:t>
      </w:r>
    </w:p>
    <w:p>
      <w:pPr>
        <w:spacing w:after="0" w:line="258"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Section 9.4</w:t>
      </w:r>
      <w:r>
        <w:rPr>
          <w:sz w:val="20"/>
          <w:szCs w:val="20"/>
          <w:color w:val="auto"/>
        </w:rPr>
        <w:tab/>
      </w:r>
      <w:r>
        <w:rPr>
          <w:rFonts w:ascii="Arial" w:cs="Arial" w:eastAsia="Arial" w:hAnsi="Arial"/>
          <w:sz w:val="16"/>
          <w:szCs w:val="16"/>
          <w:b w:val="1"/>
          <w:bCs w:val="1"/>
          <w:color w:val="auto"/>
        </w:rPr>
        <w:t>Effect of Supplemental Indentures.</w:t>
      </w:r>
    </w:p>
    <w:p>
      <w:pPr>
        <w:spacing w:after="0" w:line="121"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Upon the execution of any supplemental indenture under this Article, this Indenture shall be modified in accordance therewith, and such supplemental indenture shall form a part of this Indenture for all purposes; and every Holder of Securities theretofore or thereafter authenticated and delivered hereunder shall be bound thereby.</w:t>
      </w:r>
    </w:p>
    <w:p>
      <w:pPr>
        <w:spacing w:after="0" w:line="28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Section 9.5</w:t>
      </w:r>
      <w:r>
        <w:rPr>
          <w:sz w:val="20"/>
          <w:szCs w:val="20"/>
          <w:color w:val="auto"/>
        </w:rPr>
        <w:tab/>
      </w:r>
      <w:r>
        <w:rPr>
          <w:rFonts w:ascii="Arial" w:cs="Arial" w:eastAsia="Arial" w:hAnsi="Arial"/>
          <w:sz w:val="16"/>
          <w:szCs w:val="16"/>
          <w:b w:val="1"/>
          <w:bCs w:val="1"/>
          <w:color w:val="auto"/>
        </w:rPr>
        <w:t>Conformity with Trust Indenture Act.</w:t>
      </w:r>
    </w:p>
    <w:p>
      <w:pPr>
        <w:spacing w:after="0" w:line="121"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The Indenture shall incorporate and be governed by the provisions of the Trust Indenture Act that are required to be part of and to govern indentures qualified under the Trust Indenture Act.</w:t>
      </w:r>
    </w:p>
    <w:p>
      <w:pPr>
        <w:spacing w:after="0" w:line="27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Section 9.6</w:t>
      </w:r>
      <w:r>
        <w:rPr>
          <w:sz w:val="20"/>
          <w:szCs w:val="20"/>
          <w:color w:val="auto"/>
        </w:rPr>
        <w:tab/>
      </w:r>
      <w:r>
        <w:rPr>
          <w:rFonts w:ascii="Arial" w:cs="Arial" w:eastAsia="Arial" w:hAnsi="Arial"/>
          <w:sz w:val="16"/>
          <w:szCs w:val="16"/>
          <w:b w:val="1"/>
          <w:bCs w:val="1"/>
          <w:color w:val="auto"/>
        </w:rPr>
        <w:t>Reference in Securities to Supplemental Indentures.</w:t>
      </w:r>
    </w:p>
    <w:p>
      <w:pPr>
        <w:spacing w:after="0" w:line="121"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Securities of any series authenticated and delivered after the execution of any supplemental indenture pursuant to this Article may, and shall if required by the Trustee, bear a notation in form approved by the Trustee as to any matter provided for in such supplemental indenture. If the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274" w:right="239" w:bottom="1440" w:gutter="0" w:footer="0" w:header="0"/>
        </w:sectPr>
      </w:pPr>
    </w:p>
    <w:bookmarkStart w:id="157" w:name="page158"/>
    <w:bookmarkEnd w:id="157"/>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Company shall so determine, new Securities of any series so modified as to conform, in the opinion of the Trustee and the Company, to any such supplemental indenture may be prepared and executed by the Company and authenticated and delivered by the Trustee in exchange for Outstanding Securities of such series.</w:t>
      </w:r>
    </w:p>
    <w:p>
      <w:pPr>
        <w:spacing w:after="0" w:line="28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Section 9.7</w:t>
      </w:r>
      <w:r>
        <w:rPr>
          <w:sz w:val="20"/>
          <w:szCs w:val="20"/>
          <w:color w:val="auto"/>
        </w:rPr>
        <w:tab/>
      </w:r>
      <w:r>
        <w:rPr>
          <w:rFonts w:ascii="Arial" w:cs="Arial" w:eastAsia="Arial" w:hAnsi="Arial"/>
          <w:sz w:val="16"/>
          <w:szCs w:val="16"/>
          <w:b w:val="1"/>
          <w:bCs w:val="1"/>
          <w:color w:val="auto"/>
        </w:rPr>
        <w:t>Subordination Unimpaired.</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 provision in any supplemental indenture that affects the superior position of the holders of Senior Debt shall be effective against holders of Senior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Debt.</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COVENANTS</w:t>
      </w:r>
    </w:p>
    <w:p>
      <w:pPr>
        <w:spacing w:after="0" w:line="22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Section 10.1</w:t>
      </w:r>
      <w:r>
        <w:rPr>
          <w:sz w:val="20"/>
          <w:szCs w:val="20"/>
          <w:color w:val="auto"/>
        </w:rPr>
        <w:tab/>
      </w:r>
      <w:r>
        <w:rPr>
          <w:rFonts w:ascii="Arial" w:cs="Arial" w:eastAsia="Arial" w:hAnsi="Arial"/>
          <w:sz w:val="16"/>
          <w:szCs w:val="16"/>
          <w:b w:val="1"/>
          <w:bCs w:val="1"/>
          <w:color w:val="auto"/>
        </w:rPr>
        <w:t>Payment of Principal, Premium and Interest.</w:t>
      </w:r>
    </w:p>
    <w:p>
      <w:pPr>
        <w:spacing w:after="0" w:line="121"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The Company covenants and agrees for the benefit of each series of Securities that it will duly and punctually pay the principal of and any premium and interest on the Securities of that series in accordance with the terms of the Securities and this Indenture.</w:t>
      </w:r>
    </w:p>
    <w:p>
      <w:pPr>
        <w:spacing w:after="0" w:line="27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Section 10.2</w:t>
      </w:r>
      <w:r>
        <w:rPr>
          <w:sz w:val="20"/>
          <w:szCs w:val="20"/>
          <w:color w:val="auto"/>
        </w:rPr>
        <w:tab/>
      </w:r>
      <w:r>
        <w:rPr>
          <w:rFonts w:ascii="Arial" w:cs="Arial" w:eastAsia="Arial" w:hAnsi="Arial"/>
          <w:sz w:val="16"/>
          <w:szCs w:val="16"/>
          <w:b w:val="1"/>
          <w:bCs w:val="1"/>
          <w:color w:val="auto"/>
        </w:rPr>
        <w:t>Maintenance of Office or Agency.</w:t>
      </w:r>
    </w:p>
    <w:p>
      <w:pPr>
        <w:spacing w:after="0" w:line="12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Company will maintain in each Place of Payment for any series of Securities an office or agency where Securities of that series may be presented or surrendered for payment, where Securities of that series may be surrendered for registration of transfer or exchange, where Securities of that series may be surrendered for conversion to the extent that such right to convert is applicable to such Security and where notices and demands to or upon the Company in respect of the Securities of that series and this Indenture may be served.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of the Trustee, and the Company hereby appoints the Trustee as its agent to receive all such presentations, surrenders, notices and demands. Unless otherwise provided in a supplemental indenture or pursuant to Section 3.1 hereof, the Place of Payment for any series of Securities shall be the Corporate Trust Office of the Trustee.</w:t>
      </w:r>
    </w:p>
    <w:p>
      <w:pPr>
        <w:spacing w:after="0" w:line="166"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 xml:space="preserve">The Company may also from time to time designate one or more other offices or agencies where the Securities of one or more series may be presented or surrendered for any or all such purposes and may from time to time rescind such designations;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designation or rescission shall in any manner relieve the Company of its obligation to maintain an office or agency in each Place of Payment for Securities of any series for such purposes. The Company will give prompt written notice to the Trustee of any such designation or rescission and of any change in the location of any such other office or agency.</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274" w:right="259" w:bottom="1440" w:gutter="0" w:footer="0" w:header="0"/>
        </w:sectPr>
      </w:pPr>
    </w:p>
    <w:bookmarkStart w:id="158" w:name="page159"/>
    <w:bookmarkEnd w:id="158"/>
    <w:p>
      <w:pPr>
        <w:spacing w:after="0"/>
        <w:tabs>
          <w:tab w:leader="none" w:pos="10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10.3</w:t>
      </w:r>
      <w:r>
        <w:rPr>
          <w:sz w:val="20"/>
          <w:szCs w:val="20"/>
          <w:color w:val="auto"/>
        </w:rPr>
        <w:tab/>
      </w:r>
      <w:r>
        <w:rPr>
          <w:rFonts w:ascii="Arial" w:cs="Arial" w:eastAsia="Arial" w:hAnsi="Arial"/>
          <w:sz w:val="16"/>
          <w:szCs w:val="16"/>
          <w:b w:val="1"/>
          <w:bCs w:val="1"/>
          <w:color w:val="auto"/>
        </w:rPr>
        <w:t>Money for Securities Payments to be Held in Trust.</w:t>
      </w:r>
    </w:p>
    <w:p>
      <w:pPr>
        <w:spacing w:after="0" w:line="121"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If the Company shall at any time act as its own Paying Agent with respect to any series of Securities, it will, on or before each due date of the principal of or any premium or interest on any of the Securities of that series, segregate and hold in trust for the benefit of the Persons entitled thereto a sum sufficient to pay the principal and any premium and interest so becoming due until such sums shall be paid to such Persons or otherwise disposed of as herein provided and will promptly notify the Trustee of its action or failure so to act.</w:t>
      </w:r>
    </w:p>
    <w:p>
      <w:pPr>
        <w:spacing w:after="0" w:line="187"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Whenever the Company shall have one or more Paying Agents for any series of Securities, it will, on or prior to each due date of the principal of or any premium or interest on any Securities of that series, deposit with a Paying Agent a sum sufficient to pay such amount, such sum to be held as provided by the Trust Indenture Act, and (unless such Paying Agent is the Trustee) the Company will promptly notify the Trustee of its action or failure so to act.</w:t>
      </w:r>
    </w:p>
    <w:p>
      <w:pPr>
        <w:spacing w:after="0" w:line="14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The Company will cause each Paying Agent for any series of Securities other than the Trustee to execute and deliver to the Trustee an instrument in which such Paying Agent shall agree with the Trustee, subject to the provisions of this Section, that such Paying Agent will (1) comply with the provisions of the Trust Indenture Act applicable to it as a Paying Agent and (2) during the continuance of any default by the Company (or any other obligor upon the Securities of that series) in the making of any payment in respect of the Securities of that series, upon the written request of the Trustee, forthwith pay to the Trustee all sums held in trust by such Paying Agent for payment in respect of the Securities of that series.</w:t>
      </w:r>
    </w:p>
    <w:p>
      <w:pPr>
        <w:spacing w:after="0" w:line="173"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The Company may at any time, for the purpose of obtaining the satisfaction and discharge of this Indenture or for any other purpose, pay, or by Company Order direct any Paying Agent to pay, to the Trustee all sums held in trust by the Company or such Paying Agent, such sums to be held by the Trustee upon the same trusts as those upon which such sums were held by the Company or such Paying Agent; and, upon such payment by any Paying Agent to the Trustee, such Paying Agent shall be released from all further liability with respect to such money.</w:t>
      </w:r>
    </w:p>
    <w:p>
      <w:pPr>
        <w:spacing w:after="0" w:line="17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Any amounts deposited with the Trustee or any Paying Agent, or then held by the Company, in trust for the payment of the principal of or any premium or interest on any Security of any series and remaining unclaimed for a period ending on the earlier of the date that is ten Business Days prior to the date such money would escheat to the State or two years after such principal, premium or interest has become due and payable shall be paid to the Company on Company Request, or (if then held by the Company) shall be discharged from such trust; and the Holder of such Security shall thereafter, as an unsecured general creditor, look only to the Company for payment thereof, and all liability of the Trustee or such Paying Agent with respect to such trust money, and all liability of the Company as trustee thereof, shall thereupon cease;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Trustee or such Paying Agent, before being required to make any such repayment, may at the expense of the Company cause to be published once, in a newspaper published in the English language, customarily published on each Business Day and of general circulation in each Place of Payment, notice that such money remains unclaimed and that, after a date specified therein, which shall not be less than 30 days from the date of such publication, any unclaimed balance of such money then remaining will be repaid to the Company.</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270" w:right="279" w:bottom="1440" w:gutter="0" w:footer="0" w:header="0"/>
        </w:sectPr>
      </w:pPr>
    </w:p>
    <w:bookmarkStart w:id="159" w:name="page160"/>
    <w:bookmarkEnd w:id="159"/>
    <w:p>
      <w:pPr>
        <w:spacing w:after="0"/>
        <w:tabs>
          <w:tab w:leader="none" w:pos="10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10.4</w:t>
      </w:r>
      <w:r>
        <w:rPr>
          <w:sz w:val="20"/>
          <w:szCs w:val="20"/>
          <w:color w:val="auto"/>
        </w:rPr>
        <w:tab/>
      </w:r>
      <w:r>
        <w:rPr>
          <w:rFonts w:ascii="Arial" w:cs="Arial" w:eastAsia="Arial" w:hAnsi="Arial"/>
          <w:sz w:val="16"/>
          <w:szCs w:val="16"/>
          <w:b w:val="1"/>
          <w:bCs w:val="1"/>
          <w:color w:val="auto"/>
        </w:rPr>
        <w:t>Statement by Officers as to Default.</w:t>
      </w:r>
    </w:p>
    <w:p>
      <w:pPr>
        <w:spacing w:after="0" w:line="12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Company will deliver to the Trustee, within 120 days after the end of each fiscal year of the Company ending after the date hereof, an Officers’ Certificate, stating whether or not to the best knowledge of the signers thereof the Company is in default in the performance and observance of any of the terms, provisions and conditions of this Indenture (without regard to any period of grace or requirement of notice provided hereunder) and, if the Company shall be in default, specifying all such defaults and the nature and status thereof of which they may have knowledge. The fiscal year of the Company currently ends on December 31; and the Company will give the Trustee prompt written notice of any change of its fiscal year.</w:t>
      </w:r>
    </w:p>
    <w:p>
      <w:pPr>
        <w:spacing w:after="0" w:line="277"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Section 10.5</w:t>
      </w:r>
      <w:r>
        <w:rPr>
          <w:sz w:val="20"/>
          <w:szCs w:val="20"/>
          <w:color w:val="auto"/>
        </w:rPr>
        <w:tab/>
      </w:r>
      <w:r>
        <w:rPr>
          <w:rFonts w:ascii="Arial" w:cs="Arial" w:eastAsia="Arial" w:hAnsi="Arial"/>
          <w:sz w:val="15"/>
          <w:szCs w:val="15"/>
          <w:b w:val="1"/>
          <w:bCs w:val="1"/>
          <w:color w:val="auto"/>
        </w:rPr>
        <w:t>Existence.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Subject to Article 8, the Company will do or cause to be done all things necessary to preserve and keep in full force and effect its existence.</w:t>
      </w:r>
    </w:p>
    <w:p>
      <w:pPr>
        <w:spacing w:after="0" w:line="341"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Section 10.6</w:t>
      </w:r>
      <w:r>
        <w:rPr>
          <w:sz w:val="20"/>
          <w:szCs w:val="20"/>
          <w:color w:val="auto"/>
        </w:rPr>
        <w:tab/>
      </w:r>
      <w:r>
        <w:rPr>
          <w:rFonts w:ascii="Arial" w:cs="Arial" w:eastAsia="Arial" w:hAnsi="Arial"/>
          <w:sz w:val="16"/>
          <w:szCs w:val="16"/>
          <w:b w:val="1"/>
          <w:bCs w:val="1"/>
          <w:color w:val="auto"/>
        </w:rPr>
        <w:t>Waiver of Certain Covenants.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Except as otherwise specified as contemplated by Section 3.1 for Securities of such series, the Company may, with respect to the Securities of any series, omit in any particular instance to comply with any term, provision or condition set forth in any covenant provided pursuant to Section 3.1(20) or 9.1(2) for the benefit of the Holders of such series if before the time for such compliance the Holders of at least a majority in principal amount of the Outstanding Securities of such series shall, by Act of such Holders, either waive such compliance in such instance or generally waive compliance with such term, provision or condition, but no such waiver shall extend to or affect such term, provision or condition except to the extent so expressly waived, and, until such waiver shall become effective, the obligations of the Company and the duties of the Trustee in respect of any such term, provision or condition shall remain in full force and effect.</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11</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REDEMPTION OF SECURITIES</w:t>
      </w:r>
    </w:p>
    <w:p>
      <w:pPr>
        <w:spacing w:after="0" w:line="22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Section 11.1</w:t>
      </w:r>
      <w:r>
        <w:rPr>
          <w:sz w:val="20"/>
          <w:szCs w:val="20"/>
          <w:color w:val="auto"/>
        </w:rPr>
        <w:tab/>
      </w:r>
      <w:r>
        <w:rPr>
          <w:rFonts w:ascii="Arial" w:cs="Arial" w:eastAsia="Arial" w:hAnsi="Arial"/>
          <w:sz w:val="16"/>
          <w:szCs w:val="16"/>
          <w:b w:val="1"/>
          <w:bCs w:val="1"/>
          <w:color w:val="auto"/>
        </w:rPr>
        <w:t>Applicability of Article.</w:t>
      </w:r>
    </w:p>
    <w:p>
      <w:pPr>
        <w:spacing w:after="0" w:line="121"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Securities of any series that are redeemable before their Stated Maturity shall be redeemable in accordance with their terms and (except as otherwise specified as contemplated by Section 3.1 for such Securities) in accordance with this Article.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270" w:right="259" w:bottom="1440" w:gutter="0" w:footer="0" w:header="0"/>
        </w:sectPr>
      </w:pPr>
    </w:p>
    <w:bookmarkStart w:id="160" w:name="page161"/>
    <w:bookmarkEnd w:id="160"/>
    <w:p>
      <w:pPr>
        <w:spacing w:after="0"/>
        <w:tabs>
          <w:tab w:leader="none" w:pos="10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11.2</w:t>
      </w:r>
      <w:r>
        <w:rPr>
          <w:sz w:val="20"/>
          <w:szCs w:val="20"/>
          <w:color w:val="auto"/>
        </w:rPr>
        <w:tab/>
      </w:r>
      <w:r>
        <w:rPr>
          <w:rFonts w:ascii="Arial" w:cs="Arial" w:eastAsia="Arial" w:hAnsi="Arial"/>
          <w:sz w:val="16"/>
          <w:szCs w:val="16"/>
          <w:b w:val="1"/>
          <w:bCs w:val="1"/>
          <w:color w:val="auto"/>
        </w:rPr>
        <w:t>Election to Redeem; Notice to Trustee.</w:t>
      </w:r>
    </w:p>
    <w:p>
      <w:pPr>
        <w:spacing w:after="0" w:line="121"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The election of the Company to redeem any Securities shall be evidenced by a Board Resolution or in another manner specified as contemplated by Section 3.1 for such Securities. In case of any redemption at the election of the Company of less than all the Securities of any series (including any such redemption affecting only a single Security), the Company shall, at least 45 days prior to the Redemption Date fixed by the Company (unless a shorter notice shall be satisfactory to the Trustee or is specified in the Board Resolution (or in an Officers’ Certificate pursuant to such Board Resolution detailing such establishment) or supplemental indenture establishing such series), notify the Trustee of such Redemption Date, of the principal amount of Securities of such series to be redeemed and, if applicable, of the tenor of the Securities to be redeemed.</w:t>
      </w:r>
    </w:p>
    <w:p>
      <w:pPr>
        <w:spacing w:after="0" w:line="283"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Section 11.3</w:t>
      </w:r>
      <w:r>
        <w:rPr>
          <w:sz w:val="20"/>
          <w:szCs w:val="20"/>
          <w:color w:val="auto"/>
        </w:rPr>
        <w:tab/>
      </w:r>
      <w:r>
        <w:rPr>
          <w:rFonts w:ascii="Arial" w:cs="Arial" w:eastAsia="Arial" w:hAnsi="Arial"/>
          <w:sz w:val="15"/>
          <w:szCs w:val="15"/>
          <w:b w:val="1"/>
          <w:bCs w:val="1"/>
          <w:color w:val="auto"/>
        </w:rPr>
        <w:t>Selection by Trustee of Securities to Be Redeemed.</w:t>
      </w:r>
    </w:p>
    <w:p>
      <w:pPr>
        <w:spacing w:after="0" w:line="121"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 xml:space="preserve">If less than all the Securities of any series are to be redeemed (unless all the Securities of such series and of a specified tenor are to be redeemed or unless such redemption affects only a single Security), the particular Securities to be redeemed shall be selected not more than 45 days prior to the Redemption Date by the Trustee, from the Outstanding Securities of such series not previously called for redemption, by lot, or in the Trustee’s discretion, on a pro-rata basis,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unredeemed portion of the principal amount of any Security shall be in an authorized denomination (which shall not be less than the minimum authorized denomination) for such Security. If less than all the Securities of such series and of a specified tenor are to be redeemed (unless such redemption affects only a single Security), the particular Securities to be redeemed shall be selected not more than 45 days prior to the Redemption Date by the Trustee, from the Outstanding Securities of such series and specified tenor not previously called for redemption in accordance with the preceding sentence.</w:t>
      </w:r>
    </w:p>
    <w:p>
      <w:pPr>
        <w:spacing w:after="0" w:line="192"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If any Security selected for partial redemption is converted in part before termination of the conversion right with respect to the portion of the Security so selected, the converted portion of such Security shall be deemed (so far as may be) to be the portion selected for redemption. Securities that have been converted during a selection of Securities to be redeemed shall be treated by the Trustee as Outstanding for the purpose of such selection.</w:t>
      </w:r>
    </w:p>
    <w:p>
      <w:pPr>
        <w:spacing w:after="0" w:line="14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Trustee shall promptly notify the Company in writing of the Securities selected for redemption as aforesaid and, in case of any Securities selected for partial redemption as aforesaid, the principal amount thereof to be redeemed.</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provisions of the two preceding paragraphs shall not apply with respect to any redemption affecting only a single Security, whether such Security is to be redeemed in whole or in part. In the case of any such redemption in part, the unredeemed portion of the principal amount of the Security shall be in an authorized denomination (which shall not be less than the minimum authorized denomination) for such Security.</w:t>
      </w:r>
    </w:p>
    <w:p>
      <w:pPr>
        <w:spacing w:after="0" w:line="181" w:lineRule="exact"/>
        <w:rPr>
          <w:sz w:val="20"/>
          <w:szCs w:val="20"/>
          <w:color w:val="auto"/>
        </w:rPr>
      </w:pPr>
    </w:p>
    <w:p>
      <w:pPr>
        <w:ind w:right="20" w:firstLine="456"/>
        <w:spacing w:after="0" w:line="342" w:lineRule="auto"/>
        <w:rPr>
          <w:sz w:val="20"/>
          <w:szCs w:val="20"/>
          <w:color w:val="auto"/>
        </w:rPr>
      </w:pPr>
      <w:r>
        <w:rPr>
          <w:rFonts w:ascii="Arial" w:cs="Arial" w:eastAsia="Arial" w:hAnsi="Arial"/>
          <w:sz w:val="16"/>
          <w:szCs w:val="16"/>
          <w:color w:val="auto"/>
        </w:rPr>
        <w:t>For all purposes of this Indenture, unless the context otherwise requires, all provisions relating to the redemption of Securities shall relate, in the case of any Securities redeemed or to be redeemed only in part, to the portion of the principal amount of such Securities which has been or is to be redeemed.</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270" w:right="239" w:bottom="1440" w:gutter="0" w:footer="0" w:header="0"/>
        </w:sectPr>
      </w:pPr>
    </w:p>
    <w:bookmarkStart w:id="161" w:name="page162"/>
    <w:bookmarkEnd w:id="161"/>
    <w:p>
      <w:pPr>
        <w:spacing w:after="0"/>
        <w:tabs>
          <w:tab w:leader="none" w:pos="10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11.4</w:t>
      </w:r>
      <w:r>
        <w:rPr>
          <w:sz w:val="20"/>
          <w:szCs w:val="20"/>
          <w:color w:val="auto"/>
        </w:rPr>
        <w:tab/>
      </w:r>
      <w:r>
        <w:rPr>
          <w:rFonts w:ascii="Arial" w:cs="Arial" w:eastAsia="Arial" w:hAnsi="Arial"/>
          <w:sz w:val="16"/>
          <w:szCs w:val="16"/>
          <w:b w:val="1"/>
          <w:bCs w:val="1"/>
          <w:color w:val="auto"/>
        </w:rPr>
        <w:t>Notice of Redemption.</w:t>
      </w:r>
    </w:p>
    <w:p>
      <w:pPr>
        <w:spacing w:after="0" w:line="121" w:lineRule="exact"/>
        <w:rPr>
          <w:sz w:val="20"/>
          <w:szCs w:val="20"/>
          <w:color w:val="auto"/>
        </w:rPr>
      </w:pPr>
    </w:p>
    <w:p>
      <w:pPr>
        <w:jc w:val="both"/>
        <w:ind w:right="360" w:firstLine="456"/>
        <w:spacing w:after="0" w:line="264" w:lineRule="auto"/>
        <w:rPr>
          <w:sz w:val="20"/>
          <w:szCs w:val="20"/>
          <w:color w:val="auto"/>
        </w:rPr>
      </w:pPr>
      <w:r>
        <w:rPr>
          <w:rFonts w:ascii="Arial" w:cs="Arial" w:eastAsia="Arial" w:hAnsi="Arial"/>
          <w:sz w:val="18"/>
          <w:szCs w:val="18"/>
          <w:color w:val="auto"/>
        </w:rPr>
        <w:t>Notice of redemption shall be given in the manner provided in Section 1.6, not fewer than 30 nor more than 60 days prior to the Redemption Date, unless a shorter period is specified in the Securities to be redeemed, to each Holder of Securities to be redeemed, at its address appearing in the Security Register or, if the securities are held in book-entry form, sent by electronic transmission.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notices of redemption shall state:</w:t>
      </w:r>
    </w:p>
    <w:p>
      <w:pPr>
        <w:spacing w:after="0" w:line="117" w:lineRule="exact"/>
        <w:rPr>
          <w:sz w:val="20"/>
          <w:szCs w:val="20"/>
          <w:color w:val="auto"/>
        </w:rPr>
      </w:pPr>
    </w:p>
    <w:p>
      <w:pPr>
        <w:ind w:left="1300" w:hanging="397"/>
        <w:spacing w:after="0"/>
        <w:tabs>
          <w:tab w:leader="none" w:pos="13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117" w:lineRule="exact"/>
        <w:rPr>
          <w:rFonts w:ascii="Arial" w:cs="Arial" w:eastAsia="Arial" w:hAnsi="Arial"/>
          <w:sz w:val="18"/>
          <w:szCs w:val="18"/>
          <w:color w:val="auto"/>
        </w:rPr>
      </w:pPr>
    </w:p>
    <w:p>
      <w:pPr>
        <w:ind w:left="1300" w:hanging="397"/>
        <w:spacing w:after="0"/>
        <w:tabs>
          <w:tab w:leader="none" w:pos="13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Redemption Price (including accrued interest, if any),</w:t>
      </w:r>
    </w:p>
    <w:p>
      <w:pPr>
        <w:spacing w:after="0" w:line="117" w:lineRule="exact"/>
        <w:rPr>
          <w:rFonts w:ascii="Arial" w:cs="Arial" w:eastAsia="Arial" w:hAnsi="Arial"/>
          <w:sz w:val="18"/>
          <w:szCs w:val="18"/>
          <w:color w:val="auto"/>
        </w:rPr>
      </w:pPr>
    </w:p>
    <w:p>
      <w:pPr>
        <w:ind w:left="460" w:right="60" w:firstLine="443"/>
        <w:spacing w:after="0" w:line="312" w:lineRule="auto"/>
        <w:tabs>
          <w:tab w:leader="none" w:pos="1288" w:val="left"/>
        </w:tabs>
        <w:numPr>
          <w:ilvl w:val="0"/>
          <w:numId w:val="131"/>
        </w:numPr>
        <w:rPr>
          <w:rFonts w:ascii="Arial" w:cs="Arial" w:eastAsia="Arial" w:hAnsi="Arial"/>
          <w:sz w:val="16"/>
          <w:szCs w:val="16"/>
          <w:color w:val="auto"/>
        </w:rPr>
      </w:pPr>
      <w:r>
        <w:rPr>
          <w:rFonts w:ascii="Arial" w:cs="Arial" w:eastAsia="Arial" w:hAnsi="Arial"/>
          <w:sz w:val="16"/>
          <w:szCs w:val="16"/>
          <w:color w:val="auto"/>
        </w:rPr>
        <w:t>if less than all the Outstanding Securities of any series consisting of more than a single Security are to be redeemed, the identification (and, in the case of partial redemption of any such Securities, the principal amounts) of the particular Securities to be redeemed and, if less than all the Outstanding Securities of any series consisting of a single Security are to be redeemed, the principal amount of the particular Security to be redeemed,</w:t>
      </w:r>
    </w:p>
    <w:p>
      <w:pPr>
        <w:spacing w:after="0" w:line="38" w:lineRule="exact"/>
        <w:rPr>
          <w:rFonts w:ascii="Arial" w:cs="Arial" w:eastAsia="Arial" w:hAnsi="Arial"/>
          <w:sz w:val="16"/>
          <w:szCs w:val="16"/>
          <w:color w:val="auto"/>
        </w:rPr>
      </w:pPr>
    </w:p>
    <w:p>
      <w:pPr>
        <w:ind w:left="460" w:right="200" w:firstLine="443"/>
        <w:spacing w:after="0" w:line="264" w:lineRule="auto"/>
        <w:tabs>
          <w:tab w:leader="none" w:pos="1288"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in case any Security is to be redeemed in part only, that on and after the Redemption Date, upon surrender of such Security, the Holder of such Security will receive, without charge, a new Security or Securities of authorized denominations for the principal amount thereof remaining unredeemed,</w:t>
      </w:r>
    </w:p>
    <w:p>
      <w:pPr>
        <w:spacing w:after="0" w:line="73" w:lineRule="exact"/>
        <w:rPr>
          <w:rFonts w:ascii="Arial" w:cs="Arial" w:eastAsia="Arial" w:hAnsi="Arial"/>
          <w:sz w:val="18"/>
          <w:szCs w:val="18"/>
          <w:color w:val="auto"/>
        </w:rPr>
      </w:pPr>
    </w:p>
    <w:p>
      <w:pPr>
        <w:ind w:left="460" w:firstLine="443"/>
        <w:spacing w:after="0" w:line="277" w:lineRule="auto"/>
        <w:tabs>
          <w:tab w:leader="none" w:pos="1288"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that on the Redemption Date the Redemption Price will become due and payable upon each such Security to be redeemed and, if applicable, that interest thereon will cease to accrue on and after said date,</w:t>
      </w:r>
    </w:p>
    <w:p>
      <w:pPr>
        <w:spacing w:after="0" w:line="62" w:lineRule="exact"/>
        <w:rPr>
          <w:rFonts w:ascii="Arial" w:cs="Arial" w:eastAsia="Arial" w:hAnsi="Arial"/>
          <w:sz w:val="18"/>
          <w:szCs w:val="18"/>
          <w:color w:val="auto"/>
        </w:rPr>
      </w:pPr>
    </w:p>
    <w:p>
      <w:pPr>
        <w:ind w:left="1300" w:hanging="397"/>
        <w:spacing w:after="0"/>
        <w:tabs>
          <w:tab w:leader="none" w:pos="13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place or places where each such Security is to be surrendered for payment of the Redemption Price,</w:t>
      </w:r>
    </w:p>
    <w:p>
      <w:pPr>
        <w:spacing w:after="0" w:line="117" w:lineRule="exact"/>
        <w:rPr>
          <w:rFonts w:ascii="Arial" w:cs="Arial" w:eastAsia="Arial" w:hAnsi="Arial"/>
          <w:sz w:val="18"/>
          <w:szCs w:val="18"/>
          <w:color w:val="auto"/>
        </w:rPr>
      </w:pPr>
    </w:p>
    <w:p>
      <w:pPr>
        <w:ind w:left="460" w:right="420" w:firstLine="443"/>
        <w:spacing w:after="0" w:line="342" w:lineRule="auto"/>
        <w:tabs>
          <w:tab w:leader="none" w:pos="1288" w:val="left"/>
        </w:tabs>
        <w:numPr>
          <w:ilvl w:val="0"/>
          <w:numId w:val="131"/>
        </w:numPr>
        <w:rPr>
          <w:rFonts w:ascii="Arial" w:cs="Arial" w:eastAsia="Arial" w:hAnsi="Arial"/>
          <w:sz w:val="16"/>
          <w:szCs w:val="16"/>
          <w:color w:val="auto"/>
        </w:rPr>
      </w:pPr>
      <w:r>
        <w:rPr>
          <w:rFonts w:ascii="Arial" w:cs="Arial" w:eastAsia="Arial" w:hAnsi="Arial"/>
          <w:sz w:val="16"/>
          <w:szCs w:val="16"/>
          <w:color w:val="auto"/>
        </w:rPr>
        <w:t>if applicable, the conversion price or conversion rate, as the case may be, the date on which the right to convert the principal of the Securities or the portions thereof to be redeemed will terminate, and the place or places where such Securities may be surrendered for conversion,</w:t>
      </w:r>
    </w:p>
    <w:p>
      <w:pPr>
        <w:spacing w:after="0" w:line="15" w:lineRule="exact"/>
        <w:rPr>
          <w:rFonts w:ascii="Arial" w:cs="Arial" w:eastAsia="Arial" w:hAnsi="Arial"/>
          <w:sz w:val="16"/>
          <w:szCs w:val="16"/>
          <w:color w:val="auto"/>
        </w:rPr>
      </w:pPr>
    </w:p>
    <w:p>
      <w:pPr>
        <w:ind w:left="1300" w:hanging="397"/>
        <w:spacing w:after="0"/>
        <w:tabs>
          <w:tab w:leader="none" w:pos="13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that the redemption is for a sinking fund, if such is the case, and</w:t>
      </w:r>
    </w:p>
    <w:p>
      <w:pPr>
        <w:spacing w:after="0" w:line="117" w:lineRule="exact"/>
        <w:rPr>
          <w:rFonts w:ascii="Arial" w:cs="Arial" w:eastAsia="Arial" w:hAnsi="Arial"/>
          <w:sz w:val="18"/>
          <w:szCs w:val="18"/>
          <w:color w:val="auto"/>
        </w:rPr>
      </w:pPr>
    </w:p>
    <w:p>
      <w:pPr>
        <w:ind w:left="1300" w:hanging="397"/>
        <w:spacing w:after="0"/>
        <w:tabs>
          <w:tab w:leader="none" w:pos="13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CUSIP number or numbers and/or common codes of the Security being redeemed.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270" w:right="279" w:bottom="1440" w:gutter="0" w:footer="0" w:header="0"/>
        </w:sectPr>
      </w:pPr>
    </w:p>
    <w:bookmarkStart w:id="162" w:name="page163"/>
    <w:bookmarkEnd w:id="162"/>
    <w:p>
      <w:pPr>
        <w:ind w:right="14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Notice of redemption of Securities to be redeemed at the election of the Company shall be given by the Company or, at the Company’s request, by the Trustee in the name and at the expense of the Company and shall be irrevocable.</w:t>
      </w:r>
    </w:p>
    <w:p>
      <w:pPr>
        <w:spacing w:after="0" w:line="27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Section 11.5</w:t>
      </w:r>
      <w:r>
        <w:rPr>
          <w:sz w:val="20"/>
          <w:szCs w:val="20"/>
          <w:color w:val="auto"/>
        </w:rPr>
        <w:tab/>
      </w:r>
      <w:r>
        <w:rPr>
          <w:rFonts w:ascii="Arial" w:cs="Arial" w:eastAsia="Arial" w:hAnsi="Arial"/>
          <w:sz w:val="16"/>
          <w:szCs w:val="16"/>
          <w:b w:val="1"/>
          <w:bCs w:val="1"/>
          <w:color w:val="auto"/>
        </w:rPr>
        <w:t>Deposit of Redemption Price.</w:t>
      </w:r>
    </w:p>
    <w:p>
      <w:pPr>
        <w:spacing w:after="0" w:line="12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On or prior to any Redemption Date, the Company shall deposit with the Trustee or with a Paying Agent (or, if the Company is acting as its own Paying Agent, segregate and hold in trust as provided in Section 10.3) an amount of money sufficient to pay the Redemption Price of, and (except if the Redemption Date shall be an Interest Payment Date) accrued interest, if any, on, all the Securities which are to be redeemed on that date.</w:t>
      </w:r>
    </w:p>
    <w:p>
      <w:pPr>
        <w:spacing w:after="0" w:line="16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To the extent such Security of a series is convertible pursuant to Article 14, upon conversion of any such Security called for redemption, any money deposited with the Trustee or with a Paying Agent or so segregated and held in trust for the redemption of such Security shall (subject to the right of any Holder of such Security to receive interest as provided in the last paragraph of Section 3.7) be paid to the Company on Company Request, or if then held by the Company, shall be discharged from such trust.</w:t>
      </w:r>
    </w:p>
    <w:p>
      <w:pPr>
        <w:spacing w:after="0" w:line="291"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Section 11.6</w:t>
      </w:r>
      <w:r>
        <w:rPr>
          <w:sz w:val="20"/>
          <w:szCs w:val="20"/>
          <w:color w:val="auto"/>
        </w:rPr>
        <w:tab/>
      </w:r>
      <w:r>
        <w:rPr>
          <w:rFonts w:ascii="Arial" w:cs="Arial" w:eastAsia="Arial" w:hAnsi="Arial"/>
          <w:sz w:val="16"/>
          <w:szCs w:val="16"/>
          <w:b w:val="1"/>
          <w:bCs w:val="1"/>
          <w:color w:val="auto"/>
        </w:rPr>
        <w:t>Securities Payable on Redemption Date.</w:t>
      </w:r>
    </w:p>
    <w:p>
      <w:pPr>
        <w:spacing w:after="0" w:line="121" w:lineRule="exact"/>
        <w:rPr>
          <w:sz w:val="20"/>
          <w:szCs w:val="20"/>
          <w:color w:val="auto"/>
        </w:rPr>
      </w:pPr>
    </w:p>
    <w:p>
      <w:pPr>
        <w:ind w:right="120" w:firstLine="456"/>
        <w:spacing w:after="0" w:line="272" w:lineRule="auto"/>
        <w:rPr>
          <w:sz w:val="20"/>
          <w:szCs w:val="20"/>
          <w:color w:val="auto"/>
        </w:rPr>
      </w:pPr>
      <w:r>
        <w:rPr>
          <w:rFonts w:ascii="Arial" w:cs="Arial" w:eastAsia="Arial" w:hAnsi="Arial"/>
          <w:sz w:val="17"/>
          <w:szCs w:val="17"/>
          <w:color w:val="auto"/>
        </w:rPr>
        <w:t xml:space="preserve">Notice of redemption having been given as aforesaid, the Securities so to be redeemed shall, on the Redemption Date, become due and payable at the Redemption Price therein specified, and from and after such date (unless the Company shall default in the payment of the Redemption Price and accrued interest, if any) such Securities shall cease to bear interest. Upon surrender of any such Security for redemption in accordance with said notice, such Security shall be paid by the Company at the Redemption Price, together with accrued interest, if any, to the Redemption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unless otherwise specified as contemplated by Section 3.1, installments of interest whose Stated Maturity is on or prior to the Redemption Date will be payable to the Holders of such Securities, or one or more Predecessor Securities, registered as such at the close of business on the relevant Record Dates according to their terms and the provisions of Section 3.7.</w:t>
      </w:r>
    </w:p>
    <w:p>
      <w:pPr>
        <w:spacing w:after="0" w:line="178"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If any Security called for redemption shall not be so paid upon surrender thereof for redemption, the principal and any premium shall, until paid, bear interest from the Redemption Date at the rate prescribed therefor in the Security.</w:t>
      </w:r>
    </w:p>
    <w:p>
      <w:pPr>
        <w:spacing w:after="0" w:line="27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Section 11.7</w:t>
      </w:r>
      <w:r>
        <w:rPr>
          <w:sz w:val="20"/>
          <w:szCs w:val="20"/>
          <w:color w:val="auto"/>
        </w:rPr>
        <w:tab/>
      </w:r>
      <w:r>
        <w:rPr>
          <w:rFonts w:ascii="Arial" w:cs="Arial" w:eastAsia="Arial" w:hAnsi="Arial"/>
          <w:sz w:val="16"/>
          <w:szCs w:val="16"/>
          <w:b w:val="1"/>
          <w:bCs w:val="1"/>
          <w:color w:val="auto"/>
        </w:rPr>
        <w:t>Securities Redeemed in Part.</w:t>
      </w:r>
    </w:p>
    <w:p>
      <w:pPr>
        <w:spacing w:after="0" w:line="121"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Any Security which is to be redeemed only in part shall be surrendered at a Place of Payment therefor (with, if the Company or the Trustee so requires, due endorsement by, or a written instrument of transfer in form satisfactory to the Company and the Trustee duly executed by, the Holder thereof or its attorney duly authorized in writing), and the Company shall execute, and the Trustee shall authenticate and deliver to the Holder of such Security without service charge, a new Security or Securities of the same series and of like tenor, of any authorized denomination as requested by such Holder, in aggregate principal amount equal to and in exchange for the unredeemed portion of the principal of the Security so surrendered.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274" w:right="239" w:bottom="1440" w:gutter="0" w:footer="0" w:header="0"/>
        </w:sectPr>
      </w:pPr>
    </w:p>
    <w:bookmarkStart w:id="163" w:name="page164"/>
    <w:bookmarkEnd w:id="16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12</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SINKING FUNDS</w:t>
      </w:r>
    </w:p>
    <w:p>
      <w:pPr>
        <w:spacing w:after="0" w:line="22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Section 12.1</w:t>
      </w:r>
      <w:r>
        <w:rPr>
          <w:sz w:val="20"/>
          <w:szCs w:val="20"/>
          <w:color w:val="auto"/>
        </w:rPr>
        <w:tab/>
      </w:r>
      <w:r>
        <w:rPr>
          <w:rFonts w:ascii="Arial" w:cs="Arial" w:eastAsia="Arial" w:hAnsi="Arial"/>
          <w:sz w:val="16"/>
          <w:szCs w:val="16"/>
          <w:b w:val="1"/>
          <w:bCs w:val="1"/>
          <w:color w:val="auto"/>
        </w:rPr>
        <w:t>Applicability of Article.</w:t>
      </w:r>
    </w:p>
    <w:p>
      <w:pPr>
        <w:spacing w:after="0" w:line="121"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The provisions of this Article shall be applicable to any sinking fund for the retirement of Securities of any series except as otherwise specified as contemplated by Section 3.1 for such Securities.</w:t>
      </w:r>
    </w:p>
    <w:p>
      <w:pPr>
        <w:spacing w:after="0" w:line="170"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The minimum amount of any sinking fund payment provided for by the terms of any Securities is herein referred to as a “mandatory sinking fund payment,” and any payment in excess of such minimum amount provided for by the terms of such Securities is herein referred to as an “optional sinking fund payment.” If provided for by the terms of any Securities, the cash amount of any sinking fund payment may be subject to reduction as provided in Section 12.2. Each sinking fund payment shall be applied to the redemption of Securities as provided for by the terms of such Securities.</w:t>
      </w:r>
    </w:p>
    <w:p>
      <w:pPr>
        <w:spacing w:after="0" w:line="276"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Section 12.2</w:t>
      </w:r>
      <w:r>
        <w:rPr>
          <w:sz w:val="20"/>
          <w:szCs w:val="20"/>
          <w:color w:val="auto"/>
        </w:rPr>
        <w:tab/>
      </w:r>
      <w:r>
        <w:rPr>
          <w:rFonts w:ascii="Arial" w:cs="Arial" w:eastAsia="Arial" w:hAnsi="Arial"/>
          <w:sz w:val="16"/>
          <w:szCs w:val="16"/>
          <w:b w:val="1"/>
          <w:bCs w:val="1"/>
          <w:color w:val="auto"/>
        </w:rPr>
        <w:t>Satisfaction of Sinking Fund Payments with Securities.</w:t>
      </w:r>
    </w:p>
    <w:p>
      <w:pPr>
        <w:spacing w:after="0" w:line="12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 xml:space="preserve">The Company (1) may deliver Outstanding Securities of a series (other than any previously called for redemption) and (2) may apply as a credit Securities of a series which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any Securities of such series required to be made pursuant to the terms of such Securities as and to the extent provided for by the terms of such Securities;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Securities to be so credited have not been previously so credited. The Securities to be so credited shall be received and credited for such purpose by the Trustee at the Redemption Price, as specified in the Securities so to be redeemed, for redemption through operation of the sinking fund and the amount of such sinking fund payment shall be reduced accordingly.</w:t>
      </w:r>
    </w:p>
    <w:p>
      <w:pPr>
        <w:spacing w:after="0" w:line="282"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Section 12.3</w:t>
      </w:r>
      <w:r>
        <w:rPr>
          <w:sz w:val="20"/>
          <w:szCs w:val="20"/>
          <w:color w:val="auto"/>
        </w:rPr>
        <w:tab/>
      </w:r>
      <w:r>
        <w:rPr>
          <w:rFonts w:ascii="Arial" w:cs="Arial" w:eastAsia="Arial" w:hAnsi="Arial"/>
          <w:sz w:val="16"/>
          <w:szCs w:val="16"/>
          <w:b w:val="1"/>
          <w:bCs w:val="1"/>
          <w:color w:val="auto"/>
        </w:rPr>
        <w:t>Redemption of Securities for Sinking Fund.</w:t>
      </w:r>
    </w:p>
    <w:p>
      <w:pPr>
        <w:spacing w:after="0" w:line="121"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Not fewer than 60 days prior to each sinking fund payment date for any Securities, the Company will deliver to the Trustee an Officers’ Certificate specifying the amount of the next ensuing sinking fund payment for such Securities pursuant to the terms of such Securities, the portion thereof, if any, which is to be satisfied by payment of cash and the portion thereof, if any, which is to be satisfied by delivering and crediting Securities pursuant to Section 12.2 and will also deliver to the Trustee any Securities to be so delivered. Not fewer than 30 days prior to each such sinking fund payment date, the Trustee shall select the Securities to be redeemed upon such sinking fund payment date in the manner specified in Section 11.3 and cause notice of the redemption</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270" w:right="259" w:bottom="1440" w:gutter="0" w:footer="0" w:header="0"/>
        </w:sectPr>
      </w:pPr>
    </w:p>
    <w:bookmarkStart w:id="164" w:name="page165"/>
    <w:bookmarkEnd w:id="164"/>
    <w:p>
      <w:pPr>
        <w:ind w:right="5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thereof to be given in the name of and at the expense of the Company in the manner provided in Section 11.4. Such notice having been duly given, the redemption of such Securities shall be made upon the terms and in the manner stated in Sections 11.6 and 11.7.</w:t>
      </w: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13</w:t>
      </w:r>
    </w:p>
    <w:p>
      <w:pPr>
        <w:spacing w:after="0" w:line="225"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ARTICLE 13 DEFEASANCE AND COVENANT DEFEASANCE</w:t>
      </w:r>
    </w:p>
    <w:p>
      <w:pPr>
        <w:spacing w:after="0" w:line="22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Section 13.1</w:t>
      </w:r>
      <w:r>
        <w:rPr>
          <w:sz w:val="20"/>
          <w:szCs w:val="20"/>
          <w:color w:val="auto"/>
        </w:rPr>
        <w:tab/>
      </w:r>
      <w:r>
        <w:rPr>
          <w:rFonts w:ascii="Arial" w:cs="Arial" w:eastAsia="Arial" w:hAnsi="Arial"/>
          <w:sz w:val="16"/>
          <w:szCs w:val="16"/>
          <w:b w:val="1"/>
          <w:bCs w:val="1"/>
          <w:color w:val="auto"/>
        </w:rPr>
        <w:t>Company’s Option to Effect Defeasance or Covenant Defeasance.</w:t>
      </w:r>
    </w:p>
    <w:p>
      <w:pPr>
        <w:spacing w:after="0" w:line="12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Company may elect, at its option at any time, to have Section 13.2 or Section 13.3 applied to any Securities or any series of Securities, as the case may be, designated pursuant to Section 3.1 as being defeasible pursuant to such Section 13.2 or 13.3, in accordance with any applicable requirements provided pursuant to Section 3.1 and upon compliance with the conditions set forth below in this Article. Any such election shall be evidenced by a Board Resolution or in another manner specified as contemplated by Section 3.1 for such Securities.</w:t>
      </w:r>
    </w:p>
    <w:p>
      <w:pPr>
        <w:spacing w:after="0" w:line="291"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Section 13.2</w:t>
      </w:r>
      <w:r>
        <w:rPr>
          <w:sz w:val="20"/>
          <w:szCs w:val="20"/>
          <w:color w:val="auto"/>
        </w:rPr>
        <w:tab/>
      </w:r>
      <w:r>
        <w:rPr>
          <w:rFonts w:ascii="Arial" w:cs="Arial" w:eastAsia="Arial" w:hAnsi="Arial"/>
          <w:sz w:val="15"/>
          <w:szCs w:val="15"/>
          <w:b w:val="1"/>
          <w:bCs w:val="1"/>
          <w:color w:val="auto"/>
        </w:rPr>
        <w:t>Defeasance and Discharge.</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Upon the Company’s exercise of its option (if any) to have this Section applied to any Securities or any series of Securities, as the case may be, the Company shall be deemed to have been discharged from its obligations, and the provisions of Article 15 shall cease to be effective, with respect to such Securities as provided in this Section on and after the date the conditions set forth in Section 13.4 are satisfied (hereinafter called “Defeasance”). For this purpose, such Defeasance means that the Company shall be deemed to have paid and discharged the entire indebtedness represented by such Securities and to have satisfied all its other obligations under such Securities and this Indenture insofar as such Securities are concerned (and the Trustee, at the expense of the Company, shall execute proper instruments acknowledging the same), subject to the following which shall survive until otherwise terminated or discharged hereunder:</w:t>
      </w:r>
    </w:p>
    <w:p>
      <w:pPr>
        <w:spacing w:after="0" w:line="81" w:lineRule="exact"/>
        <w:rPr>
          <w:sz w:val="20"/>
          <w:szCs w:val="20"/>
          <w:color w:val="auto"/>
        </w:rPr>
      </w:pPr>
    </w:p>
    <w:p>
      <w:pPr>
        <w:ind w:left="460" w:right="240" w:firstLine="443"/>
        <w:spacing w:after="0" w:line="308" w:lineRule="auto"/>
        <w:tabs>
          <w:tab w:leader="none" w:pos="1288" w:val="left"/>
        </w:tabs>
        <w:numPr>
          <w:ilvl w:val="0"/>
          <w:numId w:val="132"/>
        </w:numPr>
        <w:rPr>
          <w:rFonts w:ascii="Arial" w:cs="Arial" w:eastAsia="Arial" w:hAnsi="Arial"/>
          <w:sz w:val="17"/>
          <w:szCs w:val="17"/>
          <w:color w:val="auto"/>
        </w:rPr>
      </w:pPr>
      <w:r>
        <w:rPr>
          <w:rFonts w:ascii="Arial" w:cs="Arial" w:eastAsia="Arial" w:hAnsi="Arial"/>
          <w:sz w:val="17"/>
          <w:szCs w:val="17"/>
          <w:color w:val="auto"/>
        </w:rPr>
        <w:t>the rights of Holders of such Securities to receive, solely from the trust fund described in Section 13.4 and as more fully set forth in such Section, payments in respect of the principal of and any premium and interest on such Securities when payments are due,</w:t>
      </w:r>
    </w:p>
    <w:p>
      <w:pPr>
        <w:spacing w:after="0" w:line="38" w:lineRule="exact"/>
        <w:rPr>
          <w:rFonts w:ascii="Arial" w:cs="Arial" w:eastAsia="Arial" w:hAnsi="Arial"/>
          <w:sz w:val="17"/>
          <w:szCs w:val="17"/>
          <w:color w:val="auto"/>
        </w:rPr>
      </w:pPr>
    </w:p>
    <w:p>
      <w:pPr>
        <w:ind w:left="1300" w:hanging="397"/>
        <w:spacing w:after="0"/>
        <w:tabs>
          <w:tab w:leader="none" w:pos="130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the Company’s obligations with respect to such Securities under Sections 3.4, 3.5, 3.6, 10.2 and 10.3, and, if applicable, Article 14,</w:t>
      </w:r>
    </w:p>
    <w:p>
      <w:pPr>
        <w:spacing w:after="0" w:line="128" w:lineRule="exact"/>
        <w:rPr>
          <w:rFonts w:ascii="Arial" w:cs="Arial" w:eastAsia="Arial" w:hAnsi="Arial"/>
          <w:sz w:val="17"/>
          <w:szCs w:val="17"/>
          <w:color w:val="auto"/>
        </w:rPr>
      </w:pPr>
    </w:p>
    <w:p>
      <w:pPr>
        <w:ind w:left="1300" w:hanging="397"/>
        <w:spacing w:after="0"/>
        <w:tabs>
          <w:tab w:leader="none" w:pos="13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hereunder, and</w:t>
      </w:r>
    </w:p>
    <w:p>
      <w:pPr>
        <w:spacing w:after="0" w:line="117" w:lineRule="exact"/>
        <w:rPr>
          <w:rFonts w:ascii="Arial" w:cs="Arial" w:eastAsia="Arial" w:hAnsi="Arial"/>
          <w:sz w:val="18"/>
          <w:szCs w:val="18"/>
          <w:color w:val="auto"/>
        </w:rPr>
      </w:pPr>
    </w:p>
    <w:p>
      <w:pPr>
        <w:ind w:left="1300" w:hanging="397"/>
        <w:spacing w:after="0"/>
        <w:tabs>
          <w:tab w:leader="none" w:pos="13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this Article.</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Subject to compliance with this Article, the Company may exercise its option (if any) to have this Section applied to any Securities notwithstanding the prior exercise of its option (if any) to have Section 13.3 applied to such Securities.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80"/>
          </w:cols>
          <w:pgMar w:left="240" w:top="274" w:right="279" w:bottom="1440" w:gutter="0" w:footer="0" w:header="0"/>
        </w:sectPr>
      </w:pPr>
    </w:p>
    <w:bookmarkStart w:id="165" w:name="page166"/>
    <w:bookmarkEnd w:id="165"/>
    <w:p>
      <w:pPr>
        <w:spacing w:after="0"/>
        <w:tabs>
          <w:tab w:leader="none" w:pos="10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13.3</w:t>
      </w:r>
      <w:r>
        <w:rPr>
          <w:sz w:val="20"/>
          <w:szCs w:val="20"/>
          <w:color w:val="auto"/>
        </w:rPr>
        <w:tab/>
      </w:r>
      <w:r>
        <w:rPr>
          <w:rFonts w:ascii="Arial" w:cs="Arial" w:eastAsia="Arial" w:hAnsi="Arial"/>
          <w:sz w:val="15"/>
          <w:szCs w:val="15"/>
          <w:b w:val="1"/>
          <w:bCs w:val="1"/>
          <w:color w:val="auto"/>
        </w:rPr>
        <w:t>Covenant Defeasance.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Upon the Company’s exercise of its option (if any) to have this Section applied to any Securities or any series of Securities, as the case may be,</w:t>
      </w:r>
    </w:p>
    <w:p>
      <w:pPr>
        <w:spacing w:after="0" w:line="129" w:lineRule="exact"/>
        <w:rPr>
          <w:sz w:val="20"/>
          <w:szCs w:val="20"/>
          <w:color w:val="auto"/>
        </w:rPr>
      </w:pPr>
    </w:p>
    <w:p>
      <w:pPr>
        <w:ind w:left="1300" w:hanging="397"/>
        <w:spacing w:after="0"/>
        <w:tabs>
          <w:tab w:leader="none" w:pos="130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the Company shall be released from any covenants provided pursuant to Sections 3.1(20) or 9.1(2) for the benefit of the Holders of such</w:t>
      </w:r>
    </w:p>
    <w:p>
      <w:pPr>
        <w:spacing w:after="0" w:line="4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Securities,</w:t>
      </w:r>
    </w:p>
    <w:p>
      <w:pPr>
        <w:spacing w:after="0" w:line="102" w:lineRule="exact"/>
        <w:rPr>
          <w:rFonts w:ascii="Arial" w:cs="Arial" w:eastAsia="Arial" w:hAnsi="Arial"/>
          <w:sz w:val="16"/>
          <w:szCs w:val="16"/>
          <w:color w:val="auto"/>
        </w:rPr>
      </w:pPr>
    </w:p>
    <w:p>
      <w:pPr>
        <w:ind w:left="460" w:right="100" w:firstLine="443"/>
        <w:spacing w:after="0" w:line="342" w:lineRule="auto"/>
        <w:tabs>
          <w:tab w:leader="none" w:pos="1288" w:val="left"/>
        </w:tabs>
        <w:numPr>
          <w:ilvl w:val="0"/>
          <w:numId w:val="133"/>
        </w:numPr>
        <w:rPr>
          <w:rFonts w:ascii="Arial" w:cs="Arial" w:eastAsia="Arial" w:hAnsi="Arial"/>
          <w:sz w:val="16"/>
          <w:szCs w:val="16"/>
          <w:color w:val="auto"/>
        </w:rPr>
      </w:pPr>
      <w:r>
        <w:rPr>
          <w:rFonts w:ascii="Arial" w:cs="Arial" w:eastAsia="Arial" w:hAnsi="Arial"/>
          <w:sz w:val="16"/>
          <w:szCs w:val="16"/>
          <w:color w:val="auto"/>
        </w:rPr>
        <w:t>the occurrence of any event specified in Sections 5.1(4) (with respect to any such covenants provided pursuant to Section 3.1(20) or 9.1(2)) and the occurrence of any Event of Default specified pursuant to Section 3.1, shall be deemed not to be or result in an Event of Default, and</w:t>
      </w:r>
    </w:p>
    <w:p>
      <w:pPr>
        <w:spacing w:after="0" w:line="15" w:lineRule="exact"/>
        <w:rPr>
          <w:rFonts w:ascii="Arial" w:cs="Arial" w:eastAsia="Arial" w:hAnsi="Arial"/>
          <w:sz w:val="16"/>
          <w:szCs w:val="16"/>
          <w:color w:val="auto"/>
        </w:rPr>
      </w:pPr>
    </w:p>
    <w:p>
      <w:pPr>
        <w:ind w:left="1300" w:hanging="397"/>
        <w:spacing w:after="0"/>
        <w:tabs>
          <w:tab w:leader="none" w:pos="13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provisions of Article 15 shall cease to be effective,</w:t>
      </w:r>
    </w:p>
    <w:p>
      <w:pPr>
        <w:spacing w:after="0" w:line="225"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in each case with respect to such Securities or series of Securities as provided in this Section on and after the date the conditions set forth in Section 13.4 are satisfied (hereinafter called “Covenant Defeasance”). For this purpose, such Covenant Defeasance means that, with respect to such Securities, the Company may omit to comply with and shall have no liability in respect of any term, condition or limitation set forth in any such specified Section (to the extent so specified in the case of Section 5.1(4) and the occurrence of any Event of Default specified pursuant to Section 3.1) or Article 15, whether directly or indirectly by reason of any reference elsewhere herein to any such Section or Article or by reason of any reference in any such Section or Article to any other provision herein or in any other document, but the remainder of this Indenture and such Securities shall be unaffected thereby.</w:t>
      </w:r>
    </w:p>
    <w:p>
      <w:pPr>
        <w:spacing w:after="0" w:line="269"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Section 13.4</w:t>
      </w:r>
      <w:r>
        <w:rPr>
          <w:sz w:val="20"/>
          <w:szCs w:val="20"/>
          <w:color w:val="auto"/>
        </w:rPr>
        <w:tab/>
      </w:r>
      <w:r>
        <w:rPr>
          <w:rFonts w:ascii="Arial" w:cs="Arial" w:eastAsia="Arial" w:hAnsi="Arial"/>
          <w:sz w:val="15"/>
          <w:szCs w:val="15"/>
          <w:b w:val="1"/>
          <w:bCs w:val="1"/>
          <w:color w:val="auto"/>
        </w:rPr>
        <w:t>Conditions to Defeasance or Covenant Defeasance.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shall be the conditions to the application of Section 13.2 or Section 13.3 to any Securities or any series of Securities, as the case may be:</w:t>
      </w:r>
    </w:p>
    <w:p>
      <w:pPr>
        <w:spacing w:after="0" w:line="140" w:lineRule="exact"/>
        <w:rPr>
          <w:sz w:val="20"/>
          <w:szCs w:val="20"/>
          <w:color w:val="auto"/>
        </w:rPr>
      </w:pPr>
    </w:p>
    <w:p>
      <w:pPr>
        <w:ind w:left="460" w:firstLine="443"/>
        <w:spacing w:after="0" w:line="312" w:lineRule="auto"/>
        <w:tabs>
          <w:tab w:leader="none" w:pos="1285" w:val="left"/>
        </w:tabs>
        <w:numPr>
          <w:ilvl w:val="0"/>
          <w:numId w:val="134"/>
        </w:numPr>
        <w:rPr>
          <w:rFonts w:ascii="Arial" w:cs="Arial" w:eastAsia="Arial" w:hAnsi="Arial"/>
          <w:sz w:val="16"/>
          <w:szCs w:val="16"/>
          <w:color w:val="auto"/>
        </w:rPr>
      </w:pPr>
      <w:r>
        <w:rPr>
          <w:rFonts w:ascii="Arial" w:cs="Arial" w:eastAsia="Arial" w:hAnsi="Arial"/>
          <w:sz w:val="16"/>
          <w:szCs w:val="16"/>
          <w:color w:val="auto"/>
        </w:rPr>
        <w:t>The Company shall irrevocably have deposited or caused to be deposited with the Trustee (or another trustee which satisfies the requirements contemplated by Section 6.9 and agrees to comply with the provisions of this Article applicable to it) as trust funds in trust for the purpose of making the following payments, specifically pledged as security for, and dedicated solely to, the benefits of the Holders of such Securities,</w:t>
      </w:r>
    </w:p>
    <w:p>
      <w:pPr>
        <w:spacing w:after="0" w:line="38" w:lineRule="exact"/>
        <w:rPr>
          <w:rFonts w:ascii="Arial" w:cs="Arial" w:eastAsia="Arial" w:hAnsi="Arial"/>
          <w:sz w:val="16"/>
          <w:szCs w:val="16"/>
          <w:color w:val="auto"/>
        </w:rPr>
      </w:pPr>
    </w:p>
    <w:p>
      <w:pPr>
        <w:ind w:left="1780" w:hanging="439"/>
        <w:spacing w:after="0"/>
        <w:tabs>
          <w:tab w:leader="none" w:pos="178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in the case of Securities of a series denominated in currency of the United States of America,</w:t>
      </w:r>
    </w:p>
    <w:p>
      <w:pPr>
        <w:spacing w:after="0" w:line="117" w:lineRule="exact"/>
        <w:rPr>
          <w:rFonts w:ascii="Arial" w:cs="Arial" w:eastAsia="Arial" w:hAnsi="Arial"/>
          <w:sz w:val="18"/>
          <w:szCs w:val="18"/>
          <w:color w:val="auto"/>
        </w:rPr>
      </w:pPr>
    </w:p>
    <w:p>
      <w:pPr>
        <w:ind w:left="2240" w:hanging="351"/>
        <w:spacing w:after="0"/>
        <w:tabs>
          <w:tab w:leader="none" w:pos="2240" w:val="left"/>
        </w:tabs>
        <w:numPr>
          <w:ilvl w:val="2"/>
          <w:numId w:val="134"/>
        </w:numPr>
        <w:rPr>
          <w:rFonts w:ascii="Arial" w:cs="Arial" w:eastAsia="Arial" w:hAnsi="Arial"/>
          <w:sz w:val="18"/>
          <w:szCs w:val="18"/>
          <w:color w:val="auto"/>
        </w:rPr>
      </w:pPr>
      <w:r>
        <w:rPr>
          <w:rFonts w:ascii="Arial" w:cs="Arial" w:eastAsia="Arial" w:hAnsi="Arial"/>
          <w:sz w:val="18"/>
          <w:szCs w:val="18"/>
          <w:color w:val="auto"/>
        </w:rPr>
        <w:t>cash in currency of the United States of America in an amount, or</w:t>
      </w:r>
    </w:p>
    <w:p>
      <w:pPr>
        <w:spacing w:after="0" w:line="117" w:lineRule="exact"/>
        <w:rPr>
          <w:rFonts w:ascii="Arial" w:cs="Arial" w:eastAsia="Arial" w:hAnsi="Arial"/>
          <w:sz w:val="18"/>
          <w:szCs w:val="18"/>
          <w:color w:val="auto"/>
        </w:rPr>
      </w:pPr>
    </w:p>
    <w:p>
      <w:pPr>
        <w:ind w:left="1500" w:right="100" w:firstLine="389"/>
        <w:spacing w:after="0" w:line="277" w:lineRule="auto"/>
        <w:tabs>
          <w:tab w:leader="none" w:pos="2297" w:val="left"/>
        </w:tabs>
        <w:numPr>
          <w:ilvl w:val="2"/>
          <w:numId w:val="134"/>
        </w:numPr>
        <w:rPr>
          <w:rFonts w:ascii="Arial" w:cs="Arial" w:eastAsia="Arial" w:hAnsi="Arial"/>
          <w:sz w:val="18"/>
          <w:szCs w:val="18"/>
          <w:color w:val="auto"/>
        </w:rPr>
      </w:pPr>
      <w:r>
        <w:rPr>
          <w:rFonts w:ascii="Arial" w:cs="Arial" w:eastAsia="Arial" w:hAnsi="Arial"/>
          <w:sz w:val="18"/>
          <w:szCs w:val="18"/>
          <w:color w:val="auto"/>
        </w:rPr>
        <w:t>U.S. Government Obligations which through the scheduled payment of principal and interest in respect thereof in accordance with their terms will provide, not later than one day before the due date of any payment, an amount in cash, 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270" w:right="239" w:bottom="1440" w:gutter="0" w:footer="0" w:header="0"/>
        </w:sectPr>
      </w:pPr>
    </w:p>
    <w:bookmarkStart w:id="166" w:name="page167"/>
    <w:bookmarkEnd w:id="166"/>
    <w:p>
      <w:pPr>
        <w:ind w:left="1880" w:hanging="451"/>
        <w:spacing w:after="0"/>
        <w:tabs>
          <w:tab w:leader="none" w:pos="1880" w:val="left"/>
        </w:tabs>
        <w:numPr>
          <w:ilvl w:val="1"/>
          <w:numId w:val="1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combination thereof, or</w:t>
      </w:r>
    </w:p>
    <w:p>
      <w:pPr>
        <w:spacing w:after="0" w:line="117" w:lineRule="exact"/>
        <w:rPr>
          <w:rFonts w:ascii="Arial" w:cs="Arial" w:eastAsia="Arial" w:hAnsi="Arial"/>
          <w:sz w:val="18"/>
          <w:szCs w:val="18"/>
          <w:color w:val="auto"/>
        </w:rPr>
      </w:pPr>
    </w:p>
    <w:p>
      <w:pPr>
        <w:ind w:left="1300" w:hanging="419"/>
        <w:spacing w:after="0"/>
        <w:tabs>
          <w:tab w:leader="none" w:pos="13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in the case of Securities of a series denominated in currency other than that of the United States of America,</w:t>
      </w:r>
    </w:p>
    <w:p>
      <w:pPr>
        <w:spacing w:after="0" w:line="117" w:lineRule="exact"/>
        <w:rPr>
          <w:rFonts w:ascii="Arial" w:cs="Arial" w:eastAsia="Arial" w:hAnsi="Arial"/>
          <w:sz w:val="18"/>
          <w:szCs w:val="18"/>
          <w:color w:val="auto"/>
        </w:rPr>
      </w:pPr>
    </w:p>
    <w:p>
      <w:pPr>
        <w:ind w:left="1780" w:hanging="351"/>
        <w:spacing w:after="0"/>
        <w:tabs>
          <w:tab w:leader="none" w:pos="178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cash in the currency in which such series of Securities is denominated in an amount, or</w:t>
      </w:r>
    </w:p>
    <w:p>
      <w:pPr>
        <w:spacing w:after="0" w:line="117" w:lineRule="exact"/>
        <w:rPr>
          <w:rFonts w:ascii="Arial" w:cs="Arial" w:eastAsia="Arial" w:hAnsi="Arial"/>
          <w:sz w:val="18"/>
          <w:szCs w:val="18"/>
          <w:color w:val="auto"/>
        </w:rPr>
      </w:pPr>
    </w:p>
    <w:p>
      <w:pPr>
        <w:ind w:left="1040" w:right="660" w:firstLine="389"/>
        <w:spacing w:after="0" w:line="342" w:lineRule="auto"/>
        <w:tabs>
          <w:tab w:leader="none" w:pos="1837" w:val="left"/>
        </w:tabs>
        <w:numPr>
          <w:ilvl w:val="1"/>
          <w:numId w:val="136"/>
        </w:numPr>
        <w:rPr>
          <w:rFonts w:ascii="Arial" w:cs="Arial" w:eastAsia="Arial" w:hAnsi="Arial"/>
          <w:sz w:val="16"/>
          <w:szCs w:val="16"/>
          <w:color w:val="auto"/>
        </w:rPr>
      </w:pPr>
      <w:r>
        <w:rPr>
          <w:rFonts w:ascii="Arial" w:cs="Arial" w:eastAsia="Arial" w:hAnsi="Arial"/>
          <w:sz w:val="16"/>
          <w:szCs w:val="16"/>
          <w:color w:val="auto"/>
        </w:rPr>
        <w:t>Foreign Government Obligations which through the scheduled payment of principal and interest in respect thereof in accordance with their terms will provide, not later than one day before the due date of any payment, an amount in cash, or</w:t>
      </w:r>
    </w:p>
    <w:p>
      <w:pPr>
        <w:spacing w:after="0" w:line="15" w:lineRule="exact"/>
        <w:rPr>
          <w:rFonts w:ascii="Arial" w:cs="Arial" w:eastAsia="Arial" w:hAnsi="Arial"/>
          <w:sz w:val="16"/>
          <w:szCs w:val="16"/>
          <w:color w:val="auto"/>
        </w:rPr>
      </w:pPr>
    </w:p>
    <w:p>
      <w:pPr>
        <w:ind w:left="1880" w:hanging="451"/>
        <w:spacing w:after="0"/>
        <w:tabs>
          <w:tab w:leader="none" w:pos="188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a combination thereof,</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each case sufficient, in the opinion of a nationally recognized firm of independent public accountants expressed in a written certification thereof delivered to the Trustee, to pay and discharge, and which shall be applied by the Trustee (or any such other qualifying trustee) to pay and discharge, the principal of and any premium and interest on such Securities on the respective Stated Maturities, in accordance with the terms of this Indenture and such Securities.</w:t>
      </w:r>
    </w:p>
    <w:p>
      <w:pPr>
        <w:spacing w:after="0" w:line="79" w:lineRule="exact"/>
        <w:rPr>
          <w:sz w:val="20"/>
          <w:szCs w:val="20"/>
          <w:color w:val="auto"/>
        </w:rPr>
      </w:pPr>
    </w:p>
    <w:p>
      <w:pPr>
        <w:ind w:right="220" w:firstLine="443"/>
        <w:spacing w:after="0" w:line="277" w:lineRule="auto"/>
        <w:tabs>
          <w:tab w:leader="none" w:pos="828"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In the event of an election to have Section 13.2 apply to any Securities or any series of Securities, as the case may be, the Company shall have delivered to the Trustee an Opinion of Counsel stating that</w:t>
      </w:r>
    </w:p>
    <w:p>
      <w:pPr>
        <w:spacing w:after="0" w:line="62" w:lineRule="exact"/>
        <w:rPr>
          <w:rFonts w:ascii="Arial" w:cs="Arial" w:eastAsia="Arial" w:hAnsi="Arial"/>
          <w:sz w:val="18"/>
          <w:szCs w:val="18"/>
          <w:color w:val="auto"/>
        </w:rPr>
      </w:pPr>
    </w:p>
    <w:p>
      <w:pPr>
        <w:ind w:left="1320" w:hanging="439"/>
        <w:spacing w:after="0"/>
        <w:tabs>
          <w:tab w:leader="none" w:pos="132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the Company has received from, or there has been published by, the Internal Revenue Service a ruling or</w:t>
      </w:r>
    </w:p>
    <w:p>
      <w:pPr>
        <w:spacing w:after="0" w:line="117" w:lineRule="exact"/>
        <w:rPr>
          <w:rFonts w:ascii="Arial" w:cs="Arial" w:eastAsia="Arial" w:hAnsi="Arial"/>
          <w:sz w:val="18"/>
          <w:szCs w:val="18"/>
          <w:color w:val="auto"/>
        </w:rPr>
      </w:pPr>
    </w:p>
    <w:p>
      <w:pPr>
        <w:ind w:left="1300" w:hanging="419"/>
        <w:spacing w:after="0"/>
        <w:tabs>
          <w:tab w:leader="none" w:pos="130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since the date of this instrument, there has been a change in the applicable Federal income tax law,</w:t>
      </w:r>
    </w:p>
    <w:p>
      <w:pPr>
        <w:spacing w:after="0" w:line="117" w:lineRule="exact"/>
        <w:rPr>
          <w:rFonts w:ascii="Arial" w:cs="Arial" w:eastAsia="Arial" w:hAnsi="Arial"/>
          <w:sz w:val="18"/>
          <w:szCs w:val="18"/>
          <w:color w:val="auto"/>
        </w:rPr>
      </w:pPr>
    </w:p>
    <w:p>
      <w:pPr>
        <w:ind w:left="460" w:right="80" w:firstLine="421"/>
        <w:spacing w:after="0" w:line="259" w:lineRule="auto"/>
        <w:tabs>
          <w:tab w:leader="none" w:pos="130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in either case (A) or (B) to the effect that, and based thereon such opinion shall confirm that, the Holders of such Securities will not recognize gain or loss for Federal income tax purposes as a result of the deposit, Defeasance and discharge to be effected with respect to such Securities and will be subject to Federal income tax on the same amount, in the same manner and at the same times as would be the case if such deposit, Defeasance and discharge were not to occur.</w:t>
      </w:r>
    </w:p>
    <w:p>
      <w:pPr>
        <w:spacing w:after="0" w:line="78" w:lineRule="exact"/>
        <w:rPr>
          <w:rFonts w:ascii="Arial" w:cs="Arial" w:eastAsia="Arial" w:hAnsi="Arial"/>
          <w:sz w:val="18"/>
          <w:szCs w:val="18"/>
          <w:color w:val="auto"/>
        </w:rPr>
      </w:pPr>
    </w:p>
    <w:p>
      <w:pPr>
        <w:ind w:right="80" w:firstLine="443"/>
        <w:spacing w:after="0" w:line="264" w:lineRule="auto"/>
        <w:tabs>
          <w:tab w:leader="none" w:pos="828"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In the event of an election to have Section 13.3 apply to any Securities or any series of Securities, as the case may be, the Company shall have delivered to the Trustee an Opinion of Counsel to the effect that the Holders of such Securities will not recognize gain or loss for Federal income tax purposes as a result of the deposit and Covenant Defeasance to be</w:t>
      </w:r>
    </w:p>
    <w:p>
      <w:pPr>
        <w:spacing w:after="0" w:line="114"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0900"/>
          </w:cols>
          <w:pgMar w:left="700" w:top="274" w:right="299" w:bottom="1440" w:gutter="0" w:footer="0" w:header="0"/>
        </w:sectPr>
      </w:pPr>
    </w:p>
    <w:bookmarkStart w:id="167" w:name="page168"/>
    <w:bookmarkEnd w:id="167"/>
    <w:p>
      <w:pPr>
        <w:ind w:right="3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effected with respect to such Securities and will be subject to Federal income tax on the same amount, in the same manner and at the same times as would be the case if such deposit and Covenant Defeasance were not to occur.</w:t>
      </w:r>
    </w:p>
    <w:p>
      <w:pPr>
        <w:spacing w:after="0" w:line="62" w:lineRule="exact"/>
        <w:rPr>
          <w:sz w:val="20"/>
          <w:szCs w:val="20"/>
          <w:color w:val="auto"/>
        </w:rPr>
      </w:pPr>
    </w:p>
    <w:p>
      <w:pPr>
        <w:ind w:right="40" w:firstLine="443"/>
        <w:spacing w:after="0" w:line="277" w:lineRule="auto"/>
        <w:tabs>
          <w:tab w:leader="none" w:pos="82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to the effect that neither such Securities nor any other Securities of the same series, if then listed on any securities exchange, will be delisted as a result of such deposit.</w:t>
      </w:r>
    </w:p>
    <w:p>
      <w:pPr>
        <w:spacing w:after="0" w:line="62" w:lineRule="exact"/>
        <w:rPr>
          <w:rFonts w:ascii="Arial" w:cs="Arial" w:eastAsia="Arial" w:hAnsi="Arial"/>
          <w:sz w:val="18"/>
          <w:szCs w:val="18"/>
          <w:color w:val="auto"/>
        </w:rPr>
      </w:pPr>
    </w:p>
    <w:p>
      <w:pPr>
        <w:ind w:firstLine="443"/>
        <w:spacing w:after="0" w:line="259" w:lineRule="auto"/>
        <w:tabs>
          <w:tab w:leader="none" w:pos="828" w:val="left"/>
        </w:tabs>
        <w:numPr>
          <w:ilvl w:val="0"/>
          <w:numId w:val="138"/>
        </w:numPr>
        <w:rPr>
          <w:rFonts w:ascii="Arial" w:cs="Arial" w:eastAsia="Arial" w:hAnsi="Arial"/>
          <w:sz w:val="18"/>
          <w:szCs w:val="18"/>
          <w:color w:val="auto"/>
        </w:rPr>
      </w:pPr>
      <w:r>
        <w:rPr>
          <w:rFonts w:ascii="Arial" w:cs="Arial" w:eastAsia="Arial" w:hAnsi="Arial"/>
          <w:sz w:val="18"/>
          <w:szCs w:val="18"/>
          <w:color w:val="auto"/>
        </w:rPr>
        <w:t>No event which is, or after notice or lapse of time or both would become, an Event of Default with respect to such Securities or any other Securities shall have occurred and be continuing at the time of such deposit or, with regard to any such event specified in Sections 5.1(5) and (6), at any time on or prior to the 90th day after the date of such deposit (it being understood that this condition shall not be deemed satisfied until after such 90th day).</w:t>
      </w:r>
    </w:p>
    <w:p>
      <w:pPr>
        <w:spacing w:after="0" w:line="78" w:lineRule="exact"/>
        <w:rPr>
          <w:rFonts w:ascii="Arial" w:cs="Arial" w:eastAsia="Arial" w:hAnsi="Arial"/>
          <w:sz w:val="18"/>
          <w:szCs w:val="18"/>
          <w:color w:val="auto"/>
        </w:rPr>
      </w:pPr>
    </w:p>
    <w:p>
      <w:pPr>
        <w:ind w:right="720" w:firstLine="443"/>
        <w:spacing w:after="0" w:line="277" w:lineRule="auto"/>
        <w:tabs>
          <w:tab w:leader="none" w:pos="828" w:val="left"/>
        </w:tabs>
        <w:numPr>
          <w:ilvl w:val="0"/>
          <w:numId w:val="138"/>
        </w:numPr>
        <w:rPr>
          <w:rFonts w:ascii="Arial" w:cs="Arial" w:eastAsia="Arial" w:hAnsi="Arial"/>
          <w:sz w:val="18"/>
          <w:szCs w:val="18"/>
          <w:color w:val="auto"/>
        </w:rPr>
      </w:pPr>
      <w:r>
        <w:rPr>
          <w:rFonts w:ascii="Arial" w:cs="Arial" w:eastAsia="Arial" w:hAnsi="Arial"/>
          <w:sz w:val="18"/>
          <w:szCs w:val="18"/>
          <w:color w:val="auto"/>
        </w:rPr>
        <w:t>Such Defeasance or Covenant Defeasance shall not cause the Trustee to have a conflicting interest within the meaning of the Trust Indenture Act (assuming all Securities are in default within the meaning of such Act).</w:t>
      </w:r>
    </w:p>
    <w:p>
      <w:pPr>
        <w:spacing w:after="0" w:line="62" w:lineRule="exact"/>
        <w:rPr>
          <w:rFonts w:ascii="Arial" w:cs="Arial" w:eastAsia="Arial" w:hAnsi="Arial"/>
          <w:sz w:val="18"/>
          <w:szCs w:val="18"/>
          <w:color w:val="auto"/>
        </w:rPr>
      </w:pPr>
    </w:p>
    <w:p>
      <w:pPr>
        <w:ind w:right="360" w:firstLine="443"/>
        <w:spacing w:after="0" w:line="277" w:lineRule="auto"/>
        <w:tabs>
          <w:tab w:leader="none" w:pos="828" w:val="left"/>
        </w:tabs>
        <w:numPr>
          <w:ilvl w:val="0"/>
          <w:numId w:val="138"/>
        </w:numPr>
        <w:rPr>
          <w:rFonts w:ascii="Arial" w:cs="Arial" w:eastAsia="Arial" w:hAnsi="Arial"/>
          <w:sz w:val="18"/>
          <w:szCs w:val="18"/>
          <w:color w:val="auto"/>
        </w:rPr>
      </w:pPr>
      <w:r>
        <w:rPr>
          <w:rFonts w:ascii="Arial" w:cs="Arial" w:eastAsia="Arial" w:hAnsi="Arial"/>
          <w:sz w:val="18"/>
          <w:szCs w:val="18"/>
          <w:color w:val="auto"/>
        </w:rPr>
        <w:t>Such Defeasance or Covenant Defeasance shall not result in a breach or violation of, or constitute a default under, this Indenture or any other agreement or instrument to which the Company is a party or by which it is bound.</w:t>
      </w:r>
    </w:p>
    <w:p>
      <w:pPr>
        <w:spacing w:after="0" w:line="62" w:lineRule="exact"/>
        <w:rPr>
          <w:rFonts w:ascii="Arial" w:cs="Arial" w:eastAsia="Arial" w:hAnsi="Arial"/>
          <w:sz w:val="18"/>
          <w:szCs w:val="18"/>
          <w:color w:val="auto"/>
        </w:rPr>
      </w:pPr>
    </w:p>
    <w:p>
      <w:pPr>
        <w:ind w:right="120" w:firstLine="443"/>
        <w:spacing w:after="0" w:line="308" w:lineRule="auto"/>
        <w:tabs>
          <w:tab w:leader="none" w:pos="828" w:val="left"/>
        </w:tabs>
        <w:numPr>
          <w:ilvl w:val="0"/>
          <w:numId w:val="138"/>
        </w:numPr>
        <w:rPr>
          <w:rFonts w:ascii="Arial" w:cs="Arial" w:eastAsia="Arial" w:hAnsi="Arial"/>
          <w:sz w:val="17"/>
          <w:szCs w:val="17"/>
          <w:color w:val="auto"/>
        </w:rPr>
      </w:pPr>
      <w:r>
        <w:rPr>
          <w:rFonts w:ascii="Arial" w:cs="Arial" w:eastAsia="Arial" w:hAnsi="Arial"/>
          <w:sz w:val="17"/>
          <w:szCs w:val="17"/>
          <w:color w:val="auto"/>
        </w:rPr>
        <w:t>Such Defeasance or Covenant Defeasance shall not result in the trust arising from such deposit constituting an investment company within the meaning of the Investment Company Act unless such trust shall be registered under such Act or exempt from registration thereunder.</w:t>
      </w:r>
    </w:p>
    <w:p>
      <w:pPr>
        <w:spacing w:after="0" w:line="38" w:lineRule="exact"/>
        <w:rPr>
          <w:rFonts w:ascii="Arial" w:cs="Arial" w:eastAsia="Arial" w:hAnsi="Arial"/>
          <w:sz w:val="17"/>
          <w:szCs w:val="17"/>
          <w:color w:val="auto"/>
        </w:rPr>
      </w:pPr>
    </w:p>
    <w:p>
      <w:pPr>
        <w:ind w:left="820" w:hanging="377"/>
        <w:spacing w:after="0"/>
        <w:tabs>
          <w:tab w:leader="none" w:pos="82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At the time of such deposit,</w:t>
      </w:r>
    </w:p>
    <w:p>
      <w:pPr>
        <w:spacing w:after="0" w:line="117" w:lineRule="exact"/>
        <w:rPr>
          <w:rFonts w:ascii="Arial" w:cs="Arial" w:eastAsia="Arial" w:hAnsi="Arial"/>
          <w:sz w:val="18"/>
          <w:szCs w:val="18"/>
          <w:color w:val="auto"/>
        </w:rPr>
      </w:pPr>
    </w:p>
    <w:p>
      <w:pPr>
        <w:ind w:left="1320" w:hanging="439"/>
        <w:spacing w:after="0"/>
        <w:tabs>
          <w:tab w:leader="none" w:pos="1320" w:val="left"/>
        </w:tabs>
        <w:numPr>
          <w:ilvl w:val="1"/>
          <w:numId w:val="138"/>
        </w:numPr>
        <w:rPr>
          <w:rFonts w:ascii="Arial" w:cs="Arial" w:eastAsia="Arial" w:hAnsi="Arial"/>
          <w:sz w:val="17"/>
          <w:szCs w:val="17"/>
          <w:color w:val="auto"/>
        </w:rPr>
      </w:pPr>
      <w:r>
        <w:rPr>
          <w:rFonts w:ascii="Arial" w:cs="Arial" w:eastAsia="Arial" w:hAnsi="Arial"/>
          <w:sz w:val="17"/>
          <w:szCs w:val="17"/>
          <w:color w:val="auto"/>
        </w:rPr>
        <w:t>no default in the payment of any principal of or premium or interest on any Senior Debt shall have occurred and be continuing,</w:t>
      </w:r>
    </w:p>
    <w:p>
      <w:pPr>
        <w:spacing w:after="0" w:line="128" w:lineRule="exact"/>
        <w:rPr>
          <w:rFonts w:ascii="Arial" w:cs="Arial" w:eastAsia="Arial" w:hAnsi="Arial"/>
          <w:sz w:val="17"/>
          <w:szCs w:val="17"/>
          <w:color w:val="auto"/>
        </w:rPr>
      </w:pPr>
    </w:p>
    <w:p>
      <w:pPr>
        <w:ind w:left="460" w:right="60" w:firstLine="421"/>
        <w:spacing w:after="0" w:line="264" w:lineRule="auto"/>
        <w:tabs>
          <w:tab w:leader="none" w:pos="130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no event of default with respect to any Senior Debt shall have resulted in such Senior Debt becoming, and continuing to be, due and payable prior to the date on which it would otherwise have become due and payable (unless payment of such Senior Debt has been made or duly provided for), and</w:t>
      </w:r>
    </w:p>
    <w:p>
      <w:pPr>
        <w:spacing w:after="0" w:line="73" w:lineRule="exact"/>
        <w:rPr>
          <w:rFonts w:ascii="Arial" w:cs="Arial" w:eastAsia="Arial" w:hAnsi="Arial"/>
          <w:sz w:val="18"/>
          <w:szCs w:val="18"/>
          <w:color w:val="auto"/>
        </w:rPr>
      </w:pPr>
    </w:p>
    <w:p>
      <w:pPr>
        <w:jc w:val="both"/>
        <w:ind w:left="460" w:right="260" w:firstLine="421"/>
        <w:spacing w:after="0" w:line="264" w:lineRule="auto"/>
        <w:tabs>
          <w:tab w:leader="none" w:pos="130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no other event of default with respect to any Senior Debt shall have occurred and be continuing permitting (after notice or lapse of time or both) the holders of such Senior Debt (or a trustee on behalf of such holders) to declare such Senior Debt due and payable prior to the date on which it would otherwise have become due and payable.</w:t>
      </w:r>
    </w:p>
    <w:p>
      <w:pPr>
        <w:spacing w:after="0" w:line="11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0940"/>
          </w:cols>
          <w:pgMar w:left="700" w:top="274" w:right="259" w:bottom="1440" w:gutter="0" w:footer="0" w:header="0"/>
        </w:sectPr>
      </w:pPr>
    </w:p>
    <w:bookmarkStart w:id="168" w:name="page169"/>
    <w:bookmarkEnd w:id="168"/>
    <w:p>
      <w:pPr>
        <w:ind w:left="460" w:right="480" w:firstLine="443"/>
        <w:spacing w:after="0" w:line="277" w:lineRule="auto"/>
        <w:tabs>
          <w:tab w:leader="none" w:pos="1375" w:val="left"/>
        </w:tabs>
        <w:numPr>
          <w:ilvl w:val="0"/>
          <w:numId w:val="1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shall have delivered to the Trustee an Officers’ Certificate and an Opinion of Counsel, each stating that all conditions precedent with respect to such Defeasance or Covenant Defeasance have been complied with.</w:t>
      </w:r>
    </w:p>
    <w:p>
      <w:pPr>
        <w:spacing w:after="0" w:line="27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Section 13.5</w:t>
      </w:r>
      <w:r>
        <w:rPr>
          <w:sz w:val="20"/>
          <w:szCs w:val="20"/>
          <w:color w:val="auto"/>
        </w:rPr>
        <w:tab/>
      </w:r>
      <w:r>
        <w:rPr>
          <w:rFonts w:ascii="Arial" w:cs="Arial" w:eastAsia="Arial" w:hAnsi="Arial"/>
          <w:sz w:val="16"/>
          <w:szCs w:val="16"/>
          <w:b w:val="1"/>
          <w:bCs w:val="1"/>
          <w:color w:val="auto"/>
        </w:rPr>
        <w:t>Deposited Money, U.S. Government Obligations and Foreign Government Obligations to be Held in Trust; Miscellaneous Provisions.</w:t>
      </w:r>
    </w:p>
    <w:p>
      <w:pPr>
        <w:spacing w:after="0" w:line="12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Subject to the provisions of the last paragraph of Section 10.3, all money, U.S. Government Obligations and Foreign Government Obligations (including the proceeds thereof) deposited with the Trustee or other qualifying trustee (solely for purposes of this Section and Section 13.6, the Trustee and any such other trustee are referred to collectively as the “Trustee”) pursuant to Section 13.4 in respect of any Securities shall be held in trust and applied by the Trustee, in accordance with the provisions of such Securities and this Indenture, to the payment, either directly or through any such Paying Agent (including the Company acting as its own Paying Agent) as the Trustee may determine, to the Holders of such Securities, of all sums due and to become due thereon in respect of principal and any premium and interest, but money so held in trust need not be segregated from other funds except to the extent required by law. Money, U.S. Government Obligations and Foreign Government Obligations so held in trust shall not be subject to the provisions of Article 15.</w:t>
      </w:r>
    </w:p>
    <w:p>
      <w:pPr>
        <w:spacing w:after="0" w:line="167"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The Company shall pay and indemnify the Trustee against any tax, fee or other charge imposed on or assessed against the U.S. Government Obligations or Foreign Government Obligations deposited pursuant to Section 13.4 or the principal and interest received in respect thereof other than any such tax, fee or other charge which by law is for the account of the Holders of Outstanding Securities.</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Anything in this Article to the contrary notwithstanding, the Trustee shall deliver or pay to the Company from time to time upon Company Request any money, U.S. Government Obligations or Foreign Government Obligations held by it as provided in Section 13.4 with respect to any Securities which, in the opinion of a nationally recognized firm of independent public accountants expressed in a written certification thereof delivered to the Trustee, are in excess of the amount thereof which would then be required to be deposited to effect the Defeasance or Covenant Defeasance, as the case may be, with respect to such Securities.</w:t>
      </w:r>
    </w:p>
    <w:p>
      <w:pPr>
        <w:spacing w:after="0" w:line="292"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Section 13.6</w:t>
      </w:r>
      <w:r>
        <w:rPr>
          <w:sz w:val="20"/>
          <w:szCs w:val="20"/>
          <w:color w:val="auto"/>
        </w:rPr>
        <w:tab/>
      </w:r>
      <w:r>
        <w:rPr>
          <w:rFonts w:ascii="Arial" w:cs="Arial" w:eastAsia="Arial" w:hAnsi="Arial"/>
          <w:sz w:val="16"/>
          <w:szCs w:val="16"/>
          <w:b w:val="1"/>
          <w:bCs w:val="1"/>
          <w:color w:val="auto"/>
        </w:rPr>
        <w:t>Reinstatement.</w:t>
      </w:r>
    </w:p>
    <w:p>
      <w:pPr>
        <w:spacing w:after="0" w:line="121"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 xml:space="preserve">If the Trustee or the Paying Agent is unable to apply any money in accordance with this Article with respect to any Securities by reason of any order or judgment of any court or governmental authority enjoining, restraining or otherwise prohibiting such application, then the obligations under this Indenture and such Securities from which the Company has been discharged or released pursuant to Section 13.2 or 13.3 shall be revived and reinstated as though no deposit had occurred pursuant to this Article with respect to such Securities, until such time as the Trustee or Paying Agent is permitted to apply all money held in trust pursuant to Section 13.5 with respect to such Securities in accordance with this Article;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the Company makes any payment of principal of or any premium or interest on any such Security following such reinstatement of its obligations, the Company shall be subrogated to the rights (if any) of the Holders of such Securities to receive such payment from the money so held in trust.</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80"/>
          </w:cols>
          <w:pgMar w:left="240" w:top="274" w:right="279" w:bottom="1440" w:gutter="0" w:footer="0" w:header="0"/>
        </w:sectPr>
      </w:pPr>
    </w:p>
    <w:bookmarkStart w:id="169" w:name="page170"/>
    <w:bookmarkEnd w:id="16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14</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CONVERSION OF SECURITIES</w:t>
      </w:r>
    </w:p>
    <w:p>
      <w:pPr>
        <w:spacing w:after="0" w:line="22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Section 14.1</w:t>
      </w:r>
      <w:r>
        <w:rPr>
          <w:sz w:val="20"/>
          <w:szCs w:val="20"/>
          <w:color w:val="auto"/>
        </w:rPr>
        <w:tab/>
      </w:r>
      <w:r>
        <w:rPr>
          <w:rFonts w:ascii="Arial" w:cs="Arial" w:eastAsia="Arial" w:hAnsi="Arial"/>
          <w:sz w:val="16"/>
          <w:szCs w:val="16"/>
          <w:b w:val="1"/>
          <w:bCs w:val="1"/>
          <w:color w:val="auto"/>
        </w:rPr>
        <w:t>Conversion.</w:t>
      </w:r>
    </w:p>
    <w:p>
      <w:pPr>
        <w:spacing w:after="0" w:line="12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terms of any conversion provision that shall be applicable to the Securities of any series shall be set forth in one or more indentures supplemental hereto for the Securities of such series.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15</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SUBORDINATION OF SECURITIES</w:t>
      </w:r>
    </w:p>
    <w:p>
      <w:pPr>
        <w:spacing w:after="0" w:line="22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Section 15.1</w:t>
      </w:r>
      <w:r>
        <w:rPr>
          <w:sz w:val="20"/>
          <w:szCs w:val="20"/>
          <w:color w:val="auto"/>
        </w:rPr>
        <w:tab/>
      </w:r>
      <w:r>
        <w:rPr>
          <w:rFonts w:ascii="Arial" w:cs="Arial" w:eastAsia="Arial" w:hAnsi="Arial"/>
          <w:sz w:val="16"/>
          <w:szCs w:val="16"/>
          <w:b w:val="1"/>
          <w:bCs w:val="1"/>
          <w:color w:val="auto"/>
        </w:rPr>
        <w:t>Agreement of Subordination.</w:t>
      </w:r>
    </w:p>
    <w:p>
      <w:pPr>
        <w:spacing w:after="0" w:line="12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Except as otherwise provided in a supplemental indenture or pursuant to Section 3.1, the Company covenants and agrees, and each Holder of Securities issued hereunder by its acceptance thereof likewise covenants and agrees, that all Securities shall be issued subject to the provisions of this Article 15; and each Person holding any Security, whether upon original issue or upon transfer, assignment or exchange thereof, accepts and agrees to be bound by such provisions.</w:t>
      </w:r>
    </w:p>
    <w:p>
      <w:pPr>
        <w:spacing w:after="0" w:line="18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payment of the principal of, premium, if any, and interest on all Securities (including, but not limited to, the redemption price with respect to the Securities called for redemption in accordance with Article 11 as provided in the Indenture) issued hereunder shall, to the extent and in the manner hereinafter set forth, be subordinated and subject in right of payment to the prior payment in full of all Senior Debt, whether outstanding at the date of this Indenture or thereafter incurred.</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provision of this Article 15 shall prevent the occurrence of any default or Event of Default hereunder.</w:t>
      </w:r>
    </w:p>
    <w:p>
      <w:pPr>
        <w:spacing w:after="0" w:line="329"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Section 15.2</w:t>
      </w:r>
      <w:r>
        <w:rPr>
          <w:sz w:val="20"/>
          <w:szCs w:val="20"/>
          <w:color w:val="auto"/>
        </w:rPr>
        <w:tab/>
      </w:r>
      <w:r>
        <w:rPr>
          <w:rFonts w:ascii="Arial" w:cs="Arial" w:eastAsia="Arial" w:hAnsi="Arial"/>
          <w:sz w:val="16"/>
          <w:szCs w:val="16"/>
          <w:b w:val="1"/>
          <w:bCs w:val="1"/>
          <w:color w:val="auto"/>
        </w:rPr>
        <w:t>Payments to Holders.</w:t>
      </w:r>
    </w:p>
    <w:p>
      <w:pPr>
        <w:spacing w:after="0" w:line="12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No payment shall be made with respect to the principal of, or premium, if any, or interest on the Securities (including, but not limited to, the redemption price with respect to the Securities to be called for redemption in accordance with Article 11 as provided in the Indenture), except payments and distributions made by the Trustee as permitted by the first or second paragraph of Section 15.5, if:</w:t>
      </w:r>
    </w:p>
    <w:p>
      <w:pPr>
        <w:spacing w:after="0" w:line="73" w:lineRule="exact"/>
        <w:rPr>
          <w:sz w:val="20"/>
          <w:szCs w:val="20"/>
          <w:color w:val="auto"/>
        </w:rPr>
      </w:pPr>
    </w:p>
    <w:p>
      <w:pPr>
        <w:ind w:left="1500" w:right="160" w:firstLine="389"/>
        <w:spacing w:after="0" w:line="277" w:lineRule="auto"/>
        <w:tabs>
          <w:tab w:leader="none" w:pos="2247"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 default in the payment of principal, premium, if any, interest, rent or other obligations due on any Senior Debt occurs and is continuing (or, in the case of Senior Debt for which there is a period of grace, in the event 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270" w:right="239" w:bottom="1440" w:gutter="0" w:footer="0" w:header="0"/>
        </w:sectPr>
      </w:pPr>
    </w:p>
    <w:bookmarkStart w:id="170" w:name="page171"/>
    <w:bookmarkEnd w:id="170"/>
    <w:p>
      <w:pPr>
        <w:ind w:left="1500" w:right="42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a default that continues beyond the period of grace, if any, specified in the instrument or lease evidencing such Senior Debt) (a “Payment Default”), unless and until such default shall have been cured or waived or shall have ceased to exist; or</w:t>
      </w:r>
    </w:p>
    <w:p>
      <w:pPr>
        <w:spacing w:after="0" w:line="38" w:lineRule="exact"/>
        <w:rPr>
          <w:sz w:val="20"/>
          <w:szCs w:val="20"/>
          <w:color w:val="auto"/>
        </w:rPr>
      </w:pPr>
    </w:p>
    <w:p>
      <w:pPr>
        <w:ind w:left="1500" w:right="120" w:firstLine="389"/>
        <w:spacing w:after="0" w:line="312" w:lineRule="auto"/>
        <w:tabs>
          <w:tab w:leader="none" w:pos="2297" w:val="left"/>
        </w:tabs>
        <w:numPr>
          <w:ilvl w:val="0"/>
          <w:numId w:val="141"/>
        </w:numPr>
        <w:rPr>
          <w:rFonts w:ascii="Arial" w:cs="Arial" w:eastAsia="Arial" w:hAnsi="Arial"/>
          <w:sz w:val="16"/>
          <w:szCs w:val="16"/>
          <w:color w:val="auto"/>
        </w:rPr>
      </w:pPr>
      <w:r>
        <w:rPr>
          <w:rFonts w:ascii="Arial" w:cs="Arial" w:eastAsia="Arial" w:hAnsi="Arial"/>
          <w:sz w:val="16"/>
          <w:szCs w:val="16"/>
          <w:color w:val="auto"/>
        </w:rPr>
        <w:t>a default, other than a Payment Default, on any Designated Senior Debt occurs and is continuing that then permits holders of such Designated Senior Debt to accelerate its maturity and the Trustee receives a notice of the default (a “Payment Blockage Notice”) from a holder of Designated Senior Debt, a Representative of Designated Senior Debt or the Company (a “Non-Payment Default”).</w:t>
      </w:r>
    </w:p>
    <w:p>
      <w:pPr>
        <w:spacing w:after="0" w:line="14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the Trustee receives any Payment Blockage Notice pursuant to clause (ii) above, no subsequent Payment Blockage Notice shall be effective for purposes of this Section unless and until at least 365 days shall have elapsed since the initial effectiveness of the immediately prior Payment Blockage Notice. No Non-Payment Default that existed or was continuing on the date of delivery of any Payment Blockage Notice to the Trustee shall be, or be made, the basis for a subsequent Payment Blockage Notice.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may and shall resume payments on and distributions in respect of the Securities upon the earlier of:</w:t>
      </w:r>
    </w:p>
    <w:p>
      <w:pPr>
        <w:spacing w:after="0" w:line="117" w:lineRule="exact"/>
        <w:rPr>
          <w:sz w:val="20"/>
          <w:szCs w:val="20"/>
          <w:color w:val="auto"/>
        </w:rPr>
      </w:pPr>
    </w:p>
    <w:p>
      <w:pPr>
        <w:ind w:left="1300" w:hanging="397"/>
        <w:spacing w:after="0"/>
        <w:tabs>
          <w:tab w:leader="none" w:pos="13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in the case of any Payment Default, the date upon which the Payment Default is cured or waived or ceases to exist, or</w:t>
      </w:r>
    </w:p>
    <w:p>
      <w:pPr>
        <w:spacing w:after="0" w:line="117" w:lineRule="exact"/>
        <w:rPr>
          <w:rFonts w:ascii="Arial" w:cs="Arial" w:eastAsia="Arial" w:hAnsi="Arial"/>
          <w:sz w:val="18"/>
          <w:szCs w:val="18"/>
          <w:color w:val="auto"/>
        </w:rPr>
      </w:pPr>
    </w:p>
    <w:p>
      <w:pPr>
        <w:ind w:left="460" w:right="160" w:firstLine="443"/>
        <w:spacing w:after="0" w:line="277" w:lineRule="auto"/>
        <w:tabs>
          <w:tab w:leader="none" w:pos="1288"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in the case of a Non-Payment Default, the earlier of (a) the date upon which such Non-Payment Default is cured, waived or ceases to exist or (b) 179 days after the date on which the applicable Payment Blockage Notice is received by the Trustee,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unless this Article 15 otherwise prohibits the payment or distribution at such time.</w:t>
      </w:r>
    </w:p>
    <w:p>
      <w:pPr>
        <w:spacing w:after="0" w:line="225"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Upon any payment or distribution of assets of the Company of any kind or character, whether in cash, property or securities, to creditors upon any dissolution or winding-up or liquidation or reorganization of the Company, whether voluntary or involuntary or in bankruptcy, insolvency, reorganization, liquidation, receivership or other proceedings, or upon an assignment for the benefit of creditors or any marshalling of the assets and liabilities of the Company, or otherwise, all amounts due or to become due upon all Senior Debt shall first be paid in full in cash or other payment satisfactory to the holders of such Senior Debt, or payment thereof in accordance with its terms provided for in cash or other payment satisfactory to the holders of such Senior Debt, before any payment is made on account of the principal of, premium, if any, or interest on the Securities (except payments made pursuant to Article 4 from monies deposited with the Trustee pursuant thereto prior to commencement of proceedings for such dissolution, winding-up, liquidation, reorganization, assignment for the benefit of creditors or the marshalling of assets and liabilities of the Company); and upon any such dissolution, winding-up, liquidation, reorganization, assignment for the benefit of creditors or marshalling of assets and liabilities of the Company or bankruptcy, insolvency,</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274" w:right="259" w:bottom="1440" w:gutter="0" w:footer="0" w:header="0"/>
        </w:sectPr>
      </w:pPr>
    </w:p>
    <w:bookmarkStart w:id="171" w:name="page172"/>
    <w:bookmarkEnd w:id="171"/>
    <w:p>
      <w:pPr>
        <w:ind w:right="2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receivership or other proceeding, any payment by the Company, or distribution of assets of the Company of any kind or character, whether in cash, property or securities, to which the Holders of the Securities or the Trustee would be entitled, except for the provision of this Article 15, shall (except as aforesaid) be paid by the Company or by any receiver, trustee in bankruptcy, liquidating trustee, agent or other Person making such payment or distribution, or by the Holders of the Securities or by the Trustee under this Indenture if received by them or it, directly to the holders of Senior Debt (pro rata to such holders on the basis of the respective amounts of Senior Debt held by such holders, or as otherwise required by law or a court order) or their Representative or Representatives, or to the trustee or trustees under any indenture pursuant to which any instruments evidencing any Senior Debt may have been issued, as their respective interests may appear, to the extent necessary to pay all Senior Debt in full, in cash or other payment satisfactory to the holders of such Senior Debt, after giving effect to any concurrent payment or distribution to or for the holders of Senior Debt, before any payment or distribution or provision therefor is made to the Holders of the Securities or to the Trustee.</w:t>
      </w:r>
    </w:p>
    <w:p>
      <w:pPr>
        <w:spacing w:after="0" w:line="182"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 xml:space="preserve">For purposes of this Article 15, the words, “cash, property or securities” shall not be deemed to include shares of stock of the Company as reorganized or readjusted, or securities of the Company or any other corporation provided for by a plan of reorganization or readjustment, the payment of which is subordinated at least to the extent provided in this Article 15 with respect to the Securities to the payment of all Senior Debt which may at the time be outstanding;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the Senior Debt is assumed by the new corporation, if any, resulting from any reorganization or readjustment, and (ii) the rights of the holders of Senior Debt (other than leases which are not assumed by the Company or the new corporation, as the case may be) are not, without the consent of such holders, altered by such reorganization or readjustment. The consolidation of the Company with, or the merger of the Company into, another corporation or the liquidation or dissolution of the Company following the conveyance or transfer of its property as an entirety, or substantially as an entirety, to another corporation upon the terms and conditions provided for in Article 8 shall not be deemed a dissolution, winding-up, liquidation or reorganization for the purposes of this Section 15.2 if such other corporation shall, as a part of such consolidation, merger, conveyance or transfer, comply with the conditions stated in Article 8.</w:t>
      </w:r>
    </w:p>
    <w:p>
      <w:pPr>
        <w:spacing w:after="0" w:line="178"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In the event of the acceleration of the Securities because of an Event of Default, no payment or distribution shall be made to the Trustee or any Holder of Securities in respect of the principal of, premium, if any, or interest on the Securities (including, but not limited to, the redemption price with respect to the Securities called for redemption in accordance with Article 11 as provided in the Indenture), except payments and distributions made by the Trustee as permitted by the first or second paragraph of Section 15.5, until all Senior Debt has been paid in full in cash or other payment satisfactory to the holders of Senior Debt or such acceleration is rescinded in accordance with the terms of this Indenture. If payment of the Securities is accelerated because of an Event of Default, the Company shall promptly notify holders of Senior Debt of the acceleration.</w:t>
      </w:r>
    </w:p>
    <w:p>
      <w:pPr>
        <w:spacing w:after="0" w:line="178" w:lineRule="exact"/>
        <w:rPr>
          <w:sz w:val="20"/>
          <w:szCs w:val="20"/>
          <w:color w:val="auto"/>
        </w:rPr>
      </w:pPr>
    </w:p>
    <w:p>
      <w:pPr>
        <w:ind w:right="160" w:firstLine="456"/>
        <w:spacing w:after="0" w:line="308" w:lineRule="auto"/>
        <w:rPr>
          <w:sz w:val="20"/>
          <w:szCs w:val="20"/>
          <w:color w:val="auto"/>
        </w:rPr>
      </w:pPr>
      <w:r>
        <w:rPr>
          <w:rFonts w:ascii="Arial" w:cs="Arial" w:eastAsia="Arial" w:hAnsi="Arial"/>
          <w:sz w:val="17"/>
          <w:szCs w:val="17"/>
          <w:color w:val="auto"/>
        </w:rPr>
        <w:t>In the event that, notwithstanding the foregoing provisions, any payment or distribution of assets of the Company of any kind or character, whether in cash, property or securities (including, without limitation, by way of setoff or otherwise), prohibited by the foregoing, shall be received by</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274" w:right="259" w:bottom="1440" w:gutter="0" w:footer="0" w:header="0"/>
        </w:sectPr>
      </w:pPr>
    </w:p>
    <w:bookmarkStart w:id="172" w:name="page173"/>
    <w:bookmarkEnd w:id="172"/>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Trustee or the Holders of the Securities before all Senior Debt is paid in full in cash or other payment satisfactory to the holders of such Senior Debt, or provision is made for such payment thereof in accordance with its terms in cash or other payment satisfactory to the holders of such Senior Debt, such payment or distribution shall be held in trust for the benefit of and shall be paid over or delivered to the holders of Senior Debt or their Representative or Representatives, or to the trustee or trustees under any indenture pursuant to which any instruments evidencing any Senior Debt may have been issued, as their respective interests may appear, as calculated by the Company, for application to the payment of all Senior Debt remaining unpaid to the extent necessary to pay all Senior Debt in full in cash or other payment satisfactory to the holders of such Senior Debt, after giving effect to any concurrent payment or distribution to or for the holders of such Senior Debt.</w:t>
      </w:r>
    </w:p>
    <w:p>
      <w:pPr>
        <w:spacing w:after="0" w:line="189"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Nothing in this Section 15.2 shall apply to claims of, or payments to, the Trustee under or pursuant to Section 6.7. This Section 15.2 shall be subject to the further provisions of Section 15.5.</w:t>
      </w:r>
    </w:p>
    <w:p>
      <w:pPr>
        <w:spacing w:after="0" w:line="27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Section 15.3</w:t>
      </w:r>
      <w:r>
        <w:rPr>
          <w:sz w:val="20"/>
          <w:szCs w:val="20"/>
          <w:color w:val="auto"/>
        </w:rPr>
        <w:tab/>
      </w:r>
      <w:r>
        <w:rPr>
          <w:rFonts w:ascii="Arial" w:cs="Arial" w:eastAsia="Arial" w:hAnsi="Arial"/>
          <w:sz w:val="15"/>
          <w:szCs w:val="15"/>
          <w:b w:val="1"/>
          <w:bCs w:val="1"/>
          <w:color w:val="auto"/>
        </w:rPr>
        <w:t>Subrogation of Securities.</w:t>
      </w:r>
    </w:p>
    <w:p>
      <w:pPr>
        <w:spacing w:after="0" w:line="121"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Subject to the payment in full of all Senior Debt, the rights of the Holders of the Securities shall be subrogated to the extent of the payments or distributions made to the holders of such Senior Debt pursuant to the provisions of this Article 15 (equally and ratably with the holders of all indebtedness of the Company which by its express terms is subordinated to other indebtedness of the Company to substantially the same extent as the Securities are subordinated and is entitled to like rights of subrogation) to the rights of the holders of Senior Debt to receive payments or distributions of cash, property or securities of the Company applicable to the Senior Debt until the principal, premium, if any, and interest on the Securities shall be paid in full; and, for the purposes of such subrogation, no payments or distributions to the holders of the Senior Debt of any cash, property or securities to which the Holders of the Securities or the Trustee would be entitled except for the provisions of this Article 15, and no payment over pursuant to the provisions of this Article 15, to or for the benefit of the holders of Senior Debt by Holders of the Securities or the Trustee, shall, as between the Company, its creditors other than holders of Senior Debt, and the Holders of the Securities, be deemed to be a payment by the Company to or on account of the Senior Debt; and no payments or distributions of cash, property or securities to or for the benefit of the Holders of the Securities pursuant to the subrogation provisions of this Article 15, which would otherwise have been paid to the holders of Senior Debt shall be deemed to be a payment by the Company to or for the account of the Securities. It is understood that the provisions of this Article 15 are and are intended solely for the purposes of defining the relative rights of the Holders of the Securities, on the one hand, and the holders of the Senior Debt, on the other hand.</w:t>
      </w:r>
    </w:p>
    <w:p>
      <w:pPr>
        <w:spacing w:after="0" w:line="188"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Nothing contained in this Article 15 or elsewhere in this Indenture or in the Securities is intended to or shall impair, as among the Company, its creditors other than the holders of Senior Debt, and the Holders of the Securities, the obligation of the Company, which is absolute and unconditional, to pay to the Holders of the Securities the principal of (and premium, if any) and interest on the Securities as and when the same shall become due and payable in accordance with their terms, or is intended to or shall affect the relative rights of the Holders of the Securities and creditors of the Company other than the holders of the Senior Debt, nor shall anything herein or</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60"/>
          </w:cols>
          <w:pgMar w:left="240" w:top="274" w:right="299" w:bottom="1440" w:gutter="0" w:footer="0" w:header="0"/>
        </w:sectPr>
      </w:pPr>
    </w:p>
    <w:bookmarkStart w:id="173" w:name="page174"/>
    <w:bookmarkEnd w:id="173"/>
    <w:p>
      <w:pPr>
        <w:ind w:right="2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therein prevent the Trustee or the Holder of any Security from exercising all remedies otherwise permitted by applicable law upon default under this Indenture, subject to the rights, if any, under this Article 15 of the holders of Senior Debt in respect of cash, property or securities of the Company received upon the exercise of any such remedy.</w:t>
      </w:r>
    </w:p>
    <w:p>
      <w:pPr>
        <w:spacing w:after="0" w:line="18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Upon any payment or distribution of assets of the Company referred to in this Article 15, the Trustee, subject to the provisions of Section 6.1, and the Holders of the Securities shall be entitled to rely upon any order or decree made by any court of competent jurisdiction in which such bankruptcy, dissolution, winding-up, liquidation or reorganization proceedings are pending, or a certificate of the receiver, trustee in bankruptcy, liquidating trustee, agent or other person making such payment or distribution, delivered to the Trustee or to the Holders of the Securities, for the purpose of ascertaining the persons entitled to participate in such distribution, the holders of the Senior Debt and other indebtedness of the Company, the amount thereof or payable thereon and all other facts pertinent thereto or to this Article 15.</w:t>
      </w:r>
    </w:p>
    <w:p>
      <w:pPr>
        <w:spacing w:after="0" w:line="297"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Section 15.4</w:t>
      </w:r>
      <w:r>
        <w:rPr>
          <w:sz w:val="20"/>
          <w:szCs w:val="20"/>
          <w:color w:val="auto"/>
        </w:rPr>
        <w:tab/>
      </w:r>
      <w:r>
        <w:rPr>
          <w:rFonts w:ascii="Arial" w:cs="Arial" w:eastAsia="Arial" w:hAnsi="Arial"/>
          <w:sz w:val="16"/>
          <w:szCs w:val="16"/>
          <w:b w:val="1"/>
          <w:bCs w:val="1"/>
          <w:color w:val="auto"/>
        </w:rPr>
        <w:t>Authorization to Effect Subordination.</w:t>
      </w:r>
    </w:p>
    <w:p>
      <w:pPr>
        <w:spacing w:after="0" w:line="12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Each Holder of a Security by the holder’s acceptance thereof authorizes and directs the Trustee on the holder’s behalf to take such action as may be necessary or appropriate to effectuate the subordination as provided in this Article 15 and appoints the Trustee to act as the holder’s attorney-in-fact for any and all such purposes. If the Trustee does not file a proper proof of claim or proof of debt in the form required in any proceeding referred to in Section 5.4 hereof at least 30 days before the expiration of the time to file such claim, the holders of any Senior Debt or their representatives are hereby authorized to file an appropriate claim for and on behalf of the Holders of the Securities.</w:t>
      </w:r>
    </w:p>
    <w:p>
      <w:pPr>
        <w:spacing w:after="0" w:line="292"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Section 15.5</w:t>
      </w:r>
      <w:r>
        <w:rPr>
          <w:sz w:val="20"/>
          <w:szCs w:val="20"/>
          <w:color w:val="auto"/>
        </w:rPr>
        <w:tab/>
      </w:r>
      <w:r>
        <w:rPr>
          <w:rFonts w:ascii="Arial" w:cs="Arial" w:eastAsia="Arial" w:hAnsi="Arial"/>
          <w:sz w:val="16"/>
          <w:szCs w:val="16"/>
          <w:b w:val="1"/>
          <w:bCs w:val="1"/>
          <w:color w:val="auto"/>
        </w:rPr>
        <w:t>Notice to Trustee.</w:t>
      </w:r>
    </w:p>
    <w:p>
      <w:pPr>
        <w:spacing w:after="0" w:line="12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The Company shall give prompt written notice in the form of an Officers’ Certificate to a Responsible Officer of the Trustee and to any Paying Agent of any fact known to the Company which would prohibit the making of any payment of monies to or by the Trustee or any Paying Agent in respect of the Securities pursuant to the provisions of this Article 15. Notwithstanding the provisions of this Article 15 or any other provision of this Indenture, the Trustee shall not be charged with knowledge of the existence of any facts which would prohibit the making of any payment of monies to or by the Trustee in respect of the Securities pursuant to the provisions of this Article 15, unless and until a Responsible Officer of the Trustee shall have received written notice thereof at the Corporate Trust Office from the Company (in the form of an Officers’ Certificate) or a Representative or a holder or holders of Senior Debt or from any trustee therefor; and before the receipt of any such written notice, the Trustee, subject to the provisions of Section 6.1, shall be entitled in all respects to assume that no such facts exist;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on a date not fewer than two Business Days prior to the date upon which by the terms hereof any such monies may become payable for any purpose (including, without limitation, the payment of the principal of, or premium, if any, or interest on any Security) the Trustee shall not have received, with respect to such monies, the notice provided for in this Section 15.5, then, anything herein contained to the contrary</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274" w:right="239" w:bottom="1440" w:gutter="0" w:footer="0" w:header="0"/>
        </w:sectPr>
      </w:pPr>
    </w:p>
    <w:bookmarkStart w:id="174" w:name="page175"/>
    <w:bookmarkEnd w:id="174"/>
    <w:p>
      <w:pPr>
        <w:ind w:right="2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the Trustee shall have full power and authority to receive such monies and to apply the same to the purpose for which they were received, and shall not be affected by any notice to the contrary which may be received by it on or after such prior date.</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Notwithstanding anything in this Article 15 to the contrary, nothing shall prevent any payment by the Trustee to the Holders of monies deposited with it pursuant to Section 4.1, and any such payment shall not be subject to the provisions of Section 15.1 or 15.2.</w:t>
      </w:r>
    </w:p>
    <w:p>
      <w:pPr>
        <w:spacing w:after="0" w:line="17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Trustee, subject to the provisions of Section 6.1, shall be entitled to rely on the delivery to it of a written notice by a Representative or a person representing himself to be a holder of Senior Debt (or a trustee on behalf of such holder) to establish that such notice has been given by a Representative or a holder of Senior Debt or a trustee on behalf of any such holder or holders. The Trustee shall not be required to make any payment or distribution to or on behalf of a holder of Senior Debt pursuant to this Article 15 unless it has received satisfactory evidence as to the amount of Senior Debt held by such person, the extent to which such person is entitled to participate in such payment or distribution and any other facts pertinent to the rights of such person under this Article 15.</w:t>
      </w:r>
    </w:p>
    <w:p>
      <w:pPr>
        <w:spacing w:after="0" w:line="297"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Section 15.6</w:t>
      </w:r>
      <w:r>
        <w:rPr>
          <w:sz w:val="20"/>
          <w:szCs w:val="20"/>
          <w:color w:val="auto"/>
        </w:rPr>
        <w:tab/>
      </w:r>
      <w:r>
        <w:rPr>
          <w:rFonts w:ascii="Arial" w:cs="Arial" w:eastAsia="Arial" w:hAnsi="Arial"/>
          <w:sz w:val="16"/>
          <w:szCs w:val="16"/>
          <w:b w:val="1"/>
          <w:bCs w:val="1"/>
          <w:color w:val="auto"/>
        </w:rPr>
        <w:t>Trustee’s Relation to Senior Debt.</w:t>
      </w:r>
    </w:p>
    <w:p>
      <w:pPr>
        <w:spacing w:after="0" w:line="121" w:lineRule="exact"/>
        <w:rPr>
          <w:sz w:val="20"/>
          <w:szCs w:val="20"/>
          <w:color w:val="auto"/>
        </w:rPr>
      </w:pPr>
    </w:p>
    <w:p>
      <w:pPr>
        <w:ind w:right="100" w:firstLine="456"/>
        <w:spacing w:after="0" w:line="308" w:lineRule="auto"/>
        <w:rPr>
          <w:sz w:val="20"/>
          <w:szCs w:val="20"/>
          <w:color w:val="auto"/>
        </w:rPr>
      </w:pPr>
      <w:r>
        <w:rPr>
          <w:rFonts w:ascii="Arial" w:cs="Arial" w:eastAsia="Arial" w:hAnsi="Arial"/>
          <w:sz w:val="17"/>
          <w:szCs w:val="17"/>
          <w:color w:val="auto"/>
        </w:rPr>
        <w:t>The Trustee in its individual capacity shall be entitled to all the rights set forth in this Article 15 in respect of any Senior Debt at any time held by it, to the same extent as any other holder of Senior Debt, and nothing in this Indenture shall deprive the Trustee of any of its rights as such holder.</w:t>
      </w:r>
    </w:p>
    <w:p>
      <w:pPr>
        <w:spacing w:after="0" w:line="14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With respect to the holders of Senior Debt, the Trustee undertakes to perform or to observe only such of its covenants and obligations as are specifically set forth in this Article 15, and no implied covenants or obligations with respect to the holders of Senior Debt shall be read into this Indenture against the Trustee. The Trustee shall not be deemed to owe any fiduciary duty to the holders of Senior Debt and, subject to the provisions of Section 6.1, the Trustee shall not be liable to any holder of Senior Debt (i) for any failure to make any payments or distributions to such holders or (ii) if it shall pay over or deliver to Holders of Securities, the Company or any other Person money or assets to which any holder of Senior Debt shall be entitled by virtue of this Article 15 or otherwise.</w:t>
      </w:r>
    </w:p>
    <w:p>
      <w:pPr>
        <w:spacing w:after="0" w:line="297"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Section 15.7</w:t>
      </w:r>
      <w:r>
        <w:rPr>
          <w:sz w:val="20"/>
          <w:szCs w:val="20"/>
          <w:color w:val="auto"/>
        </w:rPr>
        <w:tab/>
      </w:r>
      <w:r>
        <w:rPr>
          <w:rFonts w:ascii="Arial" w:cs="Arial" w:eastAsia="Arial" w:hAnsi="Arial"/>
          <w:sz w:val="16"/>
          <w:szCs w:val="16"/>
          <w:b w:val="1"/>
          <w:bCs w:val="1"/>
          <w:color w:val="auto"/>
        </w:rPr>
        <w:t>No Impairment of Subordination.</w:t>
      </w:r>
    </w:p>
    <w:p>
      <w:pPr>
        <w:spacing w:after="0" w:line="12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No right of any present or future holder of any Senior Debt to enforce subordination as herein provided shall at any time in any way be prejudiced or impaired by any act or failure to act on the part of the Company or by any act or failure to act, in good faith, by any such holder, or by any noncompliance by the Company, the Trustee or any Holder of Securities with the terms, provisions and covenants of this Indenture, regardless of any knowledge thereof which any such holder may have or otherwise be charged with.</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274" w:right="259" w:bottom="1440" w:gutter="0" w:footer="0" w:header="0"/>
        </w:sectPr>
      </w:pPr>
    </w:p>
    <w:bookmarkStart w:id="175" w:name="page176"/>
    <w:bookmarkEnd w:id="175"/>
    <w:p>
      <w:pPr>
        <w:spacing w:after="0"/>
        <w:tabs>
          <w:tab w:leader="none" w:pos="10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15.8</w:t>
      </w:r>
      <w:r>
        <w:rPr>
          <w:sz w:val="20"/>
          <w:szCs w:val="20"/>
          <w:color w:val="auto"/>
        </w:rPr>
        <w:tab/>
      </w:r>
      <w:r>
        <w:rPr>
          <w:rFonts w:ascii="Arial" w:cs="Arial" w:eastAsia="Arial" w:hAnsi="Arial"/>
          <w:sz w:val="16"/>
          <w:szCs w:val="16"/>
          <w:b w:val="1"/>
          <w:bCs w:val="1"/>
          <w:color w:val="auto"/>
        </w:rPr>
        <w:t>Certain Conversions/Exchanges Deemed Payment.</w:t>
      </w:r>
    </w:p>
    <w:p>
      <w:pPr>
        <w:spacing w:after="0" w:line="121"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For the purposes of this Article 15 only, (1) the issuance and delivery of junior securities upon conversion or exchange of Securities in accordance with Article 14 or any supplemental indenture with respect to such series of securities or otherwise (except upon conversion of the Securities in accordance with their terms) shall not be deemed to constitute a payment or distribution on account of the principal of (or premium, if any) or interest on Securities or on account of the purchase or other acquisition of Securities, and (2) the payment, issuance or delivery of cash (except in satisfaction of fractional shares upon conversion, if applicable), property or securities (other than junior securities) upon conversion or exchange of a Security shall be deemed to constitute payment on account of the principal of such Security. For the purposes of this Section 15.8, the term “junior securities” means (a) shares of any stock of any class of the Company, or (b) securities of the Company which are subordinated in right of payment to all Senior Debt which may be outstanding at the time of issuance or delivery of such securities to substantially the same extent as, or to a greater extent than, the Securities are so subordinated as provided in this Article. Nothing contained in this Article 15 or elsewhere in this Indenture or in the Securities is intended to or shall impair, as among the Company, its creditors other than holders of Senior Debt and the Holders of Securities, the right, which is absolute and unconditional, of the Holder of any Security to convert such Security in accordance with Article 14.</w:t>
      </w:r>
    </w:p>
    <w:p>
      <w:pPr>
        <w:spacing w:after="0" w:line="287"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Section 15.9</w:t>
      </w:r>
      <w:r>
        <w:rPr>
          <w:sz w:val="20"/>
          <w:szCs w:val="20"/>
          <w:color w:val="auto"/>
        </w:rPr>
        <w:tab/>
      </w:r>
      <w:r>
        <w:rPr>
          <w:rFonts w:ascii="Arial" w:cs="Arial" w:eastAsia="Arial" w:hAnsi="Arial"/>
          <w:sz w:val="16"/>
          <w:szCs w:val="16"/>
          <w:b w:val="1"/>
          <w:bCs w:val="1"/>
          <w:color w:val="auto"/>
        </w:rPr>
        <w:t>Article Applicable to Paying Agents.</w:t>
      </w:r>
    </w:p>
    <w:p>
      <w:pPr>
        <w:spacing w:after="0" w:line="121"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 xml:space="preserve">If at any time any Paying Agent other than the Trustee shall have been appointed by the Company and be then acting hereunder, the term “Trustee” as used in this Article shall (unless the context otherwise requires) be construed as extending to and including such Paying Agent within its meaning as fully for all intents and purposes as if such Paying Agent were named in this Article in addition to or in place of the Trustee;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first paragraph of Section 15.5 shall not apply to the Company or any Affiliate of the Company if the Company or such Affiliate acts as Paying Agent.</w:t>
      </w:r>
    </w:p>
    <w:p>
      <w:pPr>
        <w:spacing w:after="0" w:line="154"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 Trustee shall not be responsible for the actions or inactions of any other Paying Agents (including the Company if acting as its own Paying Agent) and shall have no control of any funds held by such other Paying Agents.</w:t>
      </w:r>
    </w:p>
    <w:p>
      <w:pPr>
        <w:spacing w:after="0" w:line="27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Section 15.10</w:t>
      </w:r>
      <w:r>
        <w:rPr>
          <w:sz w:val="20"/>
          <w:szCs w:val="20"/>
          <w:color w:val="auto"/>
        </w:rPr>
        <w:tab/>
      </w:r>
      <w:r>
        <w:rPr>
          <w:rFonts w:ascii="Arial" w:cs="Arial" w:eastAsia="Arial" w:hAnsi="Arial"/>
          <w:sz w:val="16"/>
          <w:szCs w:val="16"/>
          <w:b w:val="1"/>
          <w:bCs w:val="1"/>
          <w:color w:val="auto"/>
        </w:rPr>
        <w:t>Senior Debt Entitled to Rely.</w:t>
      </w:r>
    </w:p>
    <w:p>
      <w:pPr>
        <w:spacing w:after="0" w:line="121" w:lineRule="exact"/>
        <w:rPr>
          <w:sz w:val="20"/>
          <w:szCs w:val="20"/>
          <w:color w:val="auto"/>
        </w:rPr>
      </w:pPr>
    </w:p>
    <w:p>
      <w:pPr>
        <w:ind w:right="40" w:firstLine="456"/>
        <w:spacing w:after="0" w:line="342" w:lineRule="auto"/>
        <w:rPr>
          <w:sz w:val="20"/>
          <w:szCs w:val="20"/>
          <w:color w:val="auto"/>
        </w:rPr>
      </w:pPr>
      <w:r>
        <w:rPr>
          <w:rFonts w:ascii="Arial" w:cs="Arial" w:eastAsia="Arial" w:hAnsi="Arial"/>
          <w:sz w:val="16"/>
          <w:szCs w:val="16"/>
          <w:color w:val="auto"/>
        </w:rPr>
        <w:t>The holders of Senior Debt (including, without limitation, Designated Senior Debt) shall have the right to rely upon this Article 15, and no amendment or modification of the provisions contained herein shall diminish the rights of such holders unless such holders shall have agreed in writing thereto.</w:t>
      </w:r>
    </w:p>
    <w:p>
      <w:pPr>
        <w:spacing w:after="0" w:line="228"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Section 15.11</w:t>
      </w:r>
      <w:r>
        <w:rPr>
          <w:sz w:val="20"/>
          <w:szCs w:val="20"/>
          <w:color w:val="auto"/>
        </w:rPr>
        <w:tab/>
      </w:r>
      <w:r>
        <w:rPr>
          <w:rFonts w:ascii="Arial" w:cs="Arial" w:eastAsia="Arial" w:hAnsi="Arial"/>
          <w:sz w:val="16"/>
          <w:szCs w:val="16"/>
          <w:b w:val="1"/>
          <w:bCs w:val="1"/>
          <w:color w:val="auto"/>
        </w:rPr>
        <w:t>Reliance on Judicial Order or Certificate of Liquidating Agent.</w:t>
      </w:r>
    </w:p>
    <w:p>
      <w:pPr>
        <w:spacing w:after="0" w:line="12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Upon any payment or distribution of assets of the Company referred to in this Article, the Trustee and the Holders shall be entitled to rely upon any order or decree entered by any court of</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80"/>
          </w:cols>
          <w:pgMar w:left="240" w:top="270" w:right="279" w:bottom="1440" w:gutter="0" w:footer="0" w:header="0"/>
        </w:sectPr>
      </w:pPr>
    </w:p>
    <w:bookmarkStart w:id="176" w:name="page177"/>
    <w:bookmarkEnd w:id="176"/>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competent jurisdiction in which such dissolution, winding up, liquidation, reorganization, assignment for the benefit of creditors or marshalling of assets and liabilities of the Company or bankruptcy, insolvency, receivership or other like proceeding is pending, or a certificate of the trustee in bankruptcy, liquidating trustee, custodian, receiver, assignee for the benefit of creditors, agent or other person making such payment or distribution, delivered to the Trustee or to the Holders, for the purpose of ascertaining the persons entitled to participate in such payment or distribution, the holders of Senior Debt and other indebtedness of the Company, the amount thereof or payable thereon, the amount or amounts paid or distributed thereon and all other facts pertinent thereto or to this Article.</w:t>
      </w:r>
    </w:p>
    <w:p>
      <w:pPr>
        <w:spacing w:after="0" w:line="297"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Section 15.12</w:t>
      </w:r>
      <w:r>
        <w:rPr>
          <w:sz w:val="20"/>
          <w:szCs w:val="20"/>
          <w:color w:val="auto"/>
        </w:rPr>
        <w:tab/>
      </w:r>
      <w:r>
        <w:rPr>
          <w:rFonts w:ascii="Arial" w:cs="Arial" w:eastAsia="Arial" w:hAnsi="Arial"/>
          <w:sz w:val="16"/>
          <w:szCs w:val="16"/>
          <w:b w:val="1"/>
          <w:bCs w:val="1"/>
          <w:color w:val="auto"/>
        </w:rPr>
        <w:t>Trust Monies Not Subordinated.</w:t>
      </w:r>
    </w:p>
    <w:p>
      <w:pPr>
        <w:spacing w:after="0" w:line="121"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Notwithstanding anything contained herein to the contrary, payments from money, U.S. Government Obligations and/or Foreign Government Obligations held in trust under Article 4 or Article 13 by the Trustee for the payment of the principal of, premium, if any, and interest on the Securities shall not be subordinated to the prior payment in full of any Senior Debt of the Company or subject to the restrictions set forth in this Article 15, and none of the Holders shall be obligated to pay over any such amount to the Company or any holder of Senior Debt of the Company or any other creditor of the Company.</w:t>
      </w:r>
    </w:p>
    <w:p>
      <w:pPr>
        <w:spacing w:after="0" w:line="15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20"/>
          </w:cols>
          <w:pgMar w:left="240" w:top="274" w:right="339" w:bottom="1440" w:gutter="0" w:footer="0" w:header="0"/>
        </w:sectPr>
      </w:pPr>
    </w:p>
    <w:bookmarkStart w:id="177" w:name="page178"/>
    <w:bookmarkEnd w:id="177"/>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Indenture to be duly executed as of the day and year first above written.</w:t>
      </w:r>
    </w:p>
    <w:p>
      <w:pPr>
        <w:spacing w:after="0" w:line="264"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Fluidigm Corporation</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14605</wp:posOffset>
            </wp:positionV>
            <wp:extent cx="257302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14605</wp:posOffset>
            </wp:positionV>
            <wp:extent cx="257302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2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-10160</wp:posOffset>
            </wp:positionV>
            <wp:extent cx="25146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514600" cy="8890"/>
                    </a:xfrm>
                    <a:prstGeom prst="rect">
                      <a:avLst/>
                    </a:prstGeom>
                    <a:noFill/>
                  </pic:spPr>
                </pic:pic>
              </a:graphicData>
            </a:graphic>
          </wp:anchor>
        </w:drawing>
      </w:r>
    </w:p>
    <w:p>
      <w:pPr>
        <w:spacing w:after="0" w:line="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14605</wp:posOffset>
            </wp:positionV>
            <wp:extent cx="257302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14605</wp:posOffset>
            </wp:positionV>
            <wp:extent cx="257302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ectPr>
          <w:pgSz w:w="11900" w:h="16838" w:orient="portrait"/>
          <w:cols w:equalWidth="0" w:num="1">
            <w:col w:w="10400"/>
          </w:cols>
          <w:pgMar w:left="700" w:top="274" w:right="799" w:bottom="1440" w:gutter="0" w:footer="0" w:header="0"/>
        </w:sectPr>
      </w:pPr>
    </w:p>
    <w:bookmarkStart w:id="178" w:name="page179"/>
    <w:bookmarkEnd w:id="178"/>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8,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Fluidigm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7000 Shoreline Court, Suite 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San Francisco, California 94080</w:t>
      </w:r>
    </w:p>
    <w:p>
      <w:pPr>
        <w:spacing w:after="0" w:line="207"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 xml:space="preserve">Re: </w:t>
      </w:r>
      <w:r>
        <w:rPr>
          <w:rFonts w:ascii="Arial" w:cs="Arial" w:eastAsia="Arial" w:hAnsi="Arial"/>
          <w:sz w:val="18"/>
          <w:szCs w:val="18"/>
          <w:b w:val="1"/>
          <w:bCs w:val="1"/>
          <w:u w:val="single" w:color="auto"/>
          <w:color w:val="auto"/>
        </w:rPr>
        <w:t>Fluidigm Corporation—Registration Statement on Form S-3</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At your request, we have examined the Registration Statement on Form S-3 (the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filed by Fluidigm Corporation, a</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with the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in connection with the registration pursuant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Securities Act of 1933, as amended (the “</w:t>
      </w:r>
      <w:r>
        <w:rPr>
          <w:rFonts w:ascii="Arial" w:cs="Arial" w:eastAsia="Arial" w:hAnsi="Arial"/>
          <w:sz w:val="17"/>
          <w:szCs w:val="17"/>
          <w:b w:val="1"/>
          <w:bCs w:val="1"/>
          <w:i w:val="1"/>
          <w:iCs w:val="1"/>
          <w:color w:val="auto"/>
        </w:rPr>
        <w:t>Act</w:t>
      </w:r>
      <w:r>
        <w:rPr>
          <w:rFonts w:ascii="Arial" w:cs="Arial" w:eastAsia="Arial" w:hAnsi="Arial"/>
          <w:sz w:val="17"/>
          <w:szCs w:val="17"/>
          <w:color w:val="auto"/>
        </w:rPr>
        <w:t>”), of the offer and sale of the Securities (as defined below). The Registration Statement relates to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proposed offer, issuance and sale by the Company, from time to time pursuant to Rule 415 under the Act as set forth in the Registration Statement,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prospectus contained therein (the “</w:t>
      </w:r>
      <w:r>
        <w:rPr>
          <w:rFonts w:ascii="Arial" w:cs="Arial" w:eastAsia="Arial" w:hAnsi="Arial"/>
          <w:sz w:val="16"/>
          <w:szCs w:val="16"/>
          <w:b w:val="1"/>
          <w:bCs w:val="1"/>
          <w:i w:val="1"/>
          <w:iCs w:val="1"/>
          <w:color w:val="auto"/>
        </w:rPr>
        <w:t>Prospectus</w:t>
      </w:r>
      <w:r>
        <w:rPr>
          <w:rFonts w:ascii="Arial" w:cs="Arial" w:eastAsia="Arial" w:hAnsi="Arial"/>
          <w:sz w:val="16"/>
          <w:szCs w:val="16"/>
          <w:color w:val="auto"/>
        </w:rPr>
        <w:t>”) and the supplements to the prospectus referred to therein (the “</w:t>
      </w:r>
      <w:r>
        <w:rPr>
          <w:rFonts w:ascii="Arial" w:cs="Arial" w:eastAsia="Arial" w:hAnsi="Arial"/>
          <w:sz w:val="16"/>
          <w:szCs w:val="16"/>
          <w:b w:val="1"/>
          <w:bCs w:val="1"/>
          <w:i w:val="1"/>
          <w:iCs w:val="1"/>
          <w:color w:val="auto"/>
        </w:rPr>
        <w:t>Prospectus Supplements</w:t>
      </w:r>
      <w:r>
        <w:rPr>
          <w:rFonts w:ascii="Arial" w:cs="Arial" w:eastAsia="Arial" w:hAnsi="Arial"/>
          <w:sz w:val="16"/>
          <w:szCs w:val="16"/>
          <w:color w:val="auto"/>
        </w:rPr>
        <w:t>”) of (a) shares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Company’s common stock, $0.001 par value per share (the “</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and the preferred share purchase rights (the “</w:t>
      </w:r>
      <w:r>
        <w:rPr>
          <w:rFonts w:ascii="Arial" w:cs="Arial" w:eastAsia="Arial" w:hAnsi="Arial"/>
          <w:sz w:val="16"/>
          <w:szCs w:val="16"/>
          <w:b w:val="1"/>
          <w:bCs w:val="1"/>
          <w:i w:val="1"/>
          <w:iCs w:val="1"/>
          <w:color w:val="auto"/>
        </w:rPr>
        <w:t>Rights</w:t>
      </w:r>
      <w:r>
        <w:rPr>
          <w:rFonts w:ascii="Arial" w:cs="Arial" w:eastAsia="Arial" w:hAnsi="Arial"/>
          <w:sz w:val="16"/>
          <w:szCs w:val="16"/>
          <w:color w:val="auto"/>
        </w:rPr>
        <w:t>”) associated with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Common Stock issued pursuant to that certain Tax Benefit Preservation Plan, dated as of November 21, 2016 (the “</w:t>
      </w:r>
      <w:r>
        <w:rPr>
          <w:rFonts w:ascii="Arial" w:cs="Arial" w:eastAsia="Arial" w:hAnsi="Arial"/>
          <w:sz w:val="16"/>
          <w:szCs w:val="16"/>
          <w:b w:val="1"/>
          <w:bCs w:val="1"/>
          <w:i w:val="1"/>
          <w:iCs w:val="1"/>
          <w:color w:val="auto"/>
        </w:rPr>
        <w:t>Tax Benefit Plan</w:t>
      </w:r>
      <w:r>
        <w:rPr>
          <w:rFonts w:ascii="Arial" w:cs="Arial" w:eastAsia="Arial" w:hAnsi="Arial"/>
          <w:sz w:val="16"/>
          <w:szCs w:val="16"/>
          <w:color w:val="auto"/>
        </w:rPr>
        <w:t>”) between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Computershare Inc., as rights agent (the “</w:t>
      </w:r>
      <w:r>
        <w:rPr>
          <w:rFonts w:ascii="Arial" w:cs="Arial" w:eastAsia="Arial" w:hAnsi="Arial"/>
          <w:sz w:val="17"/>
          <w:szCs w:val="17"/>
          <w:b w:val="1"/>
          <w:bCs w:val="1"/>
          <w:i w:val="1"/>
          <w:iCs w:val="1"/>
          <w:color w:val="auto"/>
        </w:rPr>
        <w:t>Rights Agent</w:t>
      </w:r>
      <w:r>
        <w:rPr>
          <w:rFonts w:ascii="Arial" w:cs="Arial" w:eastAsia="Arial" w:hAnsi="Arial"/>
          <w:sz w:val="17"/>
          <w:szCs w:val="17"/>
          <w:color w:val="auto"/>
        </w:rPr>
        <w:t>”), (b) shares of the Company’s preferred stock, $0.001 par value per share (the “</w:t>
      </w:r>
      <w:r>
        <w:rPr>
          <w:rFonts w:ascii="Arial" w:cs="Arial" w:eastAsia="Arial" w:hAnsi="Arial"/>
          <w:sz w:val="17"/>
          <w:szCs w:val="17"/>
          <w:b w:val="1"/>
          <w:bCs w:val="1"/>
          <w:i w:val="1"/>
          <w:iCs w:val="1"/>
          <w:color w:val="auto"/>
        </w:rPr>
        <w:t>Preferred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w:t>
      </w:r>
      <w:r>
        <w:rPr>
          <w:rFonts w:ascii="Arial" w:cs="Arial" w:eastAsia="Arial" w:hAnsi="Arial"/>
          <w:sz w:val="16"/>
          <w:szCs w:val="16"/>
          <w:color w:val="auto"/>
        </w:rPr>
        <w:t>”), (c) the Company’s senior and subordinated debt securities (the “</w:t>
      </w:r>
      <w:r>
        <w:rPr>
          <w:rFonts w:ascii="Arial" w:cs="Arial" w:eastAsia="Arial" w:hAnsi="Arial"/>
          <w:sz w:val="16"/>
          <w:szCs w:val="16"/>
          <w:b w:val="1"/>
          <w:bCs w:val="1"/>
          <w:i w:val="1"/>
          <w:iCs w:val="1"/>
          <w:color w:val="auto"/>
        </w:rPr>
        <w:t>Debt Securities</w:t>
      </w:r>
      <w:r>
        <w:rPr>
          <w:rFonts w:ascii="Arial" w:cs="Arial" w:eastAsia="Arial" w:hAnsi="Arial"/>
          <w:sz w:val="16"/>
          <w:szCs w:val="16"/>
          <w:color w:val="auto"/>
        </w:rPr>
        <w:t>”), (d) warrants to purchase shares of the Company’s Common Stock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Preferred Stock (the “</w:t>
      </w:r>
      <w:r>
        <w:rPr>
          <w:rFonts w:ascii="Arial" w:cs="Arial" w:eastAsia="Arial" w:hAnsi="Arial"/>
          <w:sz w:val="16"/>
          <w:szCs w:val="16"/>
          <w:b w:val="1"/>
          <w:bCs w:val="1"/>
          <w:i w:val="1"/>
          <w:iCs w:val="1"/>
          <w:color w:val="auto"/>
        </w:rPr>
        <w:t>Warrants</w:t>
      </w:r>
      <w:r>
        <w:rPr>
          <w:rFonts w:ascii="Arial" w:cs="Arial" w:eastAsia="Arial" w:hAnsi="Arial"/>
          <w:sz w:val="16"/>
          <w:szCs w:val="16"/>
          <w:color w:val="auto"/>
        </w:rPr>
        <w:t>”), or (e) units (the “</w:t>
      </w:r>
      <w:r>
        <w:rPr>
          <w:rFonts w:ascii="Arial" w:cs="Arial" w:eastAsia="Arial" w:hAnsi="Arial"/>
          <w:sz w:val="16"/>
          <w:szCs w:val="16"/>
          <w:b w:val="1"/>
          <w:bCs w:val="1"/>
          <w:i w:val="1"/>
          <w:iCs w:val="1"/>
          <w:color w:val="auto"/>
        </w:rPr>
        <w:t>Units</w:t>
      </w:r>
      <w:r>
        <w:rPr>
          <w:rFonts w:ascii="Arial" w:cs="Arial" w:eastAsia="Arial" w:hAnsi="Arial"/>
          <w:sz w:val="16"/>
          <w:szCs w:val="16"/>
          <w:color w:val="auto"/>
        </w:rPr>
        <w:t>”) consisting of Common Stock (and the associated Rights), Preferred Stock, Debt Securities,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Warrants or any combination of the foregoing (the Common Stock (and the associated Rights), the Preferred Stock, the Debt Securities, the Warrants and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Units are collectively referred to herein as the “</w:t>
      </w:r>
      <w:r>
        <w:rPr>
          <w:rFonts w:ascii="Arial" w:cs="Arial" w:eastAsia="Arial" w:hAnsi="Arial"/>
          <w:sz w:val="17"/>
          <w:szCs w:val="17"/>
          <w:b w:val="1"/>
          <w:bCs w:val="1"/>
          <w:i w:val="1"/>
          <w:iCs w:val="1"/>
          <w:color w:val="auto"/>
        </w:rPr>
        <w:t>Securities</w:t>
      </w:r>
      <w:r>
        <w:rPr>
          <w:rFonts w:ascii="Arial" w:cs="Arial" w:eastAsia="Arial" w:hAnsi="Arial"/>
          <w:sz w:val="17"/>
          <w:szCs w:val="17"/>
          <w:color w:val="auto"/>
        </w:rPr>
        <w:t>”). The maximum aggregate offering price of the Securities sold pursuant to the Registration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Statement shall not exceed $125,000,000 (or the equivalent thereof in United States dollars).</w:t>
      </w:r>
    </w:p>
    <w:p>
      <w:pPr>
        <w:spacing w:after="0" w:line="211" w:lineRule="exact"/>
        <w:rPr>
          <w:sz w:val="20"/>
          <w:szCs w:val="20"/>
          <w:color w:val="auto"/>
        </w:rPr>
      </w:pPr>
    </w:p>
    <w:p>
      <w:pPr>
        <w:ind w:right="180" w:firstLine="913"/>
        <w:spacing w:after="0" w:line="273" w:lineRule="auto"/>
        <w:rPr>
          <w:sz w:val="20"/>
          <w:szCs w:val="20"/>
          <w:color w:val="auto"/>
        </w:rPr>
      </w:pPr>
      <w:r>
        <w:rPr>
          <w:rFonts w:ascii="Arial" w:cs="Arial" w:eastAsia="Arial" w:hAnsi="Arial"/>
          <w:sz w:val="17"/>
          <w:szCs w:val="17"/>
          <w:color w:val="auto"/>
        </w:rPr>
        <w:t>The Debt Securities are to be issued pursuant to a senior debt securities indenture (the “</w:t>
      </w:r>
      <w:r>
        <w:rPr>
          <w:rFonts w:ascii="Arial" w:cs="Arial" w:eastAsia="Arial" w:hAnsi="Arial"/>
          <w:sz w:val="17"/>
          <w:szCs w:val="17"/>
          <w:b w:val="1"/>
          <w:bCs w:val="1"/>
          <w:i w:val="1"/>
          <w:iCs w:val="1"/>
          <w:color w:val="auto"/>
        </w:rPr>
        <w:t>Senior Indenture</w:t>
      </w:r>
      <w:r>
        <w:rPr>
          <w:rFonts w:ascii="Arial" w:cs="Arial" w:eastAsia="Arial" w:hAnsi="Arial"/>
          <w:sz w:val="17"/>
          <w:szCs w:val="17"/>
          <w:color w:val="auto"/>
        </w:rPr>
        <w:t>”) and a subordinated debt securities indenture (the “</w:t>
      </w:r>
      <w:r>
        <w:rPr>
          <w:rFonts w:ascii="Arial" w:cs="Arial" w:eastAsia="Arial" w:hAnsi="Arial"/>
          <w:sz w:val="17"/>
          <w:szCs w:val="17"/>
          <w:b w:val="1"/>
          <w:bCs w:val="1"/>
          <w:i w:val="1"/>
          <w:iCs w:val="1"/>
          <w:color w:val="auto"/>
        </w:rPr>
        <w:t>Subordinated Indenture</w:t>
      </w:r>
      <w:r>
        <w:rPr>
          <w:rFonts w:ascii="Arial" w:cs="Arial" w:eastAsia="Arial" w:hAnsi="Arial"/>
          <w:sz w:val="17"/>
          <w:szCs w:val="17"/>
          <w:color w:val="auto"/>
        </w:rPr>
        <w:t>”), as applicable, both of which have been filed as exhibits to the Registration Statement (the “</w:t>
      </w:r>
      <w:r>
        <w:rPr>
          <w:rFonts w:ascii="Arial" w:cs="Arial" w:eastAsia="Arial" w:hAnsi="Arial"/>
          <w:sz w:val="17"/>
          <w:szCs w:val="17"/>
          <w:b w:val="1"/>
          <w:bCs w:val="1"/>
          <w:i w:val="1"/>
          <w:iCs w:val="1"/>
          <w:color w:val="auto"/>
        </w:rPr>
        <w:t>Indentures</w:t>
      </w:r>
      <w:r>
        <w:rPr>
          <w:rFonts w:ascii="Arial" w:cs="Arial" w:eastAsia="Arial" w:hAnsi="Arial"/>
          <w:sz w:val="17"/>
          <w:szCs w:val="17"/>
          <w:color w:val="auto"/>
        </w:rPr>
        <w:t>”) and are to be entered into, in each case, between the Company and a trustee to be identified (the “</w:t>
      </w:r>
      <w:r>
        <w:rPr>
          <w:rFonts w:ascii="Arial" w:cs="Arial" w:eastAsia="Arial" w:hAnsi="Arial"/>
          <w:sz w:val="17"/>
          <w:szCs w:val="17"/>
          <w:b w:val="1"/>
          <w:bCs w:val="1"/>
          <w:i w:val="1"/>
          <w:iCs w:val="1"/>
          <w:color w:val="auto"/>
        </w:rPr>
        <w:t>Trustee</w:t>
      </w:r>
      <w:r>
        <w:rPr>
          <w:rFonts w:ascii="Arial" w:cs="Arial" w:eastAsia="Arial" w:hAnsi="Arial"/>
          <w:sz w:val="17"/>
          <w:szCs w:val="17"/>
          <w:color w:val="auto"/>
        </w:rPr>
        <w:t>”). The Debt Securities are to be issued in the forms contemplated by the Indentures. Each indenture may be supplemented, as applicable, in connection with the issuance of each such series of Debt Securities, by a supplemental indenture or other appropriate action of the Company creating such series (each, a “</w:t>
      </w:r>
      <w:r>
        <w:rPr>
          <w:rFonts w:ascii="Arial" w:cs="Arial" w:eastAsia="Arial" w:hAnsi="Arial"/>
          <w:sz w:val="17"/>
          <w:szCs w:val="17"/>
          <w:b w:val="1"/>
          <w:bCs w:val="1"/>
          <w:i w:val="1"/>
          <w:iCs w:val="1"/>
          <w:color w:val="auto"/>
        </w:rPr>
        <w:t>Supplemental Indenture</w:t>
      </w:r>
      <w:r>
        <w:rPr>
          <w:rFonts w:ascii="Arial" w:cs="Arial" w:eastAsia="Arial" w:hAnsi="Arial"/>
          <w:sz w:val="17"/>
          <w:szCs w:val="17"/>
          <w:color w:val="auto"/>
        </w:rPr>
        <w:t>”). The shares of Common Stock (and the associated Rights) and Preferred Stock and</w:t>
      </w:r>
    </w:p>
    <w:p>
      <w:pPr>
        <w:sectPr>
          <w:pgSz w:w="11900" w:h="16838" w:orient="portrait"/>
          <w:cols w:equalWidth="0" w:num="1">
            <w:col w:w="11420"/>
          </w:cols>
          <w:pgMar w:left="240" w:top="121" w:right="239" w:bottom="1440" w:gutter="0" w:footer="0" w:header="0"/>
        </w:sectPr>
      </w:pPr>
    </w:p>
    <w:bookmarkStart w:id="179" w:name="page180"/>
    <w:bookmarkEnd w:id="17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Fluidigm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8,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Debt Securities, Warrants, and Units are to be sold pursuant to a purchase, underwriting, placement agency or similar agreement in substantially the form to be filed under a Current Report on Form 8-K.</w:t>
      </w:r>
    </w:p>
    <w:p>
      <w:pPr>
        <w:spacing w:after="0" w:line="170" w:lineRule="exact"/>
        <w:rPr>
          <w:sz w:val="20"/>
          <w:szCs w:val="20"/>
          <w:color w:val="auto"/>
        </w:rPr>
      </w:pPr>
    </w:p>
    <w:p>
      <w:pPr>
        <w:ind w:right="40" w:firstLine="913"/>
        <w:spacing w:after="0" w:line="269" w:lineRule="auto"/>
        <w:rPr>
          <w:sz w:val="20"/>
          <w:szCs w:val="20"/>
          <w:color w:val="auto"/>
        </w:rPr>
      </w:pPr>
      <w:r>
        <w:rPr>
          <w:rFonts w:ascii="Arial" w:cs="Arial" w:eastAsia="Arial" w:hAnsi="Arial"/>
          <w:sz w:val="17"/>
          <w:szCs w:val="17"/>
          <w:color w:val="auto"/>
        </w:rPr>
        <w:t>We have examined instruments, documents, certificates and records which we have deemed relevant and necessary for the basis of our opinion hereinafter expressed. In such examination, we have assumed (a) the authenticity of original documents and the genuineness of all signatures; (b) the conformity to the originals of all documents submitted to us as copies; (c) the truth, accuracy, and completeness of the information, representations and warranties contained in the records, documents, instruments and certificates we have reviewed; (d) the Registration Statement, and any amendments thereto (including post-effective amendments), will have become effective under the Act; (e) a Prospectus Supplement will have been filed with the Commission describing the Securities offered thereby; (f) all Securities will be issued and sold in compliance with applicable Federal and state securities laws and in the manner stated in the Registration Statement and the applicable Prospectus Supplement; (g) a definitive purchase, underwriting, placement agency or similar agreement with respect to any Securities offered will have been duly authorized and validly executed and delivered by the Company and the other parties thereto; (h) any Securities issuable upon conversion, exchange, redemption, or exercise of any Securities being offered will be duly authorized, created and, if appropriate, reserved for issuance upon such conversion, exchange, redemption, or exercise; and (i) with respect to shares of Common Stock or Preferred Stock offered, there will be sufficient shares of Common Stock or Preferred Stock authorized under the Company’s organizational documents and not otherwise reserved for issuance.</w:t>
      </w:r>
    </w:p>
    <w:p>
      <w:pPr>
        <w:spacing w:after="0" w:line="180"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In rendering this opinion, we have also assumed that the Tax Benefit Plan has been duly authorized, executed and delivered by the Rights Agent and that the members of the Board of Directors of the Company or a duly authorized and acting committee thereof (such Board of Directors or Committee being hereinafter referred to as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have acted in a manner consistent with their fiduciary duties as required under applicable law in adopting the Tax Benefit Plan. This opinion does not address the determination a court of competent jurisdiction may make regarding whether the Board may be required to redeem or terminate, or take other action with respect to, the Rights in the future based on the facts and circumstances existing at that time. It should be understood that our opinion addresses the Rights and Tax Benefit Plan in their entirety and not any particular provision of the Rights or the Tax Benefit Plan and that it is not settled whether the invalidity of any particular provision of a tax benefit preservation plan or purchase rights issued thereunder would result in invalidating in their entirety such rights.</w:t>
      </w:r>
    </w:p>
    <w:p>
      <w:pPr>
        <w:spacing w:after="0" w:line="19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Based on such examination, we are of the opinion that:</w:t>
      </w:r>
    </w:p>
    <w:p>
      <w:pPr>
        <w:spacing w:after="0" w:line="225" w:lineRule="exact"/>
        <w:rPr>
          <w:sz w:val="20"/>
          <w:szCs w:val="20"/>
          <w:color w:val="auto"/>
        </w:rPr>
      </w:pPr>
    </w:p>
    <w:p>
      <w:pPr>
        <w:ind w:right="280" w:firstLine="464"/>
        <w:spacing w:after="0" w:line="308" w:lineRule="auto"/>
        <w:tabs>
          <w:tab w:leader="none" w:pos="771" w:val="left"/>
        </w:tabs>
        <w:numPr>
          <w:ilvl w:val="0"/>
          <w:numId w:val="143"/>
        </w:numPr>
        <w:rPr>
          <w:rFonts w:ascii="Arial" w:cs="Arial" w:eastAsia="Arial" w:hAnsi="Arial"/>
          <w:sz w:val="17"/>
          <w:szCs w:val="17"/>
          <w:color w:val="auto"/>
        </w:rPr>
      </w:pPr>
      <w:r>
        <w:rPr>
          <w:rFonts w:ascii="Arial" w:cs="Arial" w:eastAsia="Arial" w:hAnsi="Arial"/>
          <w:sz w:val="17"/>
          <w:szCs w:val="17"/>
          <w:color w:val="auto"/>
        </w:rPr>
        <w:t>with respect to shares of Common Stock (and the associated Rights), when (a) the Board has taken all necessary corporate action to approve the issuance of and the terms of the offering of such shares of Common Stock (and the associated Rights) and related matters and (b)</w:t>
      </w:r>
    </w:p>
    <w:p>
      <w:pPr>
        <w:sectPr>
          <w:pgSz w:w="11900" w:h="16838" w:orient="portrait"/>
          <w:cols w:equalWidth="0" w:num="1">
            <w:col w:w="11420"/>
          </w:cols>
          <w:pgMar w:left="240" w:top="274" w:right="239" w:bottom="1440" w:gutter="0" w:footer="0" w:header="0"/>
        </w:sectPr>
      </w:pPr>
    </w:p>
    <w:bookmarkStart w:id="180" w:name="page181"/>
    <w:bookmarkEnd w:id="18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Fluidigm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8,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certificates representing such shares of Common Stock have been duly executed, countersigned, registered and delivered either (i) in accordance with the applicable definitive purchase, underwriting, placement agency or similar agreement approved by the Board, or upon the exercise of Warrants to purchase Common Stock, upon payment of the consideration therefor (not less than the par value of the Common Stock) provided for therein, or (ii) upon conversion or exercise of any other Security, in accordance with the terms of such Security or the instrument governing such Security providing for such conversion or exercise as approved by the Board, for the consideration approved by the Board (not less than the par value of the Common Stock), then such shares of Common Stock (and the associated Rights) will be validly issued, fully paid and nonassessable;</w:t>
      </w:r>
    </w:p>
    <w:p>
      <w:pPr>
        <w:spacing w:after="0" w:line="178" w:lineRule="exact"/>
        <w:rPr>
          <w:sz w:val="20"/>
          <w:szCs w:val="20"/>
          <w:color w:val="auto"/>
        </w:rPr>
      </w:pPr>
    </w:p>
    <w:p>
      <w:pPr>
        <w:ind w:firstLine="464"/>
        <w:spacing w:after="0" w:line="270" w:lineRule="auto"/>
        <w:tabs>
          <w:tab w:leader="none" w:pos="771" w:val="left"/>
        </w:tabs>
        <w:numPr>
          <w:ilvl w:val="0"/>
          <w:numId w:val="144"/>
        </w:numPr>
        <w:rPr>
          <w:rFonts w:ascii="Arial" w:cs="Arial" w:eastAsia="Arial" w:hAnsi="Arial"/>
          <w:sz w:val="17"/>
          <w:szCs w:val="17"/>
          <w:color w:val="auto"/>
        </w:rPr>
      </w:pPr>
      <w:r>
        <w:rPr>
          <w:rFonts w:ascii="Arial" w:cs="Arial" w:eastAsia="Arial" w:hAnsi="Arial"/>
          <w:sz w:val="17"/>
          <w:szCs w:val="17"/>
          <w:color w:val="auto"/>
        </w:rPr>
        <w:t>with respect to any particular series of shares of Preferred Stock, when (a) the Board has taken all necessary corporate action to approve the issuance and terms of the shares of Preferred Stock, the terms of the offering thereof, and related matters, including the adoption of a certificate of designation relating to such Preferred Stock conforming to the Delaware General Corporation Law (a “</w:t>
      </w:r>
      <w:r>
        <w:rPr>
          <w:rFonts w:ascii="Arial" w:cs="Arial" w:eastAsia="Arial" w:hAnsi="Arial"/>
          <w:sz w:val="17"/>
          <w:szCs w:val="17"/>
          <w:b w:val="1"/>
          <w:bCs w:val="1"/>
          <w:i w:val="1"/>
          <w:iCs w:val="1"/>
          <w:color w:val="auto"/>
        </w:rPr>
        <w:t>Certificate</w:t>
      </w:r>
      <w:r>
        <w:rPr>
          <w:rFonts w:ascii="Arial" w:cs="Arial" w:eastAsia="Arial" w:hAnsi="Arial"/>
          <w:sz w:val="17"/>
          <w:szCs w:val="17"/>
          <w:color w:val="auto"/>
        </w:rPr>
        <w:t>”) and the filing of the Certificate with the Secretary of State of the State of Delaware and (b) certificates representing the shares of Preferred Stock have been duly executed, countersigned, registered and delivered either (i) in accordance with the applicable definitive purchase, underwriting, placement agency or similar agreement approved by the Board, or upon exercise of Warrants to purchase Preferred Stock, upon payment of consideration (not less than the par value of the Preferred Stock) provided for therein, or (ii) upon conversion or exercise of any other Security, in accordance with the terms of such Security or the instrument governing such Security providing for such conversion or exercise as approved by the Board, for the consideration approved by the Board (not less than the par value of the Preferred Stock), then the shares of Preferred Stock will be validly issued, fully paid and nonassessable;</w:t>
      </w:r>
    </w:p>
    <w:p>
      <w:pPr>
        <w:spacing w:after="0" w:line="181" w:lineRule="exact"/>
        <w:rPr>
          <w:rFonts w:ascii="Arial" w:cs="Arial" w:eastAsia="Arial" w:hAnsi="Arial"/>
          <w:sz w:val="17"/>
          <w:szCs w:val="17"/>
          <w:color w:val="auto"/>
        </w:rPr>
      </w:pPr>
    </w:p>
    <w:p>
      <w:pPr>
        <w:ind w:right="40" w:firstLine="464"/>
        <w:spacing w:after="0" w:line="289" w:lineRule="auto"/>
        <w:tabs>
          <w:tab w:leader="none" w:pos="771" w:val="left"/>
        </w:tabs>
        <w:numPr>
          <w:ilvl w:val="0"/>
          <w:numId w:val="144"/>
        </w:numPr>
        <w:rPr>
          <w:rFonts w:ascii="Arial" w:cs="Arial" w:eastAsia="Arial" w:hAnsi="Arial"/>
          <w:sz w:val="16"/>
          <w:szCs w:val="16"/>
          <w:color w:val="auto"/>
        </w:rPr>
      </w:pPr>
      <w:r>
        <w:rPr>
          <w:rFonts w:ascii="Arial" w:cs="Arial" w:eastAsia="Arial" w:hAnsi="Arial"/>
          <w:sz w:val="16"/>
          <w:szCs w:val="16"/>
          <w:color w:val="auto"/>
        </w:rPr>
        <w:t>with respect to Debt Securities to be issued under either the Senior Indenture or Subordinated Indenture, when (a) the Trustee is qualified to act as Trustee under the Senior Indenture or Subordinated Indenture, as applicable, (b) the Trustee has duly executed and delivered the Senior Indenture or Subordinated Indenture, as applicable, (c) the Senior Indenture or Subordinated Indenture, as applicable, has been duly authorized and validly executed and delivered by the Company to the Trustee, (d) the Senior Indenture or Subordinated Indenture, as applicable, has been duly qualified under the Trust Indenture Act of 1939, as amended, (e) the Board has taken all necessary corporate action to approve the issuance and terms of such Debt Securities, the terms of the offering thereof and related matters, and (f) such Debt Securities have been duly executed, authenticated, issued and delivered in accordance with the provisions of the Senior Indenture or Subordinated Indenture, as applicable, and the applicable definitive purchase, underwriting, placement agency or similar agreement approved by the Board, such Debt Securities will be validly issued and will constitute valid and binding obligations of the Company, enforceable against the Company, in accordance with their terms, and entitled to the benefits of the applicable Indenture;</w:t>
      </w:r>
    </w:p>
    <w:p>
      <w:pPr>
        <w:sectPr>
          <w:pgSz w:w="11900" w:h="16838" w:orient="portrait"/>
          <w:cols w:equalWidth="0" w:num="1">
            <w:col w:w="11420"/>
          </w:cols>
          <w:pgMar w:left="240" w:top="274" w:right="239" w:bottom="1440" w:gutter="0" w:footer="0" w:header="0"/>
        </w:sectPr>
      </w:pPr>
    </w:p>
    <w:bookmarkStart w:id="181" w:name="page182"/>
    <w:bookmarkEnd w:id="18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Fluidigm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8,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43" w:lineRule="exact"/>
        <w:rPr>
          <w:sz w:val="20"/>
          <w:szCs w:val="20"/>
          <w:color w:val="auto"/>
        </w:rPr>
      </w:pPr>
    </w:p>
    <w:p>
      <w:pPr>
        <w:ind w:right="20" w:firstLine="464"/>
        <w:spacing w:after="0" w:line="297" w:lineRule="auto"/>
        <w:tabs>
          <w:tab w:leader="none" w:pos="771" w:val="left"/>
        </w:tabs>
        <w:numPr>
          <w:ilvl w:val="0"/>
          <w:numId w:val="145"/>
        </w:numPr>
        <w:rPr>
          <w:rFonts w:ascii="Arial" w:cs="Arial" w:eastAsia="Arial" w:hAnsi="Arial"/>
          <w:sz w:val="16"/>
          <w:szCs w:val="16"/>
          <w:color w:val="auto"/>
        </w:rPr>
      </w:pPr>
      <w:r>
        <w:rPr>
          <w:rFonts w:ascii="Arial" w:cs="Arial" w:eastAsia="Arial" w:hAnsi="Arial"/>
          <w:sz w:val="16"/>
          <w:szCs w:val="16"/>
          <w:color w:val="auto"/>
        </w:rPr>
        <w:t>with respect to the Warrants, when (a) the Board has taken all necessary corporate action to approve the issuance of and the terms of the Warrants and related matters and (b) the Warrants have been duly executed and delivered against payment therefor, pursuant to the applicable definitive purchase, underwriting, warrant, placement agency or similar agreement duly authorized, executed and delivered by the Company and a warrant agent and the certificates for the Warrants have been duly executed and delivered by the Company and such warrant agent, then the Warrants will be validly issued and will constitute valid and binding obligations of the Company, enforceable against the Company in accordance with their terms; and</w:t>
      </w:r>
    </w:p>
    <w:p>
      <w:pPr>
        <w:spacing w:after="0" w:line="158" w:lineRule="exact"/>
        <w:rPr>
          <w:rFonts w:ascii="Arial" w:cs="Arial" w:eastAsia="Arial" w:hAnsi="Arial"/>
          <w:sz w:val="16"/>
          <w:szCs w:val="16"/>
          <w:color w:val="auto"/>
        </w:rPr>
      </w:pPr>
    </w:p>
    <w:p>
      <w:pPr>
        <w:ind w:firstLine="464"/>
        <w:spacing w:after="0" w:line="276" w:lineRule="auto"/>
        <w:tabs>
          <w:tab w:leader="none" w:pos="771" w:val="left"/>
        </w:tabs>
        <w:numPr>
          <w:ilvl w:val="0"/>
          <w:numId w:val="145"/>
        </w:numPr>
        <w:rPr>
          <w:rFonts w:ascii="Arial" w:cs="Arial" w:eastAsia="Arial" w:hAnsi="Arial"/>
          <w:sz w:val="17"/>
          <w:szCs w:val="17"/>
          <w:color w:val="auto"/>
        </w:rPr>
      </w:pPr>
      <w:r>
        <w:rPr>
          <w:rFonts w:ascii="Arial" w:cs="Arial" w:eastAsia="Arial" w:hAnsi="Arial"/>
          <w:sz w:val="17"/>
          <w:szCs w:val="17"/>
          <w:color w:val="auto"/>
        </w:rPr>
        <w:t>with respect to the Units, when (a) the Board has taken all necessary corporate action to approve the issuance of and the terms of the Units and related matters and (b) the Units have been duly executed and delivered against payment therefor, pursuant to the applicable definitive purchase, underwriting, unit, placement agency or similar agreement duly authorized, executed and delivered by the Company and the certificates for the Units have been duly executed and delivered in accordance with such purchase, underwriting, unit, placement agency or similar agreement, then the Units will be validly issued and will constitute valid and binding obligations of the Company, enforceable against the Company in accordance with their terms.</w:t>
      </w:r>
    </w:p>
    <w:p>
      <w:pPr>
        <w:spacing w:after="0" w:line="17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Our opinion that any document is legal, valid and binding is qualified as to:</w:t>
      </w:r>
    </w:p>
    <w:p>
      <w:pPr>
        <w:spacing w:after="0" w:line="225" w:lineRule="exact"/>
        <w:rPr>
          <w:sz w:val="20"/>
          <w:szCs w:val="20"/>
          <w:color w:val="auto"/>
        </w:rPr>
      </w:pPr>
    </w:p>
    <w:p>
      <w:pPr>
        <w:ind w:right="120" w:firstLine="921"/>
        <w:spacing w:after="0" w:line="277" w:lineRule="auto"/>
        <w:tabs>
          <w:tab w:leader="none" w:pos="1158" w:val="left"/>
        </w:tabs>
        <w:numPr>
          <w:ilvl w:val="0"/>
          <w:numId w:val="146"/>
        </w:numPr>
        <w:rPr>
          <w:rFonts w:ascii="Arial" w:cs="Arial" w:eastAsia="Arial" w:hAnsi="Arial"/>
          <w:sz w:val="18"/>
          <w:szCs w:val="18"/>
          <w:color w:val="auto"/>
        </w:rPr>
      </w:pPr>
      <w:r>
        <w:rPr>
          <w:rFonts w:ascii="Arial" w:cs="Arial" w:eastAsia="Arial" w:hAnsi="Arial"/>
          <w:sz w:val="18"/>
          <w:szCs w:val="18"/>
          <w:color w:val="auto"/>
        </w:rPr>
        <w:t>limitations imposed by bankruptcy, insolvency, reorganization, arrangement, fraudulent conveyance, moratorium or other laws relating to or affecting the rights of creditors generally;</w:t>
      </w:r>
    </w:p>
    <w:p>
      <w:pPr>
        <w:spacing w:after="0" w:line="170" w:lineRule="exact"/>
        <w:rPr>
          <w:rFonts w:ascii="Arial" w:cs="Arial" w:eastAsia="Arial" w:hAnsi="Arial"/>
          <w:sz w:val="18"/>
          <w:szCs w:val="18"/>
          <w:color w:val="auto"/>
        </w:rPr>
      </w:pPr>
    </w:p>
    <w:p>
      <w:pPr>
        <w:ind w:left="1180" w:hanging="259"/>
        <w:spacing w:after="0"/>
        <w:tabs>
          <w:tab w:leader="none" w:pos="11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rights to indemnification and contribution which may be limited by applicable law or equitable principles; and</w:t>
      </w:r>
    </w:p>
    <w:p>
      <w:pPr>
        <w:spacing w:after="0" w:line="225" w:lineRule="exact"/>
        <w:rPr>
          <w:rFonts w:ascii="Arial" w:cs="Arial" w:eastAsia="Arial" w:hAnsi="Arial"/>
          <w:sz w:val="18"/>
          <w:szCs w:val="18"/>
          <w:color w:val="auto"/>
        </w:rPr>
      </w:pPr>
    </w:p>
    <w:p>
      <w:pPr>
        <w:jc w:val="both"/>
        <w:ind w:right="40" w:firstLine="921"/>
        <w:spacing w:after="0" w:line="264" w:lineRule="auto"/>
        <w:tabs>
          <w:tab w:leader="none" w:pos="1158" w:val="left"/>
        </w:tabs>
        <w:numPr>
          <w:ilvl w:val="0"/>
          <w:numId w:val="146"/>
        </w:numPr>
        <w:rPr>
          <w:rFonts w:ascii="Arial" w:cs="Arial" w:eastAsia="Arial" w:hAnsi="Arial"/>
          <w:sz w:val="18"/>
          <w:szCs w:val="18"/>
          <w:color w:val="auto"/>
        </w:rPr>
      </w:pPr>
      <w:r>
        <w:rPr>
          <w:rFonts w:ascii="Arial" w:cs="Arial" w:eastAsia="Arial" w:hAnsi="Arial"/>
          <w:sz w:val="18"/>
          <w:szCs w:val="18"/>
          <w:color w:val="auto"/>
        </w:rPr>
        <w:t>general principles of equity, including without limitation concepts of materiality, reasonableness, good faith and fair dealing, and the possible unavailability of specific performance or injunctive relief and limitation of rights of acceleration, regardless of whether such enforceability is considered in a proceeding in equity or at law.</w:t>
      </w:r>
    </w:p>
    <w:p>
      <w:pPr>
        <w:spacing w:after="0" w:line="181" w:lineRule="exact"/>
        <w:rPr>
          <w:sz w:val="20"/>
          <w:szCs w:val="20"/>
          <w:color w:val="auto"/>
        </w:rPr>
      </w:pPr>
    </w:p>
    <w:p>
      <w:pPr>
        <w:jc w:val="both"/>
        <w:ind w:right="640" w:firstLine="913"/>
        <w:spacing w:after="0" w:line="342" w:lineRule="auto"/>
        <w:rPr>
          <w:sz w:val="20"/>
          <w:szCs w:val="20"/>
          <w:color w:val="auto"/>
        </w:rPr>
      </w:pPr>
      <w:r>
        <w:rPr>
          <w:rFonts w:ascii="Arial" w:cs="Arial" w:eastAsia="Arial" w:hAnsi="Arial"/>
          <w:sz w:val="16"/>
          <w:szCs w:val="16"/>
          <w:color w:val="auto"/>
        </w:rPr>
        <w:t>We express no opinion herein as to the laws of any state or jurisdiction other than the General Corporation Law of the State of Delaware (including the statutory provisions and all applicable judicial decisions interpreting those laws) and the federal laws of the United States of America.</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 *</w:t>
      </w:r>
    </w:p>
    <w:p>
      <w:pPr>
        <w:sectPr>
          <w:pgSz w:w="11900" w:h="16838" w:orient="portrait"/>
          <w:cols w:equalWidth="0" w:num="1">
            <w:col w:w="11380"/>
          </w:cols>
          <w:pgMar w:left="240" w:top="274" w:right="279" w:bottom="1440" w:gutter="0" w:footer="0" w:header="0"/>
        </w:sectPr>
      </w:pPr>
    </w:p>
    <w:bookmarkStart w:id="182" w:name="page183"/>
    <w:bookmarkEnd w:id="18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Fluidigm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8,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143" w:lineRule="exact"/>
        <w:rPr>
          <w:sz w:val="20"/>
          <w:szCs w:val="20"/>
          <w:color w:val="auto"/>
        </w:rPr>
      </w:pPr>
    </w:p>
    <w:p>
      <w:pPr>
        <w:jc w:val="both"/>
        <w:ind w:firstLine="913"/>
        <w:spacing w:after="0" w:line="279" w:lineRule="auto"/>
        <w:rPr>
          <w:sz w:val="20"/>
          <w:szCs w:val="20"/>
          <w:color w:val="auto"/>
        </w:rPr>
      </w:pPr>
      <w:r>
        <w:rPr>
          <w:rFonts w:ascii="Arial" w:cs="Arial" w:eastAsia="Arial" w:hAnsi="Arial"/>
          <w:sz w:val="17"/>
          <w:szCs w:val="17"/>
          <w:color w:val="auto"/>
        </w:rPr>
        <w:t>We hereby consent to the filing of this opinion as an exhibit to the above-referenced Registration Statement and to the use of our name wherever it appears in the Registration Statement, the Prospectus, any Prospectus Supplement, and in any amendment or supplement thereto. In giving such consent, we do not believe that we are “experts” within the meaning of such term as used in the Act or the rules and regulations of the Commission issued thereunder with respect to any part of the Registration Statement, including this opinion as an exhibit or otherwise.</w:t>
      </w:r>
    </w:p>
    <w:p>
      <w:pPr>
        <w:spacing w:after="0" w:line="19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WILSON SONSINI GOODRICH &amp; ROSATI Professional</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Corporation</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Wilson Sonsini Goodrich &amp; Rosati, P.C.</w:t>
      </w:r>
    </w:p>
    <w:p>
      <w:pPr>
        <w:sectPr>
          <w:pgSz w:w="11900" w:h="16838" w:orient="portrait"/>
          <w:cols w:equalWidth="0" w:num="1">
            <w:col w:w="11420"/>
          </w:cols>
          <w:pgMar w:left="240" w:top="274" w:right="239" w:bottom="1440" w:gutter="0" w:footer="0" w:header="0"/>
        </w:sectPr>
      </w:pPr>
    </w:p>
    <w:bookmarkStart w:id="183" w:name="page184"/>
    <w:bookmarkEnd w:id="183"/>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hereby consent to the incorporation by reference in this Registration Statement on Form S-3 of our report dated March 2, 2017 relating to the financial statements, financial statement schedule, and the effectiveness of internal control over financial reporting, which appears in Fluidigm Corporation’s Annual Report on Form 10-K for the year ended December 31, 2016. We also consent to the reference to us under the heading “Experts” in such Registration Statement.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8, 2017</w:t>
      </w:r>
    </w:p>
    <w:p>
      <w:pPr>
        <w:sectPr>
          <w:pgSz w:w="11900" w:h="16838" w:orient="portrait"/>
          <w:cols w:equalWidth="0" w:num="1">
            <w:col w:w="11420"/>
          </w:cols>
          <w:pgMar w:left="240" w:top="121" w:right="239" w:bottom="1440" w:gutter="0" w:footer="0" w:header="0"/>
        </w:sectPr>
      </w:pPr>
    </w:p>
    <w:bookmarkStart w:id="184" w:name="page185"/>
    <w:bookmarkEnd w:id="184"/>
    <w:p>
      <w:pPr>
        <w:jc w:val="right"/>
        <w:spacing w:after="0"/>
        <w:rPr>
          <w:sz w:val="20"/>
          <w:szCs w:val="20"/>
          <w:color w:val="auto"/>
        </w:rPr>
      </w:pPr>
      <w:r>
        <w:rPr>
          <w:rFonts w:ascii="Arial" w:cs="Arial" w:eastAsia="Arial" w:hAnsi="Arial"/>
          <w:sz w:val="18"/>
          <w:szCs w:val="18"/>
          <w:b w:val="1"/>
          <w:bCs w:val="1"/>
          <w:color w:val="auto"/>
        </w:rPr>
        <w:t>Exhibit 23.2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consent to the reference to our firm under the caption “Experts” in the Registration Statement (Form S-3) and related Prospectus of Fluidigm Corporation for the registration of common stock, preferred stock, debt securities, warrants and units and to the incorporation by reference therein of our report dated February 29, 2016, with respect to the consolidated financial statements and schedule of Fluidigm Corporation, included in its Annual Report (Form 10-K) for the year ended December 31, 2016, filed with the Securities and Exchange Commission.</w:t>
      </w:r>
    </w:p>
    <w:p>
      <w:pPr>
        <w:spacing w:after="0" w:line="28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Ernst &amp; Young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Redwood City, CA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 2017</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1E3F1E"/>
    <w:multiLevelType w:val="hybridMultilevel"/>
    <w:lvl w:ilvl="0">
      <w:lvlJc w:val="left"/>
      <w:lvlText w:val="(%1)"/>
      <w:numFmt w:val="decimal"/>
      <w:start w:val="1"/>
    </w:lvl>
  </w:abstractNum>
  <w:abstractNum w:abstractNumId="1">
    <w:nsid w:val="5DC79EA8"/>
    <w:multiLevelType w:val="hybridMultilevel"/>
    <w:lvl w:ilvl="0">
      <w:lvlJc w:val="left"/>
      <w:lvlText w:val="(%1)"/>
      <w:numFmt w:val="decimal"/>
      <w:start w:val="1"/>
    </w:lvl>
  </w:abstractNum>
  <w:abstractNum w:abstractNumId="2">
    <w:nsid w:val="540A471C"/>
    <w:multiLevelType w:val="hybridMultilevel"/>
    <w:lvl w:ilvl="0">
      <w:lvlJc w:val="left"/>
      <w:lvlText w:val="•"/>
      <w:numFmt w:val="bullet"/>
      <w:start w:val="1"/>
    </w:lvl>
  </w:abstractNum>
  <w:abstractNum w:abstractNumId="3">
    <w:nsid w:val="7BD3EE7B"/>
    <w:multiLevelType w:val="hybridMultilevel"/>
    <w:lvl w:ilvl="0">
      <w:lvlJc w:val="left"/>
      <w:lvlText w:val="•"/>
      <w:numFmt w:val="bullet"/>
      <w:start w:val="1"/>
    </w:lvl>
  </w:abstractNum>
  <w:abstractNum w:abstractNumId="4">
    <w:nsid w:val="51D9C564"/>
    <w:multiLevelType w:val="hybridMultilevel"/>
    <w:lvl w:ilvl="0">
      <w:lvlJc w:val="left"/>
      <w:lvlText w:val="•"/>
      <w:numFmt w:val="bullet"/>
      <w:start w:val="1"/>
    </w:lvl>
  </w:abstractNum>
  <w:abstractNum w:abstractNumId="5">
    <w:nsid w:val="613EFDC5"/>
    <w:multiLevelType w:val="hybridMultilevel"/>
    <w:lvl w:ilvl="0">
      <w:lvlJc w:val="left"/>
      <w:lvlText w:val="•"/>
      <w:numFmt w:val="bullet"/>
      <w:start w:val="1"/>
    </w:lvl>
  </w:abstractNum>
  <w:abstractNum w:abstractNumId="6">
    <w:nsid w:val="BF72B14"/>
    <w:multiLevelType w:val="hybridMultilevel"/>
    <w:lvl w:ilvl="0">
      <w:lvlJc w:val="left"/>
      <w:lvlText w:val="•"/>
      <w:numFmt w:val="bullet"/>
      <w:start w:val="1"/>
    </w:lvl>
  </w:abstractNum>
  <w:abstractNum w:abstractNumId="7">
    <w:nsid w:val="11447B73"/>
    <w:multiLevelType w:val="hybridMultilevel"/>
    <w:lvl w:ilvl="0">
      <w:lvlJc w:val="left"/>
      <w:lvlText w:val="•"/>
      <w:numFmt w:val="bullet"/>
      <w:start w:val="1"/>
    </w:lvl>
  </w:abstractNum>
  <w:abstractNum w:abstractNumId="8">
    <w:nsid w:val="42963E5A"/>
    <w:multiLevelType w:val="hybridMultilevel"/>
    <w:lvl w:ilvl="0">
      <w:lvlJc w:val="left"/>
      <w:lvlText w:val="•"/>
      <w:numFmt w:val="bullet"/>
      <w:start w:val="1"/>
    </w:lvl>
  </w:abstractNum>
  <w:abstractNum w:abstractNumId="9">
    <w:nsid w:val="A0382C5"/>
    <w:multiLevelType w:val="hybridMultilevel"/>
    <w:lvl w:ilvl="0">
      <w:lvlJc w:val="left"/>
      <w:lvlText w:val="•"/>
      <w:numFmt w:val="bullet"/>
      <w:start w:val="1"/>
    </w:lvl>
  </w:abstractNum>
  <w:abstractNum w:abstractNumId="10">
    <w:nsid w:val="8F2B15E"/>
    <w:multiLevelType w:val="hybridMultilevel"/>
    <w:lvl w:ilvl="0">
      <w:lvlJc w:val="left"/>
      <w:lvlText w:val="•"/>
      <w:numFmt w:val="bullet"/>
      <w:start w:val="1"/>
    </w:lvl>
  </w:abstractNum>
  <w:abstractNum w:abstractNumId="11">
    <w:nsid w:val="1A32234B"/>
    <w:multiLevelType w:val="hybridMultilevel"/>
    <w:lvl w:ilvl="0">
      <w:lvlJc w:val="left"/>
      <w:lvlText w:val="•"/>
      <w:numFmt w:val="bullet"/>
      <w:start w:val="1"/>
    </w:lvl>
  </w:abstractNum>
  <w:abstractNum w:abstractNumId="12">
    <w:nsid w:val="3B0FD379"/>
    <w:multiLevelType w:val="hybridMultilevel"/>
    <w:lvl w:ilvl="0">
      <w:lvlJc w:val="left"/>
      <w:lvlText w:val="•"/>
      <w:numFmt w:val="bullet"/>
      <w:start w:val="1"/>
    </w:lvl>
  </w:abstractNum>
  <w:abstractNum w:abstractNumId="13">
    <w:nsid w:val="68EB2F63"/>
    <w:multiLevelType w:val="hybridMultilevel"/>
    <w:lvl w:ilvl="0">
      <w:lvlJc w:val="left"/>
      <w:lvlText w:val="•"/>
      <w:numFmt w:val="bullet"/>
      <w:start w:val="1"/>
    </w:lvl>
  </w:abstractNum>
  <w:abstractNum w:abstractNumId="14">
    <w:nsid w:val="4962813B"/>
    <w:multiLevelType w:val="hybridMultilevel"/>
    <w:lvl w:ilvl="0">
      <w:lvlJc w:val="left"/>
      <w:lvlText w:val="•"/>
      <w:numFmt w:val="bullet"/>
      <w:start w:val="1"/>
    </w:lvl>
  </w:abstractNum>
  <w:abstractNum w:abstractNumId="15">
    <w:nsid w:val="60B6DF70"/>
    <w:multiLevelType w:val="hybridMultilevel"/>
    <w:lvl w:ilvl="0">
      <w:lvlJc w:val="left"/>
      <w:lvlText w:val="•"/>
      <w:numFmt w:val="bullet"/>
      <w:start w:val="1"/>
    </w:lvl>
  </w:abstractNum>
  <w:abstractNum w:abstractNumId="16">
    <w:nsid w:val="6A5EE64"/>
    <w:multiLevelType w:val="hybridMultilevel"/>
    <w:lvl w:ilvl="0">
      <w:lvlJc w:val="left"/>
      <w:lvlText w:val="•"/>
      <w:numFmt w:val="bullet"/>
      <w:start w:val="1"/>
    </w:lvl>
  </w:abstractNum>
  <w:abstractNum w:abstractNumId="17">
    <w:nsid w:val="14330624"/>
    <w:multiLevelType w:val="hybridMultilevel"/>
    <w:lvl w:ilvl="0">
      <w:lvlJc w:val="left"/>
      <w:lvlText w:val="(%1)"/>
      <w:numFmt w:val="decimal"/>
      <w:start w:val="1"/>
    </w:lvl>
  </w:abstractNum>
  <w:abstractNum w:abstractNumId="18">
    <w:nsid w:val="7FFFCA11"/>
    <w:multiLevelType w:val="hybridMultilevel"/>
    <w:lvl w:ilvl="0">
      <w:lvlJc w:val="left"/>
      <w:lvlText w:val="(%1)"/>
      <w:numFmt w:val="decimal"/>
      <w:start w:val="1"/>
    </w:lvl>
  </w:abstractNum>
  <w:abstractNum w:abstractNumId="19">
    <w:nsid w:val="1A27709E"/>
    <w:multiLevelType w:val="hybridMultilevel"/>
    <w:lvl w:ilvl="0">
      <w:lvlJc w:val="left"/>
      <w:lvlText w:val="•"/>
      <w:numFmt w:val="bullet"/>
      <w:start w:val="1"/>
    </w:lvl>
  </w:abstractNum>
  <w:abstractNum w:abstractNumId="20">
    <w:nsid w:val="71EA1109"/>
    <w:multiLevelType w:val="hybridMultilevel"/>
    <w:lvl w:ilvl="0">
      <w:lvlJc w:val="left"/>
      <w:lvlText w:val="•"/>
      <w:numFmt w:val="bullet"/>
      <w:start w:val="1"/>
    </w:lvl>
  </w:abstractNum>
  <w:abstractNum w:abstractNumId="21">
    <w:nsid w:val="100F59DC"/>
    <w:multiLevelType w:val="hybridMultilevel"/>
    <w:lvl w:ilvl="0">
      <w:lvlJc w:val="left"/>
      <w:lvlText w:val="•"/>
      <w:numFmt w:val="bullet"/>
      <w:start w:val="1"/>
    </w:lvl>
  </w:abstractNum>
  <w:abstractNum w:abstractNumId="22">
    <w:nsid w:val="7FB7E0AA"/>
    <w:multiLevelType w:val="hybridMultilevel"/>
    <w:lvl w:ilvl="0">
      <w:lvlJc w:val="left"/>
      <w:lvlText w:val="•"/>
      <w:numFmt w:val="bullet"/>
      <w:start w:val="1"/>
    </w:lvl>
  </w:abstractNum>
  <w:abstractNum w:abstractNumId="23">
    <w:nsid w:val="6EB5BD4"/>
    <w:multiLevelType w:val="hybridMultilevel"/>
    <w:lvl w:ilvl="0">
      <w:lvlJc w:val="left"/>
      <w:lvlText w:val="•"/>
      <w:numFmt w:val="bullet"/>
      <w:start w:val="1"/>
    </w:lvl>
  </w:abstractNum>
  <w:abstractNum w:abstractNumId="24">
    <w:nsid w:val="6F6DD9AC"/>
    <w:multiLevelType w:val="hybridMultilevel"/>
    <w:lvl w:ilvl="0">
      <w:lvlJc w:val="left"/>
      <w:lvlText w:val="•"/>
      <w:numFmt w:val="bullet"/>
      <w:start w:val="1"/>
    </w:lvl>
  </w:abstractNum>
  <w:abstractNum w:abstractNumId="25">
    <w:nsid w:val="94211F2"/>
    <w:multiLevelType w:val="hybridMultilevel"/>
    <w:lvl w:ilvl="0">
      <w:lvlJc w:val="left"/>
      <w:lvlText w:val="•"/>
      <w:numFmt w:val="bullet"/>
      <w:start w:val="1"/>
    </w:lvl>
    <w:lvl w:ilvl="1">
      <w:lvlJc w:val="left"/>
      <w:lvlText w:val="•"/>
      <w:numFmt w:val="bullet"/>
      <w:start w:val="1"/>
    </w:lvl>
  </w:abstractNum>
  <w:abstractNum w:abstractNumId="26">
    <w:nsid w:val="885E1B"/>
    <w:multiLevelType w:val="hybridMultilevel"/>
    <w:lvl w:ilvl="0">
      <w:lvlJc w:val="left"/>
      <w:lvlText w:val="•"/>
      <w:numFmt w:val="bullet"/>
      <w:start w:val="1"/>
    </w:lvl>
  </w:abstractNum>
  <w:abstractNum w:abstractNumId="27">
    <w:nsid w:val="76272110"/>
    <w:multiLevelType w:val="hybridMultilevel"/>
    <w:lvl w:ilvl="0">
      <w:lvlJc w:val="left"/>
      <w:lvlText w:val="•"/>
      <w:numFmt w:val="bullet"/>
      <w:start w:val="1"/>
    </w:lvl>
  </w:abstractNum>
  <w:abstractNum w:abstractNumId="28">
    <w:nsid w:val="4C04A8AF"/>
    <w:multiLevelType w:val="hybridMultilevel"/>
    <w:lvl w:ilvl="0">
      <w:lvlJc w:val="left"/>
      <w:lvlText w:val="•"/>
      <w:numFmt w:val="bullet"/>
      <w:start w:val="1"/>
    </w:lvl>
  </w:abstractNum>
  <w:abstractNum w:abstractNumId="29">
    <w:nsid w:val="1716703B"/>
    <w:multiLevelType w:val="hybridMultilevel"/>
    <w:lvl w:ilvl="0">
      <w:lvlJc w:val="left"/>
      <w:lvlText w:val="•"/>
      <w:numFmt w:val="bullet"/>
      <w:start w:val="1"/>
    </w:lvl>
  </w:abstractNum>
  <w:abstractNum w:abstractNumId="30">
    <w:nsid w:val="14E17E33"/>
    <w:multiLevelType w:val="hybridMultilevel"/>
    <w:lvl w:ilvl="0">
      <w:lvlJc w:val="left"/>
      <w:lvlText w:val="•"/>
      <w:numFmt w:val="bullet"/>
      <w:start w:val="1"/>
    </w:lvl>
  </w:abstractNum>
  <w:abstractNum w:abstractNumId="31">
    <w:nsid w:val="3222E7CD"/>
    <w:multiLevelType w:val="hybridMultilevel"/>
    <w:lvl w:ilvl="0">
      <w:lvlJc w:val="left"/>
      <w:lvlText w:val="(%1)"/>
      <w:numFmt w:val="decimal"/>
      <w:start w:val="1"/>
    </w:lvl>
  </w:abstractNum>
  <w:abstractNum w:abstractNumId="32">
    <w:nsid w:val="74DE0EE3"/>
    <w:multiLevelType w:val="hybridMultilevel"/>
    <w:lvl w:ilvl="0">
      <w:lvlJc w:val="left"/>
      <w:lvlText w:val="•"/>
      <w:numFmt w:val="bullet"/>
      <w:start w:val="1"/>
    </w:lvl>
  </w:abstractNum>
  <w:abstractNum w:abstractNumId="33">
    <w:nsid w:val="68EBC550"/>
    <w:multiLevelType w:val="hybridMultilevel"/>
    <w:lvl w:ilvl="0">
      <w:lvlJc w:val="left"/>
      <w:lvlText w:val="•"/>
      <w:numFmt w:val="bullet"/>
      <w:start w:val="1"/>
    </w:lvl>
  </w:abstractNum>
  <w:abstractNum w:abstractNumId="34">
    <w:nsid w:val="2DF6D648"/>
    <w:multiLevelType w:val="hybridMultilevel"/>
    <w:lvl w:ilvl="0">
      <w:lvlJc w:val="left"/>
      <w:lvlText w:val="(%1)"/>
      <w:numFmt w:val="lowerLetter"/>
      <w:start w:val="1"/>
    </w:lvl>
  </w:abstractNum>
  <w:abstractNum w:abstractNumId="35">
    <w:nsid w:val="46B7D447"/>
    <w:multiLevelType w:val="hybridMultilevel"/>
    <w:lvl w:ilvl="0">
      <w:lvlJc w:val="left"/>
      <w:lvlText w:val="*"/>
      <w:numFmt w:val="bullet"/>
      <w:start w:val="1"/>
    </w:lvl>
  </w:abstractNum>
  <w:abstractNum w:abstractNumId="36">
    <w:nsid w:val="4A2AC315"/>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7">
    <w:nsid w:val="39EE015C"/>
    <w:multiLevelType w:val="hybridMultilevel"/>
    <w:lvl w:ilvl="0">
      <w:lvlJc w:val="left"/>
      <w:lvlText w:val="(%1)"/>
      <w:numFmt w:val="decimal"/>
      <w:start w:val="2"/>
    </w:lvl>
  </w:abstractNum>
  <w:abstractNum w:abstractNumId="38">
    <w:nsid w:val="57FC4FBB"/>
    <w:multiLevelType w:val="hybridMultilevel"/>
    <w:lvl w:ilvl="0">
      <w:lvlJc w:val="left"/>
      <w:lvlText w:val="(%1)"/>
      <w:numFmt w:val="decimal"/>
      <w:start w:val="3"/>
    </w:lvl>
  </w:abstractNum>
  <w:abstractNum w:abstractNumId="39">
    <w:nsid w:val="CC1016F"/>
    <w:multiLevelType w:val="hybridMultilevel"/>
    <w:lvl w:ilvl="0">
      <w:lvlJc w:val="left"/>
      <w:lvlText w:val="(%1)"/>
      <w:numFmt w:val="upperLetter"/>
      <w:start w:val="1"/>
    </w:lvl>
  </w:abstractNum>
  <w:abstractNum w:abstractNumId="40">
    <w:nsid w:val="43F18422"/>
    <w:multiLevelType w:val="hybridMultilevel"/>
    <w:lvl w:ilvl="0">
      <w:lvlJc w:val="left"/>
      <w:lvlText w:val="%1"/>
      <w:numFmt w:val="decimal"/>
      <w:start w:val="1"/>
    </w:lvl>
    <w:lvl w:ilvl="1">
      <w:lvlJc w:val="left"/>
      <w:lvlText w:val="(%2)"/>
      <w:numFmt w:val="lowerRoman"/>
      <w:start w:val="2"/>
    </w:lvl>
  </w:abstractNum>
  <w:abstractNum w:abstractNumId="41">
    <w:nsid w:val="60EF0119"/>
    <w:multiLevelType w:val="hybridMultilevel"/>
    <w:lvl w:ilvl="0">
      <w:lvlJc w:val="left"/>
      <w:lvlText w:val="(%1)"/>
      <w:numFmt w:val="decimal"/>
      <w:start w:val="5"/>
    </w:lvl>
    <w:lvl w:ilvl="1">
      <w:lvlJc w:val="left"/>
      <w:lvlText w:val="(%2)"/>
      <w:numFmt w:val="lowerRoman"/>
      <w:start w:val="1"/>
    </w:lvl>
  </w:abstractNum>
  <w:abstractNum w:abstractNumId="42">
    <w:nsid w:val="26F324BA"/>
    <w:multiLevelType w:val="hybridMultilevel"/>
    <w:lvl w:ilvl="0">
      <w:lvlJc w:val="left"/>
      <w:lvlText w:val="%1"/>
      <w:numFmt w:val="lowerLetter"/>
      <w:start w:val="1"/>
    </w:lvl>
    <w:lvl w:ilvl="1">
      <w:lvlJc w:val="left"/>
      <w:lvlText w:val="(%2)"/>
      <w:numFmt w:val="lowerRoman"/>
      <w:start w:val="2"/>
    </w:lvl>
  </w:abstractNum>
  <w:abstractNum w:abstractNumId="43">
    <w:nsid w:val="7F01579B"/>
    <w:multiLevelType w:val="hybridMultilevel"/>
    <w:lvl w:ilvl="0">
      <w:lvlJc w:val="left"/>
      <w:lvlText w:val="(%1)"/>
      <w:numFmt w:val="lowerLetter"/>
      <w:start w:val="2"/>
    </w:lvl>
    <w:lvl w:ilvl="1">
      <w:lvlJc w:val="left"/>
      <w:lvlText w:val="%2"/>
      <w:numFmt w:val="lowerRoman"/>
      <w:start w:val="1"/>
    </w:lvl>
  </w:abstractNum>
  <w:abstractNum w:abstractNumId="44">
    <w:nsid w:val="49DA307D"/>
    <w:multiLevelType w:val="hybridMultilevel"/>
    <w:lvl w:ilvl="0">
      <w:lvlJc w:val="left"/>
      <w:lvlText w:val="(%1)"/>
      <w:numFmt w:val="decimal"/>
      <w:start w:val="1"/>
    </w:lvl>
  </w:abstractNum>
  <w:abstractNum w:abstractNumId="45">
    <w:nsid w:val="7055A5F5"/>
    <w:multiLevelType w:val="hybridMultilevel"/>
    <w:lvl w:ilvl="0">
      <w:lvlJc w:val="left"/>
      <w:lvlText w:val="(%1)"/>
      <w:numFmt w:val="lowerLetter"/>
      <w:start w:val="5"/>
    </w:lvl>
  </w:abstractNum>
  <w:abstractNum w:abstractNumId="46">
    <w:nsid w:val="5FB8370B"/>
    <w:multiLevelType w:val="hybridMultilevel"/>
    <w:lvl w:ilvl="0">
      <w:lvlJc w:val="left"/>
      <w:lvlText w:val="*"/>
      <w:numFmt w:val="bullet"/>
      <w:start w:val="1"/>
    </w:lvl>
  </w:abstractNum>
  <w:abstractNum w:abstractNumId="47">
    <w:nsid w:val="50801EE1"/>
    <w:multiLevelType w:val="hybridMultilevel"/>
    <w:lvl w:ilvl="0">
      <w:lvlJc w:val="left"/>
      <w:lvlText w:val="(%1)"/>
      <w:numFmt w:val="decimal"/>
      <w:start w:val="1"/>
    </w:lvl>
  </w:abstractNum>
  <w:abstractNum w:abstractNumId="48">
    <w:nsid w:val="488AC1A"/>
    <w:multiLevelType w:val="hybridMultilevel"/>
    <w:lvl w:ilvl="0">
      <w:lvlJc w:val="left"/>
      <w:lvlText w:val="(%1)"/>
      <w:numFmt w:val="decimal"/>
      <w:start w:val="5"/>
    </w:lvl>
  </w:abstractNum>
  <w:abstractNum w:abstractNumId="49">
    <w:nsid w:val="5FB8011C"/>
    <w:multiLevelType w:val="hybridMultilevel"/>
    <w:lvl w:ilvl="0">
      <w:lvlJc w:val="left"/>
      <w:lvlText w:val="(%1)"/>
      <w:numFmt w:val="decimal"/>
      <w:start w:val="1"/>
    </w:lvl>
  </w:abstractNum>
  <w:abstractNum w:abstractNumId="50">
    <w:nsid w:val="6AA78F7F"/>
    <w:multiLevelType w:val="hybridMultilevel"/>
    <w:lvl w:ilvl="0">
      <w:lvlJc w:val="left"/>
      <w:lvlText w:val="(%1)"/>
      <w:numFmt w:val="decimal"/>
      <w:start w:val="2"/>
    </w:lvl>
  </w:abstractNum>
  <w:abstractNum w:abstractNumId="51">
    <w:nsid w:val="7672BD23"/>
    <w:multiLevelType w:val="hybridMultilevel"/>
    <w:lvl w:ilvl="0">
      <w:lvlJc w:val="left"/>
      <w:lvlText w:val="(%1)"/>
      <w:numFmt w:val="decimal"/>
      <w:start w:val="2"/>
    </w:lvl>
  </w:abstractNum>
  <w:abstractNum w:abstractNumId="52">
    <w:nsid w:val="6FC75AF8"/>
    <w:multiLevelType w:val="hybridMultilevel"/>
    <w:lvl w:ilvl="0">
      <w:lvlJc w:val="left"/>
      <w:lvlText w:val="(%1)"/>
      <w:numFmt w:val="decimal"/>
      <w:start w:val="1"/>
    </w:lvl>
  </w:abstractNum>
  <w:abstractNum w:abstractNumId="53">
    <w:nsid w:val="6A5F7029"/>
    <w:multiLevelType w:val="hybridMultilevel"/>
    <w:lvl w:ilvl="0">
      <w:lvlJc w:val="left"/>
      <w:lvlText w:val="(%1)"/>
      <w:numFmt w:val="decimal"/>
      <w:start w:val="1"/>
    </w:lvl>
  </w:abstractNum>
  <w:abstractNum w:abstractNumId="54">
    <w:nsid w:val="7D5E18F8"/>
    <w:multiLevelType w:val="hybridMultilevel"/>
    <w:lvl w:ilvl="0">
      <w:lvlJc w:val="left"/>
      <w:lvlText w:val="(%1)"/>
      <w:numFmt w:val="decimal"/>
      <w:start w:val="4"/>
    </w:lvl>
  </w:abstractNum>
  <w:abstractNum w:abstractNumId="55">
    <w:nsid w:val="5F3534A4"/>
    <w:multiLevelType w:val="hybridMultilevel"/>
    <w:lvl w:ilvl="0">
      <w:lvlJc w:val="left"/>
      <w:lvlText w:val="(%1)"/>
      <w:numFmt w:val="decimal"/>
      <w:start w:val="14"/>
    </w:lvl>
  </w:abstractNum>
  <w:abstractNum w:abstractNumId="56">
    <w:nsid w:val="73A1821B"/>
    <w:multiLevelType w:val="hybridMultilevel"/>
    <w:lvl w:ilvl="0">
      <w:lvlJc w:val="left"/>
      <w:lvlText w:val="(%1)"/>
      <w:numFmt w:val="decimal"/>
      <w:start w:val="23"/>
    </w:lvl>
  </w:abstractNum>
  <w:abstractNum w:abstractNumId="57">
    <w:nsid w:val="7DE67713"/>
    <w:multiLevelType w:val="hybridMultilevel"/>
    <w:lvl w:ilvl="0">
      <w:lvlJc w:val="left"/>
      <w:lvlText w:val="(%1)"/>
      <w:numFmt w:val="decimal"/>
      <w:start w:val="1"/>
    </w:lvl>
  </w:abstractNum>
  <w:abstractNum w:abstractNumId="58">
    <w:nsid w:val="555C55B5"/>
    <w:multiLevelType w:val="hybridMultilevel"/>
    <w:lvl w:ilvl="0">
      <w:lvlJc w:val="left"/>
      <w:lvlText w:val="%1"/>
      <w:numFmt w:val="lowerRoman"/>
      <w:start w:val="1"/>
    </w:lvl>
    <w:lvl w:ilvl="1">
      <w:lvlJc w:val="left"/>
      <w:lvlText w:val="(%2)"/>
      <w:numFmt w:val="decimal"/>
      <w:start w:val="1"/>
    </w:lvl>
  </w:abstractNum>
  <w:abstractNum w:abstractNumId="59">
    <w:nsid w:val="3FA62ACA"/>
    <w:multiLevelType w:val="hybridMultilevel"/>
    <w:lvl w:ilvl="0">
      <w:lvlJc w:val="left"/>
      <w:lvlText w:val="(%1)"/>
      <w:numFmt w:val="lowerRoman"/>
      <w:start w:val="2"/>
    </w:lvl>
    <w:lvl w:ilvl="1">
      <w:lvlJc w:val="left"/>
      <w:lvlText w:val="(%2)"/>
      <w:numFmt w:val="decimal"/>
      <w:start w:val="3"/>
    </w:lvl>
  </w:abstractNum>
  <w:abstractNum w:abstractNumId="60">
    <w:nsid w:val="14FCE74E"/>
    <w:multiLevelType w:val="hybridMultilevel"/>
    <w:lvl w:ilvl="0">
      <w:lvlJc w:val="left"/>
      <w:lvlText w:val="(%1)"/>
      <w:numFmt w:val="decimal"/>
      <w:start w:val="4"/>
    </w:lvl>
  </w:abstractNum>
  <w:abstractNum w:abstractNumId="61">
    <w:nsid w:val="6A3DD3E8"/>
    <w:multiLevelType w:val="hybridMultilevel"/>
    <w:lvl w:ilvl="0">
      <w:lvlJc w:val="left"/>
      <w:lvlText w:val="(%1)"/>
      <w:numFmt w:val="decimal"/>
      <w:start w:val="1"/>
    </w:lvl>
  </w:abstractNum>
  <w:abstractNum w:abstractNumId="62">
    <w:nsid w:val="71C91298"/>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63">
    <w:nsid w:val="9DAF632"/>
    <w:multiLevelType w:val="hybridMultilevel"/>
    <w:lvl w:ilvl="0">
      <w:lvlJc w:val="left"/>
      <w:lvlText w:val="(%1)"/>
      <w:numFmt w:val="decimal"/>
      <w:start w:val="2"/>
    </w:lvl>
  </w:abstractNum>
  <w:abstractNum w:abstractNumId="64">
    <w:nsid w:val="53299938"/>
    <w:multiLevelType w:val="hybridMultilevel"/>
    <w:lvl w:ilvl="0">
      <w:lvlJc w:val="left"/>
      <w:lvlText w:val="(%1)"/>
      <w:numFmt w:val="decimal"/>
      <w:start w:val="1"/>
    </w:lvl>
  </w:abstractNum>
  <w:abstractNum w:abstractNumId="65">
    <w:nsid w:val="1FBFE8E0"/>
    <w:multiLevelType w:val="hybridMultilevel"/>
    <w:lvl w:ilvl="0">
      <w:lvlJc w:val="left"/>
      <w:lvlText w:val="(%1)"/>
      <w:numFmt w:val="decimal"/>
      <w:start w:val="3"/>
    </w:lvl>
  </w:abstractNum>
  <w:abstractNum w:abstractNumId="66">
    <w:nsid w:val="5092CA79"/>
    <w:multiLevelType w:val="hybridMultilevel"/>
    <w:lvl w:ilvl="0">
      <w:lvlJc w:val="left"/>
      <w:lvlText w:val="(%1)"/>
      <w:numFmt w:val="lowerLetter"/>
      <w:start w:val="1"/>
    </w:lvl>
  </w:abstractNum>
  <w:abstractNum w:abstractNumId="67">
    <w:nsid w:val="1D545C4D"/>
    <w:multiLevelType w:val="hybridMultilevel"/>
    <w:lvl w:ilvl="0">
      <w:lvlJc w:val="left"/>
      <w:lvlText w:val="(%1)"/>
      <w:numFmt w:val="lowerLetter"/>
      <w:start w:val="2"/>
    </w:lvl>
  </w:abstractNum>
  <w:abstractNum w:abstractNumId="68">
    <w:nsid w:val="59ADEA3D"/>
    <w:multiLevelType w:val="hybridMultilevel"/>
    <w:lvl w:ilvl="0">
      <w:lvlJc w:val="left"/>
      <w:lvlText w:val="(%1)"/>
      <w:numFmt w:val="lowerLetter"/>
      <w:start w:val="3"/>
    </w:lvl>
  </w:abstractNum>
  <w:abstractNum w:abstractNumId="69">
    <w:nsid w:val="288F1A34"/>
    <w:multiLevelType w:val="hybridMultilevel"/>
    <w:lvl w:ilvl="0">
      <w:lvlJc w:val="left"/>
      <w:lvlText w:val="(%1)"/>
      <w:numFmt w:val="decimal"/>
      <w:start w:val="1"/>
    </w:lvl>
    <w:lvl w:ilvl="1">
      <w:lvlJc w:val="left"/>
      <w:lvlText w:val="(%2)"/>
      <w:numFmt w:val="upperLetter"/>
      <w:start w:val="1"/>
    </w:lvl>
  </w:abstractNum>
  <w:abstractNum w:abstractNumId="70">
    <w:nsid w:val="2A155DBC"/>
    <w:multiLevelType w:val="hybridMultilevel"/>
    <w:lvl w:ilvl="0">
      <w:lvlJc w:val="left"/>
      <w:lvlText w:val="(%1)"/>
      <w:numFmt w:val="decimal"/>
      <w:start w:val="1"/>
    </w:lvl>
  </w:abstractNum>
  <w:abstractNum w:abstractNumId="71">
    <w:nsid w:val="1D9F6E5F"/>
    <w:multiLevelType w:val="hybridMultilevel"/>
    <w:lvl w:ilvl="0">
      <w:lvlJc w:val="left"/>
      <w:lvlText w:val="(%1)"/>
      <w:numFmt w:val="decimal"/>
      <w:start w:val="1"/>
    </w:lvl>
  </w:abstractNum>
  <w:abstractNum w:abstractNumId="72">
    <w:nsid w:val="97E1B4E"/>
    <w:multiLevelType w:val="hybridMultilevel"/>
    <w:lvl w:ilvl="0">
      <w:lvlJc w:val="left"/>
      <w:lvlText w:val="(%1)"/>
      <w:numFmt w:val="decimal"/>
      <w:start w:val="1"/>
    </w:lvl>
  </w:abstractNum>
  <w:abstractNum w:abstractNumId="73">
    <w:nsid w:val="51088277"/>
    <w:multiLevelType w:val="hybridMultilevel"/>
    <w:lvl w:ilvl="0">
      <w:lvlJc w:val="left"/>
      <w:lvlText w:val="(%1)"/>
      <w:numFmt w:val="decimal"/>
      <w:start w:val="1"/>
    </w:lvl>
  </w:abstractNum>
  <w:abstractNum w:abstractNumId="74">
    <w:nsid w:val="1CA0C5FA"/>
    <w:multiLevelType w:val="hybridMultilevel"/>
    <w:lvl w:ilvl="0">
      <w:lvlJc w:val="left"/>
      <w:lvlText w:val="(%1)"/>
      <w:numFmt w:val="decimal"/>
      <w:start w:val="1"/>
    </w:lvl>
  </w:abstractNum>
  <w:abstractNum w:abstractNumId="75">
    <w:nsid w:val="53584BCB"/>
    <w:multiLevelType w:val="hybridMultilevel"/>
    <w:lvl w:ilvl="0">
      <w:lvlJc w:val="left"/>
      <w:lvlText w:val="(%1)"/>
      <w:numFmt w:val="decimal"/>
      <w:start w:val="6"/>
    </w:lvl>
  </w:abstractNum>
  <w:abstractNum w:abstractNumId="76">
    <w:nsid w:val="415E286C"/>
    <w:multiLevelType w:val="hybridMultilevel"/>
    <w:lvl w:ilvl="0">
      <w:lvlJc w:val="left"/>
      <w:lvlText w:val="(%1)"/>
      <w:numFmt w:val="decimal"/>
      <w:start w:val="1"/>
    </w:lvl>
  </w:abstractNum>
  <w:abstractNum w:abstractNumId="77">
    <w:nsid w:val="7C58FD05"/>
    <w:multiLevelType w:val="hybridMultilevel"/>
    <w:lvl w:ilvl="0">
      <w:lvlJc w:val="left"/>
      <w:lvlText w:val="(%1)"/>
      <w:numFmt w:val="decimal"/>
      <w:start w:val="2"/>
    </w:lvl>
  </w:abstractNum>
  <w:abstractNum w:abstractNumId="78">
    <w:nsid w:val="23D86AAC"/>
    <w:multiLevelType w:val="hybridMultilevel"/>
    <w:lvl w:ilvl="0">
      <w:lvlJc w:val="left"/>
      <w:lvlText w:val="(%1)"/>
      <w:numFmt w:val="decimal"/>
      <w:start w:val="1"/>
    </w:lvl>
  </w:abstractNum>
  <w:abstractNum w:abstractNumId="79">
    <w:nsid w:val="45E6D486"/>
    <w:multiLevelType w:val="hybridMultilevel"/>
    <w:lvl w:ilvl="0">
      <w:lvlJc w:val="left"/>
      <w:lvlText w:val="(%1)"/>
      <w:numFmt w:val="decimal"/>
      <w:start w:val="1"/>
    </w:lvl>
  </w:abstractNum>
  <w:abstractNum w:abstractNumId="80">
    <w:nsid w:val="5C10FE21"/>
    <w:multiLevelType w:val="hybridMultilevel"/>
    <w:lvl w:ilvl="0">
      <w:lvlJc w:val="left"/>
      <w:lvlText w:val="(%1)"/>
      <w:numFmt w:val="decimal"/>
      <w:start w:val="1"/>
    </w:lvl>
  </w:abstractNum>
  <w:abstractNum w:abstractNumId="81">
    <w:nsid w:val="E7FFA2B"/>
    <w:multiLevelType w:val="hybridMultilevel"/>
    <w:lvl w:ilvl="0">
      <w:lvlJc w:val="left"/>
      <w:lvlText w:val="(%1)"/>
      <w:numFmt w:val="decimal"/>
      <w:start w:val="1"/>
    </w:lvl>
  </w:abstractNum>
  <w:abstractNum w:abstractNumId="82">
    <w:nsid w:val="3C5991AA"/>
    <w:multiLevelType w:val="hybridMultilevel"/>
    <w:lvl w:ilvl="0">
      <w:lvlJc w:val="left"/>
      <w:lvlText w:val="(%1)"/>
      <w:numFmt w:val="decimal"/>
      <w:start w:val="6"/>
    </w:lvl>
  </w:abstractNum>
  <w:abstractNum w:abstractNumId="83">
    <w:nsid w:val="4BD8591A"/>
    <w:multiLevelType w:val="hybridMultilevel"/>
    <w:lvl w:ilvl="0">
      <w:lvlJc w:val="left"/>
      <w:lvlText w:val="(%1)"/>
      <w:numFmt w:val="decimal"/>
      <w:start w:val="1"/>
    </w:lvl>
  </w:abstractNum>
  <w:abstractNum w:abstractNumId="84">
    <w:nsid w:val="78DF6A55"/>
    <w:multiLevelType w:val="hybridMultilevel"/>
    <w:lvl w:ilvl="0">
      <w:lvlJc w:val="left"/>
      <w:lvlText w:val="(%1)"/>
      <w:numFmt w:val="decimal"/>
      <w:start w:val="2"/>
    </w:lvl>
  </w:abstractNum>
  <w:abstractNum w:abstractNumId="85">
    <w:nsid w:val="39B7AAA2"/>
    <w:multiLevelType w:val="hybridMultilevel"/>
    <w:lvl w:ilvl="0">
      <w:lvlJc w:val="left"/>
      <w:lvlText w:val="(%1)"/>
      <w:numFmt w:val="decimal"/>
      <w:start w:val="1"/>
    </w:lvl>
  </w:abstractNum>
  <w:abstractNum w:abstractNumId="86">
    <w:nsid w:val="2B0D8DBE"/>
    <w:multiLevelType w:val="hybridMultilevel"/>
    <w:lvl w:ilvl="0">
      <w:lvlJc w:val="left"/>
      <w:lvlText w:val="(%1)"/>
      <w:numFmt w:val="decimal"/>
      <w:start w:val="3"/>
    </w:lvl>
  </w:abstractNum>
  <w:abstractNum w:abstractNumId="87">
    <w:nsid w:val="6C80EC70"/>
    <w:multiLevelType w:val="hybridMultilevel"/>
    <w:lvl w:ilvl="0">
      <w:lvlJc w:val="left"/>
      <w:lvlText w:val="(%1)"/>
      <w:numFmt w:val="decimal"/>
      <w:start w:val="1"/>
    </w:lvl>
  </w:abstractNum>
  <w:abstractNum w:abstractNumId="88">
    <w:nsid w:val="379E21B5"/>
    <w:multiLevelType w:val="hybridMultilevel"/>
    <w:lvl w:ilvl="0">
      <w:lvlJc w:val="left"/>
      <w:lvlText w:val="(%1)"/>
      <w:numFmt w:val="decimal"/>
      <w:start w:val="2"/>
    </w:lvl>
  </w:abstractNum>
  <w:abstractNum w:abstractNumId="89">
    <w:nsid w:val="69E373"/>
    <w:multiLevelType w:val="hybridMultilevel"/>
    <w:lvl w:ilvl="0">
      <w:lvlJc w:val="left"/>
      <w:lvlText w:val="(%1)"/>
      <w:numFmt w:val="decimal"/>
      <w:start w:val="1"/>
    </w:lvl>
  </w:abstractNum>
  <w:abstractNum w:abstractNumId="90">
    <w:nsid w:val="2C27173B"/>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91">
    <w:nsid w:val="4C9B0904"/>
    <w:multiLevelType w:val="hybridMultilevel"/>
    <w:lvl w:ilvl="0">
      <w:lvlJc w:val="left"/>
      <w:lvlText w:val="%1"/>
      <w:numFmt w:val="upperLetter"/>
      <w:start w:val="1"/>
    </w:lvl>
    <w:lvl w:ilvl="1">
      <w:lvlJc w:val="left"/>
      <w:lvlText w:val="(%2)"/>
      <w:numFmt w:val="lowerRoman"/>
      <w:start w:val="2"/>
    </w:lvl>
  </w:abstractNum>
  <w:abstractNum w:abstractNumId="92">
    <w:nsid w:val="6AA7B75C"/>
    <w:multiLevelType w:val="hybridMultilevel"/>
    <w:lvl w:ilvl="0">
      <w:lvlJc w:val="left"/>
      <w:lvlText w:val="(%1)"/>
      <w:numFmt w:val="upperLetter"/>
      <w:start w:val="2"/>
    </w:lvl>
    <w:lvl w:ilvl="1">
      <w:lvlJc w:val="left"/>
      <w:lvlText w:val="(%2)"/>
      <w:numFmt w:val="lowerRoman"/>
      <w:start w:val="1"/>
    </w:lvl>
  </w:abstractNum>
  <w:abstractNum w:abstractNumId="93">
    <w:nsid w:val="1DF029D3"/>
    <w:multiLevelType w:val="hybridMultilevel"/>
    <w:lvl w:ilvl="0">
      <w:lvlJc w:val="left"/>
      <w:lvlText w:val="(%1)"/>
      <w:numFmt w:val="decimal"/>
      <w:start w:val="2"/>
    </w:lvl>
  </w:abstractNum>
  <w:abstractNum w:abstractNumId="94">
    <w:nsid w:val="5675FF36"/>
    <w:multiLevelType w:val="hybridMultilevel"/>
    <w:lvl w:ilvl="0">
      <w:lvlJc w:val="left"/>
      <w:lvlText w:val="(%1)"/>
      <w:numFmt w:val="decimal"/>
      <w:start w:val="4"/>
    </w:lvl>
  </w:abstractNum>
  <w:abstractNum w:abstractNumId="95">
    <w:nsid w:val="3DD15094"/>
    <w:multiLevelType w:val="hybridMultilevel"/>
    <w:lvl w:ilvl="0">
      <w:lvlJc w:val="left"/>
      <w:lvlText w:val="(%1)"/>
      <w:numFmt w:val="decimal"/>
      <w:start w:val="1"/>
    </w:lvl>
  </w:abstractNum>
  <w:abstractNum w:abstractNumId="96">
    <w:nsid w:val="3DB012B3"/>
    <w:multiLevelType w:val="hybridMultilevel"/>
    <w:lvl w:ilvl="0">
      <w:lvlJc w:val="left"/>
      <w:lvlText w:val="(%1)"/>
      <w:numFmt w:val="decimal"/>
      <w:start w:val="4"/>
    </w:lvl>
  </w:abstractNum>
  <w:abstractNum w:abstractNumId="97">
    <w:nsid w:val="2708C9AF"/>
    <w:multiLevelType w:val="hybridMultilevel"/>
    <w:lvl w:ilvl="0">
      <w:lvlJc w:val="left"/>
      <w:lvlText w:val="(%1)"/>
      <w:numFmt w:val="upperLetter"/>
      <w:start w:val="1"/>
    </w:lvl>
  </w:abstractNum>
  <w:abstractNum w:abstractNumId="98">
    <w:nsid w:val="5B25ACE2"/>
    <w:multiLevelType w:val="hybridMultilevel"/>
    <w:lvl w:ilvl="0">
      <w:lvlJc w:val="left"/>
      <w:lvlText w:val="(%1)"/>
      <w:numFmt w:val="decimal"/>
      <w:start w:val="1"/>
    </w:lvl>
  </w:abstractNum>
  <w:abstractNum w:abstractNumId="99">
    <w:nsid w:val="175DFCF0"/>
    <w:multiLevelType w:val="hybridMultilevel"/>
    <w:lvl w:ilvl="0">
      <w:lvlJc w:val="left"/>
      <w:lvlText w:val="(%1)"/>
      <w:numFmt w:val="decimal"/>
      <w:start w:val="1"/>
    </w:lvl>
  </w:abstractNum>
  <w:abstractNum w:abstractNumId="100">
    <w:nsid w:val="4F97E3E4"/>
    <w:multiLevelType w:val="hybridMultilevel"/>
    <w:lvl w:ilvl="0">
      <w:lvlJc w:val="left"/>
      <w:lvlText w:val="(%1)"/>
      <w:numFmt w:val="decimal"/>
      <w:start w:val="1"/>
    </w:lvl>
  </w:abstractNum>
  <w:abstractNum w:abstractNumId="101">
    <w:nsid w:val="53B0A9E"/>
    <w:multiLevelType w:val="hybridMultilevel"/>
    <w:lvl w:ilvl="0">
      <w:lvlJc w:val="left"/>
      <w:lvlText w:val="(%1)"/>
      <w:numFmt w:val="decimal"/>
      <w:start w:val="1"/>
    </w:lvl>
  </w:abstractNum>
  <w:abstractNum w:abstractNumId="102">
    <w:nsid w:val="34FD6B4F"/>
    <w:multiLevelType w:val="hybridMultilevel"/>
    <w:lvl w:ilvl="0">
      <w:lvlJc w:val="left"/>
      <w:lvlText w:val="(%1)"/>
      <w:numFmt w:val="decimal"/>
      <w:start w:val="7"/>
    </w:lvl>
  </w:abstractNum>
  <w:abstractNum w:abstractNumId="103">
    <w:nsid w:val="5915FF32"/>
    <w:multiLevelType w:val="hybridMultilevel"/>
    <w:lvl w:ilvl="0">
      <w:lvlJc w:val="left"/>
      <w:lvlText w:val="(%1)"/>
      <w:numFmt w:val="decimal"/>
      <w:start w:val="15"/>
    </w:lvl>
  </w:abstractNum>
  <w:abstractNum w:abstractNumId="104">
    <w:nsid w:val="56438D15"/>
    <w:multiLevelType w:val="hybridMultilevel"/>
    <w:lvl w:ilvl="0">
      <w:lvlJc w:val="left"/>
      <w:lvlText w:val="(%1)"/>
      <w:numFmt w:val="decimal"/>
      <w:start w:val="25"/>
    </w:lvl>
  </w:abstractNum>
  <w:abstractNum w:abstractNumId="105">
    <w:nsid w:val="519E3149"/>
    <w:multiLevelType w:val="hybridMultilevel"/>
    <w:lvl w:ilvl="0">
      <w:lvlJc w:val="left"/>
      <w:lvlText w:val="(%1)"/>
      <w:numFmt w:val="decimal"/>
      <w:start w:val="1"/>
    </w:lvl>
  </w:abstractNum>
  <w:abstractNum w:abstractNumId="106">
    <w:nsid w:val="2C6E4AFD"/>
    <w:multiLevelType w:val="hybridMultilevel"/>
    <w:lvl w:ilvl="0">
      <w:lvlJc w:val="left"/>
      <w:lvlText w:val="(%1)"/>
      <w:numFmt w:val="decimal"/>
      <w:start w:val="1"/>
    </w:lvl>
  </w:abstractNum>
  <w:abstractNum w:abstractNumId="107">
    <w:nsid w:val="17A1B582"/>
    <w:multiLevelType w:val="hybridMultilevel"/>
    <w:lvl w:ilvl="0">
      <w:lvlJc w:val="left"/>
      <w:lvlText w:val="(%1)"/>
      <w:numFmt w:val="decimal"/>
      <w:start w:val="3"/>
    </w:lvl>
  </w:abstractNum>
  <w:abstractNum w:abstractNumId="108">
    <w:nsid w:val="4DF72E4E"/>
    <w:multiLevelType w:val="hybridMultilevel"/>
    <w:lvl w:ilvl="0">
      <w:lvlJc w:val="left"/>
      <w:lvlText w:val="(%1)"/>
      <w:numFmt w:val="decimal"/>
      <w:start w:val="1"/>
    </w:lvl>
  </w:abstractNum>
  <w:abstractNum w:abstractNumId="109">
    <w:nsid w:val="5046B5A9"/>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110">
    <w:nsid w:val="5D888A08"/>
    <w:multiLevelType w:val="hybridMultilevel"/>
    <w:lvl w:ilvl="0">
      <w:lvlJc w:val="left"/>
      <w:lvlText w:val="(%1)"/>
      <w:numFmt w:val="decimal"/>
      <w:start w:val="3"/>
    </w:lvl>
  </w:abstractNum>
  <w:abstractNum w:abstractNumId="111">
    <w:nsid w:val="2A082C70"/>
    <w:multiLevelType w:val="hybridMultilevel"/>
    <w:lvl w:ilvl="0">
      <w:lvlJc w:val="left"/>
      <w:lvlText w:val="(%1)"/>
      <w:numFmt w:val="decimal"/>
      <w:start w:val="1"/>
    </w:lvl>
  </w:abstractNum>
  <w:abstractNum w:abstractNumId="112">
    <w:nsid w:val="5EC6AFD4"/>
    <w:multiLevelType w:val="hybridMultilevel"/>
    <w:lvl w:ilvl="0">
      <w:lvlJc w:val="left"/>
      <w:lvlText w:val="(%1)"/>
      <w:numFmt w:val="decimal"/>
      <w:start w:val="5"/>
    </w:lvl>
  </w:abstractNum>
  <w:abstractNum w:abstractNumId="113">
    <w:nsid w:val="19E21BB2"/>
    <w:multiLevelType w:val="hybridMultilevel"/>
    <w:lvl w:ilvl="0">
      <w:lvlJc w:val="left"/>
      <w:lvlText w:val="(%1)"/>
      <w:numFmt w:val="lowerLetter"/>
      <w:start w:val="1"/>
    </w:lvl>
  </w:abstractNum>
  <w:abstractNum w:abstractNumId="114">
    <w:nsid w:val="75E0858A"/>
    <w:multiLevelType w:val="hybridMultilevel"/>
    <w:lvl w:ilvl="0">
      <w:lvlJc w:val="left"/>
      <w:lvlText w:val="(%1)"/>
      <w:numFmt w:val="lowerLetter"/>
      <w:start w:val="2"/>
    </w:lvl>
  </w:abstractNum>
  <w:abstractNum w:abstractNumId="115">
    <w:nsid w:val="57A61A29"/>
    <w:multiLevelType w:val="hybridMultilevel"/>
    <w:lvl w:ilvl="0">
      <w:lvlJc w:val="left"/>
      <w:lvlText w:val="(%1)"/>
      <w:numFmt w:val="lowerLetter"/>
      <w:start w:val="3"/>
    </w:lvl>
    <w:lvl w:ilvl="1">
      <w:lvlJc w:val="left"/>
      <w:lvlText w:val="(%2)"/>
      <w:numFmt w:val="decimal"/>
      <w:start w:val="1"/>
    </w:lvl>
    <w:lvl w:ilvl="2">
      <w:lvlJc w:val="left"/>
      <w:lvlText w:val="(%3)"/>
      <w:numFmt w:val="upperLetter"/>
      <w:start w:val="1"/>
    </w:lvl>
  </w:abstractNum>
  <w:abstractNum w:abstractNumId="116">
    <w:nsid w:val="5399C654"/>
    <w:multiLevelType w:val="hybridMultilevel"/>
    <w:lvl w:ilvl="0">
      <w:lvlJc w:val="left"/>
      <w:lvlText w:val="(%1)"/>
      <w:numFmt w:val="decimal"/>
      <w:start w:val="1"/>
    </w:lvl>
  </w:abstractNum>
  <w:abstractNum w:abstractNumId="117">
    <w:nsid w:val="20EE1348"/>
    <w:multiLevelType w:val="hybridMultilevel"/>
    <w:lvl w:ilvl="0">
      <w:lvlJc w:val="left"/>
      <w:lvlText w:val="(%1)"/>
      <w:numFmt w:val="decimal"/>
      <w:start w:val="1"/>
    </w:lvl>
  </w:abstractNum>
  <w:abstractNum w:abstractNumId="118">
    <w:nsid w:val="4427069A"/>
    <w:multiLevelType w:val="hybridMultilevel"/>
    <w:lvl w:ilvl="0">
      <w:lvlJc w:val="left"/>
      <w:lvlText w:val="(%1)"/>
      <w:numFmt w:val="decimal"/>
      <w:start w:val="1"/>
    </w:lvl>
  </w:abstractNum>
  <w:abstractNum w:abstractNumId="119">
    <w:nsid w:val="B37E80A"/>
    <w:multiLevelType w:val="hybridMultilevel"/>
    <w:lvl w:ilvl="0">
      <w:lvlJc w:val="left"/>
      <w:lvlText w:val="(%1)"/>
      <w:numFmt w:val="decimal"/>
      <w:start w:val="1"/>
    </w:lvl>
  </w:abstractNum>
  <w:abstractNum w:abstractNumId="120">
    <w:nsid w:val="2157F6BC"/>
    <w:multiLevelType w:val="hybridMultilevel"/>
    <w:lvl w:ilvl="0">
      <w:lvlJc w:val="left"/>
      <w:lvlText w:val="(%1)"/>
      <w:numFmt w:val="decimal"/>
      <w:start w:val="1"/>
    </w:lvl>
  </w:abstractNum>
  <w:abstractNum w:abstractNumId="121">
    <w:nsid w:val="704E1DD5"/>
    <w:multiLevelType w:val="hybridMultilevel"/>
    <w:lvl w:ilvl="0">
      <w:lvlJc w:val="left"/>
      <w:lvlText w:val="(%1)"/>
      <w:numFmt w:val="decimal"/>
      <w:start w:val="1"/>
    </w:lvl>
  </w:abstractNum>
  <w:abstractNum w:abstractNumId="122">
    <w:nsid w:val="57D2F10E"/>
    <w:multiLevelType w:val="hybridMultilevel"/>
    <w:lvl w:ilvl="0">
      <w:lvlJc w:val="left"/>
      <w:lvlText w:val="(%1)"/>
      <w:numFmt w:val="decimal"/>
      <w:start w:val="1"/>
    </w:lvl>
  </w:abstractNum>
  <w:abstractNum w:abstractNumId="123">
    <w:nsid w:val="BFFAE18"/>
    <w:multiLevelType w:val="hybridMultilevel"/>
    <w:lvl w:ilvl="0">
      <w:lvlJc w:val="left"/>
      <w:lvlText w:val="(%1)"/>
      <w:numFmt w:val="decimal"/>
      <w:start w:val="1"/>
    </w:lvl>
  </w:abstractNum>
  <w:abstractNum w:abstractNumId="124">
    <w:nsid w:val="E3E47A8"/>
    <w:multiLevelType w:val="hybridMultilevel"/>
    <w:lvl w:ilvl="0">
      <w:lvlJc w:val="left"/>
      <w:lvlText w:val="(%1)"/>
      <w:numFmt w:val="decimal"/>
      <w:start w:val="1"/>
    </w:lvl>
  </w:abstractNum>
  <w:abstractNum w:abstractNumId="125">
    <w:nsid w:val="2E48F044"/>
    <w:multiLevelType w:val="hybridMultilevel"/>
    <w:lvl w:ilvl="0">
      <w:lvlJc w:val="left"/>
      <w:lvlText w:val="(%1)"/>
      <w:numFmt w:val="decimal"/>
      <w:start w:val="2"/>
    </w:lvl>
  </w:abstractNum>
  <w:abstractNum w:abstractNumId="126">
    <w:nsid w:val="49D0FEAC"/>
    <w:multiLevelType w:val="hybridMultilevel"/>
    <w:lvl w:ilvl="0">
      <w:lvlJc w:val="left"/>
      <w:lvlText w:val="(%1)"/>
      <w:numFmt w:val="decimal"/>
      <w:start w:val="1"/>
    </w:lvl>
  </w:abstractNum>
  <w:abstractNum w:abstractNumId="127">
    <w:nsid w:val="4BEE5A5B"/>
    <w:multiLevelType w:val="hybridMultilevel"/>
    <w:lvl w:ilvl="0">
      <w:lvlJc w:val="left"/>
      <w:lvlText w:val="(%1)"/>
      <w:numFmt w:val="decimal"/>
      <w:start w:val="4"/>
    </w:lvl>
  </w:abstractNum>
  <w:abstractNum w:abstractNumId="128">
    <w:nsid w:val="5551B9F3"/>
    <w:multiLevelType w:val="hybridMultilevel"/>
    <w:lvl w:ilvl="0">
      <w:lvlJc w:val="left"/>
      <w:lvlText w:val="(%1)"/>
      <w:numFmt w:val="decimal"/>
      <w:start w:val="1"/>
    </w:lvl>
  </w:abstractNum>
  <w:abstractNum w:abstractNumId="129">
    <w:nsid w:val="24F6AB8E"/>
    <w:multiLevelType w:val="hybridMultilevel"/>
    <w:lvl w:ilvl="0">
      <w:lvlJc w:val="left"/>
      <w:lvlText w:val="(%1)"/>
      <w:numFmt w:val="decimal"/>
      <w:start w:val="5"/>
    </w:lvl>
  </w:abstractNum>
  <w:abstractNum w:abstractNumId="130">
    <w:nsid w:val="634C574C"/>
    <w:multiLevelType w:val="hybridMultilevel"/>
    <w:lvl w:ilvl="0">
      <w:lvlJc w:val="left"/>
      <w:lvlText w:val="(%1)"/>
      <w:numFmt w:val="decimal"/>
      <w:start w:val="1"/>
    </w:lvl>
  </w:abstractNum>
  <w:abstractNum w:abstractNumId="131">
    <w:nsid w:val="24E99DD7"/>
    <w:multiLevelType w:val="hybridMultilevel"/>
    <w:lvl w:ilvl="0">
      <w:lvlJc w:val="left"/>
      <w:lvlText w:val="(%1)"/>
      <w:numFmt w:val="decimal"/>
      <w:start w:val="1"/>
    </w:lvl>
  </w:abstractNum>
  <w:abstractNum w:abstractNumId="132">
    <w:nsid w:val="2A31B62D"/>
    <w:multiLevelType w:val="hybridMultilevel"/>
    <w:lvl w:ilvl="0">
      <w:lvlJc w:val="left"/>
      <w:lvlText w:val="(%1)"/>
      <w:numFmt w:val="decimal"/>
      <w:start w:val="1"/>
    </w:lvl>
  </w:abstractNum>
  <w:abstractNum w:abstractNumId="133">
    <w:nsid w:val="1849C29B"/>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134">
    <w:nsid w:val="7DFF9D09"/>
    <w:multiLevelType w:val="hybridMultilevel"/>
    <w:lvl w:ilvl="0">
      <w:lvlJc w:val="left"/>
      <w:lvlText w:val="%1"/>
      <w:numFmt w:val="upperLetter"/>
      <w:start w:val="1"/>
    </w:lvl>
    <w:lvl w:ilvl="1">
      <w:lvlJc w:val="left"/>
      <w:lvlText w:val="(%2)"/>
      <w:numFmt w:val="lowerRoman"/>
      <w:start w:val="3"/>
    </w:lvl>
  </w:abstractNum>
  <w:abstractNum w:abstractNumId="135">
    <w:nsid w:val="754342"/>
    <w:multiLevelType w:val="hybridMultilevel"/>
    <w:lvl w:ilvl="0">
      <w:lvlJc w:val="left"/>
      <w:lvlText w:val="(%1)"/>
      <w:numFmt w:val="upperLetter"/>
      <w:start w:val="2"/>
    </w:lvl>
    <w:lvl w:ilvl="1">
      <w:lvlJc w:val="left"/>
      <w:lvlText w:val="(%2)"/>
      <w:numFmt w:val="lowerRoman"/>
      <w:start w:val="1"/>
    </w:lvl>
  </w:abstractNum>
  <w:abstractNum w:abstractNumId="136">
    <w:nsid w:val="69E7F3E5"/>
    <w:multiLevelType w:val="hybridMultilevel"/>
    <w:lvl w:ilvl="0">
      <w:lvlJc w:val="left"/>
      <w:lvlText w:val="(%1)"/>
      <w:numFmt w:val="decimal"/>
      <w:start w:val="2"/>
    </w:lvl>
    <w:lvl w:ilvl="1">
      <w:lvlJc w:val="left"/>
      <w:lvlText w:val="(%2)"/>
      <w:numFmt w:val="upperLetter"/>
      <w:start w:val="1"/>
    </w:lvl>
  </w:abstractNum>
  <w:abstractNum w:abstractNumId="137">
    <w:nsid w:val="2A6DE806"/>
    <w:multiLevelType w:val="hybridMultilevel"/>
    <w:lvl w:ilvl="0">
      <w:lvlJc w:val="left"/>
      <w:lvlText w:val="(%1)"/>
      <w:numFmt w:val="decimal"/>
      <w:start w:val="4"/>
    </w:lvl>
    <w:lvl w:ilvl="1">
      <w:lvlJc w:val="left"/>
      <w:lvlText w:val="(%2)"/>
      <w:numFmt w:val="upperLetter"/>
      <w:start w:val="1"/>
    </w:lvl>
  </w:abstractNum>
  <w:abstractNum w:abstractNumId="138">
    <w:nsid w:val="1816F8C4"/>
    <w:multiLevelType w:val="hybridMultilevel"/>
    <w:lvl w:ilvl="0">
      <w:lvlJc w:val="left"/>
      <w:lvlText w:val="(%1)"/>
      <w:numFmt w:val="decimal"/>
      <w:start w:val="10"/>
    </w:lvl>
  </w:abstractNum>
  <w:abstractNum w:abstractNumId="139">
    <w:nsid w:val="37DF2233"/>
    <w:multiLevelType w:val="hybridMultilevel"/>
    <w:lvl w:ilvl="0">
      <w:lvlJc w:val="left"/>
      <w:lvlText w:val="(%1)"/>
      <w:numFmt w:val="lowerRoman"/>
      <w:start w:val="1"/>
    </w:lvl>
  </w:abstractNum>
  <w:abstractNum w:abstractNumId="140">
    <w:nsid w:val="7AB49DAF"/>
    <w:multiLevelType w:val="hybridMultilevel"/>
    <w:lvl w:ilvl="0">
      <w:lvlJc w:val="left"/>
      <w:lvlText w:val="(%1)"/>
      <w:numFmt w:val="lowerRoman"/>
      <w:start w:val="2"/>
    </w:lvl>
  </w:abstractNum>
  <w:abstractNum w:abstractNumId="141">
    <w:nsid w:val="759F82CD"/>
    <w:multiLevelType w:val="hybridMultilevel"/>
    <w:lvl w:ilvl="0">
      <w:lvlJc w:val="left"/>
      <w:lvlText w:val="(%1)"/>
      <w:numFmt w:val="decimal"/>
      <w:start w:val="2"/>
    </w:lvl>
  </w:abstractNum>
  <w:abstractNum w:abstractNumId="142">
    <w:nsid w:val="61E74EA3"/>
    <w:multiLevelType w:val="hybridMultilevel"/>
    <w:lvl w:ilvl="0">
      <w:lvlJc w:val="left"/>
      <w:lvlText w:val="%1."/>
      <w:numFmt w:val="decimal"/>
      <w:start w:val="1"/>
    </w:lvl>
  </w:abstractNum>
  <w:abstractNum w:abstractNumId="143">
    <w:nsid w:val="597B4D84"/>
    <w:multiLevelType w:val="hybridMultilevel"/>
    <w:lvl w:ilvl="0">
      <w:lvlJc w:val="left"/>
      <w:lvlText w:val="%1."/>
      <w:numFmt w:val="decimal"/>
      <w:start w:val="2"/>
    </w:lvl>
  </w:abstractNum>
  <w:abstractNum w:abstractNumId="144">
    <w:nsid w:val="F819E7F"/>
    <w:multiLevelType w:val="hybridMultilevel"/>
    <w:lvl w:ilvl="0">
      <w:lvlJc w:val="left"/>
      <w:lvlText w:val="%1."/>
      <w:numFmt w:val="decimal"/>
      <w:start w:val="4"/>
    </w:lvl>
  </w:abstractNum>
  <w:abstractNum w:abstractNumId="145">
    <w:nsid w:val="57C7D42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2019-12-06T18:13:48Z</dcterms:created>
  <dcterms:modified xsi:type="dcterms:W3CDTF">2019-12-06T18:13:48Z</dcterms:modified>
</cp:coreProperties>
</file>