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9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999"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99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9"/>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4,750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Arial" w:cs="Arial" w:eastAsia="Arial" w:hAnsi="Arial"/>
                <w:sz w:val="18"/>
                <w:szCs w:val="18"/>
                <w:color w:val="0000FF"/>
              </w:rPr>
              <w:t>130,621</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7,812</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Arial" w:cs="Arial" w:eastAsia="Arial" w:hAnsi="Arial"/>
                <w:sz w:val="18"/>
                <w:szCs w:val="18"/>
                <w:color w:val="0000FF"/>
              </w:rPr>
              <w:t>138,433</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9"/>
              <w:spacing w:after="0"/>
              <w:rPr>
                <w:sz w:val="20"/>
                <w:szCs w:val="20"/>
                <w:color w:val="auto"/>
              </w:rPr>
            </w:pPr>
            <w:r>
              <w:rPr>
                <w:rFonts w:ascii="Arial" w:cs="Arial" w:eastAsia="Arial" w:hAnsi="Arial"/>
                <w:sz w:val="18"/>
                <w:szCs w:val="18"/>
                <w:color w:val="0000FF"/>
                <w:w w:val="88"/>
              </w:rPr>
              <w:t>08/20/2018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7"/>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4,345</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6.74</w:t>
            </w:r>
          </w:p>
        </w:tc>
        <w:tc>
          <w:tcPr>
            <w:tcW w:w="1380" w:type="dxa"/>
            <w:vAlign w:val="bottom"/>
            <w:gridSpan w:val="3"/>
          </w:tcPr>
          <w:p>
            <w:pPr>
              <w:ind w:left="440"/>
              <w:spacing w:after="0"/>
              <w:rPr>
                <w:sz w:val="20"/>
                <w:szCs w:val="20"/>
                <w:color w:val="auto"/>
              </w:rPr>
            </w:pPr>
            <w:r>
              <w:rPr>
                <w:rFonts w:ascii="Arial" w:cs="Arial" w:eastAsia="Arial" w:hAnsi="Arial"/>
                <w:sz w:val="18"/>
                <w:szCs w:val="18"/>
                <w:color w:val="0000FF"/>
              </w:rPr>
              <w:t>134,088</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9" w:lineRule="exact"/>
              <w:rPr>
                <w:sz w:val="20"/>
                <w:szCs w:val="20"/>
                <w:color w:val="auto"/>
              </w:rPr>
            </w:pPr>
            <w:r>
              <w:rPr>
                <w:rFonts w:ascii="Arial" w:cs="Arial" w:eastAsia="Arial" w:hAnsi="Arial"/>
                <w:sz w:val="14"/>
                <w:szCs w:val="14"/>
                <w:color w:val="0000FF"/>
              </w:rPr>
              <w:t>4,750</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45,917</w:t>
            </w:r>
          </w:p>
        </w:tc>
        <w:tc>
          <w:tcPr>
            <w:tcW w:w="26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7"/>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7,812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08/20/2018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9" w:lineRule="exact"/>
              <w:rPr>
                <w:sz w:val="20"/>
                <w:szCs w:val="20"/>
                <w:color w:val="auto"/>
              </w:rPr>
            </w:pPr>
            <w:r>
              <w:rPr>
                <w:rFonts w:ascii="Arial" w:cs="Arial" w:eastAsia="Arial" w:hAnsi="Arial"/>
                <w:sz w:val="14"/>
                <w:szCs w:val="14"/>
                <w:color w:val="0000FF"/>
              </w:rPr>
              <w:t>7,812</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117,188</w:t>
            </w:r>
          </w:p>
        </w:tc>
        <w:tc>
          <w:tcPr>
            <w:tcW w:w="26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76,000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11, 2018, the Reporting Person was granted 125,000 Restricted Stock Units of which 3/48th of the total number of shares underlying the Restricted Stock Units granted vested on August 20, 2018, and 3/48th of the total number of shares underlying the Restricted Stock Units granted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Linthwaite by Nicholas</w:t>
      </w:r>
      <w:r>
        <w:rPr>
          <w:sz w:val="20"/>
          <w:szCs w:val="20"/>
          <w:color w:val="auto"/>
        </w:rPr>
        <w:tab/>
      </w:r>
      <w:r>
        <w:rPr>
          <w:rFonts w:ascii="Arial" w:cs="Arial" w:eastAsia="Arial" w:hAnsi="Arial"/>
          <w:sz w:val="15"/>
          <w:szCs w:val="15"/>
          <w:color w:val="0000FF"/>
        </w:rPr>
        <w:t>08/22/2018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2019-12-23T22:04:37Z</dcterms:created>
  <dcterms:modified xsi:type="dcterms:W3CDTF">2019-12-23T22:04:37Z</dcterms:modified>
</cp:coreProperties>
</file>