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November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Standard BioTools Inc.</w:t>
      </w:r>
    </w:p>
    <w:p>
      <w:pPr>
        <w:spacing w:after="0" w:line="2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2" w:right="299" w:bottom="1440" w:gutter="0" w:footer="0" w:header="0"/>
        </w:sectPr>
      </w:pPr>
    </w:p>
    <w:p>
      <w:pPr>
        <w:spacing w:after="0" w:line="287"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68"/>
        <w:spacing w:after="0"/>
        <w:rPr>
          <w:sz w:val="20"/>
          <w:szCs w:val="20"/>
          <w:color w:val="auto"/>
        </w:rPr>
      </w:pPr>
      <w:r>
        <w:rPr>
          <w:rFonts w:ascii="Times New Roman" w:cs="Times New Roman" w:eastAsia="Times New Roman" w:hAnsi="Times New Roman"/>
          <w:sz w:val="12"/>
          <w:szCs w:val="12"/>
          <w:color w:val="auto"/>
        </w:rPr>
        <w:t>(State or other jurisdiction</w:t>
      </w:r>
    </w:p>
    <w:p>
      <w:pPr>
        <w:spacing w:after="0" w:line="6" w:lineRule="exact"/>
        <w:rPr>
          <w:sz w:val="24"/>
          <w:szCs w:val="24"/>
          <w:color w:val="auto"/>
        </w:rPr>
      </w:pPr>
    </w:p>
    <w:p>
      <w:pPr>
        <w:ind w:left="140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b w:val="1"/>
          <w:bCs w:val="1"/>
          <w:color w:val="auto"/>
        </w:rPr>
        <w:t>001-34180</w:t>
      </w:r>
    </w:p>
    <w:p>
      <w:pPr>
        <w:spacing w:after="0" w:line="2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color w:val="auto"/>
        </w:rPr>
        <w:t>(Commission</w:t>
      </w:r>
    </w:p>
    <w:p>
      <w:pPr>
        <w:spacing w:after="0" w:line="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color w:val="auto"/>
        </w:rPr>
        <w:t>File Number)</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77-0513190</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608" w:space="720"/>
            <w:col w:w="3000" w:space="720"/>
            <w:col w:w="2260"/>
          </w:cols>
          <w:pgMar w:left="292" w:top="562" w:right="299" w:bottom="1440" w:gutter="0" w:footer="0" w:header="0"/>
          <w:type w:val="continuous"/>
        </w:sectPr>
      </w:pPr>
    </w:p>
    <w:p>
      <w:pPr>
        <w:jc w:val="center"/>
        <w:ind w:right="2392"/>
        <w:spacing w:after="0"/>
        <w:rPr>
          <w:sz w:val="20"/>
          <w:szCs w:val="20"/>
          <w:color w:val="auto"/>
        </w:rPr>
      </w:pPr>
      <w:r>
        <w:rPr>
          <w:rFonts w:ascii="Times New Roman" w:cs="Times New Roman" w:eastAsia="Times New Roman" w:hAnsi="Times New Roman"/>
          <w:sz w:val="12"/>
          <w:szCs w:val="12"/>
          <w:b w:val="1"/>
          <w:bCs w:val="1"/>
          <w:color w:val="auto"/>
        </w:rPr>
        <w:t>2 Tower Place, Suite 2000</w:t>
      </w:r>
    </w:p>
    <w:p>
      <w:pPr>
        <w:spacing w:after="0" w:line="21" w:lineRule="exact"/>
        <w:rPr>
          <w:sz w:val="24"/>
          <w:szCs w:val="24"/>
          <w:color w:val="auto"/>
        </w:rPr>
      </w:pPr>
    </w:p>
    <w:p>
      <w:pPr>
        <w:jc w:val="center"/>
        <w:ind w:right="2392"/>
        <w:spacing w:after="0"/>
        <w:rPr>
          <w:sz w:val="20"/>
          <w:szCs w:val="20"/>
          <w:color w:val="auto"/>
        </w:rPr>
      </w:pPr>
      <w:r>
        <w:rPr>
          <w:rFonts w:ascii="Times New Roman" w:cs="Times New Roman" w:eastAsia="Times New Roman" w:hAnsi="Times New Roman"/>
          <w:sz w:val="12"/>
          <w:szCs w:val="12"/>
          <w:b w:val="1"/>
          <w:bCs w:val="1"/>
          <w:color w:val="auto"/>
        </w:rPr>
        <w:t>South San Francisco, California</w:t>
      </w:r>
    </w:p>
    <w:p>
      <w:pPr>
        <w:spacing w:after="0" w:line="6" w:lineRule="exact"/>
        <w:rPr>
          <w:sz w:val="24"/>
          <w:szCs w:val="24"/>
          <w:color w:val="auto"/>
        </w:rPr>
      </w:pPr>
    </w:p>
    <w:p>
      <w:pPr>
        <w:jc w:val="center"/>
        <w:ind w:right="2392"/>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12"/>
          <w:szCs w:val="12"/>
          <w:b w:val="1"/>
          <w:bCs w:val="1"/>
          <w:color w:val="auto"/>
        </w:rPr>
        <w:t>94080</w:t>
      </w:r>
    </w:p>
    <w:p>
      <w:pPr>
        <w:spacing w:after="0" w:line="21" w:lineRule="exact"/>
        <w:rPr>
          <w:sz w:val="24"/>
          <w:szCs w:val="24"/>
          <w:color w:val="auto"/>
        </w:rPr>
      </w:pPr>
    </w:p>
    <w:p>
      <w:pPr>
        <w:jc w:val="center"/>
        <w:ind w:right="312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6928" w:space="720"/>
            <w:col w:w="3660"/>
          </w:cols>
          <w:pgMar w:left="292" w:top="562" w:right="299" w:bottom="1440" w:gutter="0" w:footer="0" w:header="0"/>
          <w:type w:val="continuous"/>
        </w:sectPr>
      </w:pPr>
    </w:p>
    <w:p>
      <w:pPr>
        <w:jc w:val="center"/>
        <w:ind w:right="12"/>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(650) 266-6000</w:t>
      </w:r>
    </w:p>
    <w:p>
      <w:pPr>
        <w:sectPr>
          <w:pgSz w:w="11900" w:h="16838" w:orient="portrait"/>
          <w:cols w:equalWidth="0" w:num="1">
            <w:col w:w="11308"/>
          </w:cols>
          <w:pgMar w:left="292" w:top="562" w:right="299" w:bottom="1440" w:gutter="0" w:footer="0" w:header="0"/>
          <w:type w:val="continuous"/>
        </w:sectPr>
      </w:pPr>
    </w:p>
    <w:p>
      <w:pPr>
        <w:spacing w:after="0" w:line="16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348" w:hanging="348"/>
        <w:spacing w:after="0"/>
        <w:tabs>
          <w:tab w:leader="none" w:pos="3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348" w:hanging="348"/>
        <w:spacing w:after="0"/>
        <w:tabs>
          <w:tab w:leader="none" w:pos="3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348" w:hanging="348"/>
        <w:spacing w:after="0"/>
        <w:tabs>
          <w:tab w:leader="none" w:pos="34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600" w:hanging="8"/>
        <w:spacing w:after="0" w:line="510" w:lineRule="auto"/>
        <w:tabs>
          <w:tab w:leader="none" w:pos="35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tbl>
      <w:tblPr>
        <w:tblLayout w:type="fixed"/>
        <w:tblInd w:w="18" w:type="dxa"/>
        <w:tblCellMar>
          <w:top w:w="0" w:type="dxa"/>
          <w:left w:w="0" w:type="dxa"/>
          <w:bottom w:w="0" w:type="dxa"/>
          <w:right w:w="0" w:type="dxa"/>
        </w:tblCellMar>
      </w:tblPr>
      <w:tr>
        <w:trPr>
          <w:trHeight w:val="160"/>
        </w:trPr>
        <w:tc>
          <w:tcPr>
            <w:tcW w:w="4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69"/>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$0.001 per share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LAB</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r>
    </w:tbl>
    <w:p>
      <w:pPr>
        <w:spacing w:after="0" w:line="133"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297815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2" w:right="29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2"/>
          <w:szCs w:val="12"/>
          <w:color w:val="auto"/>
        </w:rPr>
        <w:t>On November 28, 2023, Standard BioTools Inc. (“Standard BioTools” or the “Company”) and SomaLogic, Inc., a Delaware corporation (“SomaLogic”), updated their joint investor presentation (the “Investor Presentation”), which the Company expects to use to discuss the proposed Merger (as defined below) and to provide an overview of the combined company. As previously disclosed, on October 4, 2023, the Company, SomaLogic and Martis Merger Sub, Inc., a Delaware corporation and wholly owned subsidiary of the Company (“Merger Sub”), entered into an Agreement and Plan of Merger, pursuant to which, among other matters, Merger Sub will merge with and into SomaLogic</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(the “Merger”), with SomaLogic surviving the Merger as a wholly owned subsidiary of the Company. A copy of the Investor Presentation is attached as Exhibit 99.1 to this Current Report on Form 8-K and incorporated into this Item 7.01 by reference.</w:t>
      </w:r>
    </w:p>
    <w:p>
      <w:pPr>
        <w:spacing w:after="0" w:line="12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In accordance with General Instruction B.2 on Form 8-K, the information set forth in this Item 7.01 and the Investor Presentation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52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200" w:type="dxa"/>
            <w:vAlign w:val="bottom"/>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w w:val="98"/>
              </w:rPr>
              <w:t>(d) Exhibits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61"/>
        </w:trPr>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5"/>
              </w:rPr>
              <w:t>Exhibit No.</w:t>
            </w: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0"/>
        </w:trPr>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24"/>
        </w:trPr>
        <w:tc>
          <w:tcPr>
            <w:tcW w:w="5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90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9"/>
              </w:rPr>
              <w:t>Investor Presentation of Standard BioTools Inc. and SomaLogic, Inc., dated as of November 28, 2023.</w:t>
            </w:r>
          </w:p>
        </w:tc>
      </w:tr>
      <w:tr>
        <w:trPr>
          <w:trHeight w:val="151"/>
        </w:trPr>
        <w:tc>
          <w:tcPr>
            <w:tcW w:w="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9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In connection with the Merger and required stockholder approval, Standard BioTools filed with the U.S. Securities and Exchange Commission (the “SEC”) a registration statement on Form S-4, dated November 13, 2023 (the “Form S-4”), that includes a preliminary joint proxy statement of Standard BioTools and SomaLogic that also constitutes a preliminary prospectus of Standard BioTools. Each of Standard BioTools and SomaLogic also plan to file other relevant documents with the SEC regarding the Merger. Any definitive joint proxy statement/prospectus (if and when available) will be mailed to stockholders of Standard BioTools and SomaLogic.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when they become available because they will contain important information about the Merger and the parties to the Merger. Investors and stockholders may obtain free copies of these documents (when they are available) and other documents filed with the SEC at its website at http://www.sec.gov. In addition, investors may obtain free copies of the documents filed with the SEC by Standard BioTools by going to Standard BioTools’ Investor Relations website at http://investors.standardbio.com or contacting Standard BioTools’ Investor Relations department at investors@standardbio.com or by SomaLogic by going to SomaLogic’s Investor Relations page on its corporate website at https://investors.somalogic.com or by contacting SomaLogic Investor Relations at investors@somalogic.com.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Standard BioTools, SomaLogic and each of their respective executive officers and directors may be deemed to be participants in the solicitation of proxies from Standard BioTools’ stockholders with respect to the Merger. Information about Standard BioTools’ directors and executive officers, including their ownership of Standard BioTools’ securities, is set forth in the Form S-4, which was filed with the SEC on November 13, 2023,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Information concerning SomaLogic’s directors and executive officers, including their ownership of SomaLogic securities, is set forth in the Form S-4, which was filed with the SEC on November 13, 2023, SomaLogic’s proxy statement for its 2023 Annual Meeting of Stockholders, which was filed with the SEC on April 25, 2023, Current Reports on Form 8-K, which were filed with the SEC on June 6, 2023, as amended on June 14, 2023, June 9, 2023 and October 4, 2023, and SomaLogic’s other filings with the SEC. Investors may obtain more detailed information regarding the direct and indirect interests of Standard BioTools and its respective executive officers and directors in the Merger, which may be different than those of Standard BioTools’ stockholders generally, by reading the preliminary and definitive proxy statements regarding the Merger, which have been or will be filed with the SEC. These documents are available free of charge at the SEC’s website at www.sec.gov, by going to Standard BioTools’ Investor Relations website at http://investors.standardbio.com or by contacting Standard BioTools’ Investor Relations department at investors@standardbio.com or by going to SomaLogic’s Investor Relations page on its corporate website at https://investors.somalogic.com or by contacting SomaLogic Investor Relations at investors@somalogic.com.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2"/>
          <w:szCs w:val="12"/>
          <w:color w:val="auto"/>
        </w:rPr>
        <w:t>This Current Report on Form 8-K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3" w:name="page4"/>
    <w:bookmarkEnd w:id="3"/>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left="8"/>
        <w:spacing w:after="0" w:line="276" w:lineRule="auto"/>
        <w:rPr>
          <w:sz w:val="20"/>
          <w:szCs w:val="20"/>
          <w:color w:val="auto"/>
        </w:rPr>
      </w:pPr>
      <w:r>
        <w:rPr>
          <w:rFonts w:ascii="Times New Roman" w:cs="Times New Roman" w:eastAsia="Times New Roman" w:hAnsi="Times New Roman"/>
          <w:sz w:val="11"/>
          <w:szCs w:val="11"/>
          <w:color w:val="auto"/>
        </w:rPr>
        <w:t>This Current Report on Form 8-K contains “forward-looking statements” within the meaning of the Private Securities Litigation Reform Act of 1995. Such statements are based upon current plans, estimates and expectations of the management of Standard BioTools and SomaLogic that are subject to various risks and uncertainties that could cause actual results to differ materially from such statements, many of which are beyond the control of Standard BioTools and SomaLogic.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w:t>
      </w:r>
    </w:p>
    <w:p>
      <w:pPr>
        <w:spacing w:after="0" w:line="131" w:lineRule="exact"/>
        <w:rPr>
          <w:sz w:val="20"/>
          <w:szCs w:val="20"/>
          <w:color w:val="auto"/>
        </w:rPr>
      </w:pPr>
    </w:p>
    <w:p>
      <w:pPr>
        <w:ind w:left="8" w:right="40" w:hanging="8"/>
        <w:spacing w:after="0" w:line="251" w:lineRule="auto"/>
        <w:tabs>
          <w:tab w:leader="none" w:pos="23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 on November 7, 2023, on its most recent annual report on Form 10-K filed with the SEC on March 14, 2023 and in Standard BioTools’ other filings with the SEC, as well as the “Risk Factors” section of SomaLogic’s most recent quarterly report on Form 10-Q filed with the SEC on November 8, 2023, on its most recent annual report on Form 10-K filed with the SEC on March 28, 2023 and in SomaLogic’s other filings with the SEC. The risks and uncertainties described above and in the SEC filings cited above are not exclusive and further information concerning Standard BioTools and SomaLogic and their respective businesses, including factors that potentially could materially affect their respective businesses, financial conditions or operating results, may emerge from time to time. Readers are urged to consider these factors carefully in evaluating these forward-looking statements, and not to place undue reliance on any forward-looking statements. Any such forward-looking statements represent management’s reasonable estimates and beliefs as of the date of this Current Report on Form 8-K. While Standard BioTools and SomaLogic may elect to update such forward-looking statements at some point in the future, they disclaim any obligation to do so, other than as may be required by law, even if subsequent events cause their views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47" w:right="3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4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28, 2023</w:t>
            </w:r>
          </w:p>
        </w:tc>
        <w:tc>
          <w:tcPr>
            <w:tcW w:w="7860" w:type="dxa"/>
            <w:vAlign w:val="bottom"/>
            <w:gridSpan w:val="2"/>
          </w:tcPr>
          <w:p>
            <w:pPr>
              <w:ind w:left="2220"/>
              <w:spacing w:after="0"/>
              <w:rPr>
                <w:sz w:val="20"/>
                <w:szCs w:val="20"/>
                <w:color w:val="auto"/>
              </w:rPr>
            </w:pPr>
            <w:r>
              <w:rPr>
                <w:rFonts w:ascii="Times New Roman" w:cs="Times New Roman" w:eastAsia="Times New Roman" w:hAnsi="Times New Roman"/>
                <w:sz w:val="12"/>
                <w:szCs w:val="12"/>
                <w:b w:val="1"/>
                <w:bCs w:val="1"/>
                <w:color w:val="auto"/>
              </w:rPr>
              <w:t>STANDARD BIOTOOLS INC.</w:t>
            </w:r>
          </w:p>
        </w:tc>
      </w:tr>
      <w:tr>
        <w:trPr>
          <w:trHeight w:val="288"/>
        </w:trPr>
        <w:tc>
          <w:tcPr>
            <w:tcW w:w="3440" w:type="dxa"/>
            <w:vAlign w:val="bottom"/>
          </w:tcPr>
          <w:p>
            <w:pPr>
              <w:spacing w:after="0"/>
              <w:rPr>
                <w:sz w:val="24"/>
                <w:szCs w:val="24"/>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Jeffrey Black</w:t>
            </w:r>
          </w:p>
        </w:tc>
      </w:tr>
      <w:tr>
        <w:trPr>
          <w:trHeight w:val="122"/>
        </w:trPr>
        <w:tc>
          <w:tcPr>
            <w:tcW w:w="3440" w:type="dxa"/>
            <w:vAlign w:val="bottom"/>
          </w:tcPr>
          <w:p>
            <w:pPr>
              <w:spacing w:after="0"/>
              <w:rPr>
                <w:sz w:val="10"/>
                <w:szCs w:val="10"/>
                <w:color w:val="auto"/>
              </w:rPr>
            </w:pPr>
          </w:p>
        </w:tc>
        <w:tc>
          <w:tcPr>
            <w:tcW w:w="2780" w:type="dxa"/>
            <w:vAlign w:val="bottom"/>
          </w:tcPr>
          <w:p>
            <w:pPr>
              <w:ind w:left="222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Jeffrey Black</w:t>
            </w:r>
          </w:p>
        </w:tc>
      </w:tr>
      <w:tr>
        <w:trPr>
          <w:trHeight w:val="155"/>
        </w:trPr>
        <w:tc>
          <w:tcPr>
            <w:tcW w:w="3440" w:type="dxa"/>
            <w:vAlign w:val="bottom"/>
          </w:tcPr>
          <w:p>
            <w:pPr>
              <w:spacing w:after="0"/>
              <w:rPr>
                <w:sz w:val="13"/>
                <w:szCs w:val="13"/>
                <w:color w:val="auto"/>
              </w:rPr>
            </w:pPr>
          </w:p>
        </w:tc>
        <w:tc>
          <w:tcPr>
            <w:tcW w:w="2780" w:type="dxa"/>
            <w:vAlign w:val="bottom"/>
          </w:tcPr>
          <w:p>
            <w:pPr>
              <w:ind w:left="2220"/>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450"/>
        </w:trPr>
        <w:tc>
          <w:tcPr>
            <w:tcW w:w="34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5" w:name="page6"/>
    <w:bookmarkEnd w:id="5"/>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117475</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278" w:right="29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6132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6132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4598035</wp:posOffset>
            </wp:positionV>
            <wp:extent cx="6800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2023-11-29T05:24:39Z</dcterms:created>
  <dcterms:modified xsi:type="dcterms:W3CDTF">2023-11-29T05:24:39Z</dcterms:modified>
</cp:coreProperties>
</file>