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Arial" w:cs="Arial" w:eastAsia="Arial" w:hAnsi="Arial"/>
          <w:sz w:val="17"/>
          <w:szCs w:val="17"/>
          <w:b w:val="1"/>
          <w:bCs w:val="1"/>
          <w:color w:val="auto"/>
        </w:rPr>
        <w:t>As filed with the Securities and Exchange Commission on January 13, 2017</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67310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109220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89" w:lineRule="exact"/>
        <w:rPr>
          <w:sz w:val="24"/>
          <w:szCs w:val="24"/>
          <w:color w:val="auto"/>
        </w:rPr>
      </w:pPr>
    </w:p>
    <w:p>
      <w:pPr>
        <w:jc w:val="center"/>
        <w:ind w:right="660"/>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31"/>
          <w:szCs w:val="31"/>
          <w:b w:val="1"/>
          <w:bCs w:val="1"/>
          <w:color w:val="auto"/>
        </w:rPr>
        <w:t>SECURITIES AND EXCHANGE COMMISSION</w:t>
      </w:r>
    </w:p>
    <w:p>
      <w:pPr>
        <w:ind w:left="34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60"/>
        <w:spacing w:after="0"/>
        <w:rPr>
          <w:sz w:val="20"/>
          <w:szCs w:val="20"/>
          <w:color w:val="auto"/>
        </w:rPr>
      </w:pPr>
      <w:r>
        <w:rPr>
          <w:rFonts w:ascii="Arial" w:cs="Arial" w:eastAsia="Arial" w:hAnsi="Arial"/>
          <w:sz w:val="31"/>
          <w:szCs w:val="31"/>
          <w:b w:val="1"/>
          <w:bCs w:val="1"/>
          <w:color w:val="auto"/>
        </w:rPr>
        <w:t>FORM S-8</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31"/>
          <w:szCs w:val="31"/>
          <w:b w:val="1"/>
          <w:bCs w:val="1"/>
          <w:color w:val="auto"/>
        </w:rPr>
        <w:t>REGISTRATION STATEMENT</w:t>
      </w:r>
    </w:p>
    <w:p>
      <w:pPr>
        <w:jc w:val="center"/>
        <w:ind w:right="660"/>
        <w:spacing w:after="0" w:line="234" w:lineRule="auto"/>
        <w:rPr>
          <w:sz w:val="20"/>
          <w:szCs w:val="20"/>
          <w:color w:val="auto"/>
        </w:rPr>
      </w:pPr>
      <w:r>
        <w:rPr>
          <w:rFonts w:ascii="Arial" w:cs="Arial" w:eastAsia="Arial" w:hAnsi="Arial"/>
          <w:sz w:val="21"/>
          <w:szCs w:val="21"/>
          <w:b w:val="1"/>
          <w:bCs w:val="1"/>
          <w:i w:val="1"/>
          <w:iCs w:val="1"/>
          <w:color w:val="auto"/>
        </w:rPr>
        <w:t>UNDER</w:t>
      </w:r>
    </w:p>
    <w:p>
      <w:pPr>
        <w:jc w:val="center"/>
        <w:ind w:right="660"/>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214630</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660"/>
        <w:spacing w:after="0"/>
        <w:rPr>
          <w:sz w:val="20"/>
          <w:szCs w:val="20"/>
          <w:color w:val="auto"/>
        </w:rPr>
      </w:pPr>
      <w:r>
        <w:rPr>
          <w:rFonts w:ascii="Arial" w:cs="Arial" w:eastAsia="Arial" w:hAnsi="Arial"/>
          <w:sz w:val="42"/>
          <w:szCs w:val="42"/>
          <w:b w:val="1"/>
          <w:bCs w:val="1"/>
          <w:color w:val="auto"/>
        </w:rPr>
        <w:t>FLUIDIGM CORPORATION</w:t>
      </w:r>
    </w:p>
    <w:p>
      <w:pPr>
        <w:spacing w:after="0" w:line="45"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224155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9700"/>
          </w:cols>
          <w:pgMar w:left="1440" w:top="226" w:right="7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3" w:lineRule="exact"/>
        <w:rPr>
          <w:sz w:val="24"/>
          <w:szCs w:val="24"/>
          <w:color w:val="auto"/>
        </w:rPr>
      </w:pPr>
    </w:p>
    <w:p>
      <w:pPr>
        <w:sectPr>
          <w:pgSz w:w="11900" w:h="16838" w:orient="portrait"/>
          <w:cols w:equalWidth="0" w:num="2">
            <w:col w:w="6320" w:space="720"/>
            <w:col w:w="2660"/>
          </w:cols>
          <w:pgMar w:left="1440" w:top="226" w:right="759" w:bottom="1440" w:gutter="0" w:footer="0" w:header="0"/>
          <w:type w:val="continuous"/>
        </w:sectPr>
      </w:pPr>
    </w:p>
    <w:p>
      <w:pPr>
        <w:spacing w:after="0" w:line="12" w:lineRule="exact"/>
        <w:rPr>
          <w:sz w:val="24"/>
          <w:szCs w:val="24"/>
          <w:color w:val="auto"/>
        </w:rPr>
      </w:pPr>
    </w:p>
    <w:p>
      <w:pPr>
        <w:ind w:left="820"/>
        <w:spacing w:after="0"/>
        <w:rPr>
          <w:sz w:val="20"/>
          <w:szCs w:val="20"/>
          <w:color w:val="auto"/>
        </w:rPr>
      </w:pPr>
      <w:r>
        <w:rPr>
          <w:rFonts w:ascii="Arial" w:cs="Arial" w:eastAsia="Arial" w:hAnsi="Arial"/>
          <w:sz w:val="12"/>
          <w:szCs w:val="12"/>
          <w:b w:val="1"/>
          <w:bCs w:val="1"/>
          <w:color w:val="auto"/>
        </w:rPr>
        <w:t>(State or other jurisdiction of</w:t>
      </w:r>
    </w:p>
    <w:p>
      <w:pPr>
        <w:ind w:left="7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180" w:space="720"/>
            <w:col w:w="2800"/>
          </w:cols>
          <w:pgMar w:left="1440" w:top="226" w:right="759" w:bottom="1440" w:gutter="0" w:footer="0" w:header="0"/>
          <w:type w:val="continuous"/>
        </w:sectPr>
      </w:pPr>
    </w:p>
    <w:p>
      <w:pPr>
        <w:spacing w:after="0" w:line="5" w:lineRule="exact"/>
        <w:rPr>
          <w:sz w:val="24"/>
          <w:szCs w:val="24"/>
          <w:color w:val="auto"/>
        </w:rPr>
      </w:pPr>
    </w:p>
    <w:p>
      <w:pPr>
        <w:jc w:val="center"/>
        <w:ind w:right="680"/>
        <w:spacing w:after="0"/>
        <w:rPr>
          <w:sz w:val="20"/>
          <w:szCs w:val="20"/>
          <w:color w:val="auto"/>
        </w:rPr>
      </w:pPr>
      <w:r>
        <w:rPr>
          <w:rFonts w:ascii="Arial" w:cs="Arial" w:eastAsia="Arial" w:hAnsi="Arial"/>
          <w:sz w:val="17"/>
          <w:szCs w:val="17"/>
          <w:b w:val="1"/>
          <w:bCs w:val="1"/>
          <w:color w:val="auto"/>
        </w:rPr>
        <w:t>7000 Shoreline Court, Suite 100</w:t>
      </w:r>
    </w:p>
    <w:p>
      <w:pPr>
        <w:spacing w:after="0" w:line="32" w:lineRule="exact"/>
        <w:rPr>
          <w:sz w:val="24"/>
          <w:szCs w:val="24"/>
          <w:color w:val="auto"/>
        </w:rPr>
      </w:pPr>
    </w:p>
    <w:p>
      <w:pPr>
        <w:jc w:val="center"/>
        <w:ind w:right="680"/>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680"/>
        <w:spacing w:after="0"/>
        <w:rPr>
          <w:sz w:val="20"/>
          <w:szCs w:val="20"/>
          <w:color w:val="auto"/>
        </w:rPr>
      </w:pPr>
      <w:r>
        <w:rPr>
          <w:rFonts w:ascii="Arial" w:cs="Arial" w:eastAsia="Arial" w:hAnsi="Arial"/>
          <w:sz w:val="17"/>
          <w:szCs w:val="17"/>
          <w:b w:val="1"/>
          <w:bCs w:val="1"/>
          <w:color w:val="auto"/>
        </w:rPr>
        <w:t>(650) 266-6000</w:t>
      </w:r>
    </w:p>
    <w:p>
      <w:pPr>
        <w:spacing w:after="0" w:line="8" w:lineRule="exact"/>
        <w:rPr>
          <w:sz w:val="24"/>
          <w:szCs w:val="24"/>
          <w:color w:val="auto"/>
        </w:rPr>
      </w:pPr>
    </w:p>
    <w:p>
      <w:pPr>
        <w:ind w:left="278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224155</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9700"/>
          </w:cols>
          <w:pgMar w:left="1440" w:top="226" w:right="75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Fluidigm Corporation 2011 Equity Incentive Plan</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Fluidigm Corporation 2017 Inducement Award Plan</w:t>
      </w:r>
    </w:p>
    <w:p>
      <w:pPr>
        <w:spacing w:after="0" w:line="8"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217805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Stephen Christopher Linthwaite</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7000 Shoreline Court, Suite 100</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(650) 266-6000</w:t>
      </w:r>
    </w:p>
    <w:p>
      <w:pPr>
        <w:spacing w:after="0" w:line="8" w:lineRule="exact"/>
        <w:rPr>
          <w:sz w:val="24"/>
          <w:szCs w:val="24"/>
          <w:color w:val="auto"/>
        </w:rPr>
      </w:pPr>
    </w:p>
    <w:p>
      <w:pPr>
        <w:ind w:left="2140"/>
        <w:spacing w:after="0"/>
        <w:rPr>
          <w:sz w:val="20"/>
          <w:szCs w:val="20"/>
          <w:color w:val="auto"/>
        </w:rPr>
      </w:pPr>
      <w:r>
        <w:rPr>
          <w:rFonts w:ascii="Arial" w:cs="Arial" w:eastAsia="Arial" w:hAnsi="Arial"/>
          <w:sz w:val="12"/>
          <w:szCs w:val="12"/>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224155</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i w:val="1"/>
          <w:iCs w:val="1"/>
          <w:color w:val="auto"/>
        </w:rPr>
        <w:t>Copies to:</w:t>
      </w:r>
    </w:p>
    <w:p>
      <w:pPr>
        <w:spacing w:after="0" w:line="113"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Nicholas Khadder</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General Counsel</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7000 Shoreline Court, Suite 100</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Telephone: (650) 266-6000</w:t>
      </w:r>
    </w:p>
    <w:p>
      <w:pPr>
        <w:sectPr>
          <w:pgSz w:w="11900" w:h="16838" w:orient="portrait"/>
          <w:cols w:equalWidth="0" w:num="1">
            <w:col w:w="9700"/>
          </w:cols>
          <w:pgMar w:left="1440" w:top="226" w:right="7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Robert F. Kornegay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Wilson Sonsini Goodrich &amp; Rosati,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Professional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650 Page Mill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Palo Alto, California 94304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Telephone: (650) 493-9300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225425</wp:posOffset>
            </wp:positionV>
            <wp:extent cx="1529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48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80" w:type="dxa"/>
            <w:vAlign w:val="bottom"/>
            <w:gridSpan w:val="3"/>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7"/>
                <w:szCs w:val="17"/>
                <w:color w:val="auto"/>
              </w:rPr>
              <w:t>Accelerated filer</w:t>
            </w:r>
          </w:p>
        </w:tc>
        <w:tc>
          <w:tcPr>
            <w:tcW w:w="1100" w:type="dxa"/>
            <w:vAlign w:val="bottom"/>
          </w:tcPr>
          <w:p>
            <w:pPr>
              <w:spacing w:after="0"/>
              <w:rPr>
                <w:sz w:val="23"/>
                <w:szCs w:val="23"/>
                <w:color w:val="auto"/>
              </w:rPr>
            </w:pPr>
          </w:p>
        </w:tc>
        <w:tc>
          <w:tcPr>
            <w:tcW w:w="200" w:type="dxa"/>
            <w:vAlign w:val="bottom"/>
          </w:tcPr>
          <w:p>
            <w:pPr>
              <w:ind w:left="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14"/>
        </w:trPr>
        <w:tc>
          <w:tcPr>
            <w:tcW w:w="1760" w:type="dxa"/>
            <w:vAlign w:val="bottom"/>
          </w:tcPr>
          <w:p>
            <w:pPr>
              <w:spacing w:after="0"/>
              <w:rPr>
                <w:sz w:val="20"/>
                <w:szCs w:val="20"/>
                <w:color w:val="auto"/>
              </w:rPr>
            </w:pPr>
            <w:r>
              <w:rPr>
                <w:rFonts w:ascii="Arial" w:cs="Arial" w:eastAsia="Arial" w:hAnsi="Arial"/>
                <w:sz w:val="17"/>
                <w:szCs w:val="17"/>
                <w:color w:val="auto"/>
              </w:rPr>
              <w:t>Non-accelerated filer</w:t>
            </w:r>
          </w:p>
        </w:tc>
        <w:tc>
          <w:tcPr>
            <w:tcW w:w="3680" w:type="dxa"/>
            <w:vAlign w:val="bottom"/>
            <w:gridSpan w:val="3"/>
          </w:tcPr>
          <w:p>
            <w:pPr>
              <w:ind w:left="160"/>
              <w:spacing w:after="0" w:line="196" w:lineRule="exact"/>
              <w:rPr>
                <w:sz w:val="20"/>
                <w:szCs w:val="20"/>
                <w:color w:val="auto"/>
              </w:rPr>
            </w:pPr>
            <w:r>
              <w:rPr>
                <w:rFonts w:ascii="MS PGothic" w:cs="MS PGothic" w:eastAsia="MS PGothic" w:hAnsi="MS PGothic"/>
                <w:sz w:val="17"/>
                <w:szCs w:val="17"/>
                <w:color w:val="auto"/>
                <w:w w:val="95"/>
              </w:rPr>
              <w:t>☐</w:t>
            </w:r>
            <w:r>
              <w:rPr>
                <w:rFonts w:ascii="Arial" w:cs="Arial" w:eastAsia="Arial" w:hAnsi="Arial"/>
                <w:sz w:val="17"/>
                <w:szCs w:val="17"/>
                <w:color w:val="auto"/>
                <w:w w:val="95"/>
              </w:rPr>
              <w:t xml:space="preserve"> (Do not check if a smaller reporting company)</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7"/>
                <w:szCs w:val="17"/>
                <w:color w:val="auto"/>
              </w:rPr>
              <w:t>Smaller reporting company</w:t>
            </w:r>
          </w:p>
        </w:tc>
        <w:tc>
          <w:tcPr>
            <w:tcW w:w="200" w:type="dxa"/>
            <w:vAlign w:val="bottom"/>
          </w:tcPr>
          <w:p>
            <w:pPr>
              <w:ind w:left="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34"/>
        </w:trPr>
        <w:tc>
          <w:tcPr>
            <w:tcW w:w="1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760" w:type="dxa"/>
            <w:vAlign w:val="bottom"/>
          </w:tcPr>
          <w:p>
            <w:pPr>
              <w:spacing w:after="0"/>
              <w:rPr>
                <w:sz w:val="24"/>
                <w:szCs w:val="24"/>
                <w:color w:val="auto"/>
              </w:rPr>
            </w:pPr>
          </w:p>
        </w:tc>
        <w:tc>
          <w:tcPr>
            <w:tcW w:w="6520" w:type="dxa"/>
            <w:vAlign w:val="bottom"/>
            <w:gridSpan w:val="6"/>
          </w:tcPr>
          <w:p>
            <w:pPr>
              <w:ind w:left="2280"/>
              <w:spacing w:after="0"/>
              <w:rPr>
                <w:sz w:val="20"/>
                <w:szCs w:val="20"/>
                <w:color w:val="auto"/>
              </w:rPr>
            </w:pPr>
            <w:r>
              <w:rPr>
                <w:rFonts w:ascii="Arial" w:cs="Arial" w:eastAsia="Arial" w:hAnsi="Arial"/>
                <w:sz w:val="17"/>
                <w:szCs w:val="17"/>
                <w:b w:val="1"/>
                <w:bCs w:val="1"/>
                <w:color w:val="auto"/>
              </w:rPr>
              <w:t>CALCULATION OF REGISTRATION FEE</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76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7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right w:val="single" w:sz="8" w:color="auto"/>
            </w:tcBorders>
            <w:vMerge w:val="restart"/>
          </w:tcPr>
          <w:p>
            <w:pPr>
              <w:jc w:val="center"/>
              <w:ind w:right="221"/>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8"/>
                <w:szCs w:val="8"/>
                <w:color w:val="auto"/>
              </w:rPr>
            </w:pPr>
          </w:p>
        </w:tc>
        <w:tc>
          <w:tcPr>
            <w:tcW w:w="1360" w:type="dxa"/>
            <w:vAlign w:val="bottom"/>
            <w:tcBorders>
              <w:right w:val="single" w:sz="8" w:color="auto"/>
            </w:tcBorders>
          </w:tcPr>
          <w:p>
            <w:pPr>
              <w:jc w:val="center"/>
              <w:ind w:right="107"/>
              <w:spacing w:after="0" w:line="101" w:lineRule="exact"/>
              <w:rPr>
                <w:sz w:val="20"/>
                <w:szCs w:val="20"/>
                <w:color w:val="auto"/>
              </w:rPr>
            </w:pPr>
            <w:r>
              <w:rPr>
                <w:rFonts w:ascii="Arial" w:cs="Arial" w:eastAsia="Arial" w:hAnsi="Arial"/>
                <w:sz w:val="10"/>
                <w:szCs w:val="10"/>
                <w:b w:val="1"/>
                <w:bCs w:val="1"/>
                <w:color w:val="auto"/>
              </w:rPr>
              <w:t>Proposed</w:t>
            </w:r>
          </w:p>
        </w:tc>
        <w:tc>
          <w:tcPr>
            <w:tcW w:w="15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rPr>
              <w:t>Proposed</w:t>
            </w: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3300" w:type="dxa"/>
            <w:vAlign w:val="bottom"/>
            <w:tcBorders>
              <w:right w:val="single" w:sz="8" w:color="auto"/>
            </w:tcBorders>
            <w:gridSpan w:val="2"/>
            <w:vMerge w:val="restart"/>
          </w:tcPr>
          <w:p>
            <w:pPr>
              <w:jc w:val="center"/>
              <w:ind w:right="1780"/>
              <w:spacing w:after="0"/>
              <w:rPr>
                <w:sz w:val="20"/>
                <w:szCs w:val="20"/>
                <w:color w:val="auto"/>
              </w:rPr>
            </w:pPr>
            <w:r>
              <w:rPr>
                <w:rFonts w:ascii="Arial" w:cs="Arial" w:eastAsia="Arial" w:hAnsi="Arial"/>
                <w:sz w:val="14"/>
                <w:szCs w:val="14"/>
                <w:b w:val="1"/>
                <w:bCs w:val="1"/>
                <w:color w:val="auto"/>
                <w:w w:val="89"/>
              </w:rPr>
              <w:t>Title of Securities</w:t>
            </w:r>
          </w:p>
        </w:tc>
        <w:tc>
          <w:tcPr>
            <w:tcW w:w="380" w:type="dxa"/>
            <w:vAlign w:val="bottom"/>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Borders>
              <w:right w:val="single" w:sz="8" w:color="auto"/>
            </w:tcBorders>
          </w:tcPr>
          <w:p>
            <w:pPr>
              <w:jc w:val="center"/>
              <w:ind w:right="107"/>
              <w:spacing w:after="0" w:line="144" w:lineRule="exact"/>
              <w:rPr>
                <w:sz w:val="20"/>
                <w:szCs w:val="20"/>
                <w:color w:val="auto"/>
              </w:rPr>
            </w:pPr>
            <w:r>
              <w:rPr>
                <w:rFonts w:ascii="Arial" w:cs="Arial" w:eastAsia="Arial" w:hAnsi="Arial"/>
                <w:sz w:val="14"/>
                <w:szCs w:val="14"/>
                <w:b w:val="1"/>
                <w:bCs w:val="1"/>
                <w:color w:val="auto"/>
                <w:w w:val="95"/>
              </w:rPr>
              <w:t>Maximum</w:t>
            </w:r>
          </w:p>
        </w:tc>
        <w:tc>
          <w:tcPr>
            <w:tcW w:w="15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5"/>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3300" w:type="dxa"/>
            <w:vAlign w:val="bottom"/>
            <w:tcBorders>
              <w:right w:val="single" w:sz="8" w:color="auto"/>
            </w:tcBorders>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221"/>
              <w:spacing w:after="0" w:line="144" w:lineRule="exact"/>
              <w:rPr>
                <w:sz w:val="20"/>
                <w:szCs w:val="20"/>
                <w:color w:val="auto"/>
              </w:rPr>
            </w:pPr>
            <w:r>
              <w:rPr>
                <w:rFonts w:ascii="Arial" w:cs="Arial" w:eastAsia="Arial" w:hAnsi="Arial"/>
                <w:sz w:val="14"/>
                <w:szCs w:val="14"/>
                <w:b w:val="1"/>
                <w:bCs w:val="1"/>
                <w:color w:val="auto"/>
                <w:w w:val="83"/>
              </w:rPr>
              <w:t>to be</w:t>
            </w:r>
          </w:p>
        </w:tc>
        <w:tc>
          <w:tcPr>
            <w:tcW w:w="260" w:type="dxa"/>
            <w:vAlign w:val="bottom"/>
          </w:tcPr>
          <w:p>
            <w:pPr>
              <w:spacing w:after="0"/>
              <w:rPr>
                <w:sz w:val="12"/>
                <w:szCs w:val="12"/>
                <w:color w:val="auto"/>
              </w:rPr>
            </w:pPr>
          </w:p>
        </w:tc>
        <w:tc>
          <w:tcPr>
            <w:tcW w:w="1360" w:type="dxa"/>
            <w:vAlign w:val="bottom"/>
            <w:tcBorders>
              <w:right w:val="single" w:sz="8" w:color="auto"/>
            </w:tcBorders>
          </w:tcPr>
          <w:p>
            <w:pPr>
              <w:jc w:val="center"/>
              <w:ind w:right="107"/>
              <w:spacing w:after="0" w:line="144" w:lineRule="exact"/>
              <w:rPr>
                <w:sz w:val="20"/>
                <w:szCs w:val="20"/>
                <w:color w:val="auto"/>
              </w:rPr>
            </w:pPr>
            <w:r>
              <w:rPr>
                <w:rFonts w:ascii="Arial" w:cs="Arial" w:eastAsia="Arial" w:hAnsi="Arial"/>
                <w:sz w:val="14"/>
                <w:szCs w:val="14"/>
                <w:b w:val="1"/>
                <w:bCs w:val="1"/>
                <w:color w:val="auto"/>
                <w:w w:val="92"/>
              </w:rPr>
              <w:t>Offering Price</w:t>
            </w:r>
          </w:p>
        </w:tc>
        <w:tc>
          <w:tcPr>
            <w:tcW w:w="15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tcPr>
          <w:p>
            <w:pPr>
              <w:spacing w:after="0"/>
              <w:rPr>
                <w:sz w:val="15"/>
                <w:szCs w:val="15"/>
                <w:color w:val="auto"/>
              </w:rPr>
            </w:pPr>
          </w:p>
        </w:tc>
        <w:tc>
          <w:tcPr>
            <w:tcW w:w="3300" w:type="dxa"/>
            <w:vAlign w:val="bottom"/>
            <w:tcBorders>
              <w:bottom w:val="single" w:sz="8" w:color="auto"/>
              <w:right w:val="single" w:sz="8" w:color="auto"/>
            </w:tcBorders>
            <w:gridSpan w:val="2"/>
          </w:tcPr>
          <w:p>
            <w:pPr>
              <w:jc w:val="center"/>
              <w:ind w:right="1780"/>
              <w:spacing w:after="0"/>
              <w:rPr>
                <w:sz w:val="20"/>
                <w:szCs w:val="20"/>
                <w:color w:val="auto"/>
              </w:rPr>
            </w:pPr>
            <w:r>
              <w:rPr>
                <w:rFonts w:ascii="Arial" w:cs="Arial" w:eastAsia="Arial" w:hAnsi="Arial"/>
                <w:sz w:val="14"/>
                <w:szCs w:val="14"/>
                <w:b w:val="1"/>
                <w:bCs w:val="1"/>
                <w:color w:val="auto"/>
                <w:w w:val="87"/>
              </w:rPr>
              <w:t>to be Registered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 xml:space="preserve">Registered </w:t>
            </w:r>
            <w:r>
              <w:rPr>
                <w:rFonts w:ascii="Arial" w:cs="Arial" w:eastAsia="Arial" w:hAnsi="Arial"/>
                <w:sz w:val="11"/>
                <w:szCs w:val="11"/>
                <w:b w:val="1"/>
                <w:bCs w:val="1"/>
                <w:color w:val="auto"/>
                <w:w w:val="89"/>
              </w:rPr>
              <w:t>(1)</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8"/>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Registration Fee</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tcBorders>
              <w:right w:val="single" w:sz="8" w:color="auto"/>
            </w:tcBorders>
            <w:gridSpan w:val="3"/>
          </w:tcPr>
          <w:p>
            <w:pPr>
              <w:spacing w:after="0" w:line="189" w:lineRule="exact"/>
              <w:rPr>
                <w:sz w:val="20"/>
                <w:szCs w:val="20"/>
                <w:color w:val="auto"/>
              </w:rPr>
            </w:pPr>
            <w:r>
              <w:rPr>
                <w:rFonts w:ascii="Arial" w:cs="Arial" w:eastAsia="Arial" w:hAnsi="Arial"/>
                <w:sz w:val="17"/>
                <w:szCs w:val="17"/>
                <w:color w:val="auto"/>
                <w:w w:val="96"/>
              </w:rPr>
              <w:t>Common Stock, $0.001 par value per share (including the associated</w:t>
            </w:r>
          </w:p>
        </w:tc>
        <w:tc>
          <w:tcPr>
            <w:tcW w:w="3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tcBorders>
              <w:right w:val="single" w:sz="8" w:color="auto"/>
            </w:tcBorders>
            <w:gridSpan w:val="3"/>
          </w:tcPr>
          <w:p>
            <w:pPr>
              <w:ind w:left="180"/>
              <w:spacing w:after="0"/>
              <w:rPr>
                <w:sz w:val="20"/>
                <w:szCs w:val="20"/>
                <w:color w:val="auto"/>
              </w:rPr>
            </w:pPr>
            <w:r>
              <w:rPr>
                <w:rFonts w:ascii="Arial" w:cs="Arial" w:eastAsia="Arial" w:hAnsi="Arial"/>
                <w:sz w:val="17"/>
                <w:szCs w:val="17"/>
                <w:color w:val="auto"/>
                <w:w w:val="93"/>
              </w:rPr>
              <w:t>Preferred Share Purchase Rights)</w:t>
            </w:r>
            <w:r>
              <w:rPr>
                <w:rFonts w:ascii="Arial" w:cs="Arial" w:eastAsia="Arial" w:hAnsi="Arial"/>
                <w:sz w:val="14"/>
                <w:szCs w:val="14"/>
                <w:color w:val="auto"/>
                <w:w w:val="93"/>
              </w:rPr>
              <w:t>(2)</w:t>
            </w:r>
            <w:r>
              <w:rPr>
                <w:rFonts w:ascii="Arial" w:cs="Arial" w:eastAsia="Arial" w:hAnsi="Arial"/>
                <w:sz w:val="17"/>
                <w:szCs w:val="17"/>
                <w:color w:val="auto"/>
                <w:w w:val="93"/>
              </w:rPr>
              <w:t>, reserved for issuance pursuant</w:t>
            </w:r>
          </w:p>
        </w:tc>
        <w:tc>
          <w:tcPr>
            <w:tcW w:w="38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221"/>
              <w:spacing w:after="0"/>
              <w:rPr>
                <w:sz w:val="20"/>
                <w:szCs w:val="20"/>
                <w:color w:val="auto"/>
              </w:rPr>
            </w:pPr>
            <w:r>
              <w:rPr>
                <w:rFonts w:ascii="Arial" w:cs="Arial" w:eastAsia="Arial" w:hAnsi="Arial"/>
                <w:sz w:val="17"/>
                <w:szCs w:val="17"/>
                <w:color w:val="auto"/>
                <w:w w:val="94"/>
              </w:rPr>
              <w:t>1,000,000</w:t>
            </w:r>
            <w:r>
              <w:rPr>
                <w:rFonts w:ascii="Arial" w:cs="Arial" w:eastAsia="Arial" w:hAnsi="Arial"/>
                <w:sz w:val="14"/>
                <w:szCs w:val="14"/>
                <w:color w:val="auto"/>
                <w:w w:val="94"/>
              </w:rPr>
              <w:t>(3)</w:t>
            </w:r>
          </w:p>
        </w:tc>
        <w:tc>
          <w:tcPr>
            <w:tcW w:w="260" w:type="dxa"/>
            <w:vAlign w:val="bottom"/>
          </w:tcPr>
          <w:p>
            <w:pPr>
              <w:spacing w:after="0"/>
              <w:rPr>
                <w:sz w:val="18"/>
                <w:szCs w:val="18"/>
                <w:color w:val="auto"/>
              </w:rPr>
            </w:pPr>
          </w:p>
        </w:tc>
        <w:tc>
          <w:tcPr>
            <w:tcW w:w="1360" w:type="dxa"/>
            <w:vAlign w:val="bottom"/>
            <w:tcBorders>
              <w:right w:val="single" w:sz="8" w:color="auto"/>
            </w:tcBorders>
            <w:vMerge w:val="restart"/>
          </w:tcPr>
          <w:p>
            <w:pPr>
              <w:jc w:val="center"/>
              <w:ind w:right="387"/>
              <w:spacing w:after="0"/>
              <w:rPr>
                <w:sz w:val="20"/>
                <w:szCs w:val="20"/>
                <w:color w:val="auto"/>
              </w:rPr>
            </w:pPr>
            <w:r>
              <w:rPr>
                <w:rFonts w:ascii="Arial" w:cs="Arial" w:eastAsia="Arial" w:hAnsi="Arial"/>
                <w:sz w:val="17"/>
                <w:szCs w:val="17"/>
                <w:color w:val="auto"/>
              </w:rPr>
              <w:t>$7.83</w:t>
            </w:r>
            <w:r>
              <w:rPr>
                <w:rFonts w:ascii="Arial" w:cs="Arial" w:eastAsia="Arial" w:hAnsi="Arial"/>
                <w:sz w:val="14"/>
                <w:szCs w:val="14"/>
                <w:color w:val="auto"/>
              </w:rPr>
              <w:t>(4)</w:t>
            </w:r>
          </w:p>
        </w:tc>
        <w:tc>
          <w:tcPr>
            <w:tcW w:w="1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to the Fluidigm Corporation 2011 Equity Incentive Plan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$7,830,000.00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$907.50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60" w:type="dxa"/>
            <w:vAlign w:val="bottom"/>
            <w:tcBorders>
              <w:right w:val="single" w:sz="8" w:color="auto"/>
            </w:tcBorders>
            <w:gridSpan w:val="3"/>
          </w:tcPr>
          <w:p>
            <w:pPr>
              <w:spacing w:after="0" w:line="189" w:lineRule="exact"/>
              <w:rPr>
                <w:sz w:val="20"/>
                <w:szCs w:val="20"/>
                <w:color w:val="auto"/>
              </w:rPr>
            </w:pPr>
            <w:r>
              <w:rPr>
                <w:rFonts w:ascii="Arial" w:cs="Arial" w:eastAsia="Arial" w:hAnsi="Arial"/>
                <w:sz w:val="17"/>
                <w:szCs w:val="17"/>
                <w:color w:val="auto"/>
                <w:w w:val="96"/>
              </w:rPr>
              <w:t>Common Stock, $0.001 par value per share (including the associated</w:t>
            </w:r>
          </w:p>
        </w:tc>
        <w:tc>
          <w:tcPr>
            <w:tcW w:w="3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tcBorders>
              <w:right w:val="single" w:sz="8" w:color="auto"/>
            </w:tcBorders>
            <w:gridSpan w:val="3"/>
          </w:tcPr>
          <w:p>
            <w:pPr>
              <w:ind w:left="180"/>
              <w:spacing w:after="0"/>
              <w:rPr>
                <w:sz w:val="20"/>
                <w:szCs w:val="20"/>
                <w:color w:val="auto"/>
              </w:rPr>
            </w:pPr>
            <w:r>
              <w:rPr>
                <w:rFonts w:ascii="Arial" w:cs="Arial" w:eastAsia="Arial" w:hAnsi="Arial"/>
                <w:sz w:val="17"/>
                <w:szCs w:val="17"/>
                <w:color w:val="auto"/>
                <w:w w:val="93"/>
              </w:rPr>
              <w:t>Preferred Share Purchase Rights)</w:t>
            </w:r>
            <w:r>
              <w:rPr>
                <w:rFonts w:ascii="Arial" w:cs="Arial" w:eastAsia="Arial" w:hAnsi="Arial"/>
                <w:sz w:val="14"/>
                <w:szCs w:val="14"/>
                <w:color w:val="auto"/>
                <w:w w:val="93"/>
              </w:rPr>
              <w:t>(2)</w:t>
            </w:r>
            <w:r>
              <w:rPr>
                <w:rFonts w:ascii="Arial" w:cs="Arial" w:eastAsia="Arial" w:hAnsi="Arial"/>
                <w:sz w:val="17"/>
                <w:szCs w:val="17"/>
                <w:color w:val="auto"/>
                <w:w w:val="93"/>
              </w:rPr>
              <w:t>, reserved for issuance pursuant</w:t>
            </w: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vMerge w:val="restart"/>
          </w:tcPr>
          <w:p>
            <w:pPr>
              <w:jc w:val="center"/>
              <w:ind w:right="387"/>
              <w:spacing w:after="0"/>
              <w:rPr>
                <w:sz w:val="20"/>
                <w:szCs w:val="20"/>
                <w:color w:val="auto"/>
              </w:rPr>
            </w:pPr>
            <w:r>
              <w:rPr>
                <w:rFonts w:ascii="Arial" w:cs="Arial" w:eastAsia="Arial" w:hAnsi="Arial"/>
                <w:sz w:val="17"/>
                <w:szCs w:val="17"/>
                <w:color w:val="auto"/>
              </w:rPr>
              <w:t xml:space="preserve">$7.83 </w:t>
            </w:r>
            <w:r>
              <w:rPr>
                <w:rFonts w:ascii="Arial" w:cs="Arial" w:eastAsia="Arial" w:hAnsi="Arial"/>
                <w:sz w:val="14"/>
                <w:szCs w:val="14"/>
                <w:color w:val="auto"/>
              </w:rPr>
              <w:t>(4)</w:t>
            </w:r>
          </w:p>
        </w:tc>
        <w:tc>
          <w:tcPr>
            <w:tcW w:w="1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to the Fluidigm Corporation 2017 Inducement Award Plan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241"/>
              <w:spacing w:after="0"/>
              <w:rPr>
                <w:sz w:val="20"/>
                <w:szCs w:val="20"/>
                <w:color w:val="auto"/>
              </w:rPr>
            </w:pPr>
            <w:r>
              <w:rPr>
                <w:rFonts w:ascii="Arial" w:cs="Arial" w:eastAsia="Arial" w:hAnsi="Arial"/>
                <w:sz w:val="17"/>
                <w:szCs w:val="17"/>
                <w:color w:val="auto"/>
                <w:w w:val="92"/>
              </w:rPr>
              <w:t>2,000,000</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$15,660,000.00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$1,815.00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27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241"/>
              <w:spacing w:after="0"/>
              <w:rPr>
                <w:sz w:val="20"/>
                <w:szCs w:val="20"/>
                <w:color w:val="auto"/>
              </w:rPr>
            </w:pPr>
            <w:r>
              <w:rPr>
                <w:rFonts w:ascii="Arial" w:cs="Arial" w:eastAsia="Arial" w:hAnsi="Arial"/>
                <w:sz w:val="17"/>
                <w:szCs w:val="17"/>
                <w:color w:val="auto"/>
                <w:w w:val="92"/>
              </w:rPr>
              <w:t>3,000,000</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$23,490,000.00</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$2,722.50</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460" w:right="160" w:hanging="455"/>
        <w:spacing w:after="0" w:line="26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this Registration Statement shall also cover any additional shares of the Registrant’s common stock that become issuable under the Fluidigm Corporation 2011 Equity Incentive Plan (the “2011 Plan”) and the Fluidigm Corporation 2017 Inducement Award Plan (the “2017 Plan”) by reason of any stock dividend, stock split, recapitalization or other similar transaction effected without receipt of consideration that increases the number of the Registrant’s outstanding shares of common stock.</w:t>
      </w:r>
    </w:p>
    <w:p>
      <w:pPr>
        <w:spacing w:after="0" w:line="3" w:lineRule="exact"/>
        <w:rPr>
          <w:rFonts w:ascii="Arial" w:cs="Arial" w:eastAsia="Arial" w:hAnsi="Arial"/>
          <w:sz w:val="17"/>
          <w:szCs w:val="17"/>
          <w:color w:val="auto"/>
        </w:rPr>
      </w:pPr>
    </w:p>
    <w:p>
      <w:pPr>
        <w:ind w:left="460" w:right="40" w:hanging="455"/>
        <w:spacing w:after="0" w:line="27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Comprised of rights to purchase shares of the Registrant’s Series A Participating Preferred Stock, par value $0.001 per share (the “Preferred Share Purchase Rights”), that are associated with shares of the Registrant’s common stock pursuant to the Tax Benefit Preservation Plan, dated as of November 21, 2016, by and between Fluidigm Corporation and Computershare Inc., as Rights Agent (the “Rights Plan”). The Preferred Share Purchase Rights are not exercisable until the occurrence of certain events specified in the Rights Plan and are transferrable solely with the associated Common Stock. The value attributed to the Preferred Share Purchase Rights, if any, is reflected in the value of the associated Common Stock.</w:t>
      </w:r>
    </w:p>
    <w:p>
      <w:pPr>
        <w:spacing w:after="0" w:line="1" w:lineRule="exact"/>
        <w:rPr>
          <w:rFonts w:ascii="Arial" w:cs="Arial" w:eastAsia="Arial" w:hAnsi="Arial"/>
          <w:sz w:val="16"/>
          <w:szCs w:val="16"/>
          <w:color w:val="auto"/>
        </w:rPr>
      </w:pPr>
    </w:p>
    <w:p>
      <w:pPr>
        <w:ind w:left="460" w:hanging="455"/>
        <w:spacing w:after="0" w:line="29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shares of the Registrant’s common stock that were automatically added to the shares authorized for issuance under the 2011 Plan on January 1, 2017 pursuant to an “evergreen” provision contained in the 2011 Plan. Pursuant to such provision, on January 1st of each fiscal year beginning with the 2012 fiscal year, the number of shares available for issuance under the 2011 Plan is automatically increased in an amount equal to the least of (i) 1,000,000 shares of the Registrant’s common stock, (ii) four percent (4%) of the number of shares of the Registrant’s common stock outstanding on December 31st of the preceding fiscal year, or (iii) such number of shares of the Registrant’s common stock determined by the Registrant’s board of directors.</w:t>
      </w:r>
    </w:p>
    <w:p>
      <w:pPr>
        <w:spacing w:after="0" w:line="1" w:lineRule="exact"/>
        <w:rPr>
          <w:rFonts w:ascii="Arial" w:cs="Arial" w:eastAsia="Arial" w:hAnsi="Arial"/>
          <w:sz w:val="15"/>
          <w:szCs w:val="15"/>
          <w:color w:val="auto"/>
        </w:rPr>
      </w:pPr>
    </w:p>
    <w:p>
      <w:pPr>
        <w:ind w:left="460" w:right="260" w:hanging="455"/>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457(c) and (h) solely for purposes of calculating the registration fee on the basis of $7.83 per share, the average of the high and low sale prices of the Registrant’s common stock as reported on the NASDAQ Global Select Market on January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FLUIDIGM CORPORATION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EXPLANATORY NOTE</w:t>
      </w:r>
    </w:p>
    <w:p>
      <w:pPr>
        <w:spacing w:after="0" w:line="230" w:lineRule="exact"/>
        <w:rPr>
          <w:sz w:val="20"/>
          <w:szCs w:val="20"/>
          <w:color w:val="auto"/>
        </w:rPr>
      </w:pPr>
    </w:p>
    <w:p>
      <w:pPr>
        <w:ind w:right="160" w:firstLine="913"/>
        <w:spacing w:after="0" w:line="263" w:lineRule="auto"/>
        <w:rPr>
          <w:sz w:val="20"/>
          <w:szCs w:val="20"/>
          <w:color w:val="auto"/>
        </w:rPr>
      </w:pPr>
      <w:r>
        <w:rPr>
          <w:rFonts w:ascii="Arial" w:cs="Arial" w:eastAsia="Arial" w:hAnsi="Arial"/>
          <w:sz w:val="17"/>
          <w:szCs w:val="17"/>
          <w:color w:val="auto"/>
        </w:rPr>
        <w:t>This Registration Statement is filed by Fluidigm Corporation (the “Registrant”) for the purpose of registering 1,000,000 shares of common stock of the Registrant reserved for issuance under the Fluidigm Corporation 2011 Equity Incentive Plan (the “2011 Plan”) and 2,000,000 shares of common stock of the Registrant reserved for issuance under the Fluidigm Corporation 2017 Inducement Award Plan (“2017 Plan”). The shares of the Registrant’s common stock previously reserved for issuance under the 2011 Plan were registered on the following Registration Statements on Form S-8 (File Nos. 333-172206, 333-180363, 333-187204, 333-194084, 333-202325, and 333-209904, as amended) as filed with the Securities and Exchange Commission (the “Commission”) and are incorporated by reference into this Registration Statement.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REQUIRED IN THE PROSPECTUS</w:t>
      </w:r>
    </w:p>
    <w:p>
      <w:pPr>
        <w:spacing w:after="0" w:line="230" w:lineRule="exact"/>
        <w:rPr>
          <w:sz w:val="20"/>
          <w:szCs w:val="20"/>
          <w:color w:val="auto"/>
        </w:rPr>
      </w:pPr>
    </w:p>
    <w:p>
      <w:pPr>
        <w:ind w:right="100" w:firstLine="913"/>
        <w:spacing w:after="0" w:line="267" w:lineRule="auto"/>
        <w:rPr>
          <w:sz w:val="20"/>
          <w:szCs w:val="20"/>
          <w:color w:val="auto"/>
        </w:rPr>
      </w:pPr>
      <w:r>
        <w:rPr>
          <w:rFonts w:ascii="Arial" w:cs="Arial" w:eastAsia="Arial" w:hAnsi="Arial"/>
          <w:sz w:val="17"/>
          <w:szCs w:val="17"/>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has delivered or will be delivered to the participants in the equity benefit plans covered by this Registration Statement as specified by Rule 428(b)(1) under the Securities 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25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Commission:</w:t>
      </w:r>
    </w:p>
    <w:p>
      <w:pPr>
        <w:spacing w:after="0" w:line="132" w:lineRule="exact"/>
        <w:rPr>
          <w:sz w:val="20"/>
          <w:szCs w:val="20"/>
          <w:color w:val="auto"/>
        </w:rPr>
      </w:pPr>
    </w:p>
    <w:p>
      <w:pPr>
        <w:ind w:left="900" w:right="60" w:hanging="450"/>
        <w:spacing w:after="0" w:line="28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for the fiscal year ended December 31, 2015, filed with the Commission on February 29, 2016 and the Registrant’s Amendment No. 1 to the Registrant’s Form 10-K, filed with the Commission on April 27, 2016;</w:t>
      </w:r>
    </w:p>
    <w:p>
      <w:pPr>
        <w:spacing w:after="0" w:line="66" w:lineRule="exact"/>
        <w:rPr>
          <w:rFonts w:ascii="Arial" w:cs="Arial" w:eastAsia="Arial" w:hAnsi="Arial"/>
          <w:sz w:val="17"/>
          <w:szCs w:val="17"/>
          <w:color w:val="auto"/>
        </w:rPr>
      </w:pPr>
    </w:p>
    <w:p>
      <w:pPr>
        <w:ind w:left="900" w:right="120" w:hanging="450"/>
        <w:spacing w:after="0" w:line="28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Quarterly Reports on Form 10-Q for the three months ended March 31, 2016, June 30, 2016 and September 30, 2016, filed with the Commission on May 9, 2016, August 9, 2016, and November 9, 2016, respectively;</w:t>
      </w:r>
    </w:p>
    <w:p>
      <w:pPr>
        <w:spacing w:after="0" w:line="66" w:lineRule="exact"/>
        <w:rPr>
          <w:rFonts w:ascii="Arial" w:cs="Arial" w:eastAsia="Arial" w:hAnsi="Arial"/>
          <w:sz w:val="17"/>
          <w:szCs w:val="17"/>
          <w:color w:val="auto"/>
        </w:rPr>
      </w:pPr>
    </w:p>
    <w:p>
      <w:pPr>
        <w:ind w:left="900" w:right="160" w:hanging="450"/>
        <w:spacing w:after="0" w:line="29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Current Reports on Form 8-K filed with the Commission on May 23, 2016, August 4, 2016, August 4, 2016, September 13, 2016, October 24, 2016, November 22, 2016, and January 11, 2017, only to the extent that the items therein are specifically stated to be “filed” rather than “furnished” for the purposes of Section 18 of the Securities Exchange Act of 1934, as amended (the “Exchange Act”);</w:t>
      </w:r>
    </w:p>
    <w:p>
      <w:pPr>
        <w:spacing w:after="0" w:line="63" w:lineRule="exact"/>
        <w:rPr>
          <w:rFonts w:ascii="Arial" w:cs="Arial" w:eastAsia="Arial" w:hAnsi="Arial"/>
          <w:sz w:val="16"/>
          <w:szCs w:val="16"/>
          <w:color w:val="auto"/>
        </w:rPr>
      </w:pPr>
    </w:p>
    <w:p>
      <w:pPr>
        <w:ind w:left="900" w:right="120" w:hanging="450"/>
        <w:spacing w:after="0" w:line="27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the Company’s Registration Statements on Form 8-A (File No. 001-34180) filed with the Commission on February 7, 2011, pursuant to Section 12(b) of the Exchange Act, including any amendment or report filed for the purpose of updating such description; and</w:t>
      </w:r>
    </w:p>
    <w:p>
      <w:pPr>
        <w:spacing w:after="0" w:line="79" w:lineRule="exact"/>
        <w:rPr>
          <w:rFonts w:ascii="Arial" w:cs="Arial" w:eastAsia="Arial" w:hAnsi="Arial"/>
          <w:sz w:val="17"/>
          <w:szCs w:val="17"/>
          <w:color w:val="auto"/>
        </w:rPr>
      </w:pPr>
    </w:p>
    <w:p>
      <w:pPr>
        <w:ind w:left="900" w:right="420" w:hanging="450"/>
        <w:spacing w:after="0" w:line="27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Preferred Share Purchase Rights contained in the Company’s Registration Statements on Form 8-A (File No. 001-34180) filed with the Commission on November 22, 2016, pursuant to Section 12(b) of the Exchange Act, including any amendment or report filed for the purpose of updating such description.</w:t>
      </w:r>
    </w:p>
    <w:p>
      <w:pPr>
        <w:spacing w:after="0" w:line="171"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55"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Under no circumstances will any information furnished under current items 2.02 or 7.01 of Form 8-K be deemed incorporated herein by reference unless such Form 8-K expressly provides to the contrary.</w:t>
      </w:r>
    </w:p>
    <w:p>
      <w:pPr>
        <w:sectPr>
          <w:pgSz w:w="11900" w:h="16838" w:orient="portrait"/>
          <w:cols w:equalWidth="0" w:num="1">
            <w:col w:w="11400"/>
          </w:cols>
          <w:pgMar w:left="240" w:top="265" w:right="25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 applicable.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 applicable.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125" w:lineRule="exact"/>
        <w:rPr>
          <w:sz w:val="20"/>
          <w:szCs w:val="20"/>
          <w:color w:val="auto"/>
        </w:rPr>
      </w:pPr>
    </w:p>
    <w:p>
      <w:pPr>
        <w:ind w:right="600" w:firstLine="913"/>
        <w:spacing w:after="0" w:line="289"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58" w:lineRule="exact"/>
        <w:rPr>
          <w:sz w:val="20"/>
          <w:szCs w:val="20"/>
          <w:color w:val="auto"/>
        </w:rPr>
      </w:pPr>
    </w:p>
    <w:p>
      <w:pPr>
        <w:ind w:right="280" w:firstLine="913"/>
        <w:spacing w:after="0" w:line="322"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addition, as permitted by Section 145 of the Delaware General Corporation Law, the bylaws of the Registrant provide that:</w:t>
      </w:r>
    </w:p>
    <w:p>
      <w:pPr>
        <w:spacing w:after="0" w:line="132" w:lineRule="exact"/>
        <w:rPr>
          <w:sz w:val="20"/>
          <w:szCs w:val="20"/>
          <w:color w:val="auto"/>
        </w:rPr>
      </w:pPr>
    </w:p>
    <w:p>
      <w:pPr>
        <w:ind w:left="1920" w:right="180" w:hanging="436"/>
        <w:spacing w:after="0" w:line="265" w:lineRule="auto"/>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86" w:lineRule="exact"/>
        <w:rPr>
          <w:rFonts w:ascii="Arial" w:cs="Arial" w:eastAsia="Arial" w:hAnsi="Arial"/>
          <w:sz w:val="17"/>
          <w:szCs w:val="17"/>
          <w:color w:val="auto"/>
        </w:rPr>
      </w:pPr>
    </w:p>
    <w:p>
      <w:pPr>
        <w:ind w:left="1920" w:right="20" w:hanging="436"/>
        <w:spacing w:after="0" w:line="289" w:lineRule="auto"/>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may, in its discretion, indemnify employees and agents in those circumstances where indemnification is not required by law.</w:t>
      </w:r>
    </w:p>
    <w:p>
      <w:pPr>
        <w:spacing w:after="0" w:line="66" w:lineRule="exact"/>
        <w:rPr>
          <w:rFonts w:ascii="Arial" w:cs="Arial" w:eastAsia="Arial" w:hAnsi="Arial"/>
          <w:sz w:val="17"/>
          <w:szCs w:val="17"/>
          <w:color w:val="auto"/>
        </w:rPr>
      </w:pPr>
    </w:p>
    <w:p>
      <w:pPr>
        <w:ind w:left="1920" w:right="80" w:hanging="436"/>
        <w:spacing w:after="0" w:line="273" w:lineRule="auto"/>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79" w:lineRule="exact"/>
        <w:rPr>
          <w:rFonts w:ascii="Arial" w:cs="Arial" w:eastAsia="Arial" w:hAnsi="Arial"/>
          <w:sz w:val="17"/>
          <w:szCs w:val="17"/>
          <w:color w:val="auto"/>
        </w:rPr>
      </w:pPr>
    </w:p>
    <w:p>
      <w:pPr>
        <w:ind w:left="1920" w:right="100" w:hanging="436"/>
        <w:spacing w:after="0" w:line="359" w:lineRule="auto"/>
        <w:tabs>
          <w:tab w:leader="none" w:pos="1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20" w:lineRule="exact"/>
        <w:rPr>
          <w:rFonts w:ascii="Arial" w:cs="Arial" w:eastAsia="Arial" w:hAnsi="Arial"/>
          <w:sz w:val="15"/>
          <w:szCs w:val="15"/>
          <w:color w:val="auto"/>
        </w:rPr>
      </w:pPr>
    </w:p>
    <w:p>
      <w:pPr>
        <w:ind w:left="1920" w:right="100" w:hanging="436"/>
        <w:spacing w:after="0" w:line="289" w:lineRule="auto"/>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66" w:lineRule="exact"/>
        <w:rPr>
          <w:rFonts w:ascii="Arial" w:cs="Arial" w:eastAsia="Arial" w:hAnsi="Arial"/>
          <w:sz w:val="17"/>
          <w:szCs w:val="17"/>
          <w:color w:val="auto"/>
        </w:rPr>
      </w:pPr>
    </w:p>
    <w:p>
      <w:pPr>
        <w:ind w:left="1920" w:right="520" w:hanging="436"/>
        <w:spacing w:after="0" w:line="289" w:lineRule="auto"/>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may not retroactively amend the bylaw provisions to reduce its indemnification obligations to directors, officers, employees, and agents.</w:t>
      </w:r>
    </w:p>
    <w:p>
      <w:pPr>
        <w:spacing w:after="0" w:line="15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71"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See also Registrant’s undertakings in Section 9 of this Registration Statement.</w:t>
      </w: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380"/>
          </w:cols>
          <w:pgMar w:left="240" w:top="265"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6"/>
              </w:rPr>
              <w:t>Item 8.</w:t>
            </w:r>
          </w:p>
        </w:tc>
        <w:tc>
          <w:tcPr>
            <w:tcW w:w="7140" w:type="dxa"/>
            <w:vAlign w:val="bottom"/>
            <w:gridSpan w:val="3"/>
          </w:tcPr>
          <w:p>
            <w:pPr>
              <w:ind w:left="220"/>
              <w:spacing w:after="0"/>
              <w:rPr>
                <w:sz w:val="20"/>
                <w:szCs w:val="20"/>
                <w:color w:val="auto"/>
              </w:rPr>
            </w:pPr>
            <w:r>
              <w:rPr>
                <w:rFonts w:ascii="Arial" w:cs="Arial" w:eastAsia="Arial" w:hAnsi="Arial"/>
                <w:sz w:val="17"/>
                <w:szCs w:val="17"/>
                <w:b w:val="1"/>
                <w:bCs w:val="1"/>
                <w:color w:val="auto"/>
              </w:rPr>
              <w:t>Exhibits.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Incorporated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460"/>
              <w:spacing w:after="0" w:line="144" w:lineRule="exact"/>
              <w:rPr>
                <w:sz w:val="20"/>
                <w:szCs w:val="20"/>
                <w:color w:val="auto"/>
              </w:rPr>
            </w:pPr>
            <w:r>
              <w:rPr>
                <w:rFonts w:ascii="Arial" w:cs="Arial" w:eastAsia="Arial" w:hAnsi="Arial"/>
                <w:sz w:val="14"/>
                <w:szCs w:val="14"/>
                <w:b w:val="1"/>
                <w:bCs w:val="1"/>
                <w:color w:val="auto"/>
                <w:w w:val="88"/>
              </w:rPr>
              <w:t>by Reference</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From Exhibit</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Number</w:t>
            </w:r>
          </w:p>
        </w:tc>
        <w:tc>
          <w:tcPr>
            <w:tcW w:w="7140" w:type="dxa"/>
            <w:vAlign w:val="bottom"/>
            <w:gridSpan w:val="3"/>
          </w:tcPr>
          <w:p>
            <w:pPr>
              <w:ind w:left="3240"/>
              <w:spacing w:after="0" w:line="147" w:lineRule="exact"/>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From Form</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Number</w:t>
            </w:r>
          </w:p>
        </w:tc>
        <w:tc>
          <w:tcPr>
            <w:tcW w:w="1160" w:type="dxa"/>
            <w:vAlign w:val="bottom"/>
            <w:gridSpan w:val="3"/>
          </w:tcPr>
          <w:p>
            <w:pPr>
              <w:ind w:left="440"/>
              <w:spacing w:after="0" w:line="147" w:lineRule="exact"/>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Specimen Common Stock Certificate of the Registrant.</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4.2+</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2017 Inducement Award Plan and related form agreements.</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1/11/2017</w:t>
            </w: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4.3+</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2011 Equity Incentive Plan of Fluidigm Corporation.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S-1/A</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1/28/2011</w:t>
            </w: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4.4+</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Forms of agreements under the 2011 Equity Incentive Plan.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S-1/A</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10.4A</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1/28/2011</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Tax Benefit Preservation Plan, dated as of November 21, 2016, by and between Fluidigm</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Corporation and Computershare Inc., as Rights Agent.</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1"/>
              </w:rPr>
              <w:t>11/22/2016</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w w:val="95"/>
              </w:rPr>
              <w:t>Indenture, dated February 4, 2014, by and between Fluidigm Corporation and U.S. Bank National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Association.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w w:val="97"/>
              </w:rPr>
              <w:t>First Supplement Indenture, dated February 4, 2014, by and between Fluidigm Corporation and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U.S. Bank National Association.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Form of Global Note (included in Exhibit 4.6).</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Opinion of Wilson Sonsini Goodrich &amp; Rosati, Professional Corporation.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23.1</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23.2</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Consent of Ernst &amp; Young LLP, Independent Registered Public Accounting Firm.</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23.3</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w w:val="96"/>
              </w:rPr>
              <w:t>Consent of Wilson Sonsini Goodrich &amp; Rosati, Professional Corporation (contained in Exhibit 5.1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hereto).</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24.1</w:t>
            </w:r>
          </w:p>
        </w:tc>
        <w:tc>
          <w:tcPr>
            <w:tcW w:w="180" w:type="dxa"/>
            <w:vAlign w:val="bottom"/>
          </w:tcPr>
          <w:p>
            <w:pPr>
              <w:spacing w:after="0"/>
              <w:rPr>
                <w:sz w:val="24"/>
                <w:szCs w:val="24"/>
                <w:color w:val="auto"/>
              </w:rPr>
            </w:pPr>
          </w:p>
        </w:tc>
        <w:tc>
          <w:tcPr>
            <w:tcW w:w="7140" w:type="dxa"/>
            <w:vAlign w:val="bottom"/>
            <w:gridSpan w:val="3"/>
          </w:tcPr>
          <w:p>
            <w:pPr>
              <w:ind w:left="140"/>
              <w:spacing w:after="0"/>
              <w:rPr>
                <w:sz w:val="20"/>
                <w:szCs w:val="20"/>
                <w:color w:val="auto"/>
              </w:rPr>
            </w:pPr>
            <w:r>
              <w:rPr>
                <w:rFonts w:ascii="Arial" w:cs="Arial" w:eastAsia="Arial" w:hAnsi="Arial"/>
                <w:sz w:val="17"/>
                <w:szCs w:val="17"/>
                <w:color w:val="auto"/>
              </w:rPr>
              <w:t>Power of Attorney (contained on signature page hereto).</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Indicates management contract or compensatory plan, contract or arrangement.</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 The undersigned Registrant hereby undertakes:</w:t>
      </w:r>
    </w:p>
    <w:p>
      <w:pPr>
        <w:spacing w:after="0" w:line="119" w:lineRule="exact"/>
        <w:rPr>
          <w:sz w:val="20"/>
          <w:szCs w:val="20"/>
          <w:color w:val="auto"/>
        </w:rPr>
      </w:pPr>
    </w:p>
    <w:p>
      <w:pPr>
        <w:ind w:left="1160" w:hanging="24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8" w:lineRule="exact"/>
        <w:rPr>
          <w:rFonts w:ascii="Arial" w:cs="Arial" w:eastAsia="Arial" w:hAnsi="Arial"/>
          <w:sz w:val="17"/>
          <w:szCs w:val="17"/>
          <w:color w:val="auto"/>
        </w:rPr>
      </w:pPr>
    </w:p>
    <w:p>
      <w:pPr>
        <w:ind w:left="2160" w:hanging="214"/>
        <w:spacing w:after="0"/>
        <w:tabs>
          <w:tab w:leader="none" w:pos="21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18" w:lineRule="exact"/>
        <w:rPr>
          <w:rFonts w:ascii="Arial" w:cs="Arial" w:eastAsia="Arial" w:hAnsi="Arial"/>
          <w:sz w:val="17"/>
          <w:szCs w:val="17"/>
          <w:color w:val="auto"/>
        </w:rPr>
      </w:pPr>
    </w:p>
    <w:p>
      <w:pPr>
        <w:ind w:left="1940" w:firstLine="6"/>
        <w:spacing w:after="0" w:line="281" w:lineRule="auto"/>
        <w:tabs>
          <w:tab w:leader="none" w:pos="2197"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63" w:lineRule="exact"/>
        <w:rPr>
          <w:rFonts w:ascii="Arial" w:cs="Arial" w:eastAsia="Arial" w:hAnsi="Arial"/>
          <w:sz w:val="16"/>
          <w:szCs w:val="16"/>
          <w:color w:val="auto"/>
        </w:rPr>
      </w:pPr>
    </w:p>
    <w:p>
      <w:pPr>
        <w:ind w:left="1940" w:right="120" w:firstLine="6"/>
        <w:spacing w:after="0" w:line="289" w:lineRule="auto"/>
        <w:tabs>
          <w:tab w:leader="none" w:pos="2245"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420"/>
          </w:cols>
          <w:pgMar w:left="240" w:top="265" w:right="239" w:bottom="1440" w:gutter="0" w:footer="0" w:header="0"/>
        </w:sectPr>
      </w:pPr>
    </w:p>
    <w:bookmarkStart w:id="5" w:name="page6"/>
    <w:bookmarkEnd w:id="5"/>
    <w:p>
      <w:pPr>
        <w:jc w:val="both"/>
        <w:ind w:right="280"/>
        <w:spacing w:after="0" w:line="273"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Provided, however</w:t>
      </w:r>
      <w:r>
        <w:rPr>
          <w:rFonts w:ascii="Arial" w:cs="Arial" w:eastAsia="Arial" w:hAnsi="Arial"/>
          <w:sz w:val="17"/>
          <w:szCs w:val="17"/>
          <w:color w:val="auto"/>
        </w:rPr>
        <w:t>, that: (1) Paragraphs (A)(1)(i) and (A)(1)(ii) do not apply if the information required to be included in a post-effective amendment by those</w:t>
      </w:r>
      <w:r>
        <w:rPr>
          <w:rFonts w:ascii="Arial" w:cs="Arial" w:eastAsia="Arial" w:hAnsi="Arial"/>
          <w:sz w:val="17"/>
          <w:szCs w:val="17"/>
          <w:i w:val="1"/>
          <w:iCs w:val="1"/>
          <w:color w:val="auto"/>
        </w:rPr>
        <w:t xml:space="preserve"> </w:t>
      </w:r>
      <w:r>
        <w:rPr>
          <w:rFonts w:ascii="Arial" w:cs="Arial" w:eastAsia="Arial" w:hAnsi="Arial"/>
          <w:sz w:val="17"/>
          <w:szCs w:val="17"/>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66" w:lineRule="exact"/>
        <w:rPr>
          <w:sz w:val="20"/>
          <w:szCs w:val="20"/>
          <w:color w:val="auto"/>
        </w:rPr>
      </w:pPr>
    </w:p>
    <w:p>
      <w:pPr>
        <w:ind w:left="920" w:right="220" w:hanging="2"/>
        <w:spacing w:after="0" w:line="273" w:lineRule="auto"/>
        <w:tabs>
          <w:tab w:leader="none" w:pos="1167" w:val="left"/>
        </w:tabs>
        <w:numPr>
          <w:ilvl w:val="1"/>
          <w:numId w:val="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66" w:lineRule="exact"/>
        <w:rPr>
          <w:rFonts w:ascii="Arial" w:cs="Arial" w:eastAsia="Arial" w:hAnsi="Arial"/>
          <w:sz w:val="17"/>
          <w:szCs w:val="17"/>
          <w:color w:val="auto"/>
        </w:rPr>
      </w:pPr>
    </w:p>
    <w:p>
      <w:pPr>
        <w:ind w:left="920" w:right="20" w:hanging="2"/>
        <w:spacing w:after="0" w:line="289" w:lineRule="auto"/>
        <w:tabs>
          <w:tab w:leader="none" w:pos="1167"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57" w:lineRule="exact"/>
        <w:rPr>
          <w:rFonts w:ascii="Arial" w:cs="Arial" w:eastAsia="Arial" w:hAnsi="Arial"/>
          <w:sz w:val="17"/>
          <w:szCs w:val="17"/>
          <w:color w:val="auto"/>
        </w:rPr>
      </w:pPr>
    </w:p>
    <w:p>
      <w:pPr>
        <w:ind w:right="100" w:firstLine="5"/>
        <w:spacing w:after="0" w:line="265" w:lineRule="auto"/>
        <w:tabs>
          <w:tab w:leader="none" w:pos="20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7" w:lineRule="exact"/>
        <w:rPr>
          <w:rFonts w:ascii="Arial" w:cs="Arial" w:eastAsia="Arial" w:hAnsi="Arial"/>
          <w:sz w:val="17"/>
          <w:szCs w:val="17"/>
          <w:color w:val="auto"/>
        </w:rPr>
      </w:pPr>
    </w:p>
    <w:p>
      <w:pPr>
        <w:ind w:firstLine="5"/>
        <w:spacing w:after="0" w:line="281" w:lineRule="auto"/>
        <w:tabs>
          <w:tab w:leader="none" w:pos="20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27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January 13, 2017.</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Fluidigm Corporation</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Stephen Christopher Linthwaite</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30" w:lineRule="exact"/>
        <w:rPr>
          <w:sz w:val="20"/>
          <w:szCs w:val="20"/>
          <w:color w:val="auto"/>
        </w:rPr>
      </w:pPr>
    </w:p>
    <w:p>
      <w:pPr>
        <w:ind w:right="240" w:firstLine="913"/>
        <w:spacing w:after="0" w:line="261"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Stephen Christopher Linthwaite and Vikram Jog, and each of them, as his or her true and lawful attorneys-in-fact and agents, with full power of substitution and resubstitution, for him or her and in his or her name, place and stead, in any and all capacities, to sign the Registration Statement on Form S-8 of Fluidigm Corporation, and any or all amendments thereto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for all intents and purposes as he might or could do in person, hereby and about the premises hereby ratifying and confirming all that said attorneys-in-fact and agent, proxy and agent, or his, her or their substitute or substitutes, may lawfully do or cause to be done by virtue hereof.</w:t>
      </w:r>
    </w:p>
    <w:p>
      <w:pPr>
        <w:spacing w:after="0" w:line="185"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Pursuant to the requirements of the Securities Act of 1933, this Registration Statement on Form S-8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244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9"/>
              </w:rPr>
              <w:t>Signature</w:t>
            </w:r>
          </w:p>
        </w:tc>
        <w:tc>
          <w:tcPr>
            <w:tcW w:w="2500" w:type="dxa"/>
            <w:vAlign w:val="bottom"/>
          </w:tcPr>
          <w:p>
            <w:pPr>
              <w:spacing w:after="0"/>
              <w:rPr>
                <w:sz w:val="14"/>
                <w:szCs w:val="14"/>
                <w:color w:val="auto"/>
              </w:rPr>
            </w:pPr>
          </w:p>
        </w:tc>
        <w:tc>
          <w:tcPr>
            <w:tcW w:w="250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gridSpan w:val="3"/>
          </w:tcPr>
          <w:p>
            <w:pPr>
              <w:jc w:val="center"/>
              <w:ind w:left="595"/>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Stephen Christopher Linthwaite</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4"/>
              </w:rPr>
              <w:t>President, Chief Executive Officer, and Director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4"/>
              </w:rPr>
              <w:t>Stephen Christopher Linthwaite</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7"/>
              </w:rPr>
              <w:t>(Principal Executive Officer)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Vikram Jog</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8"/>
              </w:rPr>
              <w:t>Chief Financial Officer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4"/>
              </w:rPr>
              <w:t>Vikram Jog</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7"/>
              </w:rPr>
              <w:t>(Principal Financial Officer)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Jennifer Lee</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3"/>
              </w:rPr>
              <w:t>Vice President, Controller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4"/>
              </w:rPr>
              <w:t>Jennifer Lee</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8"/>
              </w:rPr>
              <w:t>(Principal Accounting Officer)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Samuel D. Colella</w:t>
            </w:r>
          </w:p>
        </w:tc>
        <w:tc>
          <w:tcPr>
            <w:tcW w:w="5000" w:type="dxa"/>
            <w:vAlign w:val="bottom"/>
            <w:gridSpan w:val="3"/>
          </w:tcPr>
          <w:p>
            <w:pPr>
              <w:jc w:val="center"/>
              <w:ind w:left="193"/>
              <w:spacing w:after="0"/>
              <w:rPr>
                <w:sz w:val="20"/>
                <w:szCs w:val="20"/>
                <w:color w:val="auto"/>
              </w:rPr>
            </w:pPr>
            <w:r>
              <w:rPr>
                <w:rFonts w:ascii="Arial" w:cs="Arial" w:eastAsia="Arial" w:hAnsi="Arial"/>
                <w:sz w:val="17"/>
                <w:szCs w:val="17"/>
                <w:color w:val="auto"/>
                <w:w w:val="94"/>
              </w:rPr>
              <w:t>Chairman of the Board of Directors</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4"/>
              </w:rPr>
              <w:t>Samuel D. Colella</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Gerhard F. Burbach</w:t>
            </w:r>
          </w:p>
        </w:tc>
        <w:tc>
          <w:tcPr>
            <w:tcW w:w="5000" w:type="dxa"/>
            <w:vAlign w:val="bottom"/>
            <w:gridSpan w:val="3"/>
          </w:tcPr>
          <w:p>
            <w:pPr>
              <w:jc w:val="center"/>
              <w:ind w:left="173"/>
              <w:spacing w:after="0"/>
              <w:rPr>
                <w:sz w:val="20"/>
                <w:szCs w:val="20"/>
                <w:color w:val="auto"/>
              </w:rPr>
            </w:pPr>
            <w:r>
              <w:rPr>
                <w:rFonts w:ascii="Arial" w:cs="Arial" w:eastAsia="Arial" w:hAnsi="Arial"/>
                <w:sz w:val="17"/>
                <w:szCs w:val="17"/>
                <w:color w:val="auto"/>
                <w:w w:val="97"/>
              </w:rPr>
              <w:t>Director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0"/>
              </w:rPr>
              <w:t>Gerhard F. Burbach</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Evan Jones</w:t>
            </w:r>
          </w:p>
        </w:tc>
        <w:tc>
          <w:tcPr>
            <w:tcW w:w="5000" w:type="dxa"/>
            <w:vAlign w:val="bottom"/>
            <w:gridSpan w:val="3"/>
          </w:tcPr>
          <w:p>
            <w:pPr>
              <w:jc w:val="center"/>
              <w:ind w:left="173"/>
              <w:spacing w:after="0"/>
              <w:rPr>
                <w:sz w:val="20"/>
                <w:szCs w:val="20"/>
                <w:color w:val="auto"/>
              </w:rPr>
            </w:pPr>
            <w:r>
              <w:rPr>
                <w:rFonts w:ascii="Arial" w:cs="Arial" w:eastAsia="Arial" w:hAnsi="Arial"/>
                <w:sz w:val="17"/>
                <w:szCs w:val="17"/>
                <w:color w:val="auto"/>
                <w:w w:val="97"/>
              </w:rPr>
              <w:t>Director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0"/>
              </w:rPr>
              <w:t>Evan Jones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Patrick S. Jones</w:t>
            </w:r>
          </w:p>
        </w:tc>
        <w:tc>
          <w:tcPr>
            <w:tcW w:w="5000" w:type="dxa"/>
            <w:vAlign w:val="bottom"/>
            <w:gridSpan w:val="3"/>
          </w:tcPr>
          <w:p>
            <w:pPr>
              <w:jc w:val="center"/>
              <w:ind w:left="173"/>
              <w:spacing w:after="0"/>
              <w:rPr>
                <w:sz w:val="20"/>
                <w:szCs w:val="20"/>
                <w:color w:val="auto"/>
              </w:rPr>
            </w:pPr>
            <w:r>
              <w:rPr>
                <w:rFonts w:ascii="Arial" w:cs="Arial" w:eastAsia="Arial" w:hAnsi="Arial"/>
                <w:sz w:val="17"/>
                <w:szCs w:val="17"/>
                <w:color w:val="auto"/>
                <w:w w:val="97"/>
              </w:rPr>
              <w:t>Director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1"/>
              </w:rPr>
              <w:t>Patrick S. Jones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0"/>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John A. Young</w:t>
            </w:r>
          </w:p>
        </w:tc>
        <w:tc>
          <w:tcPr>
            <w:tcW w:w="5000" w:type="dxa"/>
            <w:vAlign w:val="bottom"/>
            <w:gridSpan w:val="3"/>
          </w:tcPr>
          <w:p>
            <w:pPr>
              <w:jc w:val="center"/>
              <w:ind w:left="173"/>
              <w:spacing w:after="0"/>
              <w:rPr>
                <w:sz w:val="20"/>
                <w:szCs w:val="20"/>
                <w:color w:val="auto"/>
              </w:rPr>
            </w:pPr>
            <w:r>
              <w:rPr>
                <w:rFonts w:ascii="Arial" w:cs="Arial" w:eastAsia="Arial" w:hAnsi="Arial"/>
                <w:sz w:val="17"/>
                <w:szCs w:val="17"/>
                <w:color w:val="auto"/>
                <w:w w:val="97"/>
              </w:rPr>
              <w:t>Director</w:t>
            </w:r>
          </w:p>
        </w:tc>
        <w:tc>
          <w:tcPr>
            <w:tcW w:w="1880" w:type="dxa"/>
            <w:vAlign w:val="bottom"/>
            <w:gridSpan w:val="3"/>
          </w:tcPr>
          <w:p>
            <w:pPr>
              <w:jc w:val="center"/>
              <w:ind w:left="595"/>
              <w:spacing w:after="0"/>
              <w:rPr>
                <w:sz w:val="20"/>
                <w:szCs w:val="20"/>
                <w:color w:val="auto"/>
              </w:rPr>
            </w:pPr>
            <w:r>
              <w:rPr>
                <w:rFonts w:ascii="Arial" w:cs="Arial" w:eastAsia="Arial" w:hAnsi="Arial"/>
                <w:sz w:val="17"/>
                <w:szCs w:val="17"/>
                <w:color w:val="auto"/>
                <w:w w:val="91"/>
              </w:rPr>
              <w:t>January 13, 2017</w:t>
            </w:r>
          </w:p>
        </w:tc>
      </w:tr>
      <w:tr>
        <w:trPr>
          <w:trHeight w:val="215"/>
        </w:trPr>
        <w:tc>
          <w:tcPr>
            <w:tcW w:w="4280" w:type="dxa"/>
            <w:vAlign w:val="bottom"/>
            <w:gridSpan w:val="3"/>
          </w:tcPr>
          <w:p>
            <w:pPr>
              <w:jc w:val="center"/>
              <w:spacing w:after="0"/>
              <w:rPr>
                <w:sz w:val="20"/>
                <w:szCs w:val="20"/>
                <w:color w:val="auto"/>
              </w:rPr>
            </w:pPr>
            <w:r>
              <w:rPr>
                <w:rFonts w:ascii="Arial" w:cs="Arial" w:eastAsia="Arial" w:hAnsi="Arial"/>
                <w:sz w:val="17"/>
                <w:szCs w:val="17"/>
                <w:color w:val="auto"/>
                <w:w w:val="93"/>
              </w:rPr>
              <w:t>John A. Young</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ectPr>
          <w:pgSz w:w="11900" w:h="16838" w:orient="portrait"/>
          <w:cols w:equalWidth="0" w:num="1">
            <w:col w:w="11420"/>
          </w:cols>
          <w:pgMar w:left="240" w:top="265" w:right="2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Incorporated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460"/>
              <w:spacing w:after="0" w:line="144" w:lineRule="exact"/>
              <w:rPr>
                <w:sz w:val="20"/>
                <w:szCs w:val="20"/>
                <w:color w:val="auto"/>
              </w:rPr>
            </w:pPr>
            <w:r>
              <w:rPr>
                <w:rFonts w:ascii="Arial" w:cs="Arial" w:eastAsia="Arial" w:hAnsi="Arial"/>
                <w:sz w:val="14"/>
                <w:szCs w:val="14"/>
                <w:b w:val="1"/>
                <w:bCs w:val="1"/>
                <w:color w:val="auto"/>
                <w:w w:val="88"/>
              </w:rPr>
              <w:t>by Reference</w:t>
            </w: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From Exhibit</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w:t>
            </w:r>
          </w:p>
        </w:tc>
        <w:tc>
          <w:tcPr>
            <w:tcW w:w="7320" w:type="dxa"/>
            <w:vAlign w:val="bottom"/>
            <w:gridSpan w:val="3"/>
          </w:tcPr>
          <w:p>
            <w:pPr>
              <w:ind w:left="3420"/>
              <w:spacing w:after="0" w:line="147" w:lineRule="exact"/>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8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From Form</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Number</w:t>
            </w:r>
          </w:p>
        </w:tc>
        <w:tc>
          <w:tcPr>
            <w:tcW w:w="1160" w:type="dxa"/>
            <w:vAlign w:val="bottom"/>
            <w:gridSpan w:val="3"/>
          </w:tcPr>
          <w:p>
            <w:pPr>
              <w:ind w:left="440"/>
              <w:spacing w:after="0" w:line="147" w:lineRule="exact"/>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4.1</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Specimen Common Stock Certificate of the Registrant.</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4.2+</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2017 Inducement Award Plan and related form agreements.</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1/11/2017</w:t>
            </w: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4.3+</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2011 Equity Incentive Plan of Fluidigm Corporation.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S-1/A</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1/28/2011</w:t>
            </w:r>
          </w:p>
        </w:tc>
        <w:tc>
          <w:tcPr>
            <w:tcW w:w="0" w:type="dxa"/>
            <w:vAlign w:val="bottom"/>
          </w:tcPr>
          <w:p>
            <w:pPr>
              <w:spacing w:after="0"/>
              <w:rPr>
                <w:sz w:val="1"/>
                <w:szCs w:val="1"/>
                <w:color w:val="auto"/>
              </w:rPr>
            </w:pPr>
          </w:p>
        </w:tc>
      </w:tr>
      <w:tr>
        <w:trPr>
          <w:trHeight w:val="314"/>
        </w:trPr>
        <w:tc>
          <w:tcPr>
            <w:tcW w:w="500" w:type="dxa"/>
            <w:vAlign w:val="bottom"/>
          </w:tcPr>
          <w:p>
            <w:pPr>
              <w:jc w:val="center"/>
              <w:spacing w:after="0"/>
              <w:rPr>
                <w:sz w:val="20"/>
                <w:szCs w:val="20"/>
                <w:color w:val="auto"/>
              </w:rPr>
            </w:pPr>
            <w:r>
              <w:rPr>
                <w:rFonts w:ascii="Arial" w:cs="Arial" w:eastAsia="Arial" w:hAnsi="Arial"/>
                <w:sz w:val="17"/>
                <w:szCs w:val="17"/>
                <w:color w:val="auto"/>
                <w:w w:val="89"/>
              </w:rPr>
              <w:t>4.4+</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Forms of agreements under the 2011 Equity Incentive Plan.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S-1/A</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10.4A</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2"/>
              </w:rPr>
              <w:t>1/28/2011</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4.5</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Tax Benefit Preservation Plan, dated as of November 21, 2016, by and between Fluidigm</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Corporation and Computershare Inc., as Rights Agent.</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1"/>
              </w:rPr>
              <w:t>11/22/2016</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4.6</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w w:val="95"/>
              </w:rPr>
              <w:t>Indenture, dated February 4, 2014, by and between Fluidigm Corporation and U.S. Bank National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Association.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4.7</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w w:val="97"/>
              </w:rPr>
              <w:t>First Supplement Indenture, dated February 4, 2014, by and between Fluidigm Corporation and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U.S. Bank National Association.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4.8</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Form of Global Note (included in Exhibit 4.3).</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8-K</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160" w:type="dxa"/>
            <w:vAlign w:val="bottom"/>
            <w:gridSpan w:val="3"/>
          </w:tcPr>
          <w:p>
            <w:pPr>
              <w:jc w:val="center"/>
              <w:ind w:left="295"/>
              <w:spacing w:after="0"/>
              <w:rPr>
                <w:sz w:val="20"/>
                <w:szCs w:val="20"/>
                <w:color w:val="auto"/>
              </w:rPr>
            </w:pPr>
            <w:r>
              <w:rPr>
                <w:rFonts w:ascii="Arial" w:cs="Arial" w:eastAsia="Arial" w:hAnsi="Arial"/>
                <w:sz w:val="17"/>
                <w:szCs w:val="17"/>
                <w:color w:val="auto"/>
                <w:w w:val="93"/>
              </w:rPr>
              <w:t>2/4/2014</w:t>
            </w: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Opinion of Wilson Sonsini Goodrich &amp; Rosati, Professional Corporation.</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23.1</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23.2</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Consent of Ernst &amp; Young LLP, Independent Registered Public Accounting Firm.</w:t>
            </w:r>
          </w:p>
        </w:tc>
        <w:tc>
          <w:tcPr>
            <w:tcW w:w="1540" w:type="dxa"/>
            <w:vAlign w:val="bottom"/>
            <w:gridSpan w:val="3"/>
          </w:tcPr>
          <w:p>
            <w:pPr>
              <w:ind w:left="160"/>
              <w:spacing w:after="0"/>
              <w:rPr>
                <w:sz w:val="20"/>
                <w:szCs w:val="20"/>
                <w:color w:val="auto"/>
              </w:rPr>
            </w:pPr>
            <w:r>
              <w:rPr>
                <w:rFonts w:ascii="Arial" w:cs="Arial" w:eastAsia="Arial" w:hAnsi="Arial"/>
                <w:sz w:val="17"/>
                <w:szCs w:val="17"/>
                <w:color w:val="auto"/>
              </w:rPr>
              <w:t>Filed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23.3</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w w:val="96"/>
              </w:rPr>
              <w:t>Consent of Wilson Sonsini Goodrich &amp; Rosati, Professional Corporation (contained in Exhibit 5.1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hereto).</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500" w:type="dxa"/>
            <w:vAlign w:val="bottom"/>
          </w:tcPr>
          <w:p>
            <w:pPr>
              <w:jc w:val="right"/>
              <w:ind w:right="95"/>
              <w:spacing w:after="0"/>
              <w:rPr>
                <w:sz w:val="20"/>
                <w:szCs w:val="20"/>
                <w:color w:val="auto"/>
              </w:rPr>
            </w:pPr>
            <w:r>
              <w:rPr>
                <w:rFonts w:ascii="Arial" w:cs="Arial" w:eastAsia="Arial" w:hAnsi="Arial"/>
                <w:sz w:val="17"/>
                <w:szCs w:val="17"/>
                <w:color w:val="auto"/>
                <w:w w:val="90"/>
              </w:rPr>
              <w:t>24.1</w:t>
            </w:r>
          </w:p>
        </w:tc>
        <w:tc>
          <w:tcPr>
            <w:tcW w:w="7320" w:type="dxa"/>
            <w:vAlign w:val="bottom"/>
            <w:gridSpan w:val="3"/>
          </w:tcPr>
          <w:p>
            <w:pPr>
              <w:ind w:left="320"/>
              <w:spacing w:after="0"/>
              <w:rPr>
                <w:sz w:val="20"/>
                <w:szCs w:val="20"/>
                <w:color w:val="auto"/>
              </w:rPr>
            </w:pPr>
            <w:r>
              <w:rPr>
                <w:rFonts w:ascii="Arial" w:cs="Arial" w:eastAsia="Arial" w:hAnsi="Arial"/>
                <w:sz w:val="17"/>
                <w:szCs w:val="17"/>
                <w:color w:val="auto"/>
              </w:rPr>
              <w:t>Power of Attorney (contained on signature page hereto).</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Indicates management contract or compensatory plan, contract or arrangement.</w:t>
      </w:r>
    </w:p>
    <w:p>
      <w:pPr>
        <w:sectPr>
          <w:pgSz w:w="11900" w:h="16838" w:orient="portrait"/>
          <w:cols w:equalWidth="0" w:num="1">
            <w:col w:w="11320"/>
          </w:cols>
          <w:pgMar w:left="240" w:top="265" w:right="339" w:bottom="1440" w:gutter="0" w:footer="0" w:header="0"/>
        </w:sectPr>
      </w:pPr>
    </w:p>
    <w:bookmarkStart w:id="8" w:name="page9"/>
    <w:bookmarkEnd w:id="8"/>
    <w:p>
      <w:pPr>
        <w:ind w:left="940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177800</wp:posOffset>
            </wp:positionV>
            <wp:extent cx="7312025" cy="4481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448183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7375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7375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5.1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OPINION OF WILSON SONSINI GOODRICH &amp; ROSATI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PROFESSIONAL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January 13,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5"/>
          <w:szCs w:val="15"/>
          <w:b w:val="1"/>
          <w:bCs w:val="1"/>
          <w:color w:val="auto"/>
        </w:rPr>
        <w:t>Registration Statement on Form S-8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We have examined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Fluidigm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on or about the date hereof, in connection with the registration under the Securities Act of 1933, as amended, of an aggregate of 3,000,000 shares of the Company’s common stock, par value $0.001 per share, consisting of: (i) 1,000,000 additional shares of common stock reserved for future issuance pursuant to the Fluidigm Corporation 2011 Equity Incentive Plan; and (ii) 2,000,000 shares of common stock reserved for future issuance pursuant to the Fluidigm Corporation 2017 Inducement Award Plan (which plans are referred to herein as the “</w:t>
      </w:r>
      <w:r>
        <w:rPr>
          <w:rFonts w:ascii="Arial" w:cs="Arial" w:eastAsia="Arial" w:hAnsi="Arial"/>
          <w:sz w:val="16"/>
          <w:szCs w:val="16"/>
          <w:b w:val="1"/>
          <w:bCs w:val="1"/>
          <w:color w:val="auto"/>
        </w:rPr>
        <w:t>Plans</w:t>
      </w:r>
      <w:r>
        <w:rPr>
          <w:rFonts w:ascii="Arial" w:cs="Arial" w:eastAsia="Arial" w:hAnsi="Arial"/>
          <w:sz w:val="16"/>
          <w:szCs w:val="16"/>
          <w:color w:val="auto"/>
        </w:rPr>
        <w:t>” and which shares of Common Stock are referred to herein as the “</w:t>
      </w:r>
      <w:r>
        <w:rPr>
          <w:rFonts w:ascii="Arial" w:cs="Arial" w:eastAsia="Arial" w:hAnsi="Arial"/>
          <w:sz w:val="16"/>
          <w:szCs w:val="16"/>
          <w:b w:val="1"/>
          <w:bCs w:val="1"/>
          <w:color w:val="auto"/>
        </w:rPr>
        <w:t>Shares</w:t>
      </w:r>
      <w:r>
        <w:rPr>
          <w:rFonts w:ascii="Arial" w:cs="Arial" w:eastAsia="Arial" w:hAnsi="Arial"/>
          <w:sz w:val="16"/>
          <w:szCs w:val="16"/>
          <w:color w:val="auto"/>
        </w:rPr>
        <w:t>”) and preferred share purchase rights (the “</w:t>
      </w:r>
      <w:r>
        <w:rPr>
          <w:rFonts w:ascii="Arial" w:cs="Arial" w:eastAsia="Arial" w:hAnsi="Arial"/>
          <w:sz w:val="16"/>
          <w:szCs w:val="16"/>
          <w:b w:val="1"/>
          <w:bCs w:val="1"/>
          <w:color w:val="auto"/>
        </w:rPr>
        <w:t>Rights</w:t>
      </w:r>
      <w:r>
        <w:rPr>
          <w:rFonts w:ascii="Arial" w:cs="Arial" w:eastAsia="Arial" w:hAnsi="Arial"/>
          <w:sz w:val="16"/>
          <w:szCs w:val="16"/>
          <w:color w:val="auto"/>
        </w:rPr>
        <w:t>”) associated with the shares of common stock issuable upon exercise of the Shares to be issued pursuant to that certain Tax Benefit Preservation Plan, dated as of November 21, 2016, by and between the Company and Computershare Inc., as Rights Agent. As your legal counsel, we have examined the proceedings taken and are familiar with the actions proposed to be taken by you in connection with the issuance and sale of the Shares under the Plans and pursuant to the agreements related thereto. In such examination, we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72"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It is our opinion that the Shares, when issued and sold in the manner referred to in the Plans and pursuant to the agreements that accompany the Plans, will be legally and validly issued, fully paid and nonassessable.</w:t>
      </w:r>
    </w:p>
    <w:p>
      <w:pPr>
        <w:spacing w:after="0" w:line="158" w:lineRule="exact"/>
        <w:rPr>
          <w:sz w:val="20"/>
          <w:szCs w:val="20"/>
          <w:color w:val="auto"/>
        </w:rPr>
      </w:pPr>
    </w:p>
    <w:p>
      <w:pPr>
        <w:ind w:right="480" w:firstLine="457"/>
        <w:spacing w:after="0" w:line="289"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the use of our name wherever appearing in the Registration Statement and any amendments thereto.</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WILSON SONSINI GOODRICH &amp; ROSATI</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Professional Corporation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Wilson Sonsini Goodrich &amp; Rosati</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February 29, 2016, relating to the financial statements, financial statement schedule, and the effectiveness of internal control over financial reporting, which appears in Fluidigm Corporation’s Annual Report on Form 10-K for the year ended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San Jose, California</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January 13, 2017</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We consent to the incorporation by reference in the Registration Statement (Form S-8) for the registration of 1,000,000 shares of common stock pertaining to the Fluidigm Corporation 2011 Equity Incentive Plan and 2,000,000 shares of common stock pertaining to the Fluidigm Corporation 2017 Inducement Award Plan of our report dated February 29, 2016, with respect to the consolidated financial statements and schedule of Fluidigm Corporation included in its Annual Report (Form 10-K) for the year ended December 31, 2015,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January 13, 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upperLetter"/>
      <w:start w:val="1"/>
    </w:lvl>
    <w:lvl w:ilvl="1">
      <w:lvlJc w:val="left"/>
      <w:lvlText w:val="(%2)"/>
      <w:numFmt w:val="decimal"/>
      <w:start w:val="2"/>
    </w:lvl>
  </w:abstractNum>
  <w:abstractNum w:abstractNumId="5">
    <w:nsid w:val="507ED7A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2019-12-06T17:10:07Z</dcterms:created>
  <dcterms:modified xsi:type="dcterms:W3CDTF">2019-12-06T17:10:07Z</dcterms:modified>
</cp:coreProperties>
</file>