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May 2, 2019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210"/>
        </w:trPr>
        <w:tc>
          <w:tcPr>
            <w:tcW w:w="46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r>
        <w:trPr>
          <w:trHeight w:val="244"/>
        </w:trPr>
        <w:tc>
          <w:tcPr>
            <w:tcW w:w="4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361"/>
        </w:trPr>
        <w:tc>
          <w:tcPr>
            <w:tcW w:w="46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On May 2, 2019, Fluidigm Corporation issued a press release reporting its financial results for the first fiscal quarter of 2019. A copy of the press release is furnished herewith as Exhibit 99.1.</w:t>
      </w:r>
    </w:p>
    <w:p>
      <w:pPr>
        <w:spacing w:after="0" w:line="170" w:lineRule="exact"/>
        <w:rPr>
          <w:sz w:val="20"/>
          <w:szCs w:val="20"/>
          <w:color w:val="auto"/>
        </w:rPr>
      </w:pPr>
    </w:p>
    <w:p>
      <w:pPr>
        <w:ind w:right="300" w:firstLine="389"/>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310"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Fluidigm Corporation Press Release dated May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420" w:type="dxa"/>
            <w:vAlign w:val="bottom"/>
            <w:gridSpan w:val="3"/>
          </w:tcPr>
          <w:p>
            <w:pPr>
              <w:ind w:left="208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460" w:type="dxa"/>
            <w:vAlign w:val="bottom"/>
          </w:tcPr>
          <w:p>
            <w:pPr>
              <w:spacing w:after="0"/>
              <w:rPr>
                <w:sz w:val="20"/>
                <w:szCs w:val="20"/>
                <w:color w:val="auto"/>
              </w:rPr>
            </w:pPr>
            <w:r>
              <w:rPr>
                <w:rFonts w:ascii="Arial" w:cs="Arial" w:eastAsia="Arial" w:hAnsi="Arial"/>
                <w:sz w:val="18"/>
                <w:szCs w:val="18"/>
                <w:color w:val="auto"/>
              </w:rPr>
              <w:t>Date: May 2, 2019</w:t>
            </w:r>
          </w:p>
        </w:tc>
        <w:tc>
          <w:tcPr>
            <w:tcW w:w="4420" w:type="dxa"/>
            <w:vAlign w:val="bottom"/>
            <w:gridSpan w:val="3"/>
          </w:tcPr>
          <w:p>
            <w:pPr>
              <w:ind w:left="2080"/>
              <w:spacing w:after="0"/>
              <w:rPr>
                <w:sz w:val="20"/>
                <w:szCs w:val="20"/>
                <w:color w:val="auto"/>
              </w:rPr>
            </w:pPr>
            <w:r>
              <w:rPr>
                <w:rFonts w:ascii="Arial" w:cs="Arial" w:eastAsia="Arial" w:hAnsi="Arial"/>
                <w:sz w:val="18"/>
                <w:szCs w:val="18"/>
                <w:color w:val="auto"/>
              </w:rPr>
              <w:t>By: /s/ Vikram Jog</w:t>
            </w:r>
          </w:p>
        </w:tc>
      </w:tr>
      <w:tr>
        <w:trPr>
          <w:trHeight w:val="222"/>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6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Fluidigm Announces First Quarter 2019 Financial Results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First quarter revenue increased 19 percent to $30.1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Mass cytometry revenue growth of 110 percent in first quarter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Strong mass cytometry and Imaging Mass Cytometry instrument adoption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First complete sample-to-answer solution for deep immune profiling in mass cytometry</w:t>
      </w:r>
    </w:p>
    <w:p>
      <w:pPr>
        <w:spacing w:after="0" w:line="206"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SOUTH SAN FRANCISCO, Calif., May 02, 2019 (GLOBE NEWSWIRE) -- Fluidigm Corporation (NASDAQ:FLDM) today announced financial results for the first quarter ended March 31, 2019.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First Quarter 2019</w:t>
      </w:r>
    </w:p>
    <w:p>
      <w:pPr>
        <w:spacing w:after="0" w:line="188" w:lineRule="exact"/>
        <w:rPr>
          <w:sz w:val="20"/>
          <w:szCs w:val="20"/>
          <w:color w:val="auto"/>
        </w:rPr>
      </w:pPr>
    </w:p>
    <w:p>
      <w:pPr>
        <w:ind w:left="540" w:right="500"/>
        <w:spacing w:after="0" w:line="239" w:lineRule="auto"/>
        <w:rPr>
          <w:sz w:val="20"/>
          <w:szCs w:val="20"/>
          <w:color w:val="auto"/>
        </w:rPr>
      </w:pPr>
      <w:r>
        <w:rPr>
          <w:rFonts w:ascii="Arial" w:cs="Arial" w:eastAsia="Arial" w:hAnsi="Arial"/>
          <w:sz w:val="22"/>
          <w:szCs w:val="22"/>
          <w:color w:val="auto"/>
        </w:rPr>
        <w:t>Total revenue increased 19 percent to $30.1 million from $25.2 million in the first quarter of 2018, with mass cytometry revenue growth of 110 percent compared to the year 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80" w:lineRule="auto"/>
        <w:rPr>
          <w:sz w:val="20"/>
          <w:szCs w:val="20"/>
          <w:color w:val="auto"/>
        </w:rPr>
      </w:pPr>
      <w:r>
        <w:rPr>
          <w:rFonts w:ascii="Arial" w:cs="Arial" w:eastAsia="Arial" w:hAnsi="Arial"/>
          <w:sz w:val="19"/>
          <w:szCs w:val="19"/>
          <w:color w:val="auto"/>
        </w:rPr>
        <w:t>GAAP net loss was $25.5 million, compared with a GAAP net loss of $13.2 million for the first quarter of 2018. GAAP net loss was higher in the first quarter of 2019 primarily due to a loss of $9.0 million associated with extinguishment of $150 million principal value of convertible debt, as well as higher employee-related and business development expenses. Non-GAAP net loss was $8.2 million, compared with a $6.3 million non-GAAP net loss for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-597535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-133985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1"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“Demand for Helios™ and Hyperion™ Imaging Systems was exceptional. In addition, the quarter featured new product innovation and movement to a stronger balance sheet,” said Chris Linthwaite, President and CEO.</w:t>
      </w:r>
    </w:p>
    <w:p>
      <w:pPr>
        <w:spacing w:after="0" w:line="20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“This quarter, most of our instrument placements were to new customers. We believe this may signal an expanding market opportunity as interest in spatial relationships in the tumor microenvironment stimulates new research in immuno-oncology. We have seen growth of this type of research in Imaging Mass Cytometry™ globally, including, notably over the last couple of quarters, in Japan. For example, today we announced that a leading cancer center in Japan adopted the Hyperion Imaging System to explore novel immunotherapy targets in colorectal cancer. As instrument adoption grows, expanding content and workflow</w:t>
      </w:r>
    </w:p>
    <w:p>
      <w:pPr>
        <w:ind w:right="220"/>
        <w:spacing w:after="0" w:line="246" w:lineRule="auto"/>
        <w:rPr>
          <w:sz w:val="20"/>
          <w:szCs w:val="20"/>
          <w:color w:val="auto"/>
        </w:rPr>
      </w:pPr>
      <w:r>
        <w:rPr>
          <w:rFonts w:ascii="Arial" w:cs="Arial" w:eastAsia="Arial" w:hAnsi="Arial"/>
          <w:sz w:val="19"/>
          <w:szCs w:val="19"/>
          <w:color w:val="auto"/>
        </w:rPr>
        <w:t>solutions remains the bedrock of our customer-oriented strategy. In March, we launched the Maxpar</w:t>
      </w:r>
      <w:r>
        <w:rPr>
          <w:rFonts w:ascii="Arial" w:cs="Arial" w:eastAsia="Arial" w:hAnsi="Arial"/>
          <w:sz w:val="31"/>
          <w:szCs w:val="31"/>
          <w:color w:val="auto"/>
          <w:vertAlign w:val="superscript"/>
        </w:rPr>
        <w:t>®</w:t>
      </w:r>
      <w:r>
        <w:rPr>
          <w:rFonts w:ascii="Arial" w:cs="Arial" w:eastAsia="Arial" w:hAnsi="Arial"/>
          <w:sz w:val="19"/>
          <w:szCs w:val="19"/>
          <w:color w:val="auto"/>
        </w:rPr>
        <w:t xml:space="preserve"> Direct™ Immune Profiling Assay, empowering pushbutton characterization of key elements of the human immune response with mass cytometry. For microfluidics, we recently introduced customers to two exciting Advanta™ oncology assays in development that we expect to launch by the end of the second quarter. We anticipate additional product announcements soon,” added Linthwaite.</w:t>
      </w:r>
    </w:p>
    <w:p>
      <w:pPr>
        <w:spacing w:after="0" w:line="182" w:lineRule="exact"/>
        <w:rPr>
          <w:sz w:val="20"/>
          <w:szCs w:val="20"/>
          <w:color w:val="auto"/>
        </w:rPr>
      </w:pPr>
    </w:p>
    <w:p>
      <w:pPr>
        <w:jc w:val="both"/>
        <w:ind w:right="280"/>
        <w:spacing w:after="0" w:line="258" w:lineRule="auto"/>
        <w:rPr>
          <w:sz w:val="20"/>
          <w:szCs w:val="20"/>
          <w:color w:val="auto"/>
        </w:rPr>
      </w:pPr>
      <w:r>
        <w:rPr>
          <w:rFonts w:ascii="Arial" w:cs="Arial" w:eastAsia="Arial" w:hAnsi="Arial"/>
          <w:sz w:val="21"/>
          <w:szCs w:val="21"/>
          <w:color w:val="auto"/>
        </w:rPr>
        <w:t>“Since the beginning of the year, we have strengthened our balance sheet with the conversion of our 2018 notes. We have a solid financial foundation to accelerate growth through a multi-omics strategy providing customers with tools to drive new insights in health and disease, identify meaningful biomarkers and accelerate therapeutic development.”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A full reconciliation of GAAP to non-GAAP measures can be found in the tables of this news release.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2019 Results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by category: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4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Category</w:t>
            </w:r>
          </w:p>
        </w:tc>
        <w:tc>
          <w:tcPr>
            <w:tcW w:w="3620" w:type="dxa"/>
            <w:vAlign w:val="bottom"/>
            <w:tcBorders>
              <w:top w:val="single" w:sz="8" w:color="auto"/>
            </w:tcBorders>
          </w:tcPr>
          <w:p>
            <w:pPr>
              <w:jc w:val="center"/>
              <w:ind w:left="372"/>
              <w:spacing w:after="0" w:line="243" w:lineRule="exact"/>
              <w:rPr>
                <w:sz w:val="20"/>
                <w:szCs w:val="20"/>
                <w:color w:val="auto"/>
              </w:rPr>
            </w:pPr>
            <w:r>
              <w:rPr>
                <w:rFonts w:ascii="Arial" w:cs="Arial" w:eastAsia="Arial" w:hAnsi="Arial"/>
                <w:sz w:val="22"/>
                <w:szCs w:val="22"/>
                <w:b w:val="1"/>
                <w:bCs w:val="1"/>
                <w:color w:val="auto"/>
                <w:w w:val="87"/>
              </w:rPr>
              <w:t>Revenue by Category</w:t>
            </w:r>
          </w:p>
        </w:tc>
        <w:tc>
          <w:tcPr>
            <w:tcW w:w="2820" w:type="dxa"/>
            <w:vAlign w:val="bottom"/>
            <w:tcBorders>
              <w:top w:val="single" w:sz="8" w:color="auto"/>
            </w:tcBorders>
          </w:tcPr>
          <w:p>
            <w:pPr>
              <w:jc w:val="center"/>
              <w:ind w:right="152"/>
              <w:spacing w:after="0" w:line="243" w:lineRule="exact"/>
              <w:rPr>
                <w:sz w:val="20"/>
                <w:szCs w:val="20"/>
                <w:color w:val="auto"/>
              </w:rPr>
            </w:pPr>
            <w:r>
              <w:rPr>
                <w:rFonts w:ascii="Arial" w:cs="Arial" w:eastAsia="Arial" w:hAnsi="Arial"/>
                <w:sz w:val="22"/>
                <w:szCs w:val="22"/>
                <w:b w:val="1"/>
                <w:bCs w:val="1"/>
                <w:color w:val="auto"/>
                <w:w w:val="89"/>
              </w:rPr>
              <w:t>Year-over-Year</w:t>
            </w:r>
          </w:p>
        </w:tc>
        <w:tc>
          <w:tcPr>
            <w:tcW w:w="2740" w:type="dxa"/>
            <w:vAlign w:val="bottom"/>
            <w:tcBorders>
              <w:top w:val="single" w:sz="8" w:color="auto"/>
            </w:tcBorders>
          </w:tcPr>
          <w:p>
            <w:pPr>
              <w:jc w:val="center"/>
              <w:ind w:right="12"/>
              <w:spacing w:after="0" w:line="243" w:lineRule="exact"/>
              <w:rPr>
                <w:sz w:val="20"/>
                <w:szCs w:val="20"/>
                <w:color w:val="auto"/>
              </w:rPr>
            </w:pPr>
            <w:r>
              <w:rPr>
                <w:rFonts w:ascii="Arial" w:cs="Arial" w:eastAsia="Arial" w:hAnsi="Arial"/>
                <w:sz w:val="22"/>
                <w:szCs w:val="22"/>
                <w:b w:val="1"/>
                <w:bCs w:val="1"/>
                <w:color w:val="auto"/>
                <w:w w:val="93"/>
              </w:rPr>
              <w:t>% of Total</w:t>
            </w:r>
          </w:p>
        </w:tc>
      </w:tr>
      <w:tr>
        <w:trPr>
          <w:trHeight w:val="282"/>
        </w:trPr>
        <w:tc>
          <w:tcPr>
            <w:tcW w:w="22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b w:val="1"/>
                <w:bCs w:val="1"/>
                <w:color w:val="auto"/>
                <w:w w:val="86"/>
              </w:rPr>
              <w:t>Change</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w:t>
            </w:r>
          </w:p>
        </w:tc>
      </w:tr>
      <w:tr>
        <w:trPr>
          <w:trHeight w:val="257"/>
        </w:trPr>
        <w:tc>
          <w:tcPr>
            <w:tcW w:w="2240" w:type="dxa"/>
            <w:vAlign w:val="bottom"/>
          </w:tcPr>
          <w:p>
            <w:pPr>
              <w:ind w:left="20"/>
              <w:spacing w:after="0"/>
              <w:rPr>
                <w:sz w:val="20"/>
                <w:szCs w:val="20"/>
                <w:color w:val="auto"/>
              </w:rPr>
            </w:pPr>
            <w:r>
              <w:rPr>
                <w:rFonts w:ascii="Arial" w:cs="Arial" w:eastAsia="Arial" w:hAnsi="Arial"/>
                <w:sz w:val="22"/>
                <w:szCs w:val="22"/>
                <w:color w:val="auto"/>
              </w:rPr>
              <w:t>Instruments</w:t>
            </w:r>
          </w:p>
        </w:tc>
        <w:tc>
          <w:tcPr>
            <w:tcW w:w="3620" w:type="dxa"/>
            <w:vAlign w:val="bottom"/>
          </w:tcPr>
          <w:p>
            <w:pPr>
              <w:jc w:val="center"/>
              <w:ind w:left="392"/>
              <w:spacing w:after="0"/>
              <w:rPr>
                <w:sz w:val="20"/>
                <w:szCs w:val="20"/>
                <w:color w:val="auto"/>
              </w:rPr>
            </w:pPr>
            <w:r>
              <w:rPr>
                <w:rFonts w:ascii="Arial" w:cs="Arial" w:eastAsia="Arial" w:hAnsi="Arial"/>
                <w:sz w:val="22"/>
                <w:szCs w:val="22"/>
                <w:color w:val="auto"/>
                <w:w w:val="93"/>
              </w:rPr>
              <w:t>$12.8 million</w:t>
            </w:r>
          </w:p>
        </w:tc>
        <w:tc>
          <w:tcPr>
            <w:tcW w:w="2820" w:type="dxa"/>
            <w:vAlign w:val="bottom"/>
          </w:tcPr>
          <w:p>
            <w:pPr>
              <w:jc w:val="center"/>
              <w:ind w:right="112"/>
              <w:spacing w:after="0"/>
              <w:rPr>
                <w:sz w:val="20"/>
                <w:szCs w:val="20"/>
                <w:color w:val="auto"/>
              </w:rPr>
            </w:pPr>
            <w:r>
              <w:rPr>
                <w:rFonts w:ascii="Arial" w:cs="Arial" w:eastAsia="Arial" w:hAnsi="Arial"/>
                <w:sz w:val="22"/>
                <w:szCs w:val="22"/>
                <w:color w:val="auto"/>
                <w:w w:val="90"/>
              </w:rPr>
              <w:t>71%</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43%</w:t>
            </w:r>
          </w:p>
        </w:tc>
      </w:tr>
      <w:tr>
        <w:trPr>
          <w:trHeight w:val="270"/>
        </w:trPr>
        <w:tc>
          <w:tcPr>
            <w:tcW w:w="2240" w:type="dxa"/>
            <w:vAlign w:val="bottom"/>
          </w:tcPr>
          <w:p>
            <w:pPr>
              <w:ind w:left="20"/>
              <w:spacing w:after="0"/>
              <w:rPr>
                <w:sz w:val="20"/>
                <w:szCs w:val="20"/>
                <w:color w:val="auto"/>
              </w:rPr>
            </w:pPr>
            <w:r>
              <w:rPr>
                <w:rFonts w:ascii="Arial" w:cs="Arial" w:eastAsia="Arial" w:hAnsi="Arial"/>
                <w:sz w:val="22"/>
                <w:szCs w:val="22"/>
                <w:color w:val="auto"/>
              </w:rPr>
              <w:t>Consumables</w:t>
            </w:r>
          </w:p>
        </w:tc>
        <w:tc>
          <w:tcPr>
            <w:tcW w:w="3620" w:type="dxa"/>
            <w:vAlign w:val="bottom"/>
          </w:tcPr>
          <w:p>
            <w:pPr>
              <w:jc w:val="center"/>
              <w:ind w:left="392"/>
              <w:spacing w:after="0"/>
              <w:rPr>
                <w:sz w:val="20"/>
                <w:szCs w:val="20"/>
                <w:color w:val="auto"/>
              </w:rPr>
            </w:pPr>
            <w:r>
              <w:rPr>
                <w:rFonts w:ascii="Arial" w:cs="Arial" w:eastAsia="Arial" w:hAnsi="Arial"/>
                <w:sz w:val="22"/>
                <w:szCs w:val="22"/>
                <w:color w:val="auto"/>
                <w:w w:val="93"/>
              </w:rPr>
              <w:t>$12.0 million</w:t>
            </w:r>
          </w:p>
        </w:tc>
        <w:tc>
          <w:tcPr>
            <w:tcW w:w="2820" w:type="dxa"/>
            <w:vAlign w:val="bottom"/>
          </w:tcPr>
          <w:p>
            <w:pPr>
              <w:jc w:val="center"/>
              <w:ind w:right="132"/>
              <w:spacing w:after="0"/>
              <w:rPr>
                <w:sz w:val="20"/>
                <w:szCs w:val="20"/>
                <w:color w:val="auto"/>
              </w:rPr>
            </w:pPr>
            <w:r>
              <w:rPr>
                <w:rFonts w:ascii="Arial" w:cs="Arial" w:eastAsia="Arial" w:hAnsi="Arial"/>
                <w:sz w:val="22"/>
                <w:szCs w:val="22"/>
                <w:color w:val="auto"/>
                <w:w w:val="90"/>
              </w:rPr>
              <w:t>(7%)</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40%</w:t>
            </w:r>
          </w:p>
        </w:tc>
      </w:tr>
      <w:tr>
        <w:trPr>
          <w:trHeight w:val="27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Service</w:t>
            </w:r>
          </w:p>
        </w:tc>
        <w:tc>
          <w:tcPr>
            <w:tcW w:w="3620" w:type="dxa"/>
            <w:vAlign w:val="bottom"/>
            <w:tcBorders>
              <w:bottom w:val="single" w:sz="8" w:color="auto"/>
            </w:tcBorders>
          </w:tcPr>
          <w:p>
            <w:pPr>
              <w:jc w:val="center"/>
              <w:ind w:left="372"/>
              <w:spacing w:after="0"/>
              <w:rPr>
                <w:sz w:val="20"/>
                <w:szCs w:val="20"/>
                <w:color w:val="auto"/>
              </w:rPr>
            </w:pPr>
            <w:r>
              <w:rPr>
                <w:rFonts w:ascii="Arial" w:cs="Arial" w:eastAsia="Arial" w:hAnsi="Arial"/>
                <w:sz w:val="22"/>
                <w:szCs w:val="22"/>
                <w:color w:val="auto"/>
                <w:w w:val="95"/>
              </w:rPr>
              <w:t>$5.3 million</w:t>
            </w:r>
          </w:p>
        </w:tc>
        <w:tc>
          <w:tcPr>
            <w:tcW w:w="282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w w:val="86"/>
              </w:rPr>
              <w:t>11%</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17%</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by market:</w:t>
      </w:r>
    </w:p>
    <w:p>
      <w:pPr>
        <w:spacing w:after="0" w:line="206" w:lineRule="exact"/>
        <w:rPr>
          <w:sz w:val="20"/>
          <w:szCs w:val="20"/>
          <w:color w:val="auto"/>
        </w:rPr>
      </w:pPr>
    </w:p>
    <w:p>
      <w:pPr>
        <w:ind w:left="540" w:right="100"/>
        <w:spacing w:after="0"/>
        <w:rPr>
          <w:sz w:val="20"/>
          <w:szCs w:val="20"/>
          <w:color w:val="auto"/>
        </w:rPr>
      </w:pPr>
      <w:r>
        <w:rPr>
          <w:rFonts w:ascii="Arial" w:cs="Arial" w:eastAsia="Arial" w:hAnsi="Arial"/>
          <w:sz w:val="22"/>
          <w:szCs w:val="22"/>
          <w:color w:val="auto"/>
        </w:rPr>
        <w:t>Mass cytometry revenue increased 110 percent to $18.8 million from $9.0 million in the prior year period. Mass cytometry product revenue increased 134 percent to $15.5 million from $6.6 million in the prior year due to higher sales of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left="540" w:right="640"/>
        <w:spacing w:after="0"/>
        <w:rPr>
          <w:sz w:val="20"/>
          <w:szCs w:val="20"/>
          <w:color w:val="auto"/>
        </w:rPr>
      </w:pPr>
      <w:r>
        <w:rPr>
          <w:rFonts w:ascii="Arial" w:cs="Arial" w:eastAsia="Arial" w:hAnsi="Arial"/>
          <w:sz w:val="22"/>
          <w:szCs w:val="22"/>
          <w:color w:val="auto"/>
        </w:rPr>
        <w:t>Microfluidics revenue decreased 30 percent to $11.4 million from $16.3 million in the prior year period. Microfluidics product revenue decreased 32 percent to $9.4 million from $13.9 million in the prior year period due to lower sales of instruments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 w:gutter="0" w:footer="0" w:header="0"/>
        </w:sectPr>
      </w:pPr>
    </w:p>
    <w:bookmarkStart w:id="4" w:name="page5"/>
    <w:bookmarkEnd w:id="4"/>
    <w:p>
      <w:pPr>
        <w:spacing w:after="0" w:line="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Total revenue by geographic area: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tcBorders>
              <w:top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Geographic Area</w:t>
            </w:r>
          </w:p>
        </w:tc>
        <w:tc>
          <w:tcPr>
            <w:tcW w:w="3000" w:type="dxa"/>
            <w:vAlign w:val="bottom"/>
            <w:tcBorders>
              <w:top w:val="single" w:sz="8" w:color="auto"/>
            </w:tcBorders>
          </w:tcPr>
          <w:p>
            <w:pPr>
              <w:jc w:val="center"/>
              <w:ind w:left="172"/>
              <w:spacing w:after="0" w:line="243" w:lineRule="exact"/>
              <w:rPr>
                <w:sz w:val="20"/>
                <w:szCs w:val="20"/>
                <w:color w:val="auto"/>
              </w:rPr>
            </w:pPr>
            <w:r>
              <w:rPr>
                <w:rFonts w:ascii="Arial" w:cs="Arial" w:eastAsia="Arial" w:hAnsi="Arial"/>
                <w:sz w:val="22"/>
                <w:szCs w:val="22"/>
                <w:b w:val="1"/>
                <w:bCs w:val="1"/>
                <w:color w:val="auto"/>
                <w:w w:val="87"/>
              </w:rPr>
              <w:t>Revenue by</w:t>
            </w:r>
          </w:p>
        </w:tc>
        <w:tc>
          <w:tcPr>
            <w:tcW w:w="3020" w:type="dxa"/>
            <w:vAlign w:val="bottom"/>
            <w:tcBorders>
              <w:top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Year-over-Year</w:t>
            </w:r>
          </w:p>
        </w:tc>
        <w:tc>
          <w:tcPr>
            <w:tcW w:w="2740" w:type="dxa"/>
            <w:vAlign w:val="bottom"/>
            <w:tcBorders>
              <w:top w:val="single" w:sz="8" w:color="auto"/>
            </w:tcBorders>
          </w:tcPr>
          <w:p>
            <w:pPr>
              <w:jc w:val="center"/>
              <w:ind w:right="12"/>
              <w:spacing w:after="0" w:line="243" w:lineRule="exact"/>
              <w:rPr>
                <w:sz w:val="20"/>
                <w:szCs w:val="20"/>
                <w:color w:val="auto"/>
              </w:rPr>
            </w:pPr>
            <w:r>
              <w:rPr>
                <w:rFonts w:ascii="Arial" w:cs="Arial" w:eastAsia="Arial" w:hAnsi="Arial"/>
                <w:sz w:val="22"/>
                <w:szCs w:val="22"/>
                <w:b w:val="1"/>
                <w:bCs w:val="1"/>
                <w:color w:val="auto"/>
                <w:w w:val="93"/>
              </w:rPr>
              <w:t>% of Total</w:t>
            </w:r>
          </w:p>
        </w:tc>
      </w:tr>
      <w:tr>
        <w:trPr>
          <w:trHeight w:val="282"/>
        </w:trPr>
        <w:tc>
          <w:tcPr>
            <w:tcW w:w="26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left="172"/>
              <w:spacing w:after="0"/>
              <w:rPr>
                <w:sz w:val="20"/>
                <w:szCs w:val="20"/>
                <w:color w:val="auto"/>
              </w:rPr>
            </w:pPr>
            <w:r>
              <w:rPr>
                <w:rFonts w:ascii="Arial" w:cs="Arial" w:eastAsia="Arial" w:hAnsi="Arial"/>
                <w:sz w:val="22"/>
                <w:szCs w:val="22"/>
                <w:b w:val="1"/>
                <w:bCs w:val="1"/>
                <w:color w:val="auto"/>
                <w:w w:val="89"/>
              </w:rPr>
              <w:t>Geography</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Change</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Revenue</w:t>
            </w:r>
          </w:p>
        </w:tc>
      </w:tr>
      <w:tr>
        <w:trPr>
          <w:trHeight w:val="257"/>
        </w:trPr>
        <w:tc>
          <w:tcPr>
            <w:tcW w:w="2660" w:type="dxa"/>
            <w:vAlign w:val="bottom"/>
          </w:tcPr>
          <w:p>
            <w:pPr>
              <w:ind w:left="20"/>
              <w:spacing w:after="0"/>
              <w:rPr>
                <w:sz w:val="20"/>
                <w:szCs w:val="20"/>
                <w:color w:val="auto"/>
              </w:rPr>
            </w:pPr>
            <w:r>
              <w:rPr>
                <w:rFonts w:ascii="Arial" w:cs="Arial" w:eastAsia="Arial" w:hAnsi="Arial"/>
                <w:sz w:val="22"/>
                <w:szCs w:val="22"/>
                <w:color w:val="auto"/>
              </w:rPr>
              <w:t>Americas</w:t>
            </w:r>
          </w:p>
        </w:tc>
        <w:tc>
          <w:tcPr>
            <w:tcW w:w="3000" w:type="dxa"/>
            <w:vAlign w:val="bottom"/>
          </w:tcPr>
          <w:p>
            <w:pPr>
              <w:jc w:val="center"/>
              <w:ind w:left="172"/>
              <w:spacing w:after="0"/>
              <w:rPr>
                <w:sz w:val="20"/>
                <w:szCs w:val="20"/>
                <w:color w:val="auto"/>
              </w:rPr>
            </w:pPr>
            <w:r>
              <w:rPr>
                <w:rFonts w:ascii="Arial" w:cs="Arial" w:eastAsia="Arial" w:hAnsi="Arial"/>
                <w:sz w:val="22"/>
                <w:szCs w:val="22"/>
                <w:color w:val="auto"/>
                <w:w w:val="93"/>
              </w:rPr>
              <w:t>$13.0 million</w:t>
            </w:r>
          </w:p>
        </w:tc>
        <w:tc>
          <w:tcPr>
            <w:tcW w:w="3020" w:type="dxa"/>
            <w:vAlign w:val="bottom"/>
          </w:tcPr>
          <w:p>
            <w:pPr>
              <w:jc w:val="center"/>
              <w:spacing w:after="0"/>
              <w:rPr>
                <w:sz w:val="20"/>
                <w:szCs w:val="20"/>
                <w:color w:val="auto"/>
              </w:rPr>
            </w:pPr>
            <w:r>
              <w:rPr>
                <w:rFonts w:ascii="Arial" w:cs="Arial" w:eastAsia="Arial" w:hAnsi="Arial"/>
                <w:sz w:val="22"/>
                <w:szCs w:val="22"/>
                <w:color w:val="auto"/>
                <w:w w:val="90"/>
              </w:rPr>
              <w:t>20%</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43%</w:t>
            </w:r>
          </w:p>
        </w:tc>
      </w:tr>
      <w:tr>
        <w:trPr>
          <w:trHeight w:val="270"/>
        </w:trPr>
        <w:tc>
          <w:tcPr>
            <w:tcW w:w="2660" w:type="dxa"/>
            <w:vAlign w:val="bottom"/>
          </w:tcPr>
          <w:p>
            <w:pPr>
              <w:ind w:left="20"/>
              <w:spacing w:after="0"/>
              <w:rPr>
                <w:sz w:val="20"/>
                <w:szCs w:val="20"/>
                <w:color w:val="auto"/>
              </w:rPr>
            </w:pPr>
            <w:r>
              <w:rPr>
                <w:rFonts w:ascii="Arial" w:cs="Arial" w:eastAsia="Arial" w:hAnsi="Arial"/>
                <w:sz w:val="22"/>
                <w:szCs w:val="22"/>
                <w:color w:val="auto"/>
              </w:rPr>
              <w:t>EMEA</w:t>
            </w:r>
          </w:p>
        </w:tc>
        <w:tc>
          <w:tcPr>
            <w:tcW w:w="3000" w:type="dxa"/>
            <w:vAlign w:val="bottom"/>
          </w:tcPr>
          <w:p>
            <w:pPr>
              <w:jc w:val="center"/>
              <w:ind w:left="152"/>
              <w:spacing w:after="0"/>
              <w:rPr>
                <w:sz w:val="20"/>
                <w:szCs w:val="20"/>
                <w:color w:val="auto"/>
              </w:rPr>
            </w:pPr>
            <w:r>
              <w:rPr>
                <w:rFonts w:ascii="Arial" w:cs="Arial" w:eastAsia="Arial" w:hAnsi="Arial"/>
                <w:sz w:val="22"/>
                <w:szCs w:val="22"/>
                <w:color w:val="auto"/>
                <w:w w:val="95"/>
              </w:rPr>
              <w:t>$8.1 million</w:t>
            </w:r>
          </w:p>
        </w:tc>
        <w:tc>
          <w:tcPr>
            <w:tcW w:w="3020" w:type="dxa"/>
            <w:vAlign w:val="bottom"/>
          </w:tcPr>
          <w:p>
            <w:pPr>
              <w:jc w:val="center"/>
              <w:spacing w:after="0"/>
              <w:rPr>
                <w:sz w:val="20"/>
                <w:szCs w:val="20"/>
                <w:color w:val="auto"/>
              </w:rPr>
            </w:pPr>
            <w:r>
              <w:rPr>
                <w:rFonts w:ascii="Arial" w:cs="Arial" w:eastAsia="Arial" w:hAnsi="Arial"/>
                <w:sz w:val="22"/>
                <w:szCs w:val="22"/>
                <w:color w:val="auto"/>
                <w:w w:val="90"/>
              </w:rPr>
              <w:t>(4%)</w:t>
            </w:r>
          </w:p>
        </w:tc>
        <w:tc>
          <w:tcPr>
            <w:tcW w:w="2740" w:type="dxa"/>
            <w:vAlign w:val="bottom"/>
          </w:tcPr>
          <w:p>
            <w:pPr>
              <w:jc w:val="center"/>
              <w:spacing w:after="0"/>
              <w:rPr>
                <w:sz w:val="20"/>
                <w:szCs w:val="20"/>
                <w:color w:val="auto"/>
              </w:rPr>
            </w:pPr>
            <w:r>
              <w:rPr>
                <w:rFonts w:ascii="Arial" w:cs="Arial" w:eastAsia="Arial" w:hAnsi="Arial"/>
                <w:sz w:val="22"/>
                <w:szCs w:val="22"/>
                <w:color w:val="auto"/>
                <w:w w:val="90"/>
              </w:rPr>
              <w:t>27%</w:t>
            </w:r>
          </w:p>
        </w:tc>
      </w:tr>
      <w:tr>
        <w:trPr>
          <w:trHeight w:val="276"/>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Asia Pacific</w:t>
            </w:r>
          </w:p>
        </w:tc>
        <w:tc>
          <w:tcPr>
            <w:tcW w:w="3000" w:type="dxa"/>
            <w:vAlign w:val="bottom"/>
            <w:tcBorders>
              <w:bottom w:val="single" w:sz="8" w:color="auto"/>
            </w:tcBorders>
          </w:tcPr>
          <w:p>
            <w:pPr>
              <w:jc w:val="center"/>
              <w:ind w:left="152"/>
              <w:spacing w:after="0"/>
              <w:rPr>
                <w:sz w:val="20"/>
                <w:szCs w:val="20"/>
                <w:color w:val="auto"/>
              </w:rPr>
            </w:pPr>
            <w:r>
              <w:rPr>
                <w:rFonts w:ascii="Arial" w:cs="Arial" w:eastAsia="Arial" w:hAnsi="Arial"/>
                <w:sz w:val="22"/>
                <w:szCs w:val="22"/>
                <w:color w:val="auto"/>
                <w:w w:val="95"/>
              </w:rPr>
              <w:t>$9.0 million</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51%</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30%</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Gross margin:</w:t>
      </w:r>
    </w:p>
    <w:p>
      <w:pPr>
        <w:spacing w:after="0" w:line="206"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GAAP gross margin was 56.4 percent in the first quarter of 2019 compared to 53.2 percent in the year ago period and 58.2 percent in the fourth quarter of 2018. Non-GAAP gross margin was 67.7 percent in the first quarter of 2019 compared to 67.1 percent in the year ago period and 69.3 percent in the fourth quarter of 2018. The year-over-year increase in gross margin was primarily due to higher plant utilization and to a lesser extent, higher service margins, offset by product mix. Sequentially, decreases in gross margins were primarily due to lower plant utilization and lower service margins. In the case of GAAP margin, the year-over-year increase was coupled with fixed amortization over higher revenue while the sequential decrease in gross margin was coupled with fixed amortization over lower revenue.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cash equivalents, and investments as of March 31, 2019:</w:t>
      </w:r>
    </w:p>
    <w:p>
      <w:pPr>
        <w:spacing w:after="0" w:line="233"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Cash, cash equivalents, and investments as of March 31, 2019, were $75.1 million. Cash, cash equivalents, and investments as of December 31, 2018, were $95.4 million.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Convertible notes</w:t>
      </w:r>
    </w:p>
    <w:p>
      <w:pPr>
        <w:spacing w:after="0" w:line="206"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Convertible debt decreased to $49.8 million, primarily due to the extinguishment of $150 million principal value of convertible promissory notes in the first quarter of 2019. As a result, the ongoing semi-annual interest payment associated with the convertible promissory notes remaining outstanding will be approximately $0.7 million, payable in the first and third quarters of the year.</w:t>
      </w: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Business Progress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product innovation:</w:t>
      </w:r>
    </w:p>
    <w:p>
      <w:pPr>
        <w:spacing w:after="0" w:line="212" w:lineRule="exact"/>
        <w:rPr>
          <w:sz w:val="20"/>
          <w:szCs w:val="20"/>
          <w:color w:val="auto"/>
        </w:rPr>
      </w:pPr>
    </w:p>
    <w:p>
      <w:pPr>
        <w:ind w:left="540" w:right="20"/>
        <w:spacing w:after="0" w:line="236" w:lineRule="auto"/>
        <w:rPr>
          <w:sz w:val="20"/>
          <w:szCs w:val="20"/>
          <w:color w:val="auto"/>
        </w:rPr>
      </w:pPr>
      <w:r>
        <w:rPr>
          <w:rFonts w:ascii="Arial" w:cs="Arial" w:eastAsia="Arial" w:hAnsi="Arial"/>
          <w:sz w:val="22"/>
          <w:szCs w:val="22"/>
          <w:color w:val="auto"/>
        </w:rPr>
        <w:t>Fluidigm introduced the Maxpar Direct Immune Profiling Assay, the first complete sample-to-answer solution for deep immune profiling by mass cytometry. The assay contains a 30-marker antibody panel to profile 37 different immune cell populations in a single tube with results reporting in just five minutes. The assay provides flexibility for researchers to add up to seven new antibodies to the panel to support study-specific goals and is reliable producing consistent results lot-to-lot, run-to-run and site-to-site.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-728345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expansion:</w:t>
      </w:r>
    </w:p>
    <w:p>
      <w:pPr>
        <w:spacing w:after="0" w:line="212" w:lineRule="exact"/>
        <w:rPr>
          <w:sz w:val="20"/>
          <w:szCs w:val="20"/>
          <w:color w:val="auto"/>
        </w:rPr>
      </w:pPr>
    </w:p>
    <w:p>
      <w:pPr>
        <w:ind w:left="540" w:right="120"/>
        <w:spacing w:after="0" w:line="328" w:lineRule="auto"/>
        <w:rPr>
          <w:sz w:val="20"/>
          <w:szCs w:val="20"/>
          <w:color w:val="auto"/>
        </w:rPr>
      </w:pPr>
      <w:r>
        <w:rPr>
          <w:rFonts w:ascii="Arial" w:cs="Arial" w:eastAsia="Arial" w:hAnsi="Arial"/>
          <w:sz w:val="19"/>
          <w:szCs w:val="19"/>
          <w:color w:val="auto"/>
        </w:rPr>
        <w:t>A leading cancer center in Japan is expanding clinical research using the Hyperion Imaging System to explore a novel target for immunotherapy in colorectal cancer by studying regulatory T (Treg) cell proliferation in tumor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publications:</w:t>
      </w:r>
    </w:p>
    <w:p>
      <w:pPr>
        <w:spacing w:after="0" w:line="212" w:lineRule="exact"/>
        <w:rPr>
          <w:sz w:val="20"/>
          <w:szCs w:val="20"/>
          <w:color w:val="auto"/>
        </w:rPr>
      </w:pPr>
    </w:p>
    <w:p>
      <w:pPr>
        <w:jc w:val="both"/>
        <w:ind w:left="540" w:right="40"/>
        <w:spacing w:after="0"/>
        <w:rPr>
          <w:sz w:val="20"/>
          <w:szCs w:val="20"/>
          <w:color w:val="auto"/>
        </w:rPr>
      </w:pPr>
      <w:r>
        <w:rPr>
          <w:rFonts w:ascii="Arial" w:cs="Arial" w:eastAsia="Arial" w:hAnsi="Arial"/>
          <w:sz w:val="22"/>
          <w:szCs w:val="22"/>
          <w:color w:val="auto"/>
        </w:rPr>
        <w:t>There are now more than 700 peer-reviewed publications for mass cytometry with more than 20 in Imaging Mass Cytometry, further establishing mass cytometry leadership in the market. This quarter notable publications relating to immuno-oncology and immunology clinical research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ind w:left="540" w:right="80" w:firstLine="116"/>
        <w:spacing w:after="0" w:line="239" w:lineRule="auto"/>
        <w:tabs>
          <w:tab w:leader="none" w:pos="828"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Cell</w:t>
      </w:r>
      <w:r>
        <w:rPr>
          <w:rFonts w:ascii="Arial" w:cs="Arial" w:eastAsia="Arial" w:hAnsi="Arial"/>
          <w:sz w:val="22"/>
          <w:szCs w:val="22"/>
          <w:color w:val="auto"/>
        </w:rPr>
        <w:t xml:space="preserve"> paper describing the creation of a single-cell proteomic atlas of the tumor and immune ecosystem of human breast cancer.</w:t>
      </w:r>
    </w:p>
    <w:p>
      <w:pPr>
        <w:jc w:val="both"/>
        <w:ind w:left="540" w:right="60" w:firstLine="116"/>
        <w:spacing w:after="0" w:line="267" w:lineRule="auto"/>
        <w:tabs>
          <w:tab w:leader="none" w:pos="816"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i w:val="1"/>
          <w:iCs w:val="1"/>
          <w:color w:val="auto"/>
        </w:rPr>
        <w:t>Clinical Cancer Research</w:t>
      </w:r>
      <w:r>
        <w:rPr>
          <w:rFonts w:ascii="Arial" w:cs="Arial" w:eastAsia="Arial" w:hAnsi="Arial"/>
          <w:sz w:val="19"/>
          <w:szCs w:val="19"/>
          <w:color w:val="auto"/>
        </w:rPr>
        <w:t xml:space="preserve"> paper describing a unique observation obtained through Imaging Mass Cytometry regarding the proximity of certain types of T cells as a function of expression of HER2, a protein linked to increased breast cancer risk.</w:t>
      </w:r>
    </w:p>
    <w:p>
      <w:pPr>
        <w:ind w:left="540" w:right="280" w:firstLine="116"/>
        <w:spacing w:after="0" w:line="230" w:lineRule="auto"/>
        <w:tabs>
          <w:tab w:leader="none" w:pos="816"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Nature Medicine</w:t>
      </w:r>
      <w:r>
        <w:rPr>
          <w:rFonts w:ascii="Arial" w:cs="Arial" w:eastAsia="Arial" w:hAnsi="Arial"/>
          <w:sz w:val="22"/>
          <w:szCs w:val="22"/>
          <w:color w:val="auto"/>
        </w:rPr>
        <w:t xml:space="preserve"> paper that details use of mass cytometry to identify and characterize certain types of T cells that are reactive in celiac disease and could be a key driver in other autoimmune diseases.</w:t>
      </w:r>
    </w:p>
    <w:p>
      <w:pPr>
        <w:spacing w:after="0" w:line="1" w:lineRule="exact"/>
        <w:rPr>
          <w:rFonts w:ascii="Arial" w:cs="Arial" w:eastAsia="Arial" w:hAnsi="Arial"/>
          <w:sz w:val="22"/>
          <w:szCs w:val="22"/>
          <w:color w:val="auto"/>
        </w:rPr>
      </w:pPr>
    </w:p>
    <w:p>
      <w:pPr>
        <w:ind w:left="540" w:right="160" w:firstLine="116"/>
        <w:spacing w:after="0" w:line="237" w:lineRule="auto"/>
        <w:tabs>
          <w:tab w:leader="none" w:pos="816"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Nature Medicine</w:t>
      </w:r>
      <w:r>
        <w:rPr>
          <w:rFonts w:ascii="Arial" w:cs="Arial" w:eastAsia="Arial" w:hAnsi="Arial"/>
          <w:sz w:val="22"/>
          <w:szCs w:val="22"/>
          <w:color w:val="auto"/>
        </w:rPr>
        <w:t xml:space="preserve"> paper used mass cytometry as part of their research to support a novel approach to using a vaccine to make cancer treatment more successful for indolent non-Hodgkin’s lymphoma patients.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2019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of $28 million to $31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GAAP operating expenses of $29.5 million to $30.5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90" w:orient="portrait"/>
          <w:cols w:equalWidth="0" w:num="1">
            <w:col w:w="11420"/>
          </w:cols>
          <w:pgMar w:left="240" w:top="361" w:right="239" w:bottom="0" w:gutter="0" w:footer="0" w:header="0"/>
        </w:sectPr>
      </w:pPr>
    </w:p>
    <w:bookmarkStart w:id="5" w:name="page6"/>
    <w:bookmarkEnd w:id="5"/>
    <w:p>
      <w:pPr>
        <w:ind w:left="540" w:right="160"/>
        <w:spacing w:after="0" w:line="241" w:lineRule="auto"/>
        <w:rPr>
          <w:sz w:val="20"/>
          <w:szCs w:val="20"/>
          <w:color w:val="auto"/>
        </w:rPr>
      </w:pPr>
      <w:r>
        <w:rPr>
          <w:rFonts w:ascii="Arial" w:cs="Arial" w:eastAsia="Arial" w:hAnsi="Arial"/>
          <w:sz w:val="22"/>
          <w:szCs w:val="22"/>
          <w:color w:val="auto"/>
        </w:rPr>
        <w:t>Non-GAAP operating expenses of $25.5 million to $26.5 million excluding stock-based compensation, including severance and depreciation and amortization expenses of approximately $3 million and $1 million, respectively. Total cash outflow of $4 million to $6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Fluidigm will host a conference call today, May 2, 2019, at 2:00 p.m. PT (5:00 p.m. ET) to discuss first quarter 2019 financial results and operational progress. Individuals interested in listening to the conference call may do so by dialing (877) 556-5248 for domestic callers, or (720) 545-0029 for international callers. Please reference Conference ID 7077607. A live webcast of the conference call will be available online from the Investor Relations page of the company’s website at http://investors.fluidigm.com/events.cfm. The link will not be active until 1:45 p.m. PT (4:45 p.m. ET) on May 2, 2019.</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After the live webcast, the call will be archived on the Fluidigm Investor Relations page at http://investors.fluidigm.com/. In addition, a telephone replay of the teleconference will be available 90 minutes after the end of the call. The replay dial-in numbers are (855) 859-2056 for domestic callers and (404) 537-3406 for international callers. Please use the conference ID number: 7077607. The telephone replay will be available until May 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three-month periods ended March 31, 2019, and March 31, 2018, as well as projected for the second quarter of 2019.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expenses exclude estimates for stock-based compensation expense and depreciation and amortization; loss on disposal of property and equipment; future changes relating to developed and acquired technologies; other intangible assets; and income taxes, among other items, certain of which are presented in the tables accompanying our earnings release. The time and amount of certain material items needed to estimate non-GAAP financial measures are inherently unpredictable or outside of our control.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12" w:lineRule="exact"/>
        <w:rPr>
          <w:sz w:val="20"/>
          <w:szCs w:val="20"/>
          <w:color w:val="auto"/>
        </w:rPr>
      </w:pPr>
    </w:p>
    <w:p>
      <w:pPr>
        <w:spacing w:after="0" w:line="247"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the anticipated timing of new product launches and announcements, revenue growth in 2019, the benefits of Fluidigm products for research applications, anticipated benefits of contractual relationships, and projected revenues, expenses, and cash flows for the first quarter of 2019.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as contained in the Fluidigm Annual Report on Form 10-K for the year ended December 31, 2018,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21"/>
          <w:szCs w:val="21"/>
          <w:color w:val="auto"/>
        </w:rPr>
        <w:t>Fluidigm (NASDAQ:FLDM)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p>
    <w:p>
      <w:pPr>
        <w:sectPr>
          <w:pgSz w:w="11900" w:h="16838" w:orient="portrait"/>
          <w:cols w:equalWidth="0" w:num="1">
            <w:col w:w="11400"/>
          </w:cols>
          <w:pgMar w:left="240" w:top="118" w:right="259" w:bottom="0" w:gutter="0" w:footer="0" w:header="0"/>
        </w:sectPr>
      </w:pPr>
    </w:p>
    <w:bookmarkStart w:id="6" w:name="page7"/>
    <w:bookmarkEnd w:id="6"/>
    <w:p>
      <w:pPr>
        <w:ind w:right="120"/>
        <w:spacing w:after="0" w:line="298" w:lineRule="auto"/>
        <w:rPr>
          <w:sz w:val="20"/>
          <w:szCs w:val="20"/>
          <w:color w:val="auto"/>
        </w:rPr>
      </w:pPr>
      <w:r>
        <w:rPr>
          <w:rFonts w:ascii="Arial" w:cs="Arial" w:eastAsia="Arial" w:hAnsi="Arial"/>
          <w:sz w:val="19"/>
          <w:szCs w:val="19"/>
          <w:color w:val="auto"/>
        </w:rPr>
        <w:t>Fluidigm, the Fluidigm logo, Advanta, CyTOF, Direct, Helios, Hyperion, Imaging Mass Cytometry, and Maxpar are trademarks and/or registered trademarks of Fluidigm Corporation in the United States and/or other countries. All other trademarks are the sole property of their respective owners. Fluidigm products are provided for Research Use Only. Not for use in diagnostic procedures.</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 except per share amounts)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22"/>
                <w:szCs w:val="22"/>
                <w:b w:val="1"/>
                <w:bCs w:val="1"/>
                <w:color w:val="auto"/>
                <w:w w:val="95"/>
              </w:rPr>
              <w:t>Three Months Ended March 31,</w:t>
            </w:r>
          </w:p>
        </w:tc>
      </w:tr>
      <w:tr>
        <w:trPr>
          <w:trHeight w:val="265"/>
        </w:trPr>
        <w:tc>
          <w:tcPr>
            <w:tcW w:w="74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2018</w:t>
            </w:r>
          </w:p>
        </w:tc>
      </w:tr>
      <w:tr>
        <w:trPr>
          <w:trHeight w:val="256"/>
        </w:trPr>
        <w:tc>
          <w:tcPr>
            <w:tcW w:w="7420" w:type="dxa"/>
            <w:vAlign w:val="bottom"/>
          </w:tcPr>
          <w:p>
            <w:pPr>
              <w:spacing w:after="0"/>
              <w:rPr>
                <w:sz w:val="20"/>
                <w:szCs w:val="20"/>
                <w:color w:val="auto"/>
              </w:rPr>
            </w:pPr>
            <w:r>
              <w:rPr>
                <w:rFonts w:ascii="Arial" w:cs="Arial" w:eastAsia="Arial" w:hAnsi="Arial"/>
                <w:sz w:val="22"/>
                <w:szCs w:val="22"/>
                <w:color w:val="auto"/>
              </w:rPr>
              <w:t>Revenue:</w:t>
            </w: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0"/>
        </w:trPr>
        <w:tc>
          <w:tcPr>
            <w:tcW w:w="7420" w:type="dxa"/>
            <w:vAlign w:val="bottom"/>
          </w:tcPr>
          <w:p>
            <w:pPr>
              <w:ind w:left="200"/>
              <w:spacing w:after="0"/>
              <w:rPr>
                <w:sz w:val="20"/>
                <w:szCs w:val="20"/>
                <w:color w:val="auto"/>
              </w:rPr>
            </w:pPr>
            <w:r>
              <w:rPr>
                <w:rFonts w:ascii="Arial" w:cs="Arial" w:eastAsia="Arial" w:hAnsi="Arial"/>
                <w:sz w:val="22"/>
                <w:szCs w:val="22"/>
                <w:color w:val="auto"/>
              </w:rPr>
              <w:t>Instruments</w:t>
            </w:r>
          </w:p>
        </w:tc>
        <w:tc>
          <w:tcPr>
            <w:tcW w:w="300" w:type="dxa"/>
            <w:vAlign w:val="bottom"/>
          </w:tcPr>
          <w:p>
            <w:pPr>
              <w:jc w:val="right"/>
              <w:ind w:right="52"/>
              <w:spacing w:after="0"/>
              <w:rPr>
                <w:sz w:val="20"/>
                <w:szCs w:val="20"/>
                <w:color w:val="auto"/>
              </w:rPr>
            </w:pPr>
            <w:r>
              <w:rPr>
                <w:rFonts w:ascii="Arial" w:cs="Arial" w:eastAsia="Arial" w:hAnsi="Arial"/>
                <w:sz w:val="22"/>
                <w:szCs w:val="22"/>
                <w:color w:val="auto"/>
                <w:w w:val="97"/>
              </w:rPr>
              <w:t>$</w:t>
            </w:r>
          </w:p>
        </w:tc>
        <w:tc>
          <w:tcPr>
            <w:tcW w:w="1640" w:type="dxa"/>
            <w:vAlign w:val="bottom"/>
          </w:tcPr>
          <w:p>
            <w:pPr>
              <w:jc w:val="right"/>
              <w:spacing w:after="0"/>
              <w:rPr>
                <w:sz w:val="20"/>
                <w:szCs w:val="20"/>
                <w:color w:val="auto"/>
              </w:rPr>
            </w:pPr>
            <w:r>
              <w:rPr>
                <w:rFonts w:ascii="Arial" w:cs="Arial" w:eastAsia="Arial" w:hAnsi="Arial"/>
                <w:sz w:val="22"/>
                <w:szCs w:val="22"/>
                <w:color w:val="auto"/>
              </w:rPr>
              <w:t>12,840</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7,520</w:t>
            </w:r>
          </w:p>
        </w:tc>
      </w:tr>
      <w:tr>
        <w:trPr>
          <w:trHeight w:val="275"/>
        </w:trPr>
        <w:tc>
          <w:tcPr>
            <w:tcW w:w="7420" w:type="dxa"/>
            <w:vAlign w:val="bottom"/>
          </w:tcPr>
          <w:p>
            <w:pPr>
              <w:ind w:left="200"/>
              <w:spacing w:after="0"/>
              <w:rPr>
                <w:sz w:val="20"/>
                <w:szCs w:val="20"/>
                <w:color w:val="auto"/>
              </w:rPr>
            </w:pPr>
            <w:r>
              <w:rPr>
                <w:rFonts w:ascii="Arial" w:cs="Arial" w:eastAsia="Arial" w:hAnsi="Arial"/>
                <w:sz w:val="22"/>
                <w:szCs w:val="22"/>
                <w:color w:val="auto"/>
              </w:rPr>
              <w:t>Consumables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11,987</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12,957</w:t>
            </w:r>
          </w:p>
        </w:tc>
      </w:tr>
      <w:tr>
        <w:trPr>
          <w:trHeight w:val="259"/>
        </w:trPr>
        <w:tc>
          <w:tcPr>
            <w:tcW w:w="7420" w:type="dxa"/>
            <w:vAlign w:val="bottom"/>
          </w:tcPr>
          <w:p>
            <w:pPr>
              <w:ind w:left="120"/>
              <w:spacing w:after="0"/>
              <w:rPr>
                <w:sz w:val="20"/>
                <w:szCs w:val="20"/>
                <w:color w:val="auto"/>
              </w:rPr>
            </w:pPr>
            <w:r>
              <w:rPr>
                <w:rFonts w:ascii="Arial" w:cs="Arial" w:eastAsia="Arial" w:hAnsi="Arial"/>
                <w:sz w:val="22"/>
                <w:szCs w:val="22"/>
                <w:color w:val="auto"/>
              </w:rPr>
              <w:t>Product revenue</w:t>
            </w:r>
          </w:p>
        </w:tc>
        <w:tc>
          <w:tcPr>
            <w:tcW w:w="3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24,827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20,477</w:t>
            </w:r>
          </w:p>
        </w:tc>
      </w:tr>
      <w:tr>
        <w:trPr>
          <w:trHeight w:val="275"/>
        </w:trPr>
        <w:tc>
          <w:tcPr>
            <w:tcW w:w="7420" w:type="dxa"/>
            <w:vAlign w:val="bottom"/>
          </w:tcPr>
          <w:p>
            <w:pPr>
              <w:ind w:left="120"/>
              <w:spacing w:after="0"/>
              <w:rPr>
                <w:sz w:val="20"/>
                <w:szCs w:val="20"/>
                <w:color w:val="auto"/>
              </w:rPr>
            </w:pPr>
            <w:r>
              <w:rPr>
                <w:rFonts w:ascii="Arial" w:cs="Arial" w:eastAsia="Arial" w:hAnsi="Arial"/>
                <w:sz w:val="22"/>
                <w:szCs w:val="22"/>
                <w:color w:val="auto"/>
              </w:rPr>
              <w:t>Service revenue</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5,284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4,771</w:t>
            </w:r>
          </w:p>
        </w:tc>
      </w:tr>
      <w:tr>
        <w:trPr>
          <w:trHeight w:val="259"/>
        </w:trPr>
        <w:tc>
          <w:tcPr>
            <w:tcW w:w="7420" w:type="dxa"/>
            <w:vAlign w:val="bottom"/>
          </w:tcPr>
          <w:p>
            <w:pPr>
              <w:spacing w:after="0"/>
              <w:rPr>
                <w:sz w:val="20"/>
                <w:szCs w:val="20"/>
                <w:color w:val="auto"/>
              </w:rPr>
            </w:pPr>
            <w:r>
              <w:rPr>
                <w:rFonts w:ascii="Arial" w:cs="Arial" w:eastAsia="Arial" w:hAnsi="Arial"/>
                <w:sz w:val="22"/>
                <w:szCs w:val="22"/>
                <w:color w:val="auto"/>
              </w:rPr>
              <w:t>Total revenue</w:t>
            </w:r>
          </w:p>
        </w:tc>
        <w:tc>
          <w:tcPr>
            <w:tcW w:w="3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30,111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25,248</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Cost of revenue:</w:t>
            </w: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42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11,389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10,222</w:t>
            </w:r>
          </w:p>
        </w:tc>
      </w:tr>
      <w:tr>
        <w:trPr>
          <w:trHeight w:val="275"/>
        </w:trPr>
        <w:tc>
          <w:tcPr>
            <w:tcW w:w="742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1,732</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1,598</w:t>
            </w:r>
          </w:p>
        </w:tc>
      </w:tr>
      <w:tr>
        <w:trPr>
          <w:trHeight w:val="267"/>
        </w:trPr>
        <w:tc>
          <w:tcPr>
            <w:tcW w:w="7420" w:type="dxa"/>
            <w:vAlign w:val="bottom"/>
          </w:tcPr>
          <w:p>
            <w:pPr>
              <w:spacing w:after="0"/>
              <w:rPr>
                <w:sz w:val="20"/>
                <w:szCs w:val="20"/>
                <w:color w:val="auto"/>
              </w:rPr>
            </w:pPr>
            <w:r>
              <w:rPr>
                <w:rFonts w:ascii="Arial" w:cs="Arial" w:eastAsia="Arial" w:hAnsi="Arial"/>
                <w:sz w:val="22"/>
                <w:szCs w:val="22"/>
                <w:color w:val="auto"/>
              </w:rPr>
              <w:t>Total cost of revenue</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13,121</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11,820</w:t>
            </w:r>
          </w:p>
        </w:tc>
      </w:tr>
      <w:tr>
        <w:trPr>
          <w:trHeight w:val="256"/>
        </w:trPr>
        <w:tc>
          <w:tcPr>
            <w:tcW w:w="7420" w:type="dxa"/>
            <w:vAlign w:val="bottom"/>
          </w:tcPr>
          <w:p>
            <w:pPr>
              <w:spacing w:after="0"/>
              <w:rPr>
                <w:sz w:val="20"/>
                <w:szCs w:val="20"/>
                <w:color w:val="auto"/>
              </w:rPr>
            </w:pPr>
            <w:r>
              <w:rPr>
                <w:rFonts w:ascii="Arial" w:cs="Arial" w:eastAsia="Arial" w:hAnsi="Arial"/>
                <w:sz w:val="22"/>
                <w:szCs w:val="22"/>
                <w:color w:val="auto"/>
              </w:rPr>
              <w:t>Gross profit</w:t>
            </w:r>
          </w:p>
        </w:tc>
        <w:tc>
          <w:tcPr>
            <w:tcW w:w="3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16,990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13,428</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Operating expenses:</w:t>
            </w: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42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8,372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7,256</w:t>
            </w:r>
          </w:p>
        </w:tc>
      </w:tr>
      <w:tr>
        <w:trPr>
          <w:trHeight w:val="275"/>
        </w:trPr>
        <w:tc>
          <w:tcPr>
            <w:tcW w:w="742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22,824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18,805</w:t>
            </w:r>
          </w:p>
        </w:tc>
      </w:tr>
      <w:tr>
        <w:trPr>
          <w:trHeight w:val="267"/>
        </w:trPr>
        <w:tc>
          <w:tcPr>
            <w:tcW w:w="7420" w:type="dxa"/>
            <w:vAlign w:val="bottom"/>
          </w:tcPr>
          <w:p>
            <w:pPr>
              <w:spacing w:after="0"/>
              <w:rPr>
                <w:sz w:val="20"/>
                <w:szCs w:val="20"/>
                <w:color w:val="auto"/>
              </w:rPr>
            </w:pPr>
            <w:r>
              <w:rPr>
                <w:rFonts w:ascii="Arial" w:cs="Arial" w:eastAsia="Arial" w:hAnsi="Arial"/>
                <w:sz w:val="22"/>
                <w:szCs w:val="22"/>
                <w:color w:val="auto"/>
              </w:rPr>
              <w:t>Total operating expenses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31,196</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26,061</w:t>
            </w:r>
          </w:p>
        </w:tc>
      </w:tr>
      <w:tr>
        <w:trPr>
          <w:trHeight w:val="256"/>
        </w:trPr>
        <w:tc>
          <w:tcPr>
            <w:tcW w:w="7420" w:type="dxa"/>
            <w:vAlign w:val="bottom"/>
          </w:tcPr>
          <w:p>
            <w:pPr>
              <w:spacing w:after="0"/>
              <w:rPr>
                <w:sz w:val="20"/>
                <w:szCs w:val="20"/>
                <w:color w:val="auto"/>
              </w:rPr>
            </w:pPr>
            <w:r>
              <w:rPr>
                <w:rFonts w:ascii="Arial" w:cs="Arial" w:eastAsia="Arial" w:hAnsi="Arial"/>
                <w:sz w:val="22"/>
                <w:szCs w:val="22"/>
                <w:color w:val="auto"/>
              </w:rPr>
              <w:t>Loss from operations</w:t>
            </w:r>
          </w:p>
        </w:tc>
        <w:tc>
          <w:tcPr>
            <w:tcW w:w="3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(14,206)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(12,633)</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Interest expense</w:t>
            </w: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(2,701)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(1,889)</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(9,000)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5"/>
        </w:trPr>
        <w:tc>
          <w:tcPr>
            <w:tcW w:w="7420" w:type="dxa"/>
            <w:vAlign w:val="bottom"/>
          </w:tcPr>
          <w:p>
            <w:pPr>
              <w:spacing w:after="0"/>
              <w:rPr>
                <w:sz w:val="20"/>
                <w:szCs w:val="20"/>
                <w:color w:val="auto"/>
              </w:rPr>
            </w:pPr>
            <w:r>
              <w:rPr>
                <w:rFonts w:ascii="Arial" w:cs="Arial" w:eastAsia="Arial" w:hAnsi="Arial"/>
                <w:sz w:val="22"/>
                <w:szCs w:val="22"/>
                <w:color w:val="auto"/>
              </w:rPr>
              <w:t>Other income, net</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484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w:t>
            </w:r>
          </w:p>
        </w:tc>
      </w:tr>
      <w:tr>
        <w:trPr>
          <w:trHeight w:val="259"/>
        </w:trPr>
        <w:tc>
          <w:tcPr>
            <w:tcW w:w="742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3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2"/>
                <w:szCs w:val="22"/>
                <w:color w:val="auto"/>
              </w:rPr>
              <w:t>(25,423)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(14,430)</w:t>
            </w:r>
          </w:p>
        </w:tc>
      </w:tr>
      <w:tr>
        <w:trPr>
          <w:trHeight w:val="276"/>
        </w:trPr>
        <w:tc>
          <w:tcPr>
            <w:tcW w:w="7420" w:type="dxa"/>
            <w:vAlign w:val="bottom"/>
          </w:tcPr>
          <w:p>
            <w:pPr>
              <w:spacing w:after="0"/>
              <w:rPr>
                <w:sz w:val="20"/>
                <w:szCs w:val="20"/>
                <w:color w:val="auto"/>
              </w:rPr>
            </w:pPr>
            <w:r>
              <w:rPr>
                <w:rFonts w:ascii="Arial" w:cs="Arial" w:eastAsia="Arial" w:hAnsi="Arial"/>
                <w:sz w:val="22"/>
                <w:szCs w:val="22"/>
                <w:color w:val="auto"/>
              </w:rPr>
              <w:t>Income tax benefit (expense)</w:t>
            </w: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1,183</w:t>
            </w:r>
          </w:p>
        </w:tc>
      </w:tr>
      <w:tr>
        <w:trPr>
          <w:trHeight w:val="265"/>
        </w:trPr>
        <w:tc>
          <w:tcPr>
            <w:tcW w:w="7420" w:type="dxa"/>
            <w:vAlign w:val="bottom"/>
          </w:tcPr>
          <w:p>
            <w:pPr>
              <w:spacing w:after="0"/>
              <w:rPr>
                <w:sz w:val="20"/>
                <w:szCs w:val="20"/>
                <w:color w:val="auto"/>
              </w:rPr>
            </w:pPr>
            <w:r>
              <w:rPr>
                <w:rFonts w:ascii="Arial" w:cs="Arial" w:eastAsia="Arial" w:hAnsi="Arial"/>
                <w:sz w:val="22"/>
                <w:szCs w:val="22"/>
                <w:color w:val="auto"/>
              </w:rPr>
              <w:t>Net loss</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(25,465)</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(13,247)</w:t>
            </w:r>
          </w:p>
        </w:tc>
      </w:tr>
      <w:tr>
        <w:trPr>
          <w:trHeight w:val="21"/>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34"/>
        </w:trPr>
        <w:tc>
          <w:tcPr>
            <w:tcW w:w="742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7"/>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(0.44)</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(0.34)</w:t>
            </w:r>
          </w:p>
        </w:tc>
      </w:tr>
      <w:tr>
        <w:trPr>
          <w:trHeight w:val="21"/>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34"/>
        </w:trPr>
        <w:tc>
          <w:tcPr>
            <w:tcW w:w="7420" w:type="dxa"/>
            <w:vAlign w:val="bottom"/>
          </w:tcPr>
          <w:p>
            <w:pPr>
              <w:spacing w:after="0"/>
              <w:rPr>
                <w:sz w:val="20"/>
                <w:szCs w:val="20"/>
                <w:color w:val="auto"/>
              </w:rPr>
            </w:pPr>
            <w:r>
              <w:rPr>
                <w:rFonts w:ascii="Arial" w:cs="Arial" w:eastAsia="Arial" w:hAnsi="Arial"/>
                <w:sz w:val="22"/>
                <w:szCs w:val="22"/>
                <w:color w:val="auto"/>
              </w:rPr>
              <w:t>Shares used in computing net loss per share, basic and diluted</w:t>
            </w: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58,411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38,856</w:t>
            </w:r>
          </w:p>
        </w:tc>
      </w:tr>
      <w:tr>
        <w:trPr>
          <w:trHeight w:val="21"/>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 thousands)</w:t>
      </w:r>
    </w:p>
    <w:p>
      <w:pPr>
        <w:spacing w:after="0" w:line="200" w:lineRule="exact"/>
        <w:rPr>
          <w:sz w:val="20"/>
          <w:szCs w:val="20"/>
          <w:color w:val="auto"/>
        </w:rPr>
      </w:pPr>
    </w:p>
    <w:p>
      <w:pPr>
        <w:spacing w:after="0" w:line="346" w:lineRule="exact"/>
        <w:rPr>
          <w:sz w:val="20"/>
          <w:szCs w:val="20"/>
          <w:color w:val="auto"/>
        </w:rPr>
      </w:pPr>
    </w:p>
    <w:tbl>
      <w:tblPr>
        <w:tblLayout w:type="fixed"/>
        <w:tblInd w:w="7420" w:type="dxa"/>
        <w:tblCellMar>
          <w:top w:w="0" w:type="dxa"/>
          <w:left w:w="0" w:type="dxa"/>
          <w:bottom w:w="0" w:type="dxa"/>
          <w:right w:w="0" w:type="dxa"/>
        </w:tblCellMar>
      </w:tblPr>
      <w:tr>
        <w:trPr>
          <w:trHeight w:val="253"/>
        </w:trPr>
        <w:tc>
          <w:tcPr>
            <w:tcW w:w="194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March 31, 2019</w:t>
            </w:r>
          </w:p>
        </w:tc>
        <w:tc>
          <w:tcPr>
            <w:tcW w:w="120" w:type="dxa"/>
            <w:vAlign w:val="bottom"/>
            <w:vMerge w:val="restart"/>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22"/>
                <w:szCs w:val="22"/>
                <w:b w:val="1"/>
                <w:bCs w:val="1"/>
                <w:color w:val="auto"/>
                <w:w w:val="87"/>
              </w:rPr>
              <w:t>December 31, 2018</w:t>
            </w:r>
          </w:p>
        </w:tc>
        <w:tc>
          <w:tcPr>
            <w:tcW w:w="0" w:type="dxa"/>
            <w:vAlign w:val="bottom"/>
          </w:tcPr>
          <w:p>
            <w:pPr>
              <w:spacing w:after="0"/>
              <w:rPr>
                <w:sz w:val="1"/>
                <w:szCs w:val="1"/>
                <w:color w:val="auto"/>
              </w:rPr>
            </w:pPr>
          </w:p>
        </w:tc>
      </w:tr>
      <w:tr>
        <w:trPr>
          <w:trHeight w:val="246"/>
        </w:trPr>
        <w:tc>
          <w:tcPr>
            <w:tcW w:w="194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7" w:name="page8"/>
    <w:bookmarkEnd w:id="7"/>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4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Current assets:</w:t>
            </w: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680" w:type="dxa"/>
            <w:vAlign w:val="bottom"/>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65,634</w:t>
            </w:r>
          </w:p>
        </w:tc>
        <w:tc>
          <w:tcPr>
            <w:tcW w:w="120" w:type="dxa"/>
            <w:vAlign w:val="bottom"/>
          </w:tcPr>
          <w:p>
            <w:pPr>
              <w:spacing w:after="0"/>
              <w:rPr>
                <w:sz w:val="23"/>
                <w:szCs w:val="23"/>
                <w:color w:val="auto"/>
              </w:rPr>
            </w:pPr>
          </w:p>
        </w:tc>
        <w:tc>
          <w:tcPr>
            <w:tcW w:w="680" w:type="dxa"/>
            <w:vAlign w:val="bottom"/>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95,401</w:t>
            </w: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Short-term investments</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9,499</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Accounts receivable, net</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19,309</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16,651</w:t>
            </w: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Inventories</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13,754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13,003</w:t>
            </w:r>
          </w:p>
        </w:tc>
        <w:tc>
          <w:tcPr>
            <w:tcW w:w="0" w:type="dxa"/>
            <w:vAlign w:val="bottom"/>
          </w:tcPr>
          <w:p>
            <w:pPr>
              <w:spacing w:after="0"/>
              <w:rPr>
                <w:sz w:val="1"/>
                <w:szCs w:val="1"/>
                <w:color w:val="auto"/>
              </w:rPr>
            </w:pPr>
          </w:p>
        </w:tc>
      </w:tr>
      <w:tr>
        <w:trPr>
          <w:trHeight w:val="275"/>
        </w:trPr>
        <w:tc>
          <w:tcPr>
            <w:tcW w:w="7400" w:type="dxa"/>
            <w:vAlign w:val="bottom"/>
          </w:tcPr>
          <w:p>
            <w:pPr>
              <w:ind w:left="200"/>
              <w:spacing w:after="0"/>
              <w:rPr>
                <w:sz w:val="20"/>
                <w:szCs w:val="20"/>
                <w:color w:val="auto"/>
              </w:rPr>
            </w:pPr>
            <w:r>
              <w:rPr>
                <w:rFonts w:ascii="Arial" w:cs="Arial" w:eastAsia="Arial" w:hAnsi="Arial"/>
                <w:sz w:val="22"/>
                <w:szCs w:val="22"/>
                <w:color w:val="auto"/>
              </w:rPr>
              <w:t>Prepaid expenses and other current assets</w:t>
            </w:r>
          </w:p>
        </w:tc>
        <w:tc>
          <w:tcPr>
            <w:tcW w:w="6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3,282</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2,051</w:t>
            </w:r>
          </w:p>
        </w:tc>
        <w:tc>
          <w:tcPr>
            <w:tcW w:w="0" w:type="dxa"/>
            <w:vAlign w:val="bottom"/>
          </w:tcPr>
          <w:p>
            <w:pPr>
              <w:spacing w:after="0"/>
              <w:rPr>
                <w:sz w:val="1"/>
                <w:szCs w:val="1"/>
                <w:color w:val="auto"/>
              </w:rPr>
            </w:pPr>
          </w:p>
        </w:tc>
      </w:tr>
      <w:tr>
        <w:trPr>
          <w:trHeight w:val="259"/>
        </w:trPr>
        <w:tc>
          <w:tcPr>
            <w:tcW w:w="7400" w:type="dxa"/>
            <w:vAlign w:val="bottom"/>
          </w:tcPr>
          <w:p>
            <w:pPr>
              <w:spacing w:after="0"/>
              <w:rPr>
                <w:sz w:val="20"/>
                <w:szCs w:val="20"/>
                <w:color w:val="auto"/>
              </w:rPr>
            </w:pPr>
            <w:r>
              <w:rPr>
                <w:rFonts w:ascii="Arial" w:cs="Arial" w:eastAsia="Arial" w:hAnsi="Arial"/>
                <w:sz w:val="22"/>
                <w:szCs w:val="22"/>
                <w:color w:val="auto"/>
              </w:rPr>
              <w:t>Total current assets</w:t>
            </w:r>
          </w:p>
        </w:tc>
        <w:tc>
          <w:tcPr>
            <w:tcW w:w="6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111,478</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127,106</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8,234</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8,825</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Operating lease right-of-use assets, net</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7,177</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5,850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6,208</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54,600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57,400</w:t>
            </w:r>
          </w:p>
        </w:tc>
        <w:tc>
          <w:tcPr>
            <w:tcW w:w="0" w:type="dxa"/>
            <w:vAlign w:val="bottom"/>
          </w:tcPr>
          <w:p>
            <w:pPr>
              <w:spacing w:after="0"/>
              <w:rPr>
                <w:sz w:val="1"/>
                <w:szCs w:val="1"/>
                <w:color w:val="auto"/>
              </w:rPr>
            </w:pPr>
          </w:p>
        </w:tc>
      </w:tr>
      <w:tr>
        <w:trPr>
          <w:trHeight w:val="276"/>
        </w:trPr>
        <w:tc>
          <w:tcPr>
            <w:tcW w:w="7400" w:type="dxa"/>
            <w:vAlign w:val="bottom"/>
          </w:tcPr>
          <w:p>
            <w:pPr>
              <w:spacing w:after="0"/>
              <w:rPr>
                <w:sz w:val="20"/>
                <w:szCs w:val="20"/>
                <w:color w:val="auto"/>
              </w:rPr>
            </w:pPr>
            <w:r>
              <w:rPr>
                <w:rFonts w:ascii="Arial" w:cs="Arial" w:eastAsia="Arial" w:hAnsi="Arial"/>
                <w:sz w:val="22"/>
                <w:szCs w:val="22"/>
                <w:color w:val="auto"/>
              </w:rPr>
              <w:t>Goodwill</w:t>
            </w: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7400" w:type="dxa"/>
            <w:vAlign w:val="bottom"/>
          </w:tcPr>
          <w:p>
            <w:pPr>
              <w:spacing w:after="0"/>
              <w:rPr>
                <w:sz w:val="20"/>
                <w:szCs w:val="20"/>
                <w:color w:val="auto"/>
              </w:rPr>
            </w:pPr>
            <w:r>
              <w:rPr>
                <w:rFonts w:ascii="Arial" w:cs="Arial" w:eastAsia="Arial" w:hAnsi="Arial"/>
                <w:sz w:val="22"/>
                <w:szCs w:val="22"/>
                <w:color w:val="auto"/>
              </w:rPr>
              <w:t>Total assets</w:t>
            </w:r>
          </w:p>
        </w:tc>
        <w:tc>
          <w:tcPr>
            <w:tcW w:w="6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291,447</w:t>
            </w:r>
          </w:p>
        </w:tc>
        <w:tc>
          <w:tcPr>
            <w:tcW w:w="120" w:type="dxa"/>
            <w:vAlign w:val="bottom"/>
          </w:tcPr>
          <w:p>
            <w:pPr>
              <w:spacing w:after="0"/>
              <w:rPr>
                <w:sz w:val="23"/>
                <w:szCs w:val="23"/>
                <w:color w:val="auto"/>
              </w:rPr>
            </w:pPr>
          </w:p>
        </w:tc>
        <w:tc>
          <w:tcPr>
            <w:tcW w:w="6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303,647</w:t>
            </w:r>
          </w:p>
        </w:tc>
        <w:tc>
          <w:tcPr>
            <w:tcW w:w="0" w:type="dxa"/>
            <w:vAlign w:val="bottom"/>
          </w:tcPr>
          <w:p>
            <w:pPr>
              <w:spacing w:after="0"/>
              <w:rPr>
                <w:sz w:val="1"/>
                <w:szCs w:val="1"/>
                <w:color w:val="auto"/>
              </w:rPr>
            </w:pPr>
          </w:p>
        </w:tc>
      </w:tr>
      <w:tr>
        <w:trPr>
          <w:trHeight w:val="21"/>
        </w:trPr>
        <w:tc>
          <w:tcPr>
            <w:tcW w:w="740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4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Current liabilities:</w:t>
            </w: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Accounts payable</w:t>
            </w:r>
          </w:p>
        </w:tc>
        <w:tc>
          <w:tcPr>
            <w:tcW w:w="680" w:type="dxa"/>
            <w:vAlign w:val="bottom"/>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6,936</w:t>
            </w:r>
          </w:p>
        </w:tc>
        <w:tc>
          <w:tcPr>
            <w:tcW w:w="120" w:type="dxa"/>
            <w:vAlign w:val="bottom"/>
          </w:tcPr>
          <w:p>
            <w:pPr>
              <w:spacing w:after="0"/>
              <w:rPr>
                <w:sz w:val="23"/>
                <w:szCs w:val="23"/>
                <w:color w:val="auto"/>
              </w:rPr>
            </w:pPr>
          </w:p>
        </w:tc>
        <w:tc>
          <w:tcPr>
            <w:tcW w:w="680" w:type="dxa"/>
            <w:vAlign w:val="bottom"/>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4,027</w:t>
            </w: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Accrued compensation and related benefits</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6,222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14,470</w:t>
            </w: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Current operating lease liabilities</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3,701</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400" w:type="dxa"/>
            <w:vAlign w:val="bottom"/>
          </w:tcPr>
          <w:p>
            <w:pPr>
              <w:ind w:left="200"/>
              <w:spacing w:after="0"/>
              <w:rPr>
                <w:sz w:val="20"/>
                <w:szCs w:val="20"/>
                <w:color w:val="auto"/>
              </w:rPr>
            </w:pPr>
            <w:r>
              <w:rPr>
                <w:rFonts w:ascii="Arial" w:cs="Arial" w:eastAsia="Arial" w:hAnsi="Arial"/>
                <w:sz w:val="22"/>
                <w:szCs w:val="22"/>
                <w:color w:val="auto"/>
              </w:rPr>
              <w:t>Other accrued liabilities</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4,998</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7,621</w:t>
            </w:r>
          </w:p>
        </w:tc>
        <w:tc>
          <w:tcPr>
            <w:tcW w:w="0" w:type="dxa"/>
            <w:vAlign w:val="bottom"/>
          </w:tcPr>
          <w:p>
            <w:pPr>
              <w:spacing w:after="0"/>
              <w:rPr>
                <w:sz w:val="1"/>
                <w:szCs w:val="1"/>
                <w:color w:val="auto"/>
              </w:rPr>
            </w:pPr>
          </w:p>
        </w:tc>
      </w:tr>
      <w:tr>
        <w:trPr>
          <w:trHeight w:val="275"/>
        </w:trPr>
        <w:tc>
          <w:tcPr>
            <w:tcW w:w="7400" w:type="dxa"/>
            <w:vAlign w:val="bottom"/>
          </w:tcPr>
          <w:p>
            <w:pPr>
              <w:ind w:left="200"/>
              <w:spacing w:after="0"/>
              <w:rPr>
                <w:sz w:val="20"/>
                <w:szCs w:val="20"/>
                <w:color w:val="auto"/>
              </w:rPr>
            </w:pPr>
            <w:r>
              <w:rPr>
                <w:rFonts w:ascii="Arial" w:cs="Arial" w:eastAsia="Arial" w:hAnsi="Arial"/>
                <w:sz w:val="22"/>
                <w:szCs w:val="22"/>
                <w:color w:val="auto"/>
              </w:rPr>
              <w:t>Deferred revenue, current portion</w:t>
            </w:r>
          </w:p>
        </w:tc>
        <w:tc>
          <w:tcPr>
            <w:tcW w:w="6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12,325</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11,464</w:t>
            </w:r>
          </w:p>
        </w:tc>
        <w:tc>
          <w:tcPr>
            <w:tcW w:w="0" w:type="dxa"/>
            <w:vAlign w:val="bottom"/>
          </w:tcPr>
          <w:p>
            <w:pPr>
              <w:spacing w:after="0"/>
              <w:rPr>
                <w:sz w:val="1"/>
                <w:szCs w:val="1"/>
                <w:color w:val="auto"/>
              </w:rPr>
            </w:pPr>
          </w:p>
        </w:tc>
      </w:tr>
      <w:tr>
        <w:trPr>
          <w:trHeight w:val="259"/>
        </w:trPr>
        <w:tc>
          <w:tcPr>
            <w:tcW w:w="740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6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34,182</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37,582</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Convertible notes, net</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49,780</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172,058</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13,353</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13,714</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22"/>
                <w:szCs w:val="22"/>
                <w:color w:val="auto"/>
              </w:rPr>
              <w:t>Long-term operating lease liabilities</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5,205</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740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6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6,682</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8,177</w:t>
            </w:r>
          </w:p>
        </w:tc>
        <w:tc>
          <w:tcPr>
            <w:tcW w:w="0" w:type="dxa"/>
            <w:vAlign w:val="bottom"/>
          </w:tcPr>
          <w:p>
            <w:pPr>
              <w:spacing w:after="0"/>
              <w:rPr>
                <w:sz w:val="1"/>
                <w:szCs w:val="1"/>
                <w:color w:val="auto"/>
              </w:rPr>
            </w:pPr>
          </w:p>
        </w:tc>
      </w:tr>
      <w:tr>
        <w:trPr>
          <w:trHeight w:val="259"/>
        </w:trPr>
        <w:tc>
          <w:tcPr>
            <w:tcW w:w="7400" w:type="dxa"/>
            <w:vAlign w:val="bottom"/>
          </w:tcPr>
          <w:p>
            <w:pPr>
              <w:spacing w:after="0"/>
              <w:rPr>
                <w:sz w:val="20"/>
                <w:szCs w:val="20"/>
                <w:color w:val="auto"/>
              </w:rPr>
            </w:pPr>
            <w:r>
              <w:rPr>
                <w:rFonts w:ascii="Arial" w:cs="Arial" w:eastAsia="Arial" w:hAnsi="Arial"/>
                <w:sz w:val="22"/>
                <w:szCs w:val="22"/>
                <w:color w:val="auto"/>
              </w:rPr>
              <w:t>Total liabilities</w:t>
            </w:r>
          </w:p>
        </w:tc>
        <w:tc>
          <w:tcPr>
            <w:tcW w:w="6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109,202</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231,531</w:t>
            </w:r>
          </w:p>
        </w:tc>
        <w:tc>
          <w:tcPr>
            <w:tcW w:w="0" w:type="dxa"/>
            <w:vAlign w:val="bottom"/>
          </w:tcPr>
          <w:p>
            <w:pPr>
              <w:spacing w:after="0"/>
              <w:rPr>
                <w:sz w:val="1"/>
                <w:szCs w:val="1"/>
                <w:color w:val="auto"/>
              </w:rPr>
            </w:pPr>
          </w:p>
        </w:tc>
      </w:tr>
      <w:tr>
        <w:trPr>
          <w:trHeight w:val="276"/>
        </w:trPr>
        <w:tc>
          <w:tcPr>
            <w:tcW w:w="740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182,245</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72,116</w:t>
            </w:r>
          </w:p>
        </w:tc>
        <w:tc>
          <w:tcPr>
            <w:tcW w:w="0" w:type="dxa"/>
            <w:vAlign w:val="bottom"/>
          </w:tcPr>
          <w:p>
            <w:pPr>
              <w:spacing w:after="0"/>
              <w:rPr>
                <w:sz w:val="1"/>
                <w:szCs w:val="1"/>
                <w:color w:val="auto"/>
              </w:rPr>
            </w:pPr>
          </w:p>
        </w:tc>
      </w:tr>
      <w:tr>
        <w:trPr>
          <w:trHeight w:val="265"/>
        </w:trPr>
        <w:tc>
          <w:tcPr>
            <w:tcW w:w="740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6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291,447</w:t>
            </w:r>
          </w:p>
        </w:tc>
        <w:tc>
          <w:tcPr>
            <w:tcW w:w="120" w:type="dxa"/>
            <w:vAlign w:val="bottom"/>
          </w:tcPr>
          <w:p>
            <w:pPr>
              <w:spacing w:after="0"/>
              <w:rPr>
                <w:sz w:val="23"/>
                <w:szCs w:val="23"/>
                <w:color w:val="auto"/>
              </w:rPr>
            </w:pPr>
          </w:p>
        </w:tc>
        <w:tc>
          <w:tcPr>
            <w:tcW w:w="6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303,647</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(In thousands)</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22"/>
                <w:szCs w:val="22"/>
                <w:b w:val="1"/>
                <w:bCs w:val="1"/>
                <w:color w:val="auto"/>
                <w:w w:val="95"/>
              </w:rPr>
              <w:t>Three Months Ended March 31,</w:t>
            </w:r>
          </w:p>
        </w:tc>
      </w:tr>
      <w:tr>
        <w:trPr>
          <w:trHeight w:val="265"/>
        </w:trPr>
        <w:tc>
          <w:tcPr>
            <w:tcW w:w="74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b w:val="1"/>
                <w:bCs w:val="1"/>
                <w:color w:val="auto"/>
              </w:rPr>
              <w:t>2018</w:t>
            </w:r>
          </w:p>
        </w:tc>
      </w:tr>
      <w:tr>
        <w:trPr>
          <w:trHeight w:val="526"/>
        </w:trPr>
        <w:tc>
          <w:tcPr>
            <w:tcW w:w="742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Net loss</w:t>
            </w:r>
          </w:p>
        </w:tc>
        <w:tc>
          <w:tcPr>
            <w:tcW w:w="320" w:type="dxa"/>
            <w:vAlign w:val="bottom"/>
          </w:tcPr>
          <w:p>
            <w:pPr>
              <w:jc w:val="right"/>
              <w:ind w:right="72"/>
              <w:spacing w:after="0"/>
              <w:rPr>
                <w:sz w:val="20"/>
                <w:szCs w:val="20"/>
                <w:color w:val="auto"/>
              </w:rPr>
            </w:pPr>
            <w:r>
              <w:rPr>
                <w:rFonts w:ascii="Arial" w:cs="Arial" w:eastAsia="Arial" w:hAnsi="Arial"/>
                <w:sz w:val="22"/>
                <w:szCs w:val="22"/>
                <w:color w:val="auto"/>
                <w:w w:val="97"/>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(25,465)</w:t>
            </w:r>
          </w:p>
        </w:tc>
        <w:tc>
          <w:tcPr>
            <w:tcW w:w="100" w:type="dxa"/>
            <w:vAlign w:val="bottom"/>
          </w:tcPr>
          <w:p>
            <w:pPr>
              <w:spacing w:after="0"/>
              <w:rPr>
                <w:sz w:val="23"/>
                <w:szCs w:val="23"/>
                <w:color w:val="auto"/>
              </w:rPr>
            </w:pPr>
          </w:p>
        </w:tc>
        <w:tc>
          <w:tcPr>
            <w:tcW w:w="440" w:type="dxa"/>
            <w:vAlign w:val="bottom"/>
          </w:tcPr>
          <w:p>
            <w:pPr>
              <w:jc w:val="right"/>
              <w:ind w:right="192"/>
              <w:spacing w:after="0"/>
              <w:rPr>
                <w:sz w:val="20"/>
                <w:szCs w:val="20"/>
                <w:color w:val="auto"/>
              </w:rPr>
            </w:pPr>
            <w:r>
              <w:rPr>
                <w:rFonts w:ascii="Arial" w:cs="Arial" w:eastAsia="Arial" w:hAnsi="Arial"/>
                <w:sz w:val="22"/>
                <w:szCs w:val="22"/>
                <w:color w:val="auto"/>
                <w:w w:val="97"/>
              </w:rPr>
              <w:t>$</w:t>
            </w:r>
          </w:p>
        </w:tc>
        <w:tc>
          <w:tcPr>
            <w:tcW w:w="1500" w:type="dxa"/>
            <w:vAlign w:val="bottom"/>
          </w:tcPr>
          <w:p>
            <w:pPr>
              <w:jc w:val="right"/>
              <w:spacing w:after="0"/>
              <w:rPr>
                <w:sz w:val="20"/>
                <w:szCs w:val="20"/>
                <w:color w:val="auto"/>
              </w:rPr>
            </w:pPr>
            <w:r>
              <w:rPr>
                <w:rFonts w:ascii="Arial" w:cs="Arial" w:eastAsia="Arial" w:hAnsi="Arial"/>
                <w:sz w:val="22"/>
                <w:szCs w:val="22"/>
                <w:color w:val="auto"/>
              </w:rPr>
              <w:t>(13,247)</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1,191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1,983</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2,271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1,747</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2,800</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Amortization of debt discounts, premiums and issuance costs</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2,037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505</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9,000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70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Other non-cash items</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(563)</w:t>
            </w:r>
          </w:p>
        </w:tc>
      </w:tr>
      <w:tr>
        <w:trPr>
          <w:trHeight w:val="275"/>
        </w:trPr>
        <w:tc>
          <w:tcPr>
            <w:tcW w:w="742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(12,009)</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(9,401)</w:t>
            </w:r>
          </w:p>
        </w:tc>
      </w:tr>
      <w:tr>
        <w:trPr>
          <w:trHeight w:val="272"/>
        </w:trPr>
        <w:tc>
          <w:tcPr>
            <w:tcW w:w="742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(20,130)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(16,176)</w:t>
            </w:r>
          </w:p>
        </w:tc>
      </w:tr>
      <w:tr>
        <w:trPr>
          <w:trHeight w:val="528"/>
        </w:trPr>
        <w:tc>
          <w:tcPr>
            <w:tcW w:w="742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(9,491)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(186)</w:t>
            </w:r>
          </w:p>
        </w:tc>
      </w:tr>
      <w:tr>
        <w:trPr>
          <w:trHeight w:val="275"/>
        </w:trPr>
        <w:tc>
          <w:tcPr>
            <w:tcW w:w="742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(266)</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w:t>
            </w:r>
          </w:p>
        </w:tc>
      </w:tr>
      <w:tr>
        <w:trPr>
          <w:trHeight w:val="272"/>
        </w:trPr>
        <w:tc>
          <w:tcPr>
            <w:tcW w:w="7420" w:type="dxa"/>
            <w:vAlign w:val="bottom"/>
          </w:tcPr>
          <w:p>
            <w:pPr>
              <w:spacing w:after="0"/>
              <w:rPr>
                <w:sz w:val="20"/>
                <w:szCs w:val="20"/>
                <w:color w:val="auto"/>
              </w:rPr>
            </w:pPr>
            <w:r>
              <w:rPr>
                <w:rFonts w:ascii="Arial" w:cs="Arial" w:eastAsia="Arial" w:hAnsi="Arial"/>
                <w:sz w:val="22"/>
                <w:szCs w:val="22"/>
                <w:color w:val="auto"/>
              </w:rPr>
              <w:t>Net cash used in investing activities</w:t>
            </w: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22"/>
                <w:szCs w:val="22"/>
                <w:color w:val="auto"/>
              </w:rPr>
              <w:t>(9,757)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22"/>
                <w:szCs w:val="22"/>
                <w:color w:val="auto"/>
              </w:rPr>
              <w:t>(263)</w:t>
            </w:r>
          </w:p>
        </w:tc>
      </w:tr>
    </w:tbl>
    <w:p>
      <w:pPr>
        <w:sectPr>
          <w:pgSz w:w="11900" w:h="16902" w:orient="portrait"/>
          <w:cols w:equalWidth="0" w:num="1">
            <w:col w:w="11400"/>
          </w:cols>
          <w:pgMar w:left="260" w:top="111" w:right="239" w:bottom="0" w:gutter="0" w:footer="0" w:header="0"/>
        </w:sectPr>
      </w:pPr>
    </w:p>
    <w:bookmarkStart w:id="8" w:name="page9"/>
    <w:bookmarkEnd w:id="8"/>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26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Payment of debt and equity issuance costs</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275"/>
        </w:trPr>
        <w:tc>
          <w:tcPr>
            <w:tcW w:w="7260" w:type="dxa"/>
            <w:vAlign w:val="bottom"/>
          </w:tcPr>
          <w:p>
            <w:pPr>
              <w:spacing w:after="0"/>
              <w:rPr>
                <w:sz w:val="20"/>
                <w:szCs w:val="20"/>
                <w:color w:val="auto"/>
              </w:rPr>
            </w:pPr>
            <w:r>
              <w:rPr>
                <w:rFonts w:ascii="Arial" w:cs="Arial" w:eastAsia="Arial" w:hAnsi="Arial"/>
                <w:sz w:val="22"/>
                <w:szCs w:val="22"/>
                <w:color w:val="auto"/>
              </w:rPr>
              <w:t>Proceeds from employee equity programs, net</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147</w:t>
            </w:r>
          </w:p>
        </w:tc>
        <w:tc>
          <w:tcPr>
            <w:tcW w:w="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72"/>
        </w:trPr>
        <w:tc>
          <w:tcPr>
            <w:tcW w:w="7260" w:type="dxa"/>
            <w:vAlign w:val="bottom"/>
          </w:tcPr>
          <w:p>
            <w:pPr>
              <w:spacing w:after="0"/>
              <w:rPr>
                <w:sz w:val="20"/>
                <w:szCs w:val="20"/>
                <w:color w:val="auto"/>
              </w:rPr>
            </w:pPr>
            <w:r>
              <w:rPr>
                <w:rFonts w:ascii="Arial" w:cs="Arial" w:eastAsia="Arial" w:hAnsi="Arial"/>
                <w:sz w:val="22"/>
                <w:szCs w:val="22"/>
                <w:color w:val="auto"/>
              </w:rPr>
              <w:t>Net cash provided by/(used in) financing activities</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147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532"/>
        </w:trPr>
        <w:tc>
          <w:tcPr>
            <w:tcW w:w="7260" w:type="dxa"/>
            <w:vAlign w:val="bottom"/>
          </w:tcPr>
          <w:p>
            <w:pPr>
              <w:spacing w:after="0"/>
              <w:rPr>
                <w:sz w:val="20"/>
                <w:szCs w:val="20"/>
                <w:color w:val="auto"/>
              </w:rPr>
            </w:pPr>
            <w:r>
              <w:rPr>
                <w:rFonts w:ascii="Arial" w:cs="Arial" w:eastAsia="Arial" w:hAnsi="Arial"/>
                <w:sz w:val="22"/>
                <w:szCs w:val="22"/>
                <w:color w:val="auto"/>
              </w:rPr>
              <w:t>Effect of foreign exchange rate fluctuations on cash and cash equivalents</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2"/>
                <w:szCs w:val="22"/>
                <w:color w:val="auto"/>
              </w:rPr>
              <w:t>(27)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413</w:t>
            </w:r>
          </w:p>
        </w:tc>
        <w:tc>
          <w:tcPr>
            <w:tcW w:w="0" w:type="dxa"/>
            <w:vAlign w:val="bottom"/>
          </w:tcPr>
          <w:p>
            <w:pPr>
              <w:spacing w:after="0"/>
              <w:rPr>
                <w:sz w:val="1"/>
                <w:szCs w:val="1"/>
                <w:color w:val="auto"/>
              </w:rPr>
            </w:pPr>
          </w:p>
        </w:tc>
      </w:tr>
      <w:tr>
        <w:trPr>
          <w:trHeight w:val="259"/>
        </w:trPr>
        <w:tc>
          <w:tcPr>
            <w:tcW w:w="7260" w:type="dxa"/>
            <w:vAlign w:val="bottom"/>
          </w:tcPr>
          <w:p>
            <w:pPr>
              <w:spacing w:after="0"/>
              <w:rPr>
                <w:sz w:val="20"/>
                <w:szCs w:val="20"/>
                <w:color w:val="auto"/>
              </w:rPr>
            </w:pPr>
            <w:r>
              <w:rPr>
                <w:rFonts w:ascii="Arial" w:cs="Arial" w:eastAsia="Arial" w:hAnsi="Arial"/>
                <w:sz w:val="22"/>
                <w:szCs w:val="22"/>
                <w:color w:val="auto"/>
              </w:rPr>
              <w:t>Net decrease in cash and cash equivalents</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22"/>
                <w:szCs w:val="22"/>
                <w:color w:val="auto"/>
              </w:rPr>
              <w:t>(29,767)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(16,084)</w:t>
            </w:r>
          </w:p>
        </w:tc>
        <w:tc>
          <w:tcPr>
            <w:tcW w:w="0" w:type="dxa"/>
            <w:vAlign w:val="bottom"/>
          </w:tcPr>
          <w:p>
            <w:pPr>
              <w:spacing w:after="0"/>
              <w:rPr>
                <w:sz w:val="1"/>
                <w:szCs w:val="1"/>
                <w:color w:val="auto"/>
              </w:rPr>
            </w:pPr>
          </w:p>
        </w:tc>
      </w:tr>
      <w:tr>
        <w:trPr>
          <w:trHeight w:val="276"/>
        </w:trPr>
        <w:tc>
          <w:tcPr>
            <w:tcW w:w="726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95,401</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58,056</w:t>
            </w:r>
          </w:p>
        </w:tc>
        <w:tc>
          <w:tcPr>
            <w:tcW w:w="0" w:type="dxa"/>
            <w:vAlign w:val="bottom"/>
          </w:tcPr>
          <w:p>
            <w:pPr>
              <w:spacing w:after="0"/>
              <w:rPr>
                <w:sz w:val="1"/>
                <w:szCs w:val="1"/>
                <w:color w:val="auto"/>
              </w:rPr>
            </w:pPr>
          </w:p>
        </w:tc>
      </w:tr>
      <w:tr>
        <w:trPr>
          <w:trHeight w:val="265"/>
        </w:trPr>
        <w:tc>
          <w:tcPr>
            <w:tcW w:w="726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160" w:type="dxa"/>
            <w:vAlign w:val="bottom"/>
          </w:tcPr>
          <w:p>
            <w:pPr>
              <w:spacing w:after="0"/>
              <w:rPr>
                <w:sz w:val="23"/>
                <w:szCs w:val="23"/>
                <w:color w:val="auto"/>
              </w:rPr>
            </w:pP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65,634</w:t>
            </w:r>
          </w:p>
        </w:tc>
        <w:tc>
          <w:tcPr>
            <w:tcW w:w="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41,972</w:t>
            </w:r>
          </w:p>
        </w:tc>
        <w:tc>
          <w:tcPr>
            <w:tcW w:w="0" w:type="dxa"/>
            <w:vAlign w:val="bottom"/>
          </w:tcPr>
          <w:p>
            <w:pPr>
              <w:spacing w:after="0"/>
              <w:rPr>
                <w:sz w:val="1"/>
                <w:szCs w:val="1"/>
                <w:color w:val="auto"/>
              </w:rPr>
            </w:pPr>
          </w:p>
        </w:tc>
      </w:tr>
      <w:tr>
        <w:trPr>
          <w:trHeight w:val="21"/>
        </w:trPr>
        <w:tc>
          <w:tcPr>
            <w:tcW w:w="7260" w:type="dxa"/>
            <w:vAlign w:val="bottom"/>
            <w:vMerge w:val="restart"/>
          </w:tcPr>
          <w:p>
            <w:pPr>
              <w:jc w:val="center"/>
              <w:ind w:left="4012"/>
              <w:spacing w:after="0"/>
              <w:rPr>
                <w:sz w:val="20"/>
                <w:szCs w:val="20"/>
                <w:color w:val="auto"/>
              </w:rPr>
            </w:pPr>
            <w:r>
              <w:rPr>
                <w:rFonts w:ascii="Arial" w:cs="Arial" w:eastAsia="Arial" w:hAnsi="Arial"/>
                <w:sz w:val="22"/>
                <w:szCs w:val="22"/>
                <w:b w:val="1"/>
                <w:bCs w:val="1"/>
                <w:color w:val="auto"/>
              </w:rPr>
              <w:t>FLUIDIGM CORPORATION</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5"/>
        </w:trPr>
        <w:tc>
          <w:tcPr>
            <w:tcW w:w="7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400" w:type="dxa"/>
            <w:vAlign w:val="bottom"/>
            <w:gridSpan w:val="7"/>
          </w:tcPr>
          <w:p>
            <w:pPr>
              <w:jc w:val="center"/>
              <w:ind w:left="1832"/>
              <w:spacing w:after="0"/>
              <w:rPr>
                <w:sz w:val="20"/>
                <w:szCs w:val="20"/>
                <w:color w:val="auto"/>
              </w:rPr>
            </w:pPr>
            <w:r>
              <w:rPr>
                <w:rFonts w:ascii="Arial" w:cs="Arial" w:eastAsia="Arial" w:hAnsi="Arial"/>
                <w:sz w:val="22"/>
                <w:szCs w:val="22"/>
                <w:b w:val="1"/>
                <w:bCs w:val="1"/>
                <w:color w:val="auto"/>
              </w:rPr>
              <w:t>RECONCILIATION OF GAAP TO NON-GAAP FINANCIAL INFORMATION</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80" w:type="dxa"/>
            <w:vAlign w:val="bottom"/>
            <w:gridSpan w:val="3"/>
          </w:tcPr>
          <w:p>
            <w:pPr>
              <w:jc w:val="center"/>
              <w:ind w:left="3592"/>
              <w:spacing w:after="0"/>
              <w:rPr>
                <w:sz w:val="20"/>
                <w:szCs w:val="20"/>
                <w:color w:val="auto"/>
              </w:rPr>
            </w:pPr>
            <w:r>
              <w:rPr>
                <w:rFonts w:ascii="Arial" w:cs="Arial" w:eastAsia="Arial" w:hAnsi="Arial"/>
                <w:sz w:val="22"/>
                <w:szCs w:val="22"/>
                <w:b w:val="1"/>
                <w:bCs w:val="1"/>
                <w:i w:val="1"/>
                <w:iCs w:val="1"/>
                <w:color w:val="auto"/>
                <w:w w:val="84"/>
              </w:rPr>
              <w:t>(In thousands, except per share amounts)</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7260" w:type="dxa"/>
            <w:vAlign w:val="bottom"/>
          </w:tcPr>
          <w:p>
            <w:pPr>
              <w:jc w:val="center"/>
              <w:ind w:left="4032"/>
              <w:spacing w:after="0"/>
              <w:rPr>
                <w:sz w:val="20"/>
                <w:szCs w:val="20"/>
                <w:color w:val="auto"/>
              </w:rPr>
            </w:pPr>
            <w:r>
              <w:rPr>
                <w:rFonts w:ascii="Arial" w:cs="Arial" w:eastAsia="Arial" w:hAnsi="Arial"/>
                <w:sz w:val="22"/>
                <w:szCs w:val="22"/>
                <w:b w:val="1"/>
                <w:bCs w:val="1"/>
                <w:color w:val="auto"/>
                <w:w w:val="91"/>
              </w:rPr>
              <w:t>(Unaudited)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gridSpan w:val="7"/>
            <w:vMerge w:val="restart"/>
          </w:tcPr>
          <w:p>
            <w:pPr>
              <w:jc w:val="right"/>
              <w:ind w:right="512"/>
              <w:spacing w:after="0"/>
              <w:rPr>
                <w:sz w:val="20"/>
                <w:szCs w:val="20"/>
                <w:color w:val="auto"/>
              </w:rPr>
            </w:pPr>
            <w:r>
              <w:rPr>
                <w:rFonts w:ascii="Arial" w:cs="Arial" w:eastAsia="Arial" w:hAnsi="Arial"/>
                <w:sz w:val="22"/>
                <w:szCs w:val="22"/>
                <w:b w:val="1"/>
                <w:bCs w:val="1"/>
                <w:color w:val="auto"/>
                <w:w w:val="94"/>
              </w:rPr>
              <w:t>Three Months Ended March 31,</w:t>
            </w:r>
          </w:p>
        </w:tc>
        <w:tc>
          <w:tcPr>
            <w:tcW w:w="0" w:type="dxa"/>
            <w:vAlign w:val="bottom"/>
          </w:tcPr>
          <w:p>
            <w:pPr>
              <w:spacing w:after="0"/>
              <w:rPr>
                <w:sz w:val="1"/>
                <w:szCs w:val="1"/>
                <w:color w:val="auto"/>
              </w:rPr>
            </w:pPr>
          </w:p>
        </w:tc>
      </w:tr>
      <w:tr>
        <w:trPr>
          <w:trHeight w:val="272"/>
        </w:trPr>
        <w:tc>
          <w:tcPr>
            <w:tcW w:w="7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7"/>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526"/>
        </w:trPr>
        <w:tc>
          <w:tcPr>
            <w:tcW w:w="7260" w:type="dxa"/>
            <w:vAlign w:val="bottom"/>
          </w:tcPr>
          <w:p>
            <w:pPr>
              <w:spacing w:after="0"/>
              <w:rPr>
                <w:sz w:val="20"/>
                <w:szCs w:val="20"/>
                <w:color w:val="auto"/>
              </w:rPr>
            </w:pPr>
            <w:r>
              <w:rPr>
                <w:rFonts w:ascii="Arial" w:cs="Arial" w:eastAsia="Arial" w:hAnsi="Arial"/>
                <w:sz w:val="22"/>
                <w:szCs w:val="22"/>
                <w:color w:val="auto"/>
              </w:rPr>
              <w:t>Net loss (GAAP)</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60" w:type="dxa"/>
            <w:vAlign w:val="bottom"/>
          </w:tcPr>
          <w:p>
            <w:pPr>
              <w:spacing w:after="0"/>
              <w:rPr>
                <w:sz w:val="24"/>
                <w:szCs w:val="24"/>
                <w:color w:val="auto"/>
              </w:rPr>
            </w:pPr>
          </w:p>
        </w:tc>
        <w:tc>
          <w:tcPr>
            <w:tcW w:w="1600" w:type="dxa"/>
            <w:vAlign w:val="bottom"/>
          </w:tcPr>
          <w:p>
            <w:pPr>
              <w:jc w:val="right"/>
              <w:ind w:right="32"/>
              <w:spacing w:after="0"/>
              <w:rPr>
                <w:sz w:val="20"/>
                <w:szCs w:val="20"/>
                <w:color w:val="auto"/>
              </w:rPr>
            </w:pPr>
            <w:r>
              <w:rPr>
                <w:rFonts w:ascii="Arial" w:cs="Arial" w:eastAsia="Arial" w:hAnsi="Arial"/>
                <w:sz w:val="22"/>
                <w:szCs w:val="22"/>
                <w:color w:val="auto"/>
              </w:rPr>
              <w:t>(25,465)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432"/>
              <w:spacing w:after="0"/>
              <w:rPr>
                <w:sz w:val="20"/>
                <w:szCs w:val="20"/>
                <w:color w:val="auto"/>
              </w:rPr>
            </w:pPr>
            <w:r>
              <w:rPr>
                <w:rFonts w:ascii="Arial" w:cs="Arial" w:eastAsia="Arial" w:hAnsi="Arial"/>
                <w:sz w:val="19"/>
                <w:szCs w:val="19"/>
                <w:color w:val="auto"/>
                <w:w w:val="75"/>
              </w:rPr>
              <w:t>$</w:t>
            </w: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(13,247)</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2,271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1,747</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1,191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1,433</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Interest expense (b)</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2,701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1,889</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70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9,000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726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(916)</w:t>
            </w:r>
          </w:p>
        </w:tc>
        <w:tc>
          <w:tcPr>
            <w:tcW w:w="0" w:type="dxa"/>
            <w:vAlign w:val="bottom"/>
          </w:tcPr>
          <w:p>
            <w:pPr>
              <w:spacing w:after="0"/>
              <w:rPr>
                <w:sz w:val="1"/>
                <w:szCs w:val="1"/>
                <w:color w:val="auto"/>
              </w:rPr>
            </w:pPr>
          </w:p>
        </w:tc>
      </w:tr>
      <w:tr>
        <w:trPr>
          <w:trHeight w:val="265"/>
        </w:trPr>
        <w:tc>
          <w:tcPr>
            <w:tcW w:w="7260" w:type="dxa"/>
            <w:vAlign w:val="bottom"/>
          </w:tcPr>
          <w:p>
            <w:pPr>
              <w:spacing w:after="0"/>
              <w:rPr>
                <w:sz w:val="20"/>
                <w:szCs w:val="20"/>
                <w:color w:val="auto"/>
              </w:rPr>
            </w:pPr>
            <w:r>
              <w:rPr>
                <w:rFonts w:ascii="Arial" w:cs="Arial" w:eastAsia="Arial" w:hAnsi="Arial"/>
                <w:sz w:val="22"/>
                <w:szCs w:val="22"/>
                <w:color w:val="auto"/>
              </w:rPr>
              <w:t>Net loss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(8,174)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(6,294)</w:t>
            </w:r>
          </w:p>
        </w:tc>
        <w:tc>
          <w:tcPr>
            <w:tcW w:w="0" w:type="dxa"/>
            <w:vAlign w:val="bottom"/>
          </w:tcPr>
          <w:p>
            <w:pPr>
              <w:spacing w:after="0"/>
              <w:rPr>
                <w:sz w:val="1"/>
                <w:szCs w:val="1"/>
                <w:color w:val="auto"/>
              </w:rPr>
            </w:pPr>
          </w:p>
        </w:tc>
      </w:tr>
      <w:tr>
        <w:trPr>
          <w:trHeight w:val="21"/>
        </w:trPr>
        <w:tc>
          <w:tcPr>
            <w:tcW w:w="726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72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0" w:type="dxa"/>
            <w:vAlign w:val="bottom"/>
            <w:vMerge w:val="restart"/>
          </w:tcPr>
          <w:p>
            <w:pPr>
              <w:jc w:val="right"/>
              <w:ind w:right="92"/>
              <w:spacing w:after="0"/>
              <w:rPr>
                <w:sz w:val="20"/>
                <w:szCs w:val="20"/>
                <w:color w:val="auto"/>
              </w:rPr>
            </w:pPr>
            <w:r>
              <w:rPr>
                <w:rFonts w:ascii="Arial" w:cs="Arial" w:eastAsia="Arial" w:hAnsi="Arial"/>
                <w:sz w:val="22"/>
                <w:szCs w:val="22"/>
                <w:color w:val="auto"/>
              </w:rPr>
              <w:t>58,411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vMerge w:val="restart"/>
          </w:tcPr>
          <w:p>
            <w:pPr>
              <w:jc w:val="right"/>
              <w:ind w:right="92"/>
              <w:spacing w:after="0"/>
              <w:rPr>
                <w:sz w:val="20"/>
                <w:szCs w:val="20"/>
                <w:color w:val="auto"/>
              </w:rPr>
            </w:pPr>
            <w:r>
              <w:rPr>
                <w:rFonts w:ascii="Arial" w:cs="Arial" w:eastAsia="Arial" w:hAnsi="Arial"/>
                <w:sz w:val="22"/>
                <w:szCs w:val="22"/>
                <w:color w:val="auto"/>
              </w:rPr>
              <w:t>38,856</w:t>
            </w:r>
          </w:p>
        </w:tc>
        <w:tc>
          <w:tcPr>
            <w:tcW w:w="0" w:type="dxa"/>
            <w:vAlign w:val="bottom"/>
          </w:tcPr>
          <w:p>
            <w:pPr>
              <w:spacing w:after="0"/>
              <w:rPr>
                <w:sz w:val="1"/>
                <w:szCs w:val="1"/>
                <w:color w:val="auto"/>
              </w:rPr>
            </w:pPr>
          </w:p>
        </w:tc>
      </w:tr>
      <w:tr>
        <w:trPr>
          <w:trHeight w:val="274"/>
        </w:trPr>
        <w:tc>
          <w:tcPr>
            <w:tcW w:w="7260" w:type="dxa"/>
            <w:vAlign w:val="bottom"/>
          </w:tcPr>
          <w:p>
            <w:pPr>
              <w:ind w:left="120"/>
              <w:spacing w:after="0"/>
              <w:rPr>
                <w:sz w:val="20"/>
                <w:szCs w:val="20"/>
                <w:color w:val="auto"/>
              </w:rPr>
            </w:pPr>
            <w:r>
              <w:rPr>
                <w:rFonts w:ascii="Arial" w:cs="Arial" w:eastAsia="Arial" w:hAnsi="Arial"/>
                <w:sz w:val="22"/>
                <w:szCs w:val="22"/>
                <w:color w:val="auto"/>
              </w:rPr>
              <w:t>basic and diluted (GAAP and Non-GAAP)</w:t>
            </w: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6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(0.34)</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60" w:type="dxa"/>
            <w:vAlign w:val="bottom"/>
          </w:tcPr>
          <w:p>
            <w:pPr>
              <w:spacing w:after="0"/>
              <w:rPr>
                <w:sz w:val="20"/>
                <w:szCs w:val="20"/>
                <w:color w:val="auto"/>
              </w:rPr>
            </w:pPr>
            <w:r>
              <w:rPr>
                <w:rFonts w:ascii="Arial" w:cs="Arial" w:eastAsia="Arial" w:hAnsi="Arial"/>
                <w:sz w:val="22"/>
                <w:szCs w:val="22"/>
                <w:color w:val="auto"/>
              </w:rPr>
              <w:t>Net loss per share - basic and diluted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(0.16)</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0"/>
        </w:trPr>
        <w:tc>
          <w:tcPr>
            <w:tcW w:w="10040" w:type="dxa"/>
            <w:vAlign w:val="bottom"/>
            <w:gridSpan w:val="9"/>
          </w:tcPr>
          <w:p>
            <w:pPr>
              <w:jc w:val="center"/>
              <w:ind w:left="1232"/>
              <w:spacing w:after="0"/>
              <w:rPr>
                <w:sz w:val="20"/>
                <w:szCs w:val="20"/>
                <w:color w:val="auto"/>
              </w:rPr>
            </w:pPr>
            <w:r>
              <w:rPr>
                <w:rFonts w:ascii="Arial" w:cs="Arial" w:eastAsia="Arial" w:hAnsi="Arial"/>
                <w:sz w:val="22"/>
                <w:szCs w:val="22"/>
                <w:b w:val="1"/>
                <w:bCs w:val="1"/>
                <w:color w:val="auto"/>
                <w:w w:val="99"/>
              </w:rPr>
              <w:t>ITEMIZED RECONCILIATION BETWEEN GAAP AND NON-GAAP GROSS MARGIN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7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22"/>
                <w:szCs w:val="22"/>
                <w:b w:val="1"/>
                <w:bCs w:val="1"/>
                <w:color w:val="auto"/>
                <w:w w:val="94"/>
              </w:rPr>
              <w:t>Three Months Ended March 31,</w:t>
            </w:r>
          </w:p>
        </w:tc>
        <w:tc>
          <w:tcPr>
            <w:tcW w:w="0" w:type="dxa"/>
            <w:vAlign w:val="bottom"/>
          </w:tcPr>
          <w:p>
            <w:pPr>
              <w:spacing w:after="0"/>
              <w:rPr>
                <w:sz w:val="1"/>
                <w:szCs w:val="1"/>
                <w:color w:val="auto"/>
              </w:rPr>
            </w:pPr>
          </w:p>
        </w:tc>
      </w:tr>
      <w:tr>
        <w:trPr>
          <w:trHeight w:val="265"/>
        </w:trPr>
        <w:tc>
          <w:tcPr>
            <w:tcW w:w="7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56"/>
        </w:trPr>
        <w:tc>
          <w:tcPr>
            <w:tcW w:w="7260" w:type="dxa"/>
            <w:vAlign w:val="bottom"/>
          </w:tcPr>
          <w:p>
            <w:pPr>
              <w:spacing w:after="0"/>
              <w:rPr>
                <w:sz w:val="20"/>
                <w:szCs w:val="20"/>
                <w:color w:val="auto"/>
              </w:rPr>
            </w:pPr>
            <w:r>
              <w:rPr>
                <w:rFonts w:ascii="Arial" w:cs="Arial" w:eastAsia="Arial" w:hAnsi="Arial"/>
                <w:sz w:val="22"/>
                <w:szCs w:val="22"/>
                <w:color w:val="auto"/>
              </w:rPr>
              <w:t>Gross margin (GAAP)</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60" w:type="dxa"/>
            <w:vAlign w:val="bottom"/>
          </w:tcPr>
          <w:p>
            <w:pPr>
              <w:spacing w:after="0"/>
              <w:rPr>
                <w:sz w:val="22"/>
                <w:szCs w:val="22"/>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16,990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gridSpan w:val="2"/>
          </w:tcPr>
          <w:p>
            <w:pPr>
              <w:jc w:val="right"/>
              <w:ind w:right="432"/>
              <w:spacing w:after="0"/>
              <w:rPr>
                <w:sz w:val="20"/>
                <w:szCs w:val="20"/>
                <w:color w:val="auto"/>
              </w:rPr>
            </w:pPr>
            <w:r>
              <w:rPr>
                <w:rFonts w:ascii="Arial" w:cs="Arial" w:eastAsia="Arial" w:hAnsi="Arial"/>
                <w:sz w:val="19"/>
                <w:szCs w:val="19"/>
                <w:color w:val="auto"/>
                <w:w w:val="75"/>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13,428</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453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510</w:t>
            </w:r>
          </w:p>
        </w:tc>
        <w:tc>
          <w:tcPr>
            <w:tcW w:w="0" w:type="dxa"/>
            <w:vAlign w:val="bottom"/>
          </w:tcPr>
          <w:p>
            <w:pPr>
              <w:spacing w:after="0"/>
              <w:rPr>
                <w:sz w:val="1"/>
                <w:szCs w:val="1"/>
                <w:color w:val="auto"/>
              </w:rPr>
            </w:pPr>
          </w:p>
        </w:tc>
      </w:tr>
      <w:tr>
        <w:trPr>
          <w:trHeight w:val="276"/>
        </w:trPr>
        <w:tc>
          <w:tcPr>
            <w:tcW w:w="726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204</w:t>
            </w:r>
          </w:p>
        </w:tc>
        <w:tc>
          <w:tcPr>
            <w:tcW w:w="0" w:type="dxa"/>
            <w:vAlign w:val="bottom"/>
          </w:tcPr>
          <w:p>
            <w:pPr>
              <w:spacing w:after="0"/>
              <w:rPr>
                <w:sz w:val="1"/>
                <w:szCs w:val="1"/>
                <w:color w:val="auto"/>
              </w:rPr>
            </w:pPr>
          </w:p>
        </w:tc>
      </w:tr>
      <w:tr>
        <w:trPr>
          <w:trHeight w:val="265"/>
        </w:trPr>
        <w:tc>
          <w:tcPr>
            <w:tcW w:w="7260" w:type="dxa"/>
            <w:vAlign w:val="bottom"/>
          </w:tcPr>
          <w:p>
            <w:pPr>
              <w:spacing w:after="0"/>
              <w:rPr>
                <w:sz w:val="20"/>
                <w:szCs w:val="20"/>
                <w:color w:val="auto"/>
              </w:rPr>
            </w:pPr>
            <w:r>
              <w:rPr>
                <w:rFonts w:ascii="Arial" w:cs="Arial" w:eastAsia="Arial" w:hAnsi="Arial"/>
                <w:sz w:val="22"/>
                <w:szCs w:val="22"/>
                <w:color w:val="auto"/>
              </w:rPr>
              <w:t>Gross margin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20,370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9"/>
                <w:szCs w:val="19"/>
                <w:color w:val="auto"/>
                <w:w w:val="75"/>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16,942</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260" w:type="dxa"/>
            <w:vAlign w:val="bottom"/>
          </w:tcPr>
          <w:p>
            <w:pPr>
              <w:spacing w:after="0"/>
              <w:rPr>
                <w:sz w:val="20"/>
                <w:szCs w:val="20"/>
                <w:color w:val="auto"/>
              </w:rPr>
            </w:pPr>
            <w:r>
              <w:rPr>
                <w:rFonts w:ascii="Arial" w:cs="Arial" w:eastAsia="Arial" w:hAnsi="Arial"/>
                <w:sz w:val="22"/>
                <w:szCs w:val="22"/>
                <w:color w:val="auto"/>
              </w:rPr>
              <w:t>Gross margin percentage (GAAP)</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56.4%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53.2%</w:t>
            </w:r>
          </w:p>
        </w:tc>
        <w:tc>
          <w:tcPr>
            <w:tcW w:w="0" w:type="dxa"/>
            <w:vAlign w:val="bottom"/>
          </w:tcPr>
          <w:p>
            <w:pPr>
              <w:spacing w:after="0"/>
              <w:rPr>
                <w:sz w:val="1"/>
                <w:szCs w:val="1"/>
                <w:color w:val="auto"/>
              </w:rPr>
            </w:pPr>
          </w:p>
        </w:tc>
      </w:tr>
      <w:tr>
        <w:trPr>
          <w:trHeight w:val="275"/>
        </w:trPr>
        <w:tc>
          <w:tcPr>
            <w:tcW w:w="7260" w:type="dxa"/>
            <w:vAlign w:val="bottom"/>
          </w:tcPr>
          <w:p>
            <w:pPr>
              <w:spacing w:after="0"/>
              <w:rPr>
                <w:sz w:val="20"/>
                <w:szCs w:val="20"/>
                <w:color w:val="auto"/>
              </w:rPr>
            </w:pPr>
            <w:r>
              <w:rPr>
                <w:rFonts w:ascii="Arial" w:cs="Arial" w:eastAsia="Arial" w:hAnsi="Arial"/>
                <w:sz w:val="22"/>
                <w:szCs w:val="22"/>
                <w:color w:val="auto"/>
              </w:rPr>
              <w:t>Gross margin percentage (Non-GAAP)</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22"/>
                <w:szCs w:val="22"/>
                <w:color w:val="auto"/>
              </w:rPr>
              <w:t>67.7%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67.1%</w:t>
            </w:r>
          </w:p>
        </w:tc>
        <w:tc>
          <w:tcPr>
            <w:tcW w:w="0" w:type="dxa"/>
            <w:vAlign w:val="bottom"/>
          </w:tcPr>
          <w:p>
            <w:pPr>
              <w:spacing w:after="0"/>
              <w:rPr>
                <w:sz w:val="1"/>
                <w:szCs w:val="1"/>
                <w:color w:val="auto"/>
              </w:rPr>
            </w:pPr>
          </w:p>
        </w:tc>
      </w:tr>
      <w:tr>
        <w:trPr>
          <w:trHeight w:val="810"/>
        </w:trPr>
        <w:tc>
          <w:tcPr>
            <w:tcW w:w="11400" w:type="dxa"/>
            <w:vAlign w:val="bottom"/>
            <w:gridSpan w:val="10"/>
          </w:tcPr>
          <w:p>
            <w:pPr>
              <w:jc w:val="center"/>
              <w:spacing w:after="0"/>
              <w:rPr>
                <w:sz w:val="20"/>
                <w:szCs w:val="20"/>
                <w:color w:val="auto"/>
              </w:rPr>
            </w:pPr>
            <w:r>
              <w:rPr>
                <w:rFonts w:ascii="Arial" w:cs="Arial" w:eastAsia="Arial" w:hAnsi="Arial"/>
                <w:sz w:val="22"/>
                <w:szCs w:val="22"/>
                <w:b w:val="1"/>
                <w:bCs w:val="1"/>
                <w:color w:val="auto"/>
                <w:w w:val="99"/>
              </w:rPr>
              <w:t>ITEMIZED RECONCILIATION BETWEEN GAAP AND NON-GAAP OPERATING EXPENSES</w:t>
            </w:r>
          </w:p>
        </w:tc>
        <w:tc>
          <w:tcPr>
            <w:tcW w:w="0" w:type="dxa"/>
            <w:vAlign w:val="bottom"/>
          </w:tcPr>
          <w:p>
            <w:pPr>
              <w:spacing w:after="0"/>
              <w:rPr>
                <w:sz w:val="1"/>
                <w:szCs w:val="1"/>
                <w:color w:val="auto"/>
              </w:rPr>
            </w:pPr>
          </w:p>
        </w:tc>
      </w:tr>
      <w:tr>
        <w:trPr>
          <w:trHeight w:val="542"/>
        </w:trPr>
        <w:tc>
          <w:tcPr>
            <w:tcW w:w="7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512"/>
              <w:spacing w:after="0"/>
              <w:rPr>
                <w:sz w:val="20"/>
                <w:szCs w:val="20"/>
                <w:color w:val="auto"/>
              </w:rPr>
            </w:pPr>
            <w:r>
              <w:rPr>
                <w:rFonts w:ascii="Arial" w:cs="Arial" w:eastAsia="Arial" w:hAnsi="Arial"/>
                <w:sz w:val="22"/>
                <w:szCs w:val="22"/>
                <w:b w:val="1"/>
                <w:bCs w:val="1"/>
                <w:color w:val="auto"/>
                <w:w w:val="94"/>
              </w:rPr>
              <w:t>Three Months Ended March 31,</w:t>
            </w:r>
          </w:p>
        </w:tc>
        <w:tc>
          <w:tcPr>
            <w:tcW w:w="0" w:type="dxa"/>
            <w:vAlign w:val="bottom"/>
          </w:tcPr>
          <w:p>
            <w:pPr>
              <w:spacing w:after="0"/>
              <w:rPr>
                <w:sz w:val="1"/>
                <w:szCs w:val="1"/>
                <w:color w:val="auto"/>
              </w:rPr>
            </w:pPr>
          </w:p>
        </w:tc>
      </w:tr>
      <w:tr>
        <w:trPr>
          <w:trHeight w:val="265"/>
        </w:trPr>
        <w:tc>
          <w:tcPr>
            <w:tcW w:w="7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2018</w:t>
            </w:r>
          </w:p>
        </w:tc>
        <w:tc>
          <w:tcPr>
            <w:tcW w:w="0" w:type="dxa"/>
            <w:vAlign w:val="bottom"/>
          </w:tcPr>
          <w:p>
            <w:pPr>
              <w:spacing w:after="0"/>
              <w:rPr>
                <w:sz w:val="1"/>
                <w:szCs w:val="1"/>
                <w:color w:val="auto"/>
              </w:rPr>
            </w:pPr>
          </w:p>
        </w:tc>
      </w:tr>
      <w:tr>
        <w:trPr>
          <w:trHeight w:val="256"/>
        </w:trPr>
        <w:tc>
          <w:tcPr>
            <w:tcW w:w="726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60" w:type="dxa"/>
            <w:vAlign w:val="bottom"/>
          </w:tcPr>
          <w:p>
            <w:pPr>
              <w:spacing w:after="0"/>
              <w:rPr>
                <w:sz w:val="22"/>
                <w:szCs w:val="22"/>
                <w:color w:val="auto"/>
              </w:rPr>
            </w:pPr>
          </w:p>
        </w:tc>
        <w:tc>
          <w:tcPr>
            <w:tcW w:w="1600" w:type="dxa"/>
            <w:vAlign w:val="bottom"/>
          </w:tcPr>
          <w:p>
            <w:pPr>
              <w:jc w:val="right"/>
              <w:ind w:right="92"/>
              <w:spacing w:after="0"/>
              <w:rPr>
                <w:sz w:val="20"/>
                <w:szCs w:val="20"/>
                <w:color w:val="auto"/>
              </w:rPr>
            </w:pPr>
            <w:r>
              <w:rPr>
                <w:rFonts w:ascii="Arial" w:cs="Arial" w:eastAsia="Arial" w:hAnsi="Arial"/>
                <w:sz w:val="22"/>
                <w:szCs w:val="22"/>
                <w:color w:val="auto"/>
              </w:rPr>
              <w:t>31,196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gridSpan w:val="2"/>
          </w:tcPr>
          <w:p>
            <w:pPr>
              <w:jc w:val="right"/>
              <w:ind w:right="432"/>
              <w:spacing w:after="0"/>
              <w:rPr>
                <w:sz w:val="20"/>
                <w:szCs w:val="20"/>
                <w:color w:val="auto"/>
              </w:rPr>
            </w:pPr>
            <w:r>
              <w:rPr>
                <w:rFonts w:ascii="Arial" w:cs="Arial" w:eastAsia="Arial" w:hAnsi="Arial"/>
                <w:sz w:val="19"/>
                <w:szCs w:val="19"/>
                <w:color w:val="auto"/>
                <w:w w:val="75"/>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26,061</w:t>
            </w:r>
          </w:p>
        </w:tc>
        <w:tc>
          <w:tcPr>
            <w:tcW w:w="0" w:type="dxa"/>
            <w:vAlign w:val="bottom"/>
          </w:tcPr>
          <w:p>
            <w:pPr>
              <w:spacing w:after="0"/>
              <w:rPr>
                <w:sz w:val="1"/>
                <w:szCs w:val="1"/>
                <w:color w:val="auto"/>
              </w:rPr>
            </w:pP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32"/>
              <w:spacing w:after="0"/>
              <w:rPr>
                <w:sz w:val="20"/>
                <w:szCs w:val="20"/>
                <w:color w:val="auto"/>
              </w:rPr>
            </w:pPr>
            <w:r>
              <w:rPr>
                <w:rFonts w:ascii="Arial" w:cs="Arial" w:eastAsia="Arial" w:hAnsi="Arial"/>
                <w:sz w:val="22"/>
                <w:szCs w:val="22"/>
                <w:color w:val="auto"/>
              </w:rPr>
              <w:t>(2,144)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(1,543)</w:t>
            </w:r>
          </w:p>
        </w:tc>
        <w:tc>
          <w:tcPr>
            <w:tcW w:w="0" w:type="dxa"/>
            <w:vAlign w:val="bottom"/>
          </w:tcPr>
          <w:p>
            <w:pPr>
              <w:spacing w:after="0"/>
              <w:rPr>
                <w:sz w:val="1"/>
                <w:szCs w:val="1"/>
                <w:color w:val="auto"/>
              </w:rPr>
            </w:pPr>
          </w:p>
        </w:tc>
      </w:tr>
      <w:tr>
        <w:trPr>
          <w:trHeight w:val="275"/>
        </w:trPr>
        <w:tc>
          <w:tcPr>
            <w:tcW w:w="726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jc w:val="right"/>
              <w:ind w:right="32"/>
              <w:spacing w:after="0"/>
              <w:rPr>
                <w:sz w:val="20"/>
                <w:szCs w:val="20"/>
                <w:color w:val="auto"/>
              </w:rPr>
            </w:pPr>
            <w:r>
              <w:rPr>
                <w:rFonts w:ascii="Arial" w:cs="Arial" w:eastAsia="Arial" w:hAnsi="Arial"/>
                <w:sz w:val="22"/>
                <w:szCs w:val="22"/>
                <w:color w:val="auto"/>
              </w:rPr>
              <w:t>(738)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(923)</w:t>
            </w:r>
          </w:p>
        </w:tc>
        <w:tc>
          <w:tcPr>
            <w:tcW w:w="0" w:type="dxa"/>
            <w:vAlign w:val="bottom"/>
          </w:tcPr>
          <w:p>
            <w:pPr>
              <w:spacing w:after="0"/>
              <w:rPr>
                <w:sz w:val="1"/>
                <w:szCs w:val="1"/>
                <w:color w:val="auto"/>
              </w:rPr>
            </w:pPr>
          </w:p>
        </w:tc>
      </w:tr>
    </w:tbl>
    <w:p>
      <w:pPr>
        <w:sectPr>
          <w:pgSz w:w="11900" w:h="16867" w:orient="portrait"/>
          <w:cols w:equalWidth="0" w:num="1">
            <w:col w:w="11400"/>
          </w:cols>
          <w:pgMar w:left="260" w:top="382"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726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(70)</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r>
      <w:tr>
        <w:trPr>
          <w:trHeight w:val="265"/>
        </w:trPr>
        <w:tc>
          <w:tcPr>
            <w:tcW w:w="726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6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28,244</w:t>
            </w:r>
          </w:p>
        </w:tc>
        <w:tc>
          <w:tcPr>
            <w:tcW w:w="100" w:type="dxa"/>
            <w:vAlign w:val="bottom"/>
          </w:tcPr>
          <w:p>
            <w:pPr>
              <w:spacing w:after="0"/>
              <w:rPr>
                <w:sz w:val="23"/>
                <w:szCs w:val="23"/>
                <w:color w:val="auto"/>
              </w:rPr>
            </w:pPr>
          </w:p>
        </w:tc>
        <w:tc>
          <w:tcPr>
            <w:tcW w:w="6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23,595</w:t>
            </w:r>
          </w:p>
        </w:tc>
      </w:tr>
      <w:tr>
        <w:trPr>
          <w:trHeight w:val="21"/>
        </w:trPr>
        <w:tc>
          <w:tcPr>
            <w:tcW w:w="7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ITEMIZED RECONCILIATION BETWEEN GAAP AND NON-GAAP LOSS FROM OPERATIONS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22"/>
                <w:szCs w:val="22"/>
                <w:b w:val="1"/>
                <w:bCs w:val="1"/>
                <w:color w:val="auto"/>
                <w:w w:val="97"/>
              </w:rPr>
              <w:t>Three Months Ended March 31,</w:t>
            </w:r>
          </w:p>
        </w:tc>
      </w:tr>
      <w:tr>
        <w:trPr>
          <w:trHeight w:val="265"/>
        </w:trPr>
        <w:tc>
          <w:tcPr>
            <w:tcW w:w="72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2019</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672"/>
              <w:spacing w:after="0"/>
              <w:rPr>
                <w:sz w:val="20"/>
                <w:szCs w:val="20"/>
                <w:color w:val="auto"/>
              </w:rPr>
            </w:pPr>
            <w:r>
              <w:rPr>
                <w:rFonts w:ascii="Arial" w:cs="Arial" w:eastAsia="Arial" w:hAnsi="Arial"/>
                <w:sz w:val="22"/>
                <w:szCs w:val="22"/>
                <w:b w:val="1"/>
                <w:bCs w:val="1"/>
                <w:color w:val="auto"/>
              </w:rPr>
              <w:t>2018</w:t>
            </w:r>
          </w:p>
        </w:tc>
      </w:tr>
      <w:tr>
        <w:trPr>
          <w:trHeight w:val="256"/>
        </w:trPr>
        <w:tc>
          <w:tcPr>
            <w:tcW w:w="726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680" w:type="dxa"/>
            <w:vAlign w:val="bottom"/>
          </w:tcPr>
          <w:p>
            <w:pPr>
              <w:jc w:val="right"/>
              <w:ind w:right="32"/>
              <w:spacing w:after="0"/>
              <w:rPr>
                <w:sz w:val="20"/>
                <w:szCs w:val="20"/>
                <w:color w:val="auto"/>
              </w:rPr>
            </w:pPr>
            <w:r>
              <w:rPr>
                <w:rFonts w:ascii="Arial" w:cs="Arial" w:eastAsia="Arial" w:hAnsi="Arial"/>
                <w:sz w:val="22"/>
                <w:szCs w:val="22"/>
                <w:color w:val="auto"/>
              </w:rPr>
              <w:t>(14,206)</w:t>
            </w:r>
          </w:p>
        </w:tc>
        <w:tc>
          <w:tcPr>
            <w:tcW w:w="100" w:type="dxa"/>
            <w:vAlign w:val="bottom"/>
          </w:tcPr>
          <w:p>
            <w:pPr>
              <w:spacing w:after="0"/>
              <w:rPr>
                <w:sz w:val="22"/>
                <w:szCs w:val="22"/>
                <w:color w:val="auto"/>
              </w:rPr>
            </w:pPr>
          </w:p>
        </w:tc>
        <w:tc>
          <w:tcPr>
            <w:tcW w:w="460" w:type="dxa"/>
            <w:vAlign w:val="bottom"/>
          </w:tcPr>
          <w:p>
            <w:pPr>
              <w:jc w:val="right"/>
              <w:ind w:right="232"/>
              <w:spacing w:after="0"/>
              <w:rPr>
                <w:sz w:val="20"/>
                <w:szCs w:val="20"/>
                <w:color w:val="auto"/>
              </w:rPr>
            </w:pPr>
            <w:r>
              <w:rPr>
                <w:rFonts w:ascii="Arial" w:cs="Arial" w:eastAsia="Arial" w:hAnsi="Arial"/>
                <w:sz w:val="22"/>
                <w:szCs w:val="22"/>
                <w:color w:val="auto"/>
                <w:w w:val="81"/>
              </w:rPr>
              <w:t>$</w:t>
            </w:r>
          </w:p>
        </w:tc>
        <w:tc>
          <w:tcPr>
            <w:tcW w:w="1560" w:type="dxa"/>
            <w:vAlign w:val="bottom"/>
          </w:tcPr>
          <w:p>
            <w:pPr>
              <w:jc w:val="right"/>
              <w:ind w:right="32"/>
              <w:spacing w:after="0"/>
              <w:rPr>
                <w:sz w:val="20"/>
                <w:szCs w:val="20"/>
                <w:color w:val="auto"/>
              </w:rPr>
            </w:pPr>
            <w:r>
              <w:rPr>
                <w:rFonts w:ascii="Arial" w:cs="Arial" w:eastAsia="Arial" w:hAnsi="Arial"/>
                <w:sz w:val="22"/>
                <w:szCs w:val="22"/>
                <w:color w:val="auto"/>
              </w:rPr>
              <w:t>(12,633)</w:t>
            </w: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40" w:type="dxa"/>
            <w:vAlign w:val="bottom"/>
          </w:tcPr>
          <w:p>
            <w:pPr>
              <w:spacing w:after="0"/>
              <w:rPr>
                <w:sz w:val="23"/>
                <w:szCs w:val="23"/>
                <w:color w:val="auto"/>
              </w:rPr>
            </w:pPr>
          </w:p>
        </w:tc>
        <w:tc>
          <w:tcPr>
            <w:tcW w:w="1680" w:type="dxa"/>
            <w:vAlign w:val="bottom"/>
          </w:tcPr>
          <w:p>
            <w:pPr>
              <w:jc w:val="right"/>
              <w:ind w:right="92"/>
              <w:spacing w:after="0"/>
              <w:rPr>
                <w:sz w:val="20"/>
                <w:szCs w:val="20"/>
                <w:color w:val="auto"/>
              </w:rPr>
            </w:pPr>
            <w:r>
              <w:rPr>
                <w:rFonts w:ascii="Arial" w:cs="Arial" w:eastAsia="Arial" w:hAnsi="Arial"/>
                <w:sz w:val="22"/>
                <w:szCs w:val="22"/>
                <w:color w:val="auto"/>
              </w:rPr>
              <w:t>2,271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1,747</w:t>
            </w: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40" w:type="dxa"/>
            <w:vAlign w:val="bottom"/>
          </w:tcPr>
          <w:p>
            <w:pPr>
              <w:spacing w:after="0"/>
              <w:rPr>
                <w:sz w:val="23"/>
                <w:szCs w:val="23"/>
                <w:color w:val="auto"/>
              </w:rPr>
            </w:pPr>
          </w:p>
        </w:tc>
        <w:tc>
          <w:tcPr>
            <w:tcW w:w="1680" w:type="dxa"/>
            <w:vAlign w:val="bottom"/>
          </w:tcPr>
          <w:p>
            <w:pPr>
              <w:jc w:val="right"/>
              <w:ind w:right="92"/>
              <w:spacing w:after="0"/>
              <w:rPr>
                <w:sz w:val="20"/>
                <w:szCs w:val="20"/>
                <w:color w:val="auto"/>
              </w:rPr>
            </w:pPr>
            <w:r>
              <w:rPr>
                <w:rFonts w:ascii="Arial" w:cs="Arial" w:eastAsia="Arial" w:hAnsi="Arial"/>
                <w:sz w:val="22"/>
                <w:szCs w:val="22"/>
                <w:color w:val="auto"/>
              </w:rPr>
              <w:t>2,800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2,800</w:t>
            </w:r>
          </w:p>
        </w:tc>
      </w:tr>
      <w:tr>
        <w:trPr>
          <w:trHeight w:val="270"/>
        </w:trPr>
        <w:tc>
          <w:tcPr>
            <w:tcW w:w="726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40" w:type="dxa"/>
            <w:vAlign w:val="bottom"/>
          </w:tcPr>
          <w:p>
            <w:pPr>
              <w:spacing w:after="0"/>
              <w:rPr>
                <w:sz w:val="23"/>
                <w:szCs w:val="23"/>
                <w:color w:val="auto"/>
              </w:rPr>
            </w:pPr>
          </w:p>
        </w:tc>
        <w:tc>
          <w:tcPr>
            <w:tcW w:w="1680" w:type="dxa"/>
            <w:vAlign w:val="bottom"/>
          </w:tcPr>
          <w:p>
            <w:pPr>
              <w:jc w:val="right"/>
              <w:ind w:right="92"/>
              <w:spacing w:after="0"/>
              <w:rPr>
                <w:sz w:val="20"/>
                <w:szCs w:val="20"/>
                <w:color w:val="auto"/>
              </w:rPr>
            </w:pPr>
            <w:r>
              <w:rPr>
                <w:rFonts w:ascii="Arial" w:cs="Arial" w:eastAsia="Arial" w:hAnsi="Arial"/>
                <w:sz w:val="22"/>
                <w:szCs w:val="22"/>
                <w:color w:val="auto"/>
              </w:rPr>
              <w:t>1,191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92"/>
              <w:spacing w:after="0"/>
              <w:rPr>
                <w:sz w:val="20"/>
                <w:szCs w:val="20"/>
                <w:color w:val="auto"/>
              </w:rPr>
            </w:pPr>
            <w:r>
              <w:rPr>
                <w:rFonts w:ascii="Arial" w:cs="Arial" w:eastAsia="Arial" w:hAnsi="Arial"/>
                <w:sz w:val="22"/>
                <w:szCs w:val="22"/>
                <w:color w:val="auto"/>
              </w:rPr>
              <w:t>1,433</w:t>
            </w:r>
          </w:p>
        </w:tc>
      </w:tr>
      <w:tr>
        <w:trPr>
          <w:trHeight w:val="276"/>
        </w:trPr>
        <w:tc>
          <w:tcPr>
            <w:tcW w:w="726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70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r>
      <w:tr>
        <w:trPr>
          <w:trHeight w:val="265"/>
        </w:trPr>
        <w:tc>
          <w:tcPr>
            <w:tcW w:w="726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6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(7,874)</w:t>
            </w:r>
          </w:p>
        </w:tc>
        <w:tc>
          <w:tcPr>
            <w:tcW w:w="100" w:type="dxa"/>
            <w:vAlign w:val="bottom"/>
          </w:tcPr>
          <w:p>
            <w:pPr>
              <w:spacing w:after="0"/>
              <w:rPr>
                <w:sz w:val="23"/>
                <w:szCs w:val="23"/>
                <w:color w:val="auto"/>
              </w:rPr>
            </w:pP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w w:val="81"/>
              </w:rPr>
              <w:t>$</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(6,653)</w:t>
            </w:r>
          </w:p>
        </w:tc>
      </w:tr>
      <w:tr>
        <w:trPr>
          <w:trHeight w:val="21"/>
        </w:trPr>
        <w:tc>
          <w:tcPr>
            <w:tcW w:w="7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primarily on convertible debt</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the tax impact on the purchase of intangible assets in connection with the DVS acquisition</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300" w:hanging="298"/>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research and development, selling, general and administrative activities</w:t>
      </w:r>
    </w:p>
    <w:sectPr>
      <w:pgSz w:w="11900" w:h="16838" w:orient="portrait"/>
      <w:cols w:equalWidth="0" w:num="1">
        <w:col w:w="11400"/>
      </w:cols>
      <w:pgMar w:left="26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2019-12-28T13:11:18Z</dcterms:created>
  <dcterms:modified xsi:type="dcterms:W3CDTF">2019-12-28T13:11:18Z</dcterms:modified>
</cp:coreProperties>
</file>