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November 8, 2021</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$0.001 par value per share</w:t>
            </w:r>
          </w:p>
        </w:tc>
        <w:tc>
          <w:tcPr>
            <w:tcW w:w="2360" w:type="dxa"/>
            <w:vAlign w:val="bottom"/>
          </w:tcPr>
          <w:p>
            <w:pPr>
              <w:jc w:val="center"/>
              <w:ind w:right="50"/>
              <w:spacing w:after="0"/>
              <w:rPr>
                <w:sz w:val="20"/>
                <w:szCs w:val="20"/>
                <w:color w:val="auto"/>
              </w:rPr>
            </w:pPr>
            <w:r>
              <w:rPr>
                <w:rFonts w:ascii="Arial" w:cs="Arial" w:eastAsia="Arial" w:hAnsi="Arial"/>
                <w:sz w:val="18"/>
                <w:szCs w:val="18"/>
                <w:color w:val="auto"/>
              </w:rPr>
              <w:t>FLDM</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November 8, 2021, Fluidigm Corporation issued a press release reporting its financial results for the third fiscal quarter of 2021. A copy of the press release is furnished herewith as Exhibit 99.1.</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9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6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100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Fluidigm Corporation Press Release dated November 8,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580" w:type="dxa"/>
            <w:vAlign w:val="bottom"/>
            <w:shd w:val="clear" w:color="auto" w:fill="000000"/>
          </w:tcPr>
          <w:p>
            <w:pPr>
              <w:spacing w:after="0"/>
              <w:rPr>
                <w:sz w:val="5"/>
                <w:szCs w:val="5"/>
                <w:color w:val="auto"/>
              </w:rPr>
            </w:pPr>
          </w:p>
        </w:tc>
        <w:tc>
          <w:tcPr>
            <w:tcW w:w="5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820" w:type="dxa"/>
            <w:vAlign w:val="bottom"/>
            <w:gridSpan w:val="3"/>
          </w:tcPr>
          <w:p>
            <w:pPr>
              <w:ind w:left="1840"/>
              <w:spacing w:after="0"/>
              <w:rPr>
                <w:sz w:val="20"/>
                <w:szCs w:val="20"/>
                <w:color w:val="auto"/>
              </w:rPr>
            </w:pPr>
            <w:r>
              <w:rPr>
                <w:rFonts w:ascii="Arial" w:cs="Arial" w:eastAsia="Arial" w:hAnsi="Arial"/>
                <w:sz w:val="18"/>
                <w:szCs w:val="18"/>
                <w:b w:val="1"/>
                <w:bCs w:val="1"/>
                <w:color w:val="auto"/>
              </w:rPr>
              <w:t>Fluidigm Corporation</w:t>
            </w:r>
          </w:p>
        </w:tc>
      </w:tr>
      <w:tr>
        <w:trPr>
          <w:trHeight w:val="688"/>
        </w:trPr>
        <w:tc>
          <w:tcPr>
            <w:tcW w:w="3620" w:type="dxa"/>
            <w:vAlign w:val="bottom"/>
          </w:tcPr>
          <w:p>
            <w:pPr>
              <w:spacing w:after="0"/>
              <w:rPr>
                <w:sz w:val="20"/>
                <w:szCs w:val="20"/>
                <w:color w:val="auto"/>
              </w:rPr>
            </w:pPr>
            <w:r>
              <w:rPr>
                <w:rFonts w:ascii="Arial" w:cs="Arial" w:eastAsia="Arial" w:hAnsi="Arial"/>
                <w:sz w:val="18"/>
                <w:szCs w:val="18"/>
                <w:color w:val="auto"/>
              </w:rPr>
              <w:t>Date: November 8, 2021</w:t>
            </w:r>
          </w:p>
        </w:tc>
        <w:tc>
          <w:tcPr>
            <w:tcW w:w="3820" w:type="dxa"/>
            <w:vAlign w:val="bottom"/>
            <w:gridSpan w:val="3"/>
          </w:tcPr>
          <w:p>
            <w:pPr>
              <w:ind w:left="1840"/>
              <w:spacing w:after="0"/>
              <w:rPr>
                <w:sz w:val="20"/>
                <w:szCs w:val="20"/>
                <w:color w:val="auto"/>
              </w:rPr>
            </w:pPr>
            <w:r>
              <w:rPr>
                <w:rFonts w:ascii="Arial" w:cs="Arial" w:eastAsia="Arial" w:hAnsi="Arial"/>
                <w:sz w:val="18"/>
                <w:szCs w:val="18"/>
                <w:color w:val="auto"/>
              </w:rPr>
              <w:t>By: /s/ Vikram Jog</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6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200"/>
          </w:cols>
          <w:pgMar w:left="320" w:top="5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Fluidigm Announces Third Quarter 2021 Financial Results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Board Undertaking Review of Range of Value-Enhancing Opportunities</w:t>
      </w:r>
    </w:p>
    <w:p>
      <w:pPr>
        <w:spacing w:after="0" w:line="206"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SOUTH SAN FRANCISCO, Calif., Nov. 08, 2021 (GLOBE NEWSWIRE) -- Fluidigm Corporation (Nasdaq: FLDM), an innovative biotechnology tools provider with a vision to improve life through comprehensive health insight, today announced financial results for the third quarter ended September 30, 2021.</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“We saw a very active third quarter and made progress with our ambitious plan to commercially scale two new instrument systems,” said Chris Linthwaite, President and CEO. “Core demand for our products was healthy, but we were unable to fulfill all orders for our products during the quarter, largely due to supply chain issues. Our backlog of unfilled orders stands at more than $9 million, which is almost twice as much as our historic average. We expect to work through these pending orders over the next few quarters. Demand in the APAC region was impacted by tax permit issues in China and COVID-related shutdowns in Japan.</w:t>
      </w:r>
    </w:p>
    <w:p>
      <w:pPr>
        <w:spacing w:after="0" w:line="155" w:lineRule="exact"/>
        <w:rPr>
          <w:sz w:val="20"/>
          <w:szCs w:val="20"/>
          <w:color w:val="auto"/>
        </w:rPr>
      </w:pPr>
    </w:p>
    <w:p>
      <w:pPr>
        <w:ind w:right="240"/>
        <w:spacing w:after="0" w:line="277" w:lineRule="auto"/>
        <w:rPr>
          <w:sz w:val="20"/>
          <w:szCs w:val="20"/>
          <w:color w:val="auto"/>
        </w:rPr>
      </w:pPr>
      <w:r>
        <w:rPr>
          <w:rFonts w:ascii="Arial" w:cs="Arial" w:eastAsia="Arial" w:hAnsi="Arial"/>
          <w:sz w:val="19"/>
          <w:szCs w:val="19"/>
          <w:color w:val="auto"/>
        </w:rPr>
        <w:t>“We were pleased to deliver the first production units of the Olink</w:t>
      </w:r>
      <w:r>
        <w:rPr>
          <w:rFonts w:ascii="Arial" w:cs="Arial" w:eastAsia="Arial" w:hAnsi="Arial"/>
          <w:sz w:val="30"/>
          <w:szCs w:val="30"/>
          <w:color w:val="auto"/>
          <w:vertAlign w:val="superscript"/>
        </w:rPr>
        <w:t>®</w:t>
      </w:r>
      <w:r>
        <w:rPr>
          <w:rFonts w:ascii="Arial" w:cs="Arial" w:eastAsia="Arial" w:hAnsi="Arial"/>
          <w:sz w:val="19"/>
          <w:szCs w:val="19"/>
          <w:color w:val="auto"/>
        </w:rPr>
        <w:t xml:space="preserve"> Signature Q100 benchtop instrument system and anticipate an increase in deliveries in Q4 for this product, as well as for our new CyTOF</w:t>
      </w:r>
      <w:r>
        <w:rPr>
          <w:rFonts w:ascii="Arial" w:cs="Arial" w:eastAsia="Arial" w:hAnsi="Arial"/>
          <w:sz w:val="30"/>
          <w:szCs w:val="30"/>
          <w:color w:val="auto"/>
          <w:vertAlign w:val="superscript"/>
        </w:rPr>
        <w:t>®</w:t>
      </w:r>
      <w:r>
        <w:rPr>
          <w:rFonts w:ascii="Arial" w:cs="Arial" w:eastAsia="Arial" w:hAnsi="Arial"/>
          <w:sz w:val="19"/>
          <w:szCs w:val="19"/>
          <w:color w:val="auto"/>
        </w:rPr>
        <w:t xml:space="preserve"> XT platform,” continued Linthwaite.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Review</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Fluidigm also announced today that its Board of Directors is undertaking a review of various options, with the assistance of outside financial, operating and legal advisors, to maximize stockholder value, including with regard to strategic alternatives, cost and capital structure, and operations and supply chain. There can be no assurance that the evaluation of these options will result in Fluidigm taking any particular action, and there can be no assurance as to the outcome or timing of this process. Fluidigm has not set a timetable for completion of the process and does not intend to disclose developments related to the Board’s process unless and until the Board determines that further disclosure is appropriate or required.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Mass Cytometry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Innovation:</w:t>
      </w:r>
    </w:p>
    <w:p>
      <w:pPr>
        <w:spacing w:after="0" w:line="213" w:lineRule="exact"/>
        <w:rPr>
          <w:sz w:val="20"/>
          <w:szCs w:val="20"/>
          <w:color w:val="auto"/>
        </w:rPr>
      </w:pPr>
    </w:p>
    <w:p>
      <w:pPr>
        <w:ind w:left="540" w:right="280"/>
        <w:spacing w:after="0" w:line="281" w:lineRule="auto"/>
        <w:rPr>
          <w:sz w:val="20"/>
          <w:szCs w:val="20"/>
          <w:color w:val="auto"/>
        </w:rPr>
      </w:pPr>
      <w:r>
        <w:rPr>
          <w:rFonts w:ascii="Arial" w:cs="Arial" w:eastAsia="Arial" w:hAnsi="Arial"/>
          <w:sz w:val="19"/>
          <w:szCs w:val="19"/>
          <w:color w:val="auto"/>
        </w:rPr>
        <w:t>Introduced Maxpar</w:t>
      </w:r>
      <w:r>
        <w:rPr>
          <w:rFonts w:ascii="Arial" w:cs="Arial" w:eastAsia="Arial" w:hAnsi="Arial"/>
          <w:sz w:val="30"/>
          <w:szCs w:val="30"/>
          <w:color w:val="auto"/>
          <w:vertAlign w:val="superscript"/>
        </w:rPr>
        <w:t>®</w:t>
      </w:r>
      <w:r>
        <w:rPr>
          <w:rFonts w:ascii="Arial" w:cs="Arial" w:eastAsia="Arial" w:hAnsi="Arial"/>
          <w:sz w:val="19"/>
          <w:szCs w:val="19"/>
          <w:color w:val="auto"/>
        </w:rPr>
        <w:t xml:space="preserve"> OnDemand Antibodies (as part of our IMC</w:t>
      </w:r>
      <w:r>
        <w:rPr>
          <w:rFonts w:ascii="Arial" w:cs="Arial" w:eastAsia="Arial" w:hAnsi="Arial"/>
          <w:sz w:val="30"/>
          <w:szCs w:val="30"/>
          <w:color w:val="auto"/>
          <w:vertAlign w:val="superscript"/>
        </w:rPr>
        <w:t>™</w:t>
      </w:r>
      <w:r>
        <w:rPr>
          <w:rFonts w:ascii="Arial" w:cs="Arial" w:eastAsia="Arial" w:hAnsi="Arial"/>
          <w:sz w:val="19"/>
          <w:szCs w:val="19"/>
          <w:color w:val="auto"/>
        </w:rPr>
        <w:t xml:space="preserve"> Summit: Uncovering Spatial Biology), an option that more than doubles our current catalog offerings for metal-conjugated antibodies for Imaging Mass Cytometry</w:t>
      </w:r>
      <w:r>
        <w:rPr>
          <w:rFonts w:ascii="Arial" w:cs="Arial" w:eastAsia="Arial" w:hAnsi="Arial"/>
          <w:sz w:val="30"/>
          <w:szCs w:val="30"/>
          <w:color w:val="auto"/>
          <w:vertAlign w:val="superscript"/>
        </w:rPr>
        <w:t>™</w:t>
      </w:r>
      <w:r>
        <w:rPr>
          <w:rFonts w:ascii="Arial" w:cs="Arial" w:eastAsia="Arial" w:hAnsi="Arial"/>
          <w:sz w:val="19"/>
          <w:szCs w:val="19"/>
          <w:color w:val="auto"/>
        </w:rPr>
        <w:t xml:space="preserve"> (IMC).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Sold ten of our new CyTOF XT</w:t>
      </w:r>
      <w:r>
        <w:rPr>
          <w:rFonts w:ascii="Arial" w:cs="Arial" w:eastAsia="Arial" w:hAnsi="Arial"/>
          <w:sz w:val="35"/>
          <w:szCs w:val="35"/>
          <w:color w:val="auto"/>
          <w:vertAlign w:val="superscript"/>
        </w:rPr>
        <w:t>™</w:t>
      </w:r>
      <w:r>
        <w:rPr>
          <w:rFonts w:ascii="Arial" w:cs="Arial" w:eastAsia="Arial" w:hAnsi="Arial"/>
          <w:sz w:val="22"/>
          <w:szCs w:val="22"/>
          <w:color w:val="auto"/>
        </w:rPr>
        <w:t xml:space="preserve"> systems since launch, with two additional instruments in backlog.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-164465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Partnerships:</w:t>
      </w:r>
    </w:p>
    <w:p>
      <w:pPr>
        <w:spacing w:after="0" w:line="213" w:lineRule="exact"/>
        <w:rPr>
          <w:sz w:val="20"/>
          <w:szCs w:val="20"/>
          <w:color w:val="auto"/>
        </w:rPr>
      </w:pPr>
    </w:p>
    <w:p>
      <w:pPr>
        <w:ind w:left="540" w:right="120"/>
        <w:spacing w:after="0" w:line="279" w:lineRule="auto"/>
        <w:rPr>
          <w:sz w:val="20"/>
          <w:szCs w:val="20"/>
          <w:color w:val="auto"/>
        </w:rPr>
      </w:pPr>
      <w:r>
        <w:rPr>
          <w:rFonts w:ascii="Arial" w:cs="Arial" w:eastAsia="Arial" w:hAnsi="Arial"/>
          <w:sz w:val="19"/>
          <w:szCs w:val="19"/>
          <w:color w:val="auto"/>
        </w:rPr>
        <w:t>Announced a new phase of a collaboration agreement with Visiopharm</w:t>
      </w:r>
      <w:r>
        <w:rPr>
          <w:rFonts w:ascii="Arial" w:cs="Arial" w:eastAsia="Arial" w:hAnsi="Arial"/>
          <w:sz w:val="30"/>
          <w:szCs w:val="30"/>
          <w:color w:val="auto"/>
          <w:vertAlign w:val="superscript"/>
        </w:rPr>
        <w:t>®</w:t>
      </w:r>
      <w:r>
        <w:rPr>
          <w:rFonts w:ascii="Arial" w:cs="Arial" w:eastAsia="Arial" w:hAnsi="Arial"/>
          <w:sz w:val="19"/>
          <w:szCs w:val="19"/>
          <w:color w:val="auto"/>
        </w:rPr>
        <w:t>. New software developed in collaboration with Visiopharm enables native reading of data files from the Hyperion</w:t>
      </w:r>
      <w:r>
        <w:rPr>
          <w:rFonts w:ascii="Arial" w:cs="Arial" w:eastAsia="Arial" w:hAnsi="Arial"/>
          <w:sz w:val="30"/>
          <w:szCs w:val="30"/>
          <w:color w:val="auto"/>
          <w:vertAlign w:val="superscript"/>
        </w:rPr>
        <w:t>™</w:t>
      </w:r>
      <w:r>
        <w:rPr>
          <w:rFonts w:ascii="Arial" w:cs="Arial" w:eastAsia="Arial" w:hAnsi="Arial"/>
          <w:sz w:val="19"/>
          <w:szCs w:val="19"/>
          <w:color w:val="auto"/>
        </w:rPr>
        <w:t xml:space="preserve"> Imaging System to simplify and accelerate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0"/>
        <w:spacing w:after="0" w:line="250" w:lineRule="auto"/>
        <w:rPr>
          <w:sz w:val="20"/>
          <w:szCs w:val="20"/>
          <w:color w:val="auto"/>
        </w:rPr>
      </w:pPr>
      <w:r>
        <w:rPr>
          <w:rFonts w:ascii="Arial" w:cs="Arial" w:eastAsia="Arial" w:hAnsi="Arial"/>
          <w:sz w:val="22"/>
          <w:szCs w:val="22"/>
          <w:color w:val="auto"/>
        </w:rPr>
        <w:t>Executed a collaboration agreement with the Karolinska Institutet to accelerate customer adoption of our new CyTOF XT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Beachheads:</w:t>
      </w:r>
    </w:p>
    <w:p>
      <w:pPr>
        <w:spacing w:after="0" w:line="206" w:lineRule="exact"/>
        <w:rPr>
          <w:sz w:val="20"/>
          <w:szCs w:val="20"/>
          <w:color w:val="auto"/>
        </w:rPr>
      </w:pPr>
    </w:p>
    <w:p>
      <w:pPr>
        <w:ind w:left="540" w:right="100"/>
        <w:spacing w:after="0" w:line="238" w:lineRule="auto"/>
        <w:rPr>
          <w:sz w:val="20"/>
          <w:szCs w:val="20"/>
          <w:color w:val="auto"/>
        </w:rPr>
      </w:pPr>
      <w:r>
        <w:rPr>
          <w:rFonts w:ascii="Arial" w:cs="Arial" w:eastAsia="Arial" w:hAnsi="Arial"/>
          <w:sz w:val="22"/>
          <w:szCs w:val="22"/>
          <w:color w:val="auto"/>
        </w:rPr>
        <w:t>Announced that Imaging Mass Cytometry is being utilized in studies led by researchers at Weill Cornell Medicine to identify molecular links between African ancestry and aggressive forms of breast and prostate cancer and investigate these as a source of racial disparities in cancer outcomes, further expanding use cases and highlighting IMC as a valuable tool in oncology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2" w:lineRule="exact"/>
        <w:rPr>
          <w:sz w:val="20"/>
          <w:szCs w:val="20"/>
          <w:color w:val="auto"/>
        </w:rPr>
      </w:pPr>
    </w:p>
    <w:p>
      <w:pPr>
        <w:ind w:left="540" w:right="120"/>
        <w:spacing w:after="0" w:line="217" w:lineRule="auto"/>
        <w:rPr>
          <w:sz w:val="20"/>
          <w:szCs w:val="20"/>
          <w:color w:val="auto"/>
        </w:rPr>
      </w:pPr>
      <w:r>
        <w:rPr>
          <w:rFonts w:ascii="Arial" w:cs="Arial" w:eastAsia="Arial" w:hAnsi="Arial"/>
          <w:sz w:val="22"/>
          <w:szCs w:val="22"/>
          <w:color w:val="auto"/>
        </w:rPr>
        <w:t>Announced publication of new data further validating the potential of mass cytometry, the basis of Fluidigm</w:t>
      </w:r>
      <w:r>
        <w:rPr>
          <w:rFonts w:ascii="Arial" w:cs="Arial" w:eastAsia="Arial" w:hAnsi="Arial"/>
          <w:sz w:val="35"/>
          <w:szCs w:val="35"/>
          <w:color w:val="auto"/>
          <w:vertAlign w:val="superscript"/>
        </w:rPr>
        <w:t>®</w:t>
      </w:r>
      <w:r>
        <w:rPr>
          <w:rFonts w:ascii="Arial" w:cs="Arial" w:eastAsia="Arial" w:hAnsi="Arial"/>
          <w:sz w:val="22"/>
          <w:szCs w:val="22"/>
          <w:color w:val="auto"/>
        </w:rPr>
        <w:t xml:space="preserve"> proprietary CyTOF technology. A </w:t>
      </w:r>
      <w:r>
        <w:rPr>
          <w:rFonts w:ascii="Arial" w:cs="Arial" w:eastAsia="Arial" w:hAnsi="Arial"/>
          <w:sz w:val="22"/>
          <w:szCs w:val="22"/>
          <w:i w:val="1"/>
          <w:iCs w:val="1"/>
          <w:color w:val="auto"/>
        </w:rPr>
        <w:t>Nature Communications</w:t>
      </w:r>
      <w:r>
        <w:rPr>
          <w:rFonts w:ascii="Arial" w:cs="Arial" w:eastAsia="Arial" w:hAnsi="Arial"/>
          <w:sz w:val="22"/>
          <w:szCs w:val="22"/>
          <w:color w:val="auto"/>
        </w:rPr>
        <w:t xml:space="preserve"> article outlined a study evaluating key inflammatory pathways in pregnant women infected with SARS-CoV-2, the virus that causes COVID-19, illustrating the flexibility of CyTOF technology in gaining health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At quarter end, over 175 clinical trials were underway using CyTOF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40"/>
        <w:spacing w:after="0" w:line="250" w:lineRule="auto"/>
        <w:rPr>
          <w:sz w:val="20"/>
          <w:szCs w:val="20"/>
          <w:color w:val="auto"/>
        </w:rPr>
      </w:pPr>
      <w:r>
        <w:rPr>
          <w:rFonts w:ascii="Arial" w:cs="Arial" w:eastAsia="Arial" w:hAnsi="Arial"/>
          <w:sz w:val="22"/>
          <w:szCs w:val="22"/>
          <w:color w:val="auto"/>
        </w:rPr>
        <w:t>Total publications and preprints involving CyTOF technology exceeded 1,740, including 130 publications and preprints for Imaging Mass Cytometry, as of the end of Q3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Microfluidics</w:t>
      </w:r>
    </w:p>
    <w:p>
      <w:pPr>
        <w:sectPr>
          <w:pgSz w:w="11900" w:h="16838" w:orient="portrait"/>
          <w:cols w:equalWidth="0" w:num="1">
            <w:col w:w="11240"/>
          </w:cols>
          <w:pgMar w:left="320" w:top="112" w:right="339" w:bottom="7"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Innovation:</w:t>
      </w:r>
    </w:p>
    <w:p>
      <w:pPr>
        <w:sectPr>
          <w:pgSz w:w="11900" w:h="16838" w:orient="portrait"/>
          <w:cols w:equalWidth="0" w:num="1">
            <w:col w:w="11240"/>
          </w:cols>
          <w:pgMar w:left="320" w:top="112" w:right="339" w:bottom="7" w:gutter="0" w:footer="0" w:header="0"/>
          <w:type w:val="continuous"/>
        </w:sectPr>
      </w:pPr>
    </w:p>
    <w:bookmarkStart w:id="4" w:name="page5"/>
    <w:bookmarkEnd w:id="4"/>
    <w:p>
      <w:pPr>
        <w:jc w:val="both"/>
        <w:ind w:left="540" w:right="760"/>
        <w:spacing w:after="0"/>
        <w:rPr>
          <w:sz w:val="20"/>
          <w:szCs w:val="20"/>
          <w:color w:val="auto"/>
        </w:rPr>
      </w:pPr>
      <w:r>
        <w:rPr>
          <w:rFonts w:ascii="Arial" w:cs="Arial" w:eastAsia="Arial" w:hAnsi="Arial"/>
          <w:sz w:val="19"/>
          <w:szCs w:val="19"/>
          <w:color w:val="auto"/>
        </w:rPr>
        <w:t>Launching this week, our next-generation Biomark</w:t>
      </w:r>
      <w:r>
        <w:rPr>
          <w:rFonts w:ascii="Arial" w:cs="Arial" w:eastAsia="Arial" w:hAnsi="Arial"/>
          <w:sz w:val="30"/>
          <w:szCs w:val="30"/>
          <w:color w:val="auto"/>
          <w:vertAlign w:val="superscript"/>
        </w:rPr>
        <w:t>™</w:t>
      </w:r>
      <w:r>
        <w:rPr>
          <w:rFonts w:ascii="Arial" w:cs="Arial" w:eastAsia="Arial" w:hAnsi="Arial"/>
          <w:sz w:val="19"/>
          <w:szCs w:val="19"/>
          <w:color w:val="auto"/>
        </w:rPr>
        <w:t xml:space="preserve"> microfluidics platform, delivering significant innovation and industry-leading advantages in speed, throughput, flexibility and cost while supporting broader market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-266700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540" w:right="80"/>
        <w:spacing w:after="0" w:line="238" w:lineRule="auto"/>
        <w:rPr>
          <w:sz w:val="20"/>
          <w:szCs w:val="20"/>
          <w:color w:val="auto"/>
        </w:rPr>
      </w:pPr>
      <w:r>
        <w:rPr>
          <w:rFonts w:ascii="Arial" w:cs="Arial" w:eastAsia="Arial" w:hAnsi="Arial"/>
          <w:sz w:val="22"/>
          <w:szCs w:val="22"/>
          <w:color w:val="auto"/>
        </w:rPr>
        <w:t>Our agreement with the National Institutes of Health (the RADx program) was extended into the fourth quarter of 2021. Our next milestone includes an FDA Emergency Use Authorization submission leveraging a new sample-to-answer IFC format as part of a COVID-19 testing kit. This submission specifies a test with a sample type that extracts RNA from nasal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Partnerships:</w:t>
      </w:r>
    </w:p>
    <w:p>
      <w:pPr>
        <w:spacing w:after="0" w:line="206" w:lineRule="exact"/>
        <w:rPr>
          <w:sz w:val="20"/>
          <w:szCs w:val="20"/>
          <w:color w:val="auto"/>
        </w:rPr>
      </w:pPr>
    </w:p>
    <w:p>
      <w:pPr>
        <w:ind w:left="540" w:right="260"/>
        <w:spacing w:after="0" w:line="250" w:lineRule="auto"/>
        <w:rPr>
          <w:sz w:val="20"/>
          <w:szCs w:val="20"/>
          <w:color w:val="auto"/>
        </w:rPr>
      </w:pPr>
      <w:r>
        <w:rPr>
          <w:rFonts w:ascii="Arial" w:cs="Arial" w:eastAsia="Arial" w:hAnsi="Arial"/>
          <w:sz w:val="22"/>
          <w:szCs w:val="22"/>
          <w:color w:val="auto"/>
        </w:rPr>
        <w:t>Saw strong demand for orders of the Olink Signature Q100 system designed and manufactured by Fluidigm, showcasing how strategic partnerships can support our Vision 2025 strategic growth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Beachheads:</w:t>
      </w:r>
    </w:p>
    <w:p>
      <w:pPr>
        <w:spacing w:after="0" w:line="206" w:lineRule="exact"/>
        <w:rPr>
          <w:sz w:val="20"/>
          <w:szCs w:val="20"/>
          <w:color w:val="auto"/>
        </w:rPr>
      </w:pPr>
    </w:p>
    <w:p>
      <w:pPr>
        <w:ind w:left="540" w:right="380"/>
        <w:spacing w:after="0" w:line="250" w:lineRule="auto"/>
        <w:rPr>
          <w:sz w:val="20"/>
          <w:szCs w:val="20"/>
          <w:color w:val="auto"/>
        </w:rPr>
      </w:pPr>
      <w:r>
        <w:rPr>
          <w:rFonts w:ascii="Arial" w:cs="Arial" w:eastAsia="Arial" w:hAnsi="Arial"/>
          <w:sz w:val="22"/>
          <w:szCs w:val="22"/>
          <w:color w:val="auto"/>
        </w:rPr>
        <w:t>A leading contract research organization (CRO) customer secured a large contract for a saliva-based COVID-19 testing program for a large network of public schools using Fluidigm microfluidics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2021 Financial Results</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Total revenue was $28.5 million for the quarter ended September 30, 2021, compared with $39.9 million for the third quarter of 2020. Base product and service revenue (excluding COVID-19 testing revenue) was $25.6 million, compared to $25.1 million during the same period last year. Base revenue included $6.0 million in service revenue. Total revenue also included $0.6 million of other revenue.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GAAP net loss for the quarter was $13.8 million, compared with a GAAP net loss of $6.0 million for the third quarter of 2020.</w:t>
      </w:r>
    </w:p>
    <w:p>
      <w:pPr>
        <w:spacing w:after="0" w:line="241"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Non-GAAP net loss was $5.4 million for the quarter, compared with non-GAAP net income of $2.5 million for the third quarter of 2020.</w:t>
      </w:r>
    </w:p>
    <w:p>
      <w:pPr>
        <w:spacing w:after="0" w:line="175"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Cash and cash equivalents and restricted cash as of September 30, 2021, totaled $30.3 million, compared to $31.9 million as of June 30, 2021, and undrawn capacity on our revolver was $10.3 million at the end of the quarter.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GAAP to non-GAAP financial measures can be found in the tables of this news release.</w:t>
      </w:r>
    </w:p>
    <w:p>
      <w:pPr>
        <w:spacing w:after="0" w:line="206"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Supplemental Financial Information updated through September 30, 2021, has been posted on our website concurrent with this release.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Fiscal 2021 Guidance</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Fluidigm is revising its previously stated full-year total revenue guidance as various factors have affected our business and business outlook in the near term. These factors include current supply chain constraints, new outbreaks of COVID-19 infections and the impact on access to labs and research institutions, and ongoing uncertainty regarding resolution of tax permit issues in China.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i w:val="1"/>
                <w:iCs w:val="1"/>
                <w:color w:val="auto"/>
              </w:rPr>
              <w:t>($ in millions)</w:t>
            </w:r>
          </w:p>
        </w:tc>
        <w:tc>
          <w:tcPr>
            <w:tcW w:w="19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2020</w:t>
            </w:r>
          </w:p>
        </w:tc>
        <w:tc>
          <w:tcPr>
            <w:tcW w:w="102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2021</w:t>
            </w:r>
          </w:p>
        </w:tc>
        <w:tc>
          <w:tcPr>
            <w:tcW w:w="1800" w:type="dxa"/>
            <w:vAlign w:val="bottom"/>
            <w:tcBorders>
              <w:top w:val="single" w:sz="8" w:color="auto"/>
              <w:bottom w:val="single" w:sz="8" w:color="auto"/>
            </w:tcBorders>
          </w:tcPr>
          <w:p>
            <w:pPr>
              <w:spacing w:after="0"/>
              <w:rPr>
                <w:sz w:val="24"/>
                <w:szCs w:val="24"/>
                <w:color w:val="auto"/>
              </w:rPr>
            </w:pPr>
          </w:p>
        </w:tc>
      </w:tr>
      <w:tr>
        <w:trPr>
          <w:trHeight w:val="223"/>
        </w:trPr>
        <w:tc>
          <w:tcPr>
            <w:tcW w:w="4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40" w:type="dxa"/>
            <w:vAlign w:val="bottom"/>
          </w:tcPr>
          <w:p>
            <w:pPr>
              <w:jc w:val="right"/>
              <w:ind w:right="1052"/>
              <w:spacing w:after="0" w:line="223" w:lineRule="exact"/>
              <w:rPr>
                <w:sz w:val="20"/>
                <w:szCs w:val="20"/>
                <w:color w:val="auto"/>
              </w:rPr>
            </w:pPr>
            <w:r>
              <w:rPr>
                <w:rFonts w:ascii="Arial" w:cs="Arial" w:eastAsia="Arial" w:hAnsi="Arial"/>
                <w:sz w:val="22"/>
                <w:szCs w:val="22"/>
                <w:b w:val="1"/>
                <w:bCs w:val="1"/>
                <w:color w:val="auto"/>
              </w:rPr>
              <w:t>Previous</w:t>
            </w:r>
          </w:p>
        </w:tc>
        <w:tc>
          <w:tcPr>
            <w:tcW w:w="1800" w:type="dxa"/>
            <w:vAlign w:val="bottom"/>
          </w:tcPr>
          <w:p>
            <w:pPr>
              <w:jc w:val="right"/>
              <w:ind w:right="672"/>
              <w:spacing w:after="0" w:line="223" w:lineRule="exact"/>
              <w:rPr>
                <w:sz w:val="20"/>
                <w:szCs w:val="20"/>
                <w:color w:val="auto"/>
              </w:rPr>
            </w:pPr>
            <w:r>
              <w:rPr>
                <w:rFonts w:ascii="Arial" w:cs="Arial" w:eastAsia="Arial" w:hAnsi="Arial"/>
                <w:sz w:val="22"/>
                <w:szCs w:val="22"/>
                <w:b w:val="1"/>
                <w:bCs w:val="1"/>
                <w:color w:val="auto"/>
              </w:rPr>
              <w:t>Current</w:t>
            </w:r>
          </w:p>
        </w:tc>
      </w:tr>
      <w:tr>
        <w:trPr>
          <w:trHeight w:val="282"/>
        </w:trPr>
        <w:tc>
          <w:tcPr>
            <w:tcW w:w="4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972"/>
              <w:spacing w:after="0"/>
              <w:rPr>
                <w:sz w:val="20"/>
                <w:szCs w:val="20"/>
                <w:color w:val="auto"/>
              </w:rPr>
            </w:pPr>
            <w:r>
              <w:rPr>
                <w:rFonts w:ascii="Arial" w:cs="Arial" w:eastAsia="Arial" w:hAnsi="Arial"/>
                <w:sz w:val="22"/>
                <w:szCs w:val="22"/>
                <w:b w:val="1"/>
                <w:bCs w:val="1"/>
                <w:color w:val="auto"/>
                <w:w w:val="88"/>
              </w:rPr>
              <w:t>Actuals</w:t>
            </w:r>
          </w:p>
        </w:tc>
        <w:tc>
          <w:tcPr>
            <w:tcW w:w="10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012"/>
              <w:spacing w:after="0"/>
              <w:rPr>
                <w:sz w:val="20"/>
                <w:szCs w:val="20"/>
                <w:color w:val="auto"/>
              </w:rPr>
            </w:pPr>
            <w:r>
              <w:rPr>
                <w:rFonts w:ascii="Arial" w:cs="Arial" w:eastAsia="Arial" w:hAnsi="Arial"/>
                <w:sz w:val="22"/>
                <w:szCs w:val="22"/>
                <w:b w:val="1"/>
                <w:bCs w:val="1"/>
                <w:color w:val="auto"/>
              </w:rPr>
              <w:t>Guidance</w:t>
            </w:r>
          </w:p>
        </w:tc>
        <w:tc>
          <w:tcPr>
            <w:tcW w:w="180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Guidance</w:t>
            </w:r>
          </w:p>
        </w:tc>
      </w:tr>
      <w:tr>
        <w:trPr>
          <w:trHeight w:val="251"/>
        </w:trPr>
        <w:tc>
          <w:tcPr>
            <w:tcW w:w="4100" w:type="dxa"/>
            <w:vAlign w:val="bottom"/>
          </w:tcPr>
          <w:p>
            <w:pPr>
              <w:ind w:left="20"/>
              <w:spacing w:after="0" w:line="251" w:lineRule="exact"/>
              <w:rPr>
                <w:sz w:val="20"/>
                <w:szCs w:val="20"/>
                <w:color w:val="auto"/>
              </w:rPr>
            </w:pPr>
            <w:r>
              <w:rPr>
                <w:rFonts w:ascii="Arial" w:cs="Arial" w:eastAsia="Arial" w:hAnsi="Arial"/>
                <w:sz w:val="22"/>
                <w:szCs w:val="22"/>
                <w:b w:val="1"/>
                <w:bCs w:val="1"/>
                <w:color w:val="auto"/>
              </w:rPr>
              <w:t>Product &amp; Service Revenue</w:t>
            </w:r>
          </w:p>
        </w:tc>
        <w:tc>
          <w:tcPr>
            <w:tcW w:w="1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6"/>
        </w:trPr>
        <w:tc>
          <w:tcPr>
            <w:tcW w:w="4100" w:type="dxa"/>
            <w:vAlign w:val="bottom"/>
          </w:tcPr>
          <w:p>
            <w:pPr>
              <w:ind w:left="20"/>
              <w:spacing w:after="0"/>
              <w:rPr>
                <w:sz w:val="20"/>
                <w:szCs w:val="20"/>
                <w:color w:val="auto"/>
              </w:rPr>
            </w:pPr>
            <w:r>
              <w:rPr>
                <w:rFonts w:ascii="Arial" w:cs="Arial" w:eastAsia="Arial" w:hAnsi="Arial"/>
                <w:sz w:val="22"/>
                <w:szCs w:val="22"/>
                <w:b w:val="1"/>
                <w:bCs w:val="1"/>
                <w:color w:val="auto"/>
              </w:rPr>
              <w:t>Base business</w:t>
            </w:r>
          </w:p>
        </w:tc>
        <w:tc>
          <w:tcPr>
            <w:tcW w:w="1980" w:type="dxa"/>
            <w:vAlign w:val="bottom"/>
          </w:tcPr>
          <w:p>
            <w:pPr>
              <w:spacing w:after="0"/>
              <w:rPr>
                <w:sz w:val="24"/>
                <w:szCs w:val="24"/>
                <w:color w:val="auto"/>
              </w:rPr>
            </w:pPr>
          </w:p>
        </w:tc>
        <w:tc>
          <w:tcPr>
            <w:tcW w:w="1020" w:type="dxa"/>
            <w:vAlign w:val="bottom"/>
          </w:tcPr>
          <w:p>
            <w:pPr>
              <w:jc w:val="right"/>
              <w:ind w:right="232"/>
              <w:spacing w:after="0"/>
              <w:rPr>
                <w:sz w:val="20"/>
                <w:szCs w:val="20"/>
                <w:color w:val="auto"/>
              </w:rPr>
            </w:pPr>
            <w:r>
              <w:rPr>
                <w:rFonts w:ascii="Arial" w:cs="Arial" w:eastAsia="Arial" w:hAnsi="Arial"/>
                <w:sz w:val="22"/>
                <w:szCs w:val="22"/>
                <w:color w:val="auto"/>
                <w:w w:val="98"/>
              </w:rPr>
              <w:t>$100.1</w:t>
            </w:r>
          </w:p>
        </w:tc>
        <w:tc>
          <w:tcPr>
            <w:tcW w:w="2340" w:type="dxa"/>
            <w:vAlign w:val="bottom"/>
          </w:tcPr>
          <w:p>
            <w:pPr>
              <w:jc w:val="right"/>
              <w:ind w:right="352"/>
              <w:spacing w:after="0"/>
              <w:rPr>
                <w:sz w:val="20"/>
                <w:szCs w:val="20"/>
                <w:color w:val="auto"/>
              </w:rPr>
            </w:pPr>
            <w:r>
              <w:rPr>
                <w:rFonts w:ascii="Arial" w:cs="Arial" w:eastAsia="Arial" w:hAnsi="Arial"/>
                <w:sz w:val="22"/>
                <w:szCs w:val="22"/>
                <w:color w:val="auto"/>
              </w:rPr>
              <w:t>$120 – $122</w:t>
            </w:r>
          </w:p>
        </w:tc>
        <w:tc>
          <w:tcPr>
            <w:tcW w:w="1800" w:type="dxa"/>
            <w:vAlign w:val="bottom"/>
          </w:tcPr>
          <w:p>
            <w:pPr>
              <w:jc w:val="right"/>
              <w:spacing w:after="0"/>
              <w:rPr>
                <w:sz w:val="20"/>
                <w:szCs w:val="20"/>
                <w:color w:val="auto"/>
              </w:rPr>
            </w:pPr>
            <w:r>
              <w:rPr>
                <w:rFonts w:ascii="Arial" w:cs="Arial" w:eastAsia="Arial" w:hAnsi="Arial"/>
                <w:sz w:val="22"/>
                <w:szCs w:val="22"/>
                <w:color w:val="auto"/>
              </w:rPr>
              <w:t>$107 – $109</w:t>
            </w:r>
          </w:p>
        </w:tc>
      </w:tr>
      <w:tr>
        <w:trPr>
          <w:trHeight w:val="270"/>
        </w:trPr>
        <w:tc>
          <w:tcPr>
            <w:tcW w:w="4100" w:type="dxa"/>
            <w:vAlign w:val="bottom"/>
          </w:tcPr>
          <w:p>
            <w:pPr>
              <w:ind w:left="20"/>
              <w:spacing w:after="0"/>
              <w:rPr>
                <w:sz w:val="20"/>
                <w:szCs w:val="20"/>
                <w:color w:val="auto"/>
              </w:rPr>
            </w:pPr>
            <w:r>
              <w:rPr>
                <w:rFonts w:ascii="Arial" w:cs="Arial" w:eastAsia="Arial" w:hAnsi="Arial"/>
                <w:sz w:val="22"/>
                <w:szCs w:val="22"/>
                <w:color w:val="auto"/>
              </w:rPr>
              <w:t>COVID-19 Testing Revenue</w:t>
            </w:r>
          </w:p>
        </w:tc>
        <w:tc>
          <w:tcPr>
            <w:tcW w:w="1980" w:type="dxa"/>
            <w:vAlign w:val="bottom"/>
          </w:tcPr>
          <w:p>
            <w:pPr>
              <w:spacing w:after="0"/>
              <w:rPr>
                <w:sz w:val="23"/>
                <w:szCs w:val="23"/>
                <w:color w:val="auto"/>
              </w:rPr>
            </w:pPr>
          </w:p>
        </w:tc>
        <w:tc>
          <w:tcPr>
            <w:tcW w:w="1020" w:type="dxa"/>
            <w:vAlign w:val="bottom"/>
          </w:tcPr>
          <w:p>
            <w:pPr>
              <w:jc w:val="right"/>
              <w:ind w:right="232"/>
              <w:spacing w:after="0"/>
              <w:rPr>
                <w:sz w:val="20"/>
                <w:szCs w:val="20"/>
                <w:color w:val="auto"/>
              </w:rPr>
            </w:pPr>
            <w:r>
              <w:rPr>
                <w:rFonts w:ascii="Arial" w:cs="Arial" w:eastAsia="Arial" w:hAnsi="Arial"/>
                <w:sz w:val="22"/>
                <w:szCs w:val="22"/>
                <w:color w:val="auto"/>
              </w:rPr>
              <w:t>$22.4</w:t>
            </w:r>
          </w:p>
        </w:tc>
        <w:tc>
          <w:tcPr>
            <w:tcW w:w="2340" w:type="dxa"/>
            <w:vAlign w:val="bottom"/>
          </w:tcPr>
          <w:p>
            <w:pPr>
              <w:jc w:val="right"/>
              <w:ind w:right="352"/>
              <w:spacing w:after="0"/>
              <w:rPr>
                <w:sz w:val="20"/>
                <w:szCs w:val="20"/>
                <w:color w:val="auto"/>
              </w:rPr>
            </w:pPr>
            <w:r>
              <w:rPr>
                <w:rFonts w:ascii="Arial" w:cs="Arial" w:eastAsia="Arial" w:hAnsi="Arial"/>
                <w:sz w:val="22"/>
                <w:szCs w:val="22"/>
                <w:color w:val="auto"/>
              </w:rPr>
              <w:t>$10– $13</w:t>
            </w:r>
          </w:p>
        </w:tc>
        <w:tc>
          <w:tcPr>
            <w:tcW w:w="1800" w:type="dxa"/>
            <w:vAlign w:val="bottom"/>
          </w:tcPr>
          <w:p>
            <w:pPr>
              <w:jc w:val="right"/>
              <w:spacing w:after="0"/>
              <w:rPr>
                <w:sz w:val="20"/>
                <w:szCs w:val="20"/>
                <w:color w:val="auto"/>
              </w:rPr>
            </w:pPr>
            <w:r>
              <w:rPr>
                <w:rFonts w:ascii="Arial" w:cs="Arial" w:eastAsia="Arial" w:hAnsi="Arial"/>
                <w:sz w:val="22"/>
                <w:szCs w:val="22"/>
                <w:color w:val="auto"/>
              </w:rPr>
              <w:t>$12 – $13</w:t>
            </w:r>
          </w:p>
        </w:tc>
      </w:tr>
      <w:tr>
        <w:trPr>
          <w:trHeight w:val="270"/>
        </w:trPr>
        <w:tc>
          <w:tcPr>
            <w:tcW w:w="4100" w:type="dxa"/>
            <w:vAlign w:val="bottom"/>
          </w:tcPr>
          <w:p>
            <w:pPr>
              <w:ind w:left="20"/>
              <w:spacing w:after="0"/>
              <w:rPr>
                <w:sz w:val="20"/>
                <w:szCs w:val="20"/>
                <w:color w:val="auto"/>
              </w:rPr>
            </w:pPr>
            <w:r>
              <w:rPr>
                <w:rFonts w:ascii="Arial" w:cs="Arial" w:eastAsia="Arial" w:hAnsi="Arial"/>
                <w:sz w:val="22"/>
                <w:szCs w:val="22"/>
                <w:color w:val="auto"/>
              </w:rPr>
              <w:t>Total Product &amp; Service Revenue</w:t>
            </w:r>
          </w:p>
        </w:tc>
        <w:tc>
          <w:tcPr>
            <w:tcW w:w="1980" w:type="dxa"/>
            <w:vAlign w:val="bottom"/>
          </w:tcPr>
          <w:p>
            <w:pPr>
              <w:spacing w:after="0"/>
              <w:rPr>
                <w:sz w:val="23"/>
                <w:szCs w:val="23"/>
                <w:color w:val="auto"/>
              </w:rPr>
            </w:pPr>
          </w:p>
        </w:tc>
        <w:tc>
          <w:tcPr>
            <w:tcW w:w="1020" w:type="dxa"/>
            <w:vAlign w:val="bottom"/>
          </w:tcPr>
          <w:p>
            <w:pPr>
              <w:jc w:val="right"/>
              <w:ind w:right="232"/>
              <w:spacing w:after="0"/>
              <w:rPr>
                <w:sz w:val="20"/>
                <w:szCs w:val="20"/>
                <w:color w:val="auto"/>
              </w:rPr>
            </w:pPr>
            <w:r>
              <w:rPr>
                <w:rFonts w:ascii="Arial" w:cs="Arial" w:eastAsia="Arial" w:hAnsi="Arial"/>
                <w:sz w:val="22"/>
                <w:szCs w:val="22"/>
                <w:color w:val="auto"/>
                <w:w w:val="98"/>
              </w:rPr>
              <w:t>$122.5</w:t>
            </w:r>
          </w:p>
        </w:tc>
        <w:tc>
          <w:tcPr>
            <w:tcW w:w="2340" w:type="dxa"/>
            <w:vAlign w:val="bottom"/>
          </w:tcPr>
          <w:p>
            <w:pPr>
              <w:jc w:val="right"/>
              <w:ind w:right="352"/>
              <w:spacing w:after="0"/>
              <w:rPr>
                <w:sz w:val="20"/>
                <w:szCs w:val="20"/>
                <w:color w:val="auto"/>
              </w:rPr>
            </w:pPr>
            <w:r>
              <w:rPr>
                <w:rFonts w:ascii="Arial" w:cs="Arial" w:eastAsia="Arial" w:hAnsi="Arial"/>
                <w:sz w:val="22"/>
                <w:szCs w:val="22"/>
                <w:color w:val="auto"/>
              </w:rPr>
              <w:t>$130 – $135</w:t>
            </w:r>
          </w:p>
        </w:tc>
        <w:tc>
          <w:tcPr>
            <w:tcW w:w="1800" w:type="dxa"/>
            <w:vAlign w:val="bottom"/>
          </w:tcPr>
          <w:p>
            <w:pPr>
              <w:jc w:val="right"/>
              <w:spacing w:after="0"/>
              <w:rPr>
                <w:sz w:val="20"/>
                <w:szCs w:val="20"/>
                <w:color w:val="auto"/>
              </w:rPr>
            </w:pPr>
            <w:r>
              <w:rPr>
                <w:rFonts w:ascii="Arial" w:cs="Arial" w:eastAsia="Arial" w:hAnsi="Arial"/>
                <w:sz w:val="22"/>
                <w:szCs w:val="22"/>
                <w:color w:val="auto"/>
              </w:rPr>
              <w:t>$119 – $122</w:t>
            </w:r>
          </w:p>
        </w:tc>
      </w:tr>
      <w:tr>
        <w:trPr>
          <w:trHeight w:val="27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 Revenue</w:t>
            </w:r>
          </w:p>
        </w:tc>
        <w:tc>
          <w:tcPr>
            <w:tcW w:w="1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$15.6</w:t>
            </w:r>
          </w:p>
        </w:tc>
        <w:tc>
          <w:tcPr>
            <w:tcW w:w="23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$4 – $5</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 – $5</w:t>
            </w:r>
          </w:p>
        </w:tc>
      </w:tr>
      <w:tr>
        <w:trPr>
          <w:trHeight w:val="26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Total Revenue</w:t>
            </w:r>
          </w:p>
        </w:tc>
        <w:tc>
          <w:tcPr>
            <w:tcW w:w="19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98"/>
              </w:rPr>
              <w:t>$138.1</w:t>
            </w:r>
          </w:p>
        </w:tc>
        <w:tc>
          <w:tcPr>
            <w:tcW w:w="23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$134 – $140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 – $127</w:t>
            </w:r>
          </w:p>
        </w:tc>
      </w:tr>
      <w:tr>
        <w:trPr>
          <w:trHeight w:val="520"/>
        </w:trPr>
        <w:tc>
          <w:tcPr>
            <w:tcW w:w="4100" w:type="dxa"/>
            <w:vAlign w:val="bottom"/>
          </w:tcPr>
          <w:p>
            <w:pPr>
              <w:ind w:left="20"/>
              <w:spacing w:after="0"/>
              <w:rPr>
                <w:sz w:val="20"/>
                <w:szCs w:val="20"/>
                <w:color w:val="auto"/>
              </w:rPr>
            </w:pPr>
            <w:r>
              <w:rPr>
                <w:rFonts w:ascii="Arial" w:cs="Arial" w:eastAsia="Arial" w:hAnsi="Arial"/>
                <w:sz w:val="22"/>
                <w:szCs w:val="22"/>
                <w:i w:val="1"/>
                <w:iCs w:val="1"/>
                <w:color w:val="auto"/>
              </w:rPr>
              <w:t>Year-over-year growth</w:t>
            </w: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6"/>
        </w:trPr>
        <w:tc>
          <w:tcPr>
            <w:tcW w:w="4100" w:type="dxa"/>
            <w:vAlign w:val="bottom"/>
          </w:tcPr>
          <w:p>
            <w:pPr>
              <w:ind w:left="20"/>
              <w:spacing w:after="0"/>
              <w:rPr>
                <w:sz w:val="20"/>
                <w:szCs w:val="20"/>
                <w:color w:val="auto"/>
              </w:rPr>
            </w:pPr>
            <w:r>
              <w:rPr>
                <w:rFonts w:ascii="Arial" w:cs="Arial" w:eastAsia="Arial" w:hAnsi="Arial"/>
                <w:sz w:val="22"/>
                <w:szCs w:val="22"/>
                <w:b w:val="1"/>
                <w:bCs w:val="1"/>
                <w:color w:val="auto"/>
              </w:rPr>
              <w:t>Base business</w:t>
            </w:r>
          </w:p>
        </w:tc>
        <w:tc>
          <w:tcPr>
            <w:tcW w:w="1980" w:type="dxa"/>
            <w:vAlign w:val="bottom"/>
          </w:tcPr>
          <w:p>
            <w:pPr>
              <w:spacing w:after="0"/>
              <w:rPr>
                <w:sz w:val="24"/>
                <w:szCs w:val="24"/>
                <w:color w:val="auto"/>
              </w:rPr>
            </w:pPr>
          </w:p>
        </w:tc>
        <w:tc>
          <w:tcPr>
            <w:tcW w:w="1020" w:type="dxa"/>
            <w:vAlign w:val="bottom"/>
          </w:tcPr>
          <w:p>
            <w:pPr>
              <w:jc w:val="right"/>
              <w:ind w:right="232"/>
              <w:spacing w:after="0"/>
              <w:rPr>
                <w:sz w:val="20"/>
                <w:szCs w:val="20"/>
                <w:color w:val="auto"/>
              </w:rPr>
            </w:pPr>
            <w:r>
              <w:rPr>
                <w:rFonts w:ascii="Arial" w:cs="Arial" w:eastAsia="Arial" w:hAnsi="Arial"/>
                <w:sz w:val="22"/>
                <w:szCs w:val="22"/>
                <w:color w:val="auto"/>
              </w:rPr>
              <w:t>(14)%</w:t>
            </w:r>
          </w:p>
        </w:tc>
        <w:tc>
          <w:tcPr>
            <w:tcW w:w="2340" w:type="dxa"/>
            <w:vAlign w:val="bottom"/>
          </w:tcPr>
          <w:p>
            <w:pPr>
              <w:jc w:val="right"/>
              <w:ind w:right="352"/>
              <w:spacing w:after="0"/>
              <w:rPr>
                <w:sz w:val="20"/>
                <w:szCs w:val="20"/>
                <w:color w:val="auto"/>
              </w:rPr>
            </w:pPr>
            <w:r>
              <w:rPr>
                <w:rFonts w:ascii="Arial" w:cs="Arial" w:eastAsia="Arial" w:hAnsi="Arial"/>
                <w:sz w:val="22"/>
                <w:szCs w:val="22"/>
                <w:color w:val="auto"/>
              </w:rPr>
              <w:t>20% – 22%</w:t>
            </w:r>
          </w:p>
        </w:tc>
        <w:tc>
          <w:tcPr>
            <w:tcW w:w="1800" w:type="dxa"/>
            <w:vAlign w:val="bottom"/>
          </w:tcPr>
          <w:p>
            <w:pPr>
              <w:jc w:val="right"/>
              <w:spacing w:after="0"/>
              <w:rPr>
                <w:sz w:val="20"/>
                <w:szCs w:val="20"/>
                <w:color w:val="auto"/>
              </w:rPr>
            </w:pPr>
            <w:r>
              <w:rPr>
                <w:rFonts w:ascii="Arial" w:cs="Arial" w:eastAsia="Arial" w:hAnsi="Arial"/>
                <w:sz w:val="22"/>
                <w:szCs w:val="22"/>
                <w:color w:val="auto"/>
              </w:rPr>
              <w:t>7% – 9%</w:t>
            </w:r>
          </w:p>
        </w:tc>
      </w:tr>
      <w:tr>
        <w:trPr>
          <w:trHeight w:val="270"/>
        </w:trPr>
        <w:tc>
          <w:tcPr>
            <w:tcW w:w="4100" w:type="dxa"/>
            <w:vAlign w:val="bottom"/>
          </w:tcPr>
          <w:p>
            <w:pPr>
              <w:ind w:left="20"/>
              <w:spacing w:after="0"/>
              <w:rPr>
                <w:sz w:val="20"/>
                <w:szCs w:val="20"/>
                <w:color w:val="auto"/>
              </w:rPr>
            </w:pPr>
            <w:r>
              <w:rPr>
                <w:rFonts w:ascii="Arial" w:cs="Arial" w:eastAsia="Arial" w:hAnsi="Arial"/>
                <w:sz w:val="22"/>
                <w:szCs w:val="22"/>
                <w:color w:val="auto"/>
              </w:rPr>
              <w:t>COVID-19 Testing Revenue</w:t>
            </w:r>
          </w:p>
        </w:tc>
        <w:tc>
          <w:tcPr>
            <w:tcW w:w="1980" w:type="dxa"/>
            <w:vAlign w:val="bottom"/>
          </w:tcPr>
          <w:p>
            <w:pPr>
              <w:spacing w:after="0"/>
              <w:rPr>
                <w:sz w:val="23"/>
                <w:szCs w:val="23"/>
                <w:color w:val="auto"/>
              </w:rPr>
            </w:pPr>
          </w:p>
        </w:tc>
        <w:tc>
          <w:tcPr>
            <w:tcW w:w="1020" w:type="dxa"/>
            <w:vAlign w:val="bottom"/>
          </w:tcPr>
          <w:p>
            <w:pPr>
              <w:jc w:val="right"/>
              <w:ind w:right="252"/>
              <w:spacing w:after="0"/>
              <w:rPr>
                <w:sz w:val="20"/>
                <w:szCs w:val="20"/>
                <w:color w:val="auto"/>
              </w:rPr>
            </w:pPr>
            <w:r>
              <w:rPr>
                <w:rFonts w:ascii="Arial" w:cs="Arial" w:eastAsia="Arial" w:hAnsi="Arial"/>
                <w:sz w:val="22"/>
                <w:szCs w:val="22"/>
                <w:color w:val="auto"/>
              </w:rPr>
              <w:t>NM</w:t>
            </w:r>
          </w:p>
        </w:tc>
        <w:tc>
          <w:tcPr>
            <w:tcW w:w="2340" w:type="dxa"/>
            <w:vAlign w:val="bottom"/>
          </w:tcPr>
          <w:p>
            <w:pPr>
              <w:jc w:val="right"/>
              <w:ind w:right="352"/>
              <w:spacing w:after="0"/>
              <w:rPr>
                <w:sz w:val="20"/>
                <w:szCs w:val="20"/>
                <w:color w:val="auto"/>
              </w:rPr>
            </w:pPr>
            <w:r>
              <w:rPr>
                <w:rFonts w:ascii="Arial" w:cs="Arial" w:eastAsia="Arial" w:hAnsi="Arial"/>
                <w:sz w:val="22"/>
                <w:szCs w:val="22"/>
                <w:color w:val="auto"/>
              </w:rPr>
              <w:t>(55)% – (42)%</w:t>
            </w:r>
          </w:p>
        </w:tc>
        <w:tc>
          <w:tcPr>
            <w:tcW w:w="1800" w:type="dxa"/>
            <w:vAlign w:val="bottom"/>
          </w:tcPr>
          <w:p>
            <w:pPr>
              <w:jc w:val="right"/>
              <w:spacing w:after="0"/>
              <w:rPr>
                <w:sz w:val="20"/>
                <w:szCs w:val="20"/>
                <w:color w:val="auto"/>
              </w:rPr>
            </w:pPr>
            <w:r>
              <w:rPr>
                <w:rFonts w:ascii="Arial" w:cs="Arial" w:eastAsia="Arial" w:hAnsi="Arial"/>
                <w:sz w:val="22"/>
                <w:szCs w:val="22"/>
                <w:color w:val="auto"/>
              </w:rPr>
              <w:t>(46)% – (42)%</w:t>
            </w:r>
          </w:p>
        </w:tc>
      </w:tr>
      <w:tr>
        <w:trPr>
          <w:trHeight w:val="27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Total Product &amp; Service Revenue</w:t>
            </w:r>
          </w:p>
        </w:tc>
        <w:tc>
          <w:tcPr>
            <w:tcW w:w="1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5%</w:t>
            </w:r>
          </w:p>
        </w:tc>
        <w:tc>
          <w:tcPr>
            <w:tcW w:w="23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6% – 10%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 – (0)%</w:t>
            </w:r>
          </w:p>
        </w:tc>
      </w:tr>
      <w:tr>
        <w:trPr>
          <w:trHeight w:val="26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Total Revenue</w:t>
            </w:r>
          </w:p>
        </w:tc>
        <w:tc>
          <w:tcPr>
            <w:tcW w:w="19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18%</w:t>
            </w:r>
          </w:p>
        </w:tc>
        <w:tc>
          <w:tcPr>
            <w:tcW w:w="23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(3)% – 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 – (8)%</w:t>
            </w:r>
          </w:p>
        </w:tc>
      </w:tr>
    </w:tbl>
    <w:p>
      <w:pPr>
        <w:spacing w:after="0" w:line="19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GAAP net loss of $63 million to $66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net loss of $37 million to $40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Q4 2021 Guidance</w:t>
      </w:r>
    </w:p>
    <w:p>
      <w:pPr>
        <w:sectPr>
          <w:pgSz w:w="11900" w:h="16838" w:orient="portrait"/>
          <w:cols w:equalWidth="0" w:num="1">
            <w:col w:w="11240"/>
          </w:cols>
          <w:pgMar w:left="320" w:top="125" w:right="339" w:bottom="73" w:gutter="0" w:footer="0" w:header="0"/>
        </w:sectPr>
      </w:pPr>
    </w:p>
    <w:bookmarkStart w:id="5" w:name="page6"/>
    <w:bookmarkEnd w:id="5"/>
    <w:p>
      <w:pPr>
        <w:ind w:left="540"/>
        <w:spacing w:after="0" w:line="251" w:lineRule="auto"/>
        <w:rPr>
          <w:sz w:val="20"/>
          <w:szCs w:val="20"/>
          <w:color w:val="auto"/>
        </w:rPr>
      </w:pPr>
      <w:r>
        <w:rPr>
          <w:rFonts w:ascii="Arial" w:cs="Arial" w:eastAsia="Arial" w:hAnsi="Arial"/>
          <w:sz w:val="22"/>
          <w:szCs w:val="22"/>
          <w:color w:val="auto"/>
        </w:rPr>
        <w:t>Base product and service revenue (excluding COVID-19 testing revenue) of approximately $30 million to $32 million, or a year-over-year growth of approximately (3)% to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right="460"/>
        <w:spacing w:after="0" w:line="250" w:lineRule="auto"/>
        <w:rPr>
          <w:sz w:val="20"/>
          <w:szCs w:val="20"/>
          <w:color w:val="auto"/>
        </w:rPr>
      </w:pPr>
      <w:r>
        <w:rPr>
          <w:rFonts w:ascii="Arial" w:cs="Arial" w:eastAsia="Arial" w:hAnsi="Arial"/>
          <w:sz w:val="22"/>
          <w:szCs w:val="22"/>
          <w:color w:val="auto"/>
        </w:rPr>
        <w:t>COVID-19 testing revenue of approximately $1 million to $2 million, a year-over-year decline of $7.4 million to $8.4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540" w:right="240"/>
        <w:spacing w:after="0"/>
        <w:rPr>
          <w:sz w:val="20"/>
          <w:szCs w:val="20"/>
          <w:color w:val="auto"/>
        </w:rPr>
      </w:pPr>
      <w:r>
        <w:rPr>
          <w:rFonts w:ascii="Arial" w:cs="Arial" w:eastAsia="Arial" w:hAnsi="Arial"/>
          <w:sz w:val="22"/>
          <w:szCs w:val="22"/>
          <w:color w:val="auto"/>
        </w:rPr>
        <w:t>Total product and service revenue of approximately $31 million to $34 million, or a year-over-year decline of approximately 16 percent to 23 percent. Product and service revenue in Q4 2020 included approximately $9.4 million of COVID-19 testing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approximately $31 million to $34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14" w:lineRule="exact"/>
        <w:rPr>
          <w:sz w:val="20"/>
          <w:szCs w:val="20"/>
          <w:color w:val="auto"/>
        </w:rPr>
      </w:pPr>
    </w:p>
    <w:p>
      <w:pPr>
        <w:jc w:val="both"/>
        <w:ind w:right="560"/>
        <w:spacing w:after="0" w:line="234" w:lineRule="auto"/>
        <w:rPr>
          <w:sz w:val="20"/>
          <w:szCs w:val="20"/>
          <w:color w:val="auto"/>
        </w:rPr>
      </w:pPr>
      <w:r>
        <w:rPr>
          <w:rFonts w:ascii="Arial" w:cs="Arial" w:eastAsia="Arial" w:hAnsi="Arial"/>
          <w:sz w:val="22"/>
          <w:szCs w:val="22"/>
          <w:color w:val="auto"/>
        </w:rPr>
        <w:t>Fluidigm will host a conference call today, November 8, 2021, at 1:30 p.m. PT, 4:30 p.m. ET, to discuss third quarter 2021 financial results and operational progress. Individuals interested in listening to the conference call may do so by dialing the following:</w:t>
      </w:r>
    </w:p>
    <w:p>
      <w:pPr>
        <w:spacing w:after="0" w:line="18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US domestic callers: (877) 556-5248</w:t>
      </w:r>
    </w:p>
    <w:p>
      <w:pPr>
        <w:ind w:left="4080"/>
        <w:spacing w:after="0" w:line="238" w:lineRule="auto"/>
        <w:rPr>
          <w:sz w:val="20"/>
          <w:szCs w:val="20"/>
          <w:color w:val="auto"/>
        </w:rPr>
      </w:pPr>
      <w:r>
        <w:rPr>
          <w:rFonts w:ascii="Arial" w:cs="Arial" w:eastAsia="Arial" w:hAnsi="Arial"/>
          <w:sz w:val="22"/>
          <w:szCs w:val="22"/>
          <w:color w:val="auto"/>
        </w:rPr>
        <w:t>Outside US callers: (720) 545-0029</w:t>
      </w:r>
    </w:p>
    <w:p>
      <w:pPr>
        <w:ind w:left="3820"/>
        <w:spacing w:after="0"/>
        <w:rPr>
          <w:sz w:val="20"/>
          <w:szCs w:val="20"/>
          <w:color w:val="auto"/>
        </w:rPr>
      </w:pPr>
      <w:r>
        <w:rPr>
          <w:rFonts w:ascii="Arial" w:cs="Arial" w:eastAsia="Arial" w:hAnsi="Arial"/>
          <w:sz w:val="22"/>
          <w:szCs w:val="22"/>
          <w:color w:val="auto"/>
        </w:rPr>
        <w:t>Please reference Conference ID: 5579013</w:t>
      </w:r>
    </w:p>
    <w:p>
      <w:pPr>
        <w:spacing w:after="0" w:line="188"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A live webcast of the conference call will be available online from the Investor Relations page of the company’s website at Events &amp; Presentations. The link will not be active until 1:15 p.m. PT, 4:15 p.m. ET, on November 8, 2021. The webcast will be archived on the Fluidigm Investor Relations page at investors.fluidigm.com.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three-month periods ended September 30, 2021, and September 30, 2020, as well as guidance for non-GAAP net loss for fiscal 2021.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net loss excludes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A reconciliation of adjusted guidance measures to corresponding GAAP measures is not available on a forward-looking basis without unreasonable effort due to the uncertainty regarding certain expenses that may be incurred in the future.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new product introductions and launch plans, anticipated benefits under collaborations and agreements with third parties, access to new customers and markets, the adoption of Fluidigm technology and products for translational and clinical research, the impact of the COVID-19 pandemic, exploration of options to maximize stockholder value, and revenue and net loss guidance for future periods.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the possible loss of key employees, customers, or suppliers;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potential changes in the priorities of government agencies; challenges inherent in developing, manufacturing, launching, marketing, and selling new products; reliance on sales of capital equipment for a significant proportion of revenues in each quarter; seasonal variations in customer operations; unanticipated increases in costs or expenses; risks related to our cash management plans and financing alternatives uncertainties in contractual relationships; reductions in research and development spending or changes in budget priorities by customers; Fluidigm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2020, and in its other filings with the Securities and Exchange Commission. These forward-looking</w:t>
      </w:r>
    </w:p>
    <w:p>
      <w:pPr>
        <w:sectPr>
          <w:pgSz w:w="11900" w:h="16838" w:orient="portrait"/>
          <w:cols w:equalWidth="0" w:num="1">
            <w:col w:w="11200"/>
          </w:cols>
          <w:pgMar w:left="320" w:top="118" w:right="379" w:bottom="0" w:gutter="0" w:footer="0" w:header="0"/>
        </w:sectPr>
      </w:pPr>
    </w:p>
    <w:bookmarkStart w:id="6" w:name="page7"/>
    <w:bookmarkEnd w:id="6"/>
    <w:p>
      <w:pPr>
        <w:spacing w:after="0" w:line="6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statements speak only as of the date hereof. Fluidigm disclaims any obligation to update these forward-looking statements except as may be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12" w:lineRule="exact"/>
        <w:rPr>
          <w:sz w:val="20"/>
          <w:szCs w:val="20"/>
          <w:color w:val="auto"/>
        </w:rPr>
      </w:pPr>
    </w:p>
    <w:p>
      <w:pPr>
        <w:ind w:right="500"/>
        <w:spacing w:after="0" w:line="279" w:lineRule="auto"/>
        <w:rPr>
          <w:sz w:val="20"/>
          <w:szCs w:val="20"/>
          <w:color w:val="auto"/>
        </w:rPr>
      </w:pPr>
      <w:r>
        <w:rPr>
          <w:rFonts w:ascii="Arial" w:cs="Arial" w:eastAsia="Arial" w:hAnsi="Arial"/>
          <w:sz w:val="19"/>
          <w:szCs w:val="19"/>
          <w:color w:val="auto"/>
        </w:rPr>
        <w:t>Fluidigm (Nasdaq:FLDM) focuses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77"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 xml:space="preserve">Fluidigm, the Fluidigm logo, Biomark, CyTOF, CyTOF XT, Hyperion, Imaging Mass Cytometry, IMC and Maxpar are trademarks and/or registered trademarks of Fluidigm Corporation or its affiliates in the United States and/or other countries. All other trademarks are the sole property of their respective owners. Fluidigm products are provided for </w:t>
      </w:r>
      <w:r>
        <w:rPr>
          <w:rFonts w:ascii="Arial" w:cs="Arial" w:eastAsia="Arial" w:hAnsi="Arial"/>
          <w:sz w:val="22"/>
          <w:szCs w:val="22"/>
          <w:b w:val="1"/>
          <w:bCs w:val="1"/>
          <w:color w:val="auto"/>
        </w:rPr>
        <w:t>Research Use Only</w:t>
      </w:r>
      <w:r>
        <w:rPr>
          <w:rFonts w:ascii="Arial" w:cs="Arial" w:eastAsia="Arial" w:hAnsi="Arial"/>
          <w:sz w:val="22"/>
          <w:szCs w:val="22"/>
          <w:color w:val="auto"/>
        </w:rPr>
        <w:t>. Not for use in diagnostic procedures.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We use our website (fluidigm.com), investor site (investors.fluidigm.com), corporate Twitter account (@fluidigm), Facebook page (facebook.com/Fluidigm), and LinkedIn page (linkedin.com/company/fluidigm-corporation)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Contacts:</w:t>
      </w:r>
    </w:p>
    <w:p>
      <w:pPr>
        <w:spacing w:after="0" w:line="238" w:lineRule="auto"/>
        <w:rPr>
          <w:sz w:val="20"/>
          <w:szCs w:val="20"/>
          <w:color w:val="auto"/>
        </w:rPr>
      </w:pPr>
      <w:r>
        <w:rPr>
          <w:rFonts w:ascii="Arial" w:cs="Arial" w:eastAsia="Arial" w:hAnsi="Arial"/>
          <w:sz w:val="22"/>
          <w:szCs w:val="22"/>
          <w:color w:val="auto"/>
        </w:rPr>
        <w:t>Investors:</w:t>
      </w:r>
    </w:p>
    <w:p>
      <w:pPr>
        <w:spacing w:after="0" w:line="230" w:lineRule="auto"/>
        <w:rPr>
          <w:sz w:val="20"/>
          <w:szCs w:val="20"/>
          <w:color w:val="auto"/>
        </w:rPr>
      </w:pPr>
      <w:r>
        <w:rPr>
          <w:rFonts w:ascii="Arial" w:cs="Arial" w:eastAsia="Arial" w:hAnsi="Arial"/>
          <w:sz w:val="22"/>
          <w:szCs w:val="22"/>
          <w:color w:val="auto"/>
        </w:rPr>
        <w:t>Peter DeNardo</w:t>
      </w:r>
    </w:p>
    <w:p>
      <w:pPr>
        <w:spacing w:after="0" w:line="231" w:lineRule="auto"/>
        <w:rPr>
          <w:sz w:val="20"/>
          <w:szCs w:val="20"/>
          <w:color w:val="auto"/>
        </w:rPr>
      </w:pPr>
      <w:r>
        <w:rPr>
          <w:rFonts w:ascii="Arial" w:cs="Arial" w:eastAsia="Arial" w:hAnsi="Arial"/>
          <w:sz w:val="22"/>
          <w:szCs w:val="22"/>
          <w:color w:val="auto"/>
        </w:rPr>
        <w:t>415 389 6400</w:t>
      </w:r>
    </w:p>
    <w:p>
      <w:pPr>
        <w:spacing w:after="0"/>
        <w:rPr>
          <w:sz w:val="20"/>
          <w:szCs w:val="20"/>
          <w:color w:val="auto"/>
        </w:rPr>
      </w:pPr>
      <w:r>
        <w:rPr>
          <w:rFonts w:ascii="Arial" w:cs="Arial" w:eastAsia="Arial" w:hAnsi="Arial"/>
          <w:sz w:val="22"/>
          <w:szCs w:val="22"/>
          <w:color w:val="auto"/>
        </w:rPr>
        <w:t>IR@fluidigm.com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230" w:lineRule="auto"/>
        <w:rPr>
          <w:sz w:val="20"/>
          <w:szCs w:val="20"/>
          <w:color w:val="auto"/>
        </w:rPr>
      </w:pPr>
      <w:r>
        <w:rPr>
          <w:rFonts w:ascii="Arial" w:cs="Arial" w:eastAsia="Arial" w:hAnsi="Arial"/>
          <w:sz w:val="22"/>
          <w:szCs w:val="22"/>
          <w:color w:val="auto"/>
        </w:rPr>
        <w:t>Senior Director, Corporate Communications</w:t>
      </w:r>
    </w:p>
    <w:p>
      <w:pPr>
        <w:spacing w:after="0" w:line="231" w:lineRule="auto"/>
        <w:rPr>
          <w:sz w:val="20"/>
          <w:szCs w:val="20"/>
          <w:color w:val="auto"/>
        </w:rPr>
      </w:pPr>
      <w:r>
        <w:rPr>
          <w:rFonts w:ascii="Arial" w:cs="Arial" w:eastAsia="Arial" w:hAnsi="Arial"/>
          <w:sz w:val="22"/>
          <w:szCs w:val="22"/>
          <w:color w:val="auto"/>
        </w:rPr>
        <w:t>650 243 6621</w:t>
      </w:r>
    </w:p>
    <w:p>
      <w:pPr>
        <w:spacing w:after="0"/>
        <w:rPr>
          <w:sz w:val="20"/>
          <w:szCs w:val="20"/>
          <w:color w:val="auto"/>
        </w:rPr>
      </w:pPr>
      <w:r>
        <w:rPr>
          <w:rFonts w:ascii="Arial" w:cs="Arial" w:eastAsia="Arial" w:hAnsi="Arial"/>
          <w:sz w:val="22"/>
          <w:szCs w:val="22"/>
          <w:color w:val="auto"/>
        </w:rPr>
        <w:t>mark.spearman@fluidigm.com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000" w:type="dxa"/>
            <w:vAlign w:val="bottom"/>
          </w:tcPr>
          <w:p>
            <w:pPr>
              <w:spacing w:after="0"/>
              <w:rPr>
                <w:sz w:val="21"/>
                <w:szCs w:val="21"/>
                <w:color w:val="auto"/>
              </w:rPr>
            </w:pPr>
          </w:p>
        </w:tc>
        <w:tc>
          <w:tcPr>
            <w:tcW w:w="3160" w:type="dxa"/>
            <w:vAlign w:val="bottom"/>
            <w:gridSpan w:val="7"/>
          </w:tcPr>
          <w:p>
            <w:pPr>
              <w:ind w:left="20"/>
              <w:spacing w:after="0"/>
              <w:rPr>
                <w:sz w:val="20"/>
                <w:szCs w:val="20"/>
                <w:color w:val="auto"/>
              </w:rPr>
            </w:pPr>
            <w:r>
              <w:rPr>
                <w:rFonts w:ascii="Arial" w:cs="Arial" w:eastAsia="Arial" w:hAnsi="Arial"/>
                <w:sz w:val="22"/>
                <w:szCs w:val="22"/>
                <w:b w:val="1"/>
                <w:bCs w:val="1"/>
                <w:color w:val="auto"/>
                <w:w w:val="92"/>
              </w:rPr>
              <w:t>Three Months Ended September</w:t>
            </w:r>
          </w:p>
        </w:tc>
        <w:tc>
          <w:tcPr>
            <w:tcW w:w="3060" w:type="dxa"/>
            <w:vAlign w:val="bottom"/>
            <w:gridSpan w:val="6"/>
          </w:tcPr>
          <w:p>
            <w:pPr>
              <w:jc w:val="center"/>
              <w:spacing w:after="0"/>
              <w:rPr>
                <w:sz w:val="20"/>
                <w:szCs w:val="20"/>
                <w:color w:val="auto"/>
              </w:rPr>
            </w:pPr>
            <w:r>
              <w:rPr>
                <w:rFonts w:ascii="Arial" w:cs="Arial" w:eastAsia="Arial" w:hAnsi="Arial"/>
                <w:sz w:val="22"/>
                <w:szCs w:val="22"/>
                <w:b w:val="1"/>
                <w:bCs w:val="1"/>
                <w:color w:val="auto"/>
                <w:w w:val="89"/>
              </w:rPr>
              <w:t>Nine Months Ended September</w:t>
            </w:r>
          </w:p>
        </w:tc>
      </w:tr>
      <w:tr>
        <w:trPr>
          <w:trHeight w:val="282"/>
        </w:trPr>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22"/>
                <w:szCs w:val="22"/>
                <w:b w:val="1"/>
                <w:bCs w:val="1"/>
                <w:color w:val="auto"/>
                <w:w w:val="97"/>
              </w:rPr>
              <w:t>30,</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22"/>
                <w:szCs w:val="22"/>
                <w:b w:val="1"/>
                <w:bCs w:val="1"/>
                <w:color w:val="auto"/>
                <w:w w:val="91"/>
              </w:rPr>
              <w:t>30,</w:t>
            </w:r>
          </w:p>
        </w:tc>
        <w:tc>
          <w:tcPr>
            <w:tcW w:w="1160" w:type="dxa"/>
            <w:vAlign w:val="bottom"/>
            <w:tcBorders>
              <w:bottom w:val="single" w:sz="8" w:color="auto"/>
            </w:tcBorders>
          </w:tcPr>
          <w:p>
            <w:pPr>
              <w:spacing w:after="0"/>
              <w:rPr>
                <w:sz w:val="24"/>
                <w:szCs w:val="24"/>
                <w:color w:val="auto"/>
              </w:rPr>
            </w:pPr>
          </w:p>
        </w:tc>
      </w:tr>
      <w:tr>
        <w:trPr>
          <w:trHeight w:val="265"/>
        </w:trPr>
        <w:tc>
          <w:tcPr>
            <w:tcW w:w="50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2020</w:t>
            </w:r>
          </w:p>
        </w:tc>
      </w:tr>
      <w:tr>
        <w:trPr>
          <w:trHeight w:val="256"/>
        </w:trPr>
        <w:tc>
          <w:tcPr>
            <w:tcW w:w="5000" w:type="dxa"/>
            <w:vAlign w:val="bottom"/>
          </w:tcPr>
          <w:p>
            <w:pPr>
              <w:spacing w:after="0"/>
              <w:rPr>
                <w:sz w:val="20"/>
                <w:szCs w:val="20"/>
                <w:color w:val="auto"/>
              </w:rPr>
            </w:pPr>
            <w:r>
              <w:rPr>
                <w:rFonts w:ascii="Arial" w:cs="Arial" w:eastAsia="Arial" w:hAnsi="Arial"/>
                <w:sz w:val="22"/>
                <w:szCs w:val="22"/>
                <w:color w:val="auto"/>
              </w:rPr>
              <w:t>Revenue:</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000" w:type="dxa"/>
            <w:vAlign w:val="bottom"/>
          </w:tcPr>
          <w:p>
            <w:pPr>
              <w:ind w:left="260"/>
              <w:spacing w:after="0"/>
              <w:rPr>
                <w:sz w:val="20"/>
                <w:szCs w:val="20"/>
                <w:color w:val="auto"/>
              </w:rPr>
            </w:pPr>
            <w:r>
              <w:rPr>
                <w:rFonts w:ascii="Arial" w:cs="Arial" w:eastAsia="Arial" w:hAnsi="Arial"/>
                <w:sz w:val="22"/>
                <w:szCs w:val="22"/>
                <w:color w:val="auto"/>
              </w:rPr>
              <w:t>Product revenue</w:t>
            </w:r>
          </w:p>
        </w:tc>
        <w:tc>
          <w:tcPr>
            <w:tcW w:w="340" w:type="dxa"/>
            <w:vAlign w:val="bottom"/>
          </w:tcPr>
          <w:p>
            <w:pPr>
              <w:ind w:left="20"/>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21,937</w:t>
            </w:r>
          </w:p>
        </w:tc>
        <w:tc>
          <w:tcPr>
            <w:tcW w:w="56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112"/>
              <w:spacing w:after="0"/>
              <w:rPr>
                <w:sz w:val="20"/>
                <w:szCs w:val="20"/>
                <w:color w:val="auto"/>
              </w:rPr>
            </w:pPr>
            <w:r>
              <w:rPr>
                <w:rFonts w:ascii="Arial" w:cs="Arial" w:eastAsia="Arial" w:hAnsi="Arial"/>
                <w:sz w:val="22"/>
                <w:szCs w:val="22"/>
                <w:color w:val="auto"/>
              </w:rPr>
              <w:t>29,210</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69,292</w:t>
            </w:r>
          </w:p>
        </w:tc>
        <w:tc>
          <w:tcPr>
            <w:tcW w:w="540" w:type="dxa"/>
            <w:vAlign w:val="bottom"/>
            <w:gridSpan w:val="3"/>
          </w:tcPr>
          <w:p>
            <w:pPr>
              <w:jc w:val="right"/>
              <w:ind w:right="180"/>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65,596</w:t>
            </w:r>
          </w:p>
        </w:tc>
      </w:tr>
      <w:tr>
        <w:trPr>
          <w:trHeight w:val="274"/>
        </w:trPr>
        <w:tc>
          <w:tcPr>
            <w:tcW w:w="5000" w:type="dxa"/>
            <w:vAlign w:val="bottom"/>
          </w:tcPr>
          <w:p>
            <w:pPr>
              <w:ind w:left="260"/>
              <w:spacing w:after="0"/>
              <w:rPr>
                <w:sz w:val="20"/>
                <w:szCs w:val="20"/>
                <w:color w:val="auto"/>
              </w:rPr>
            </w:pPr>
            <w:r>
              <w:rPr>
                <w:rFonts w:ascii="Arial" w:cs="Arial" w:eastAsia="Arial" w:hAnsi="Arial"/>
                <w:sz w:val="22"/>
                <w:szCs w:val="22"/>
                <w:color w:val="auto"/>
              </w:rPr>
              <w:t>Service revenue</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6,016</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6,131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18,929</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16,457</w:t>
            </w:r>
          </w:p>
        </w:tc>
      </w:tr>
      <w:tr>
        <w:trPr>
          <w:trHeight w:val="259"/>
        </w:trPr>
        <w:tc>
          <w:tcPr>
            <w:tcW w:w="5000" w:type="dxa"/>
            <w:vAlign w:val="bottom"/>
          </w:tcPr>
          <w:p>
            <w:pPr>
              <w:ind w:left="120"/>
              <w:spacing w:after="0"/>
              <w:rPr>
                <w:sz w:val="20"/>
                <w:szCs w:val="20"/>
                <w:color w:val="auto"/>
              </w:rPr>
            </w:pPr>
            <w:r>
              <w:rPr>
                <w:rFonts w:ascii="Arial" w:cs="Arial" w:eastAsia="Arial" w:hAnsi="Arial"/>
                <w:sz w:val="22"/>
                <w:szCs w:val="22"/>
                <w:color w:val="auto"/>
              </w:rPr>
              <w:t>Product and service revenue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27,953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2"/>
              <w:spacing w:after="0"/>
              <w:rPr>
                <w:sz w:val="20"/>
                <w:szCs w:val="20"/>
                <w:color w:val="auto"/>
              </w:rPr>
            </w:pPr>
            <w:r>
              <w:rPr>
                <w:rFonts w:ascii="Arial" w:cs="Arial" w:eastAsia="Arial" w:hAnsi="Arial"/>
                <w:sz w:val="22"/>
                <w:szCs w:val="22"/>
                <w:color w:val="auto"/>
              </w:rPr>
              <w:t>35,341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88,221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82,053</w:t>
            </w: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Other revenue (1)</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551</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4,520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4,095</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11,483</w:t>
            </w:r>
          </w:p>
        </w:tc>
      </w:tr>
      <w:tr>
        <w:trPr>
          <w:trHeight w:val="259"/>
        </w:trPr>
        <w:tc>
          <w:tcPr>
            <w:tcW w:w="5000" w:type="dxa"/>
            <w:vAlign w:val="bottom"/>
          </w:tcPr>
          <w:p>
            <w:pPr>
              <w:spacing w:after="0"/>
              <w:rPr>
                <w:sz w:val="20"/>
                <w:szCs w:val="20"/>
                <w:color w:val="auto"/>
              </w:rPr>
            </w:pPr>
            <w:r>
              <w:rPr>
                <w:rFonts w:ascii="Arial" w:cs="Arial" w:eastAsia="Arial" w:hAnsi="Arial"/>
                <w:sz w:val="22"/>
                <w:szCs w:val="22"/>
                <w:color w:val="auto"/>
              </w:rPr>
              <w:t>Total revenue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28,504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2"/>
              <w:spacing w:after="0"/>
              <w:rPr>
                <w:sz w:val="20"/>
                <w:szCs w:val="20"/>
                <w:color w:val="auto"/>
              </w:rPr>
            </w:pPr>
            <w:r>
              <w:rPr>
                <w:rFonts w:ascii="Arial" w:cs="Arial" w:eastAsia="Arial" w:hAnsi="Arial"/>
                <w:sz w:val="22"/>
                <w:szCs w:val="22"/>
                <w:color w:val="auto"/>
              </w:rPr>
              <w:t>39,861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92,316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93,536</w:t>
            </w:r>
          </w:p>
        </w:tc>
      </w:tr>
      <w:tr>
        <w:trPr>
          <w:trHeight w:val="270"/>
        </w:trPr>
        <w:tc>
          <w:tcPr>
            <w:tcW w:w="5000" w:type="dxa"/>
            <w:vAlign w:val="bottom"/>
          </w:tcPr>
          <w:p>
            <w:pPr>
              <w:spacing w:after="0"/>
              <w:rPr>
                <w:sz w:val="20"/>
                <w:szCs w:val="20"/>
                <w:color w:val="auto"/>
              </w:rPr>
            </w:pPr>
            <w:r>
              <w:rPr>
                <w:rFonts w:ascii="Arial" w:cs="Arial" w:eastAsia="Arial" w:hAnsi="Arial"/>
                <w:sz w:val="22"/>
                <w:szCs w:val="22"/>
                <w:color w:val="auto"/>
              </w:rPr>
              <w:t>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13,327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22"/>
                <w:szCs w:val="22"/>
                <w:color w:val="auto"/>
              </w:rPr>
              <w:t>12,773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37,720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31,896</w:t>
            </w: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1,508</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1,769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5,465</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4,531</w:t>
            </w:r>
          </w:p>
        </w:tc>
      </w:tr>
      <w:tr>
        <w:trPr>
          <w:trHeight w:val="259"/>
        </w:trPr>
        <w:tc>
          <w:tcPr>
            <w:tcW w:w="5000" w:type="dxa"/>
            <w:vAlign w:val="bottom"/>
          </w:tcPr>
          <w:p>
            <w:pPr>
              <w:ind w:left="120"/>
              <w:spacing w:after="0"/>
              <w:rPr>
                <w:sz w:val="20"/>
                <w:szCs w:val="20"/>
                <w:color w:val="auto"/>
              </w:rPr>
            </w:pPr>
            <w:r>
              <w:rPr>
                <w:rFonts w:ascii="Arial" w:cs="Arial" w:eastAsia="Arial" w:hAnsi="Arial"/>
                <w:sz w:val="22"/>
                <w:szCs w:val="22"/>
                <w:color w:val="auto"/>
              </w:rPr>
              <w:t>Cost of product and service revenue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14,835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2"/>
              <w:spacing w:after="0"/>
              <w:rPr>
                <w:sz w:val="20"/>
                <w:szCs w:val="20"/>
                <w:color w:val="auto"/>
              </w:rPr>
            </w:pPr>
            <w:r>
              <w:rPr>
                <w:rFonts w:ascii="Arial" w:cs="Arial" w:eastAsia="Arial" w:hAnsi="Arial"/>
                <w:sz w:val="22"/>
                <w:szCs w:val="22"/>
                <w:color w:val="auto"/>
              </w:rPr>
              <w:t>14,542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43,185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36,427</w:t>
            </w: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9,209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22"/>
                <w:szCs w:val="22"/>
                <w:color w:val="auto"/>
              </w:rPr>
              <w:t>8,128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29,403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25,275</w:t>
            </w: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24,072</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22,655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75,928</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65,966</w:t>
            </w:r>
          </w:p>
        </w:tc>
      </w:tr>
      <w:tr>
        <w:trPr>
          <w:trHeight w:val="267"/>
        </w:trPr>
        <w:tc>
          <w:tcPr>
            <w:tcW w:w="500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48,116</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45,325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148,516</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127,668</w:t>
            </w:r>
          </w:p>
        </w:tc>
      </w:tr>
      <w:tr>
        <w:trPr>
          <w:trHeight w:val="256"/>
        </w:trPr>
        <w:tc>
          <w:tcPr>
            <w:tcW w:w="5000" w:type="dxa"/>
            <w:vAlign w:val="bottom"/>
          </w:tcPr>
          <w:p>
            <w:pPr>
              <w:spacing w:after="0"/>
              <w:rPr>
                <w:sz w:val="20"/>
                <w:szCs w:val="20"/>
                <w:color w:val="auto"/>
              </w:rPr>
            </w:pPr>
            <w:r>
              <w:rPr>
                <w:rFonts w:ascii="Arial" w:cs="Arial" w:eastAsia="Arial" w:hAnsi="Arial"/>
                <w:sz w:val="22"/>
                <w:szCs w:val="22"/>
                <w:color w:val="auto"/>
              </w:rPr>
              <w:t>Loss from operations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(19,612)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(5,464)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(56,200)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(34,132)</w:t>
            </w:r>
          </w:p>
        </w:tc>
      </w:tr>
      <w:tr>
        <w:trPr>
          <w:trHeight w:val="270"/>
        </w:trPr>
        <w:tc>
          <w:tcPr>
            <w:tcW w:w="5000" w:type="dxa"/>
            <w:vAlign w:val="bottom"/>
          </w:tcPr>
          <w:p>
            <w:pPr>
              <w:spacing w:after="0"/>
              <w:rPr>
                <w:sz w:val="20"/>
                <w:szCs w:val="20"/>
                <w:color w:val="auto"/>
              </w:rPr>
            </w:pPr>
            <w:r>
              <w:rPr>
                <w:rFonts w:ascii="Arial" w:cs="Arial" w:eastAsia="Arial" w:hAnsi="Arial"/>
                <w:sz w:val="22"/>
                <w:szCs w:val="22"/>
                <w:color w:val="auto"/>
              </w:rPr>
              <w:t>Interest expense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(885)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(2,751)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(2,682)</w:t>
            </w:r>
          </w:p>
        </w:tc>
      </w:tr>
      <w:tr>
        <w:trPr>
          <w:trHeight w:val="270"/>
        </w:trPr>
        <w:tc>
          <w:tcPr>
            <w:tcW w:w="5000" w:type="dxa"/>
            <w:vAlign w:val="bottom"/>
          </w:tcPr>
          <w:p>
            <w:pPr>
              <w:spacing w:after="0"/>
              <w:rPr>
                <w:sz w:val="20"/>
                <w:szCs w:val="20"/>
                <w:color w:val="auto"/>
              </w:rPr>
            </w:pPr>
            <w:r>
              <w:rPr>
                <w:rFonts w:ascii="Arial" w:cs="Arial" w:eastAsia="Arial" w:hAnsi="Arial"/>
                <w:sz w:val="22"/>
                <w:szCs w:val="22"/>
                <w:color w:val="auto"/>
              </w:rPr>
              <w:t>Surplus funding from NIH contract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w:t>
            </w:r>
          </w:p>
        </w:tc>
      </w:tr>
      <w:tr>
        <w:trPr>
          <w:trHeight w:val="274"/>
        </w:trPr>
        <w:tc>
          <w:tcPr>
            <w:tcW w:w="500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22"/>
                <w:szCs w:val="22"/>
                <w:color w:val="auto"/>
              </w:rPr>
              <w:t>107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(248)</w:t>
            </w:r>
          </w:p>
        </w:tc>
      </w:tr>
    </w:tbl>
    <w:p>
      <w:pPr>
        <w:sectPr>
          <w:pgSz w:w="11900" w:h="16901" w:orient="portrait"/>
          <w:cols w:equalWidth="0" w:num="1">
            <w:col w:w="11240"/>
          </w:cols>
          <w:pgMar w:left="320" w:top="118" w:right="339" w:bottom="0" w:gutter="0" w:footer="0" w:header="0"/>
        </w:sectPr>
      </w:pPr>
    </w:p>
    <w:bookmarkStart w:id="7" w:name="page8"/>
    <w:bookmarkEnd w:id="7"/>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00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(15,265)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(6,242)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(53,417)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(37,062)</w:t>
            </w:r>
          </w:p>
        </w:tc>
        <w:tc>
          <w:tcPr>
            <w:tcW w:w="0" w:type="dxa"/>
            <w:vAlign w:val="bottom"/>
          </w:tcPr>
          <w:p>
            <w:pPr>
              <w:spacing w:after="0"/>
              <w:rPr>
                <w:sz w:val="1"/>
                <w:szCs w:val="1"/>
                <w:color w:val="auto"/>
              </w:rPr>
            </w:pPr>
          </w:p>
        </w:tc>
      </w:tr>
      <w:tr>
        <w:trPr>
          <w:trHeight w:val="276"/>
        </w:trPr>
        <w:tc>
          <w:tcPr>
            <w:tcW w:w="5000" w:type="dxa"/>
            <w:vAlign w:val="bottom"/>
          </w:tcPr>
          <w:p>
            <w:pPr>
              <w:spacing w:after="0"/>
              <w:rPr>
                <w:sz w:val="20"/>
                <w:szCs w:val="20"/>
                <w:color w:val="auto"/>
              </w:rPr>
            </w:pPr>
            <w:r>
              <w:rPr>
                <w:rFonts w:ascii="Arial" w:cs="Arial" w:eastAsia="Arial" w:hAnsi="Arial"/>
                <w:sz w:val="22"/>
                <w:szCs w:val="22"/>
                <w:color w:val="auto"/>
              </w:rPr>
              <w:t>Income tax benefit</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1,422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243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3,609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2,068</w:t>
            </w: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Arial" w:cs="Arial" w:eastAsia="Arial" w:hAnsi="Arial"/>
                <w:sz w:val="22"/>
                <w:szCs w:val="22"/>
                <w:color w:val="auto"/>
              </w:rPr>
              <w:t>Net loss</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(13,843)</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(5,999)</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(49,808)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(34,994)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00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(0.08)</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(0.66)</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(0.49)</w:t>
            </w:r>
          </w:p>
        </w:tc>
        <w:tc>
          <w:tcPr>
            <w:tcW w:w="0" w:type="dxa"/>
            <w:vAlign w:val="bottom"/>
          </w:tcPr>
          <w:p>
            <w:pPr>
              <w:spacing w:after="0"/>
              <w:rPr>
                <w:sz w:val="1"/>
                <w:szCs w:val="1"/>
                <w:color w:val="auto"/>
              </w:rPr>
            </w:pPr>
          </w:p>
        </w:tc>
      </w:tr>
      <w:tr>
        <w:trPr>
          <w:trHeight w:val="21"/>
        </w:trPr>
        <w:tc>
          <w:tcPr>
            <w:tcW w:w="5000" w:type="dxa"/>
            <w:vAlign w:val="bottom"/>
            <w:vMerge w:val="restart"/>
          </w:tcPr>
          <w:p>
            <w:pPr>
              <w:spacing w:after="0" w:line="242" w:lineRule="exact"/>
              <w:rPr>
                <w:sz w:val="20"/>
                <w:szCs w:val="20"/>
                <w:color w:val="auto"/>
              </w:rPr>
            </w:pPr>
            <w:r>
              <w:rPr>
                <w:rFonts w:ascii="Arial" w:cs="Arial" w:eastAsia="Arial" w:hAnsi="Arial"/>
                <w:sz w:val="22"/>
                <w:szCs w:val="22"/>
                <w:color w:val="auto"/>
                <w:w w:val="94"/>
              </w:rPr>
              <w:t>Shares used to compute net loss per share, basic and</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112"/>
              <w:spacing w:after="0"/>
              <w:rPr>
                <w:sz w:val="20"/>
                <w:szCs w:val="20"/>
                <w:color w:val="auto"/>
              </w:rPr>
            </w:pPr>
            <w:r>
              <w:rPr>
                <w:rFonts w:ascii="Arial" w:cs="Arial" w:eastAsia="Arial" w:hAnsi="Arial"/>
                <w:sz w:val="22"/>
                <w:szCs w:val="22"/>
                <w:color w:val="auto"/>
              </w:rPr>
              <w:t>76,301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22"/>
                <w:szCs w:val="22"/>
                <w:color w:val="auto"/>
              </w:rPr>
              <w:t>72,486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112"/>
              <w:spacing w:after="0"/>
              <w:rPr>
                <w:sz w:val="20"/>
                <w:szCs w:val="20"/>
                <w:color w:val="auto"/>
              </w:rPr>
            </w:pPr>
            <w:r>
              <w:rPr>
                <w:rFonts w:ascii="Arial" w:cs="Arial" w:eastAsia="Arial" w:hAnsi="Arial"/>
                <w:sz w:val="22"/>
                <w:szCs w:val="22"/>
                <w:color w:val="auto"/>
              </w:rPr>
              <w:t>75,494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112"/>
              <w:spacing w:after="0"/>
              <w:rPr>
                <w:sz w:val="20"/>
                <w:szCs w:val="20"/>
                <w:color w:val="auto"/>
              </w:rPr>
            </w:pPr>
            <w:r>
              <w:rPr>
                <w:rFonts w:ascii="Arial" w:cs="Arial" w:eastAsia="Arial" w:hAnsi="Arial"/>
                <w:sz w:val="22"/>
                <w:szCs w:val="22"/>
                <w:color w:val="auto"/>
              </w:rPr>
              <w:t>71,294</w:t>
            </w:r>
          </w:p>
        </w:tc>
        <w:tc>
          <w:tcPr>
            <w:tcW w:w="0" w:type="dxa"/>
            <w:vAlign w:val="bottom"/>
          </w:tcPr>
          <w:p>
            <w:pPr>
              <w:spacing w:after="0"/>
              <w:rPr>
                <w:sz w:val="1"/>
                <w:szCs w:val="1"/>
                <w:color w:val="auto"/>
              </w:rPr>
            </w:pPr>
          </w:p>
        </w:tc>
      </w:tr>
      <w:tr>
        <w:trPr>
          <w:trHeight w:val="251"/>
        </w:trPr>
        <w:tc>
          <w:tcPr>
            <w:tcW w:w="5000" w:type="dxa"/>
            <w:vAlign w:val="bottom"/>
          </w:tcPr>
          <w:p>
            <w:pPr>
              <w:spacing w:after="0" w:line="251" w:lineRule="exact"/>
              <w:rPr>
                <w:sz w:val="20"/>
                <w:szCs w:val="20"/>
                <w:color w:val="auto"/>
              </w:rPr>
            </w:pPr>
            <w:r>
              <w:rPr>
                <w:rFonts w:ascii="Arial" w:cs="Arial" w:eastAsia="Arial" w:hAnsi="Arial"/>
                <w:sz w:val="22"/>
                <w:szCs w:val="22"/>
                <w:color w:val="auto"/>
              </w:rPr>
              <w:t>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(1) Other revenue includes product development, license, royalty and grant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ind w:left="40"/>
              <w:spacing w:after="0"/>
              <w:rPr>
                <w:sz w:val="20"/>
                <w:szCs w:val="20"/>
                <w:color w:val="auto"/>
              </w:rPr>
            </w:pPr>
            <w:r>
              <w:rPr>
                <w:rFonts w:ascii="Arial" w:cs="Arial" w:eastAsia="Arial" w:hAnsi="Arial"/>
                <w:sz w:val="22"/>
                <w:szCs w:val="22"/>
                <w:b w:val="1"/>
                <w:bCs w:val="1"/>
                <w:color w:val="auto"/>
              </w:rPr>
              <w:t>September 30,</w:t>
            </w:r>
          </w:p>
        </w:tc>
        <w:tc>
          <w:tcPr>
            <w:tcW w:w="18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22"/>
                <w:szCs w:val="22"/>
                <w:b w:val="1"/>
                <w:bCs w:val="1"/>
                <w:color w:val="auto"/>
                <w:w w:val="89"/>
              </w:rPr>
              <w:t>December 31,</w:t>
            </w:r>
          </w:p>
        </w:tc>
        <w:tc>
          <w:tcPr>
            <w:tcW w:w="0" w:type="dxa"/>
            <w:vAlign w:val="bottom"/>
          </w:tcPr>
          <w:p>
            <w:pPr>
              <w:spacing w:after="0"/>
              <w:rPr>
                <w:sz w:val="1"/>
                <w:szCs w:val="1"/>
                <w:color w:val="auto"/>
              </w:rPr>
            </w:pPr>
          </w:p>
        </w:tc>
      </w:tr>
      <w:tr>
        <w:trPr>
          <w:trHeight w:val="280"/>
        </w:trPr>
        <w:tc>
          <w:tcPr>
            <w:tcW w:w="5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2020 (1)</w:t>
            </w:r>
          </w:p>
        </w:tc>
        <w:tc>
          <w:tcPr>
            <w:tcW w:w="0" w:type="dxa"/>
            <w:vAlign w:val="bottom"/>
          </w:tcPr>
          <w:p>
            <w:pPr>
              <w:spacing w:after="0"/>
              <w:rPr>
                <w:sz w:val="1"/>
                <w:szCs w:val="1"/>
                <w:color w:val="auto"/>
              </w:rPr>
            </w:pPr>
          </w:p>
        </w:tc>
      </w:tr>
      <w:tr>
        <w:trPr>
          <w:trHeight w:val="259"/>
        </w:trPr>
        <w:tc>
          <w:tcPr>
            <w:tcW w:w="7700" w:type="dxa"/>
            <w:vAlign w:val="bottom"/>
            <w:gridSpan w:val="2"/>
          </w:tcPr>
          <w:p>
            <w:pPr>
              <w:spacing w:after="0"/>
              <w:rPr>
                <w:sz w:val="20"/>
                <w:szCs w:val="20"/>
                <w:color w:val="auto"/>
              </w:rPr>
            </w:pPr>
            <w:r>
              <w:rPr>
                <w:rFonts w:ascii="Arial" w:cs="Arial" w:eastAsia="Arial" w:hAnsi="Arial"/>
                <w:sz w:val="22"/>
                <w:szCs w:val="22"/>
                <w:b w:val="1"/>
                <w:bCs w:val="1"/>
                <w:color w:val="auto"/>
              </w:rPr>
              <w:t>ASSETS</w:t>
            </w: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Current assets:</w:t>
            </w: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Cash and cash equivalents (2)</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29,309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68,520</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Accounts receivable, net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13,732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25,423</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Inventories, net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24,498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19,689</w:t>
            </w:r>
          </w:p>
        </w:tc>
        <w:tc>
          <w:tcPr>
            <w:tcW w:w="0" w:type="dxa"/>
            <w:vAlign w:val="bottom"/>
          </w:tcPr>
          <w:p>
            <w:pPr>
              <w:spacing w:after="0"/>
              <w:rPr>
                <w:sz w:val="1"/>
                <w:szCs w:val="1"/>
                <w:color w:val="auto"/>
              </w:rPr>
            </w:pPr>
          </w:p>
        </w:tc>
      </w:tr>
      <w:tr>
        <w:trPr>
          <w:trHeight w:val="274"/>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Prepaid expenses and other current assets (2)</w:t>
            </w: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5,926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4,031</w:t>
            </w:r>
          </w:p>
        </w:tc>
        <w:tc>
          <w:tcPr>
            <w:tcW w:w="0" w:type="dxa"/>
            <w:vAlign w:val="bottom"/>
          </w:tcPr>
          <w:p>
            <w:pPr>
              <w:spacing w:after="0"/>
              <w:rPr>
                <w:sz w:val="1"/>
                <w:szCs w:val="1"/>
                <w:color w:val="auto"/>
              </w:rPr>
            </w:pPr>
          </w:p>
        </w:tc>
      </w:tr>
      <w:tr>
        <w:trPr>
          <w:trHeight w:val="259"/>
        </w:trPr>
        <w:tc>
          <w:tcPr>
            <w:tcW w:w="7700" w:type="dxa"/>
            <w:vAlign w:val="bottom"/>
            <w:gridSpan w:val="2"/>
          </w:tcPr>
          <w:p>
            <w:pPr>
              <w:spacing w:after="0"/>
              <w:rPr>
                <w:sz w:val="20"/>
                <w:szCs w:val="20"/>
                <w:color w:val="auto"/>
              </w:rPr>
            </w:pPr>
            <w:r>
              <w:rPr>
                <w:rFonts w:ascii="Arial" w:cs="Arial" w:eastAsia="Arial" w:hAnsi="Arial"/>
                <w:sz w:val="22"/>
                <w:szCs w:val="22"/>
                <w:color w:val="auto"/>
              </w:rPr>
              <w:t>Total current assets</w:t>
            </w:r>
          </w:p>
        </w:tc>
        <w:tc>
          <w:tcPr>
            <w:tcW w:w="160" w:type="dxa"/>
            <w:vAlign w:val="bottom"/>
          </w:tcPr>
          <w:p>
            <w:pPr>
              <w:spacing w:after="0"/>
              <w:rPr>
                <w:sz w:val="22"/>
                <w:szCs w:val="22"/>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73,465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117,663</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Property and equipment, net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28,913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17,531</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Operating lease right-of-use assets, net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37,698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38,114</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Other non-current assets (2)</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4,692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4,680</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Developed technology, net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30,992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40,206</w:t>
            </w:r>
          </w:p>
        </w:tc>
        <w:tc>
          <w:tcPr>
            <w:tcW w:w="0" w:type="dxa"/>
            <w:vAlign w:val="bottom"/>
          </w:tcPr>
          <w:p>
            <w:pPr>
              <w:spacing w:after="0"/>
              <w:rPr>
                <w:sz w:val="1"/>
                <w:szCs w:val="1"/>
                <w:color w:val="auto"/>
              </w:rPr>
            </w:pPr>
          </w:p>
        </w:tc>
      </w:tr>
      <w:tr>
        <w:trPr>
          <w:trHeight w:val="276"/>
        </w:trPr>
        <w:tc>
          <w:tcPr>
            <w:tcW w:w="7700" w:type="dxa"/>
            <w:vAlign w:val="bottom"/>
            <w:gridSpan w:val="2"/>
          </w:tcPr>
          <w:p>
            <w:pPr>
              <w:spacing w:after="0"/>
              <w:rPr>
                <w:sz w:val="20"/>
                <w:szCs w:val="20"/>
                <w:color w:val="auto"/>
              </w:rPr>
            </w:pPr>
            <w:r>
              <w:rPr>
                <w:rFonts w:ascii="Arial" w:cs="Arial" w:eastAsia="Arial" w:hAnsi="Arial"/>
                <w:sz w:val="22"/>
                <w:szCs w:val="22"/>
                <w:color w:val="auto"/>
              </w:rPr>
              <w:t>Goodwill</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106,428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106,563</w:t>
            </w:r>
          </w:p>
        </w:tc>
        <w:tc>
          <w:tcPr>
            <w:tcW w:w="0" w:type="dxa"/>
            <w:vAlign w:val="bottom"/>
          </w:tcPr>
          <w:p>
            <w:pPr>
              <w:spacing w:after="0"/>
              <w:rPr>
                <w:sz w:val="1"/>
                <w:szCs w:val="1"/>
                <w:color w:val="auto"/>
              </w:rPr>
            </w:pPr>
          </w:p>
        </w:tc>
      </w:tr>
      <w:tr>
        <w:trPr>
          <w:trHeight w:val="265"/>
        </w:trPr>
        <w:tc>
          <w:tcPr>
            <w:tcW w:w="7700" w:type="dxa"/>
            <w:vAlign w:val="bottom"/>
            <w:gridSpan w:val="2"/>
          </w:tcPr>
          <w:p>
            <w:pPr>
              <w:spacing w:after="0"/>
              <w:rPr>
                <w:sz w:val="20"/>
                <w:szCs w:val="20"/>
                <w:color w:val="auto"/>
              </w:rPr>
            </w:pPr>
            <w:r>
              <w:rPr>
                <w:rFonts w:ascii="Arial" w:cs="Arial" w:eastAsia="Arial" w:hAnsi="Arial"/>
                <w:sz w:val="22"/>
                <w:szCs w:val="22"/>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282,188</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324,757</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Current liabilities:</w:t>
            </w: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Accounts payable</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10,786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9,220</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Accrued compensation and related benefits</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8,286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13,787</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Operating lease liabilities, current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2,873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2,973</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Other accrued liabilities</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8,188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11,882</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Deferred grant income, current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4,299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2,912</w:t>
            </w:r>
          </w:p>
        </w:tc>
        <w:tc>
          <w:tcPr>
            <w:tcW w:w="0" w:type="dxa"/>
            <w:vAlign w:val="bottom"/>
          </w:tcPr>
          <w:p>
            <w:pPr>
              <w:spacing w:after="0"/>
              <w:rPr>
                <w:sz w:val="1"/>
                <w:szCs w:val="1"/>
                <w:color w:val="auto"/>
              </w:rPr>
            </w:pPr>
          </w:p>
        </w:tc>
      </w:tr>
      <w:tr>
        <w:trPr>
          <w:trHeight w:val="274"/>
        </w:trPr>
        <w:tc>
          <w:tcPr>
            <w:tcW w:w="7700" w:type="dxa"/>
            <w:vAlign w:val="bottom"/>
            <w:gridSpan w:val="2"/>
          </w:tcPr>
          <w:p>
            <w:pPr>
              <w:ind w:left="120"/>
              <w:spacing w:after="0"/>
              <w:rPr>
                <w:sz w:val="20"/>
                <w:szCs w:val="20"/>
                <w:color w:val="auto"/>
              </w:rPr>
            </w:pPr>
            <w:r>
              <w:rPr>
                <w:rFonts w:ascii="Arial" w:cs="Arial" w:eastAsia="Arial" w:hAnsi="Arial"/>
                <w:sz w:val="22"/>
                <w:szCs w:val="22"/>
                <w:color w:val="auto"/>
              </w:rPr>
              <w:t>Deferred revenue, current</w:t>
            </w: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12,858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13,475</w:t>
            </w:r>
          </w:p>
        </w:tc>
        <w:tc>
          <w:tcPr>
            <w:tcW w:w="0" w:type="dxa"/>
            <w:vAlign w:val="bottom"/>
          </w:tcPr>
          <w:p>
            <w:pPr>
              <w:spacing w:after="0"/>
              <w:rPr>
                <w:sz w:val="1"/>
                <w:szCs w:val="1"/>
                <w:color w:val="auto"/>
              </w:rPr>
            </w:pPr>
          </w:p>
        </w:tc>
      </w:tr>
      <w:tr>
        <w:trPr>
          <w:trHeight w:val="259"/>
        </w:trPr>
        <w:tc>
          <w:tcPr>
            <w:tcW w:w="7700" w:type="dxa"/>
            <w:vAlign w:val="bottom"/>
            <w:gridSpan w:val="2"/>
          </w:tcPr>
          <w:p>
            <w:pPr>
              <w:spacing w:after="0"/>
              <w:rPr>
                <w:sz w:val="20"/>
                <w:szCs w:val="20"/>
                <w:color w:val="auto"/>
              </w:rPr>
            </w:pPr>
            <w:r>
              <w:rPr>
                <w:rFonts w:ascii="Arial" w:cs="Arial" w:eastAsia="Arial" w:hAnsi="Arial"/>
                <w:sz w:val="22"/>
                <w:szCs w:val="22"/>
                <w:color w:val="auto"/>
              </w:rPr>
              <w:t>Total current liabilities</w:t>
            </w:r>
          </w:p>
        </w:tc>
        <w:tc>
          <w:tcPr>
            <w:tcW w:w="160" w:type="dxa"/>
            <w:vAlign w:val="bottom"/>
          </w:tcPr>
          <w:p>
            <w:pPr>
              <w:spacing w:after="0"/>
              <w:rPr>
                <w:sz w:val="22"/>
                <w:szCs w:val="22"/>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47,290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54,249</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Term loan, net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9,993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Convertible notes, net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54,051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54,224</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Deferred tax liability, net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7,229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8,697</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Operating lease liabilities, non-current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38,170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38,178</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Deferred revenue, non-current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6,034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7,990</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Deferred grant income, non-current</w:t>
            </w:r>
          </w:p>
        </w:tc>
        <w:tc>
          <w:tcPr>
            <w:tcW w:w="16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19,130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21,036</w:t>
            </w:r>
          </w:p>
        </w:tc>
        <w:tc>
          <w:tcPr>
            <w:tcW w:w="0" w:type="dxa"/>
            <w:vAlign w:val="bottom"/>
          </w:tcPr>
          <w:p>
            <w:pPr>
              <w:spacing w:after="0"/>
              <w:rPr>
                <w:sz w:val="1"/>
                <w:szCs w:val="1"/>
                <w:color w:val="auto"/>
              </w:rPr>
            </w:pPr>
          </w:p>
        </w:tc>
      </w:tr>
      <w:tr>
        <w:trPr>
          <w:trHeight w:val="274"/>
        </w:trPr>
        <w:tc>
          <w:tcPr>
            <w:tcW w:w="7700" w:type="dxa"/>
            <w:vAlign w:val="bottom"/>
            <w:gridSpan w:val="2"/>
          </w:tcPr>
          <w:p>
            <w:pPr>
              <w:spacing w:after="0"/>
              <w:rPr>
                <w:sz w:val="20"/>
                <w:szCs w:val="20"/>
                <w:color w:val="auto"/>
              </w:rPr>
            </w:pPr>
            <w:r>
              <w:rPr>
                <w:rFonts w:ascii="Arial" w:cs="Arial" w:eastAsia="Arial" w:hAnsi="Arial"/>
                <w:sz w:val="22"/>
                <w:szCs w:val="22"/>
                <w:color w:val="auto"/>
              </w:rPr>
              <w:t>Other non-current liabilities</w:t>
            </w: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954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1,333</w:t>
            </w:r>
          </w:p>
        </w:tc>
        <w:tc>
          <w:tcPr>
            <w:tcW w:w="0" w:type="dxa"/>
            <w:vAlign w:val="bottom"/>
          </w:tcPr>
          <w:p>
            <w:pPr>
              <w:spacing w:after="0"/>
              <w:rPr>
                <w:sz w:val="1"/>
                <w:szCs w:val="1"/>
                <w:color w:val="auto"/>
              </w:rPr>
            </w:pPr>
          </w:p>
        </w:tc>
      </w:tr>
      <w:tr>
        <w:trPr>
          <w:trHeight w:val="259"/>
        </w:trPr>
        <w:tc>
          <w:tcPr>
            <w:tcW w:w="7700" w:type="dxa"/>
            <w:vAlign w:val="bottom"/>
            <w:gridSpan w:val="2"/>
          </w:tcPr>
          <w:p>
            <w:pPr>
              <w:spacing w:after="0"/>
              <w:rPr>
                <w:sz w:val="20"/>
                <w:szCs w:val="20"/>
                <w:color w:val="auto"/>
              </w:rPr>
            </w:pPr>
            <w:r>
              <w:rPr>
                <w:rFonts w:ascii="Arial" w:cs="Arial" w:eastAsia="Arial" w:hAnsi="Arial"/>
                <w:sz w:val="22"/>
                <w:szCs w:val="22"/>
                <w:color w:val="auto"/>
              </w:rPr>
              <w:t>Total liabilities</w:t>
            </w:r>
          </w:p>
        </w:tc>
        <w:tc>
          <w:tcPr>
            <w:tcW w:w="160" w:type="dxa"/>
            <w:vAlign w:val="bottom"/>
          </w:tcPr>
          <w:p>
            <w:pPr>
              <w:spacing w:after="0"/>
              <w:rPr>
                <w:sz w:val="22"/>
                <w:szCs w:val="22"/>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182,851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185,707</w:t>
            </w:r>
          </w:p>
        </w:tc>
        <w:tc>
          <w:tcPr>
            <w:tcW w:w="0" w:type="dxa"/>
            <w:vAlign w:val="bottom"/>
          </w:tcPr>
          <w:p>
            <w:pPr>
              <w:spacing w:after="0"/>
              <w:rPr>
                <w:sz w:val="1"/>
                <w:szCs w:val="1"/>
                <w:color w:val="auto"/>
              </w:rPr>
            </w:pPr>
          </w:p>
        </w:tc>
      </w:tr>
      <w:tr>
        <w:trPr>
          <w:trHeight w:val="276"/>
        </w:trPr>
        <w:tc>
          <w:tcPr>
            <w:tcW w:w="7700" w:type="dxa"/>
            <w:vAlign w:val="bottom"/>
            <w:gridSpan w:val="2"/>
          </w:tcPr>
          <w:p>
            <w:pPr>
              <w:spacing w:after="0"/>
              <w:rPr>
                <w:sz w:val="20"/>
                <w:szCs w:val="20"/>
                <w:color w:val="auto"/>
              </w:rPr>
            </w:pPr>
            <w:r>
              <w:rPr>
                <w:rFonts w:ascii="Arial" w:cs="Arial" w:eastAsia="Arial" w:hAnsi="Arial"/>
                <w:sz w:val="22"/>
                <w:szCs w:val="22"/>
                <w:color w:val="auto"/>
              </w:rPr>
              <w:t>Total stockholders' equity</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99,337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139,050</w:t>
            </w:r>
          </w:p>
        </w:tc>
        <w:tc>
          <w:tcPr>
            <w:tcW w:w="0" w:type="dxa"/>
            <w:vAlign w:val="bottom"/>
          </w:tcPr>
          <w:p>
            <w:pPr>
              <w:spacing w:after="0"/>
              <w:rPr>
                <w:sz w:val="1"/>
                <w:szCs w:val="1"/>
                <w:color w:val="auto"/>
              </w:rPr>
            </w:pPr>
          </w:p>
        </w:tc>
      </w:tr>
      <w:tr>
        <w:trPr>
          <w:trHeight w:val="265"/>
        </w:trPr>
        <w:tc>
          <w:tcPr>
            <w:tcW w:w="7700" w:type="dxa"/>
            <w:vAlign w:val="bottom"/>
            <w:gridSpan w:val="2"/>
          </w:tcPr>
          <w:p>
            <w:pPr>
              <w:spacing w:after="0"/>
              <w:rPr>
                <w:sz w:val="20"/>
                <w:szCs w:val="20"/>
                <w:color w:val="auto"/>
              </w:rPr>
            </w:pPr>
            <w:r>
              <w:rPr>
                <w:rFonts w:ascii="Arial" w:cs="Arial" w:eastAsia="Arial" w:hAnsi="Arial"/>
                <w:sz w:val="22"/>
                <w:szCs w:val="22"/>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282,188</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324,757</w:t>
            </w:r>
          </w:p>
        </w:tc>
        <w:tc>
          <w:tcPr>
            <w:tcW w:w="0" w:type="dxa"/>
            <w:vAlign w:val="bottom"/>
          </w:tcPr>
          <w:p>
            <w:pPr>
              <w:spacing w:after="0"/>
              <w:rPr>
                <w:sz w:val="1"/>
                <w:szCs w:val="1"/>
                <w:color w:val="auto"/>
              </w:rPr>
            </w:pPr>
          </w:p>
        </w:tc>
      </w:tr>
      <w:tr>
        <w:trPr>
          <w:trHeight w:val="21"/>
        </w:trPr>
        <w:tc>
          <w:tcPr>
            <w:tcW w:w="7700" w:type="dxa"/>
            <w:vAlign w:val="bottom"/>
            <w:gridSpan w:val="2"/>
            <w:vMerge w:val="restart"/>
          </w:tcPr>
          <w:p>
            <w:pPr>
              <w:spacing w:after="0"/>
              <w:rPr>
                <w:sz w:val="20"/>
                <w:szCs w:val="20"/>
                <w:color w:val="auto"/>
              </w:rPr>
            </w:pPr>
            <w:r>
              <w:rPr>
                <w:rFonts w:ascii="Arial" w:cs="Arial" w:eastAsia="Arial" w:hAnsi="Arial"/>
                <w:sz w:val="22"/>
                <w:szCs w:val="22"/>
                <w:color w:val="auto"/>
              </w:rPr>
              <w:t>Notes:</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7700" w:type="dxa"/>
            <w:vAlign w:val="bottom"/>
            <w:gridSpan w:val="2"/>
          </w:tcPr>
          <w:p>
            <w:pPr>
              <w:spacing w:after="0"/>
              <w:rPr>
                <w:sz w:val="20"/>
                <w:szCs w:val="20"/>
                <w:color w:val="auto"/>
              </w:rPr>
            </w:pPr>
            <w:r>
              <w:rPr>
                <w:rFonts w:ascii="Arial" w:cs="Arial" w:eastAsia="Arial" w:hAnsi="Arial"/>
                <w:sz w:val="22"/>
                <w:szCs w:val="22"/>
                <w:color w:val="auto"/>
              </w:rPr>
              <w:t>(1) Derived from audited consolidated financial statements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(2) Cash, cash equivalents and restricted cash consist of:</w:t>
            </w: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22"/>
                <w:szCs w:val="22"/>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29,309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68,520</w:t>
            </w:r>
          </w:p>
        </w:tc>
        <w:tc>
          <w:tcPr>
            <w:tcW w:w="0" w:type="dxa"/>
            <w:vAlign w:val="bottom"/>
          </w:tcPr>
          <w:p>
            <w:pPr>
              <w:spacing w:after="0"/>
              <w:rPr>
                <w:sz w:val="1"/>
                <w:szCs w:val="1"/>
                <w:color w:val="auto"/>
              </w:rPr>
            </w:pPr>
          </w:p>
        </w:tc>
      </w:tr>
      <w:tr>
        <w:trPr>
          <w:trHeight w:val="274"/>
        </w:trPr>
        <w:tc>
          <w:tcPr>
            <w:tcW w:w="7700" w:type="dxa"/>
            <w:vAlign w:val="bottom"/>
            <w:gridSpan w:val="2"/>
          </w:tcPr>
          <w:p>
            <w:pPr>
              <w:spacing w:after="0"/>
              <w:rPr>
                <w:sz w:val="20"/>
                <w:szCs w:val="20"/>
                <w:color w:val="auto"/>
              </w:rPr>
            </w:pPr>
            <w:r>
              <w:rPr>
                <w:rFonts w:ascii="Arial" w:cs="Arial" w:eastAsia="Arial" w:hAnsi="Arial"/>
                <w:sz w:val="22"/>
                <w:szCs w:val="22"/>
                <w:color w:val="auto"/>
              </w:rPr>
              <w:t>Restricted cash (included in other current assets and other non-current assets)</w:t>
            </w: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1,016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1,016</w:t>
            </w:r>
          </w:p>
        </w:tc>
        <w:tc>
          <w:tcPr>
            <w:tcW w:w="0" w:type="dxa"/>
            <w:vAlign w:val="bottom"/>
          </w:tcPr>
          <w:p>
            <w:pPr>
              <w:spacing w:after="0"/>
              <w:rPr>
                <w:sz w:val="1"/>
                <w:szCs w:val="1"/>
                <w:color w:val="auto"/>
              </w:rPr>
            </w:pPr>
          </w:p>
        </w:tc>
      </w:tr>
      <w:tr>
        <w:trPr>
          <w:trHeight w:val="254"/>
        </w:trPr>
        <w:tc>
          <w:tcPr>
            <w:tcW w:w="7700" w:type="dxa"/>
            <w:vAlign w:val="bottom"/>
            <w:gridSpan w:val="2"/>
          </w:tcPr>
          <w:p>
            <w:pPr>
              <w:spacing w:after="0"/>
              <w:rPr>
                <w:sz w:val="20"/>
                <w:szCs w:val="20"/>
                <w:color w:val="auto"/>
              </w:rPr>
            </w:pPr>
            <w:r>
              <w:rPr>
                <w:rFonts w:ascii="Arial" w:cs="Arial" w:eastAsia="Arial" w:hAnsi="Arial"/>
                <w:sz w:val="22"/>
                <w:szCs w:val="22"/>
                <w:color w:val="auto"/>
              </w:rPr>
              <w:t>Total cash, cash equivalents and restricted cash</w:t>
            </w: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32" w:orient="portrait"/>
          <w:cols w:equalWidth="0" w:num="1">
            <w:col w:w="11220"/>
          </w:cols>
          <w:pgMar w:left="340" w:top="118" w:right="339" w:bottom="0" w:gutter="0" w:footer="0" w:header="0"/>
        </w:sectPr>
      </w:pPr>
    </w:p>
    <w:bookmarkStart w:id="8" w:name="page9"/>
    <w:bookmarkEnd w:id="8"/>
    <w:p>
      <w:pPr>
        <w:ind w:left="7720"/>
        <w:spacing w:after="0"/>
        <w:tabs>
          <w:tab w:leader="none" w:pos="8680" w:val="left"/>
          <w:tab w:leader="none" w:pos="9520" w:val="left"/>
          <w:tab w:leader="none" w:pos="10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30,325</w:t>
        <w:tab/>
        <w:t>$</w:t>
      </w:r>
      <w:r>
        <w:rPr>
          <w:sz w:val="20"/>
          <w:szCs w:val="20"/>
          <w:color w:val="auto"/>
        </w:rPr>
        <w:tab/>
      </w:r>
      <w:r>
        <w:rPr>
          <w:rFonts w:ascii="Arial" w:cs="Arial" w:eastAsia="Arial" w:hAnsi="Arial"/>
          <w:sz w:val="19"/>
          <w:szCs w:val="19"/>
          <w:color w:val="auto"/>
        </w:rPr>
        <w:t>69,536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16510</wp:posOffset>
            </wp:positionV>
            <wp:extent cx="2228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41910</wp:posOffset>
            </wp:positionV>
            <wp:extent cx="2228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22"/>
                <w:szCs w:val="22"/>
                <w:b w:val="1"/>
                <w:bCs w:val="1"/>
                <w:color w:val="auto"/>
                <w:w w:val="88"/>
              </w:rPr>
              <w:t>Nine Months Ended September 30,</w:t>
            </w:r>
          </w:p>
        </w:tc>
        <w:tc>
          <w:tcPr>
            <w:tcW w:w="0" w:type="dxa"/>
            <w:vAlign w:val="bottom"/>
          </w:tcPr>
          <w:p>
            <w:pPr>
              <w:spacing w:after="0"/>
              <w:rPr>
                <w:sz w:val="1"/>
                <w:szCs w:val="1"/>
                <w:color w:val="auto"/>
              </w:rPr>
            </w:pPr>
          </w:p>
        </w:tc>
      </w:tr>
      <w:tr>
        <w:trPr>
          <w:trHeight w:val="265"/>
        </w:trPr>
        <w:tc>
          <w:tcPr>
            <w:tcW w:w="77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2021</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56"/>
        </w:trPr>
        <w:tc>
          <w:tcPr>
            <w:tcW w:w="774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Net loss</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(49,808)</w:t>
            </w:r>
          </w:p>
        </w:tc>
        <w:tc>
          <w:tcPr>
            <w:tcW w:w="1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rPr>
              <w:t>(34,994)</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120" w:type="dxa"/>
            <w:vAlign w:val="bottom"/>
          </w:tcPr>
          <w:p>
            <w:pPr>
              <w:spacing w:after="0"/>
              <w:rPr>
                <w:sz w:val="23"/>
                <w:szCs w:val="23"/>
                <w:color w:val="auto"/>
              </w:rPr>
            </w:pP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11,738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10,358</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120" w:type="dxa"/>
            <w:vAlign w:val="bottom"/>
          </w:tcPr>
          <w:p>
            <w:pPr>
              <w:spacing w:after="0"/>
              <w:rPr>
                <w:sz w:val="23"/>
                <w:szCs w:val="23"/>
                <w:color w:val="auto"/>
              </w:rPr>
            </w:pP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8,944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8,929</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120" w:type="dxa"/>
            <w:vAlign w:val="bottom"/>
          </w:tcPr>
          <w:p>
            <w:pPr>
              <w:spacing w:after="0"/>
              <w:rPr>
                <w:sz w:val="23"/>
                <w:szCs w:val="23"/>
                <w:color w:val="auto"/>
              </w:rPr>
            </w:pP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191</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20" w:type="dxa"/>
            <w:vAlign w:val="bottom"/>
          </w:tcPr>
          <w:p>
            <w:pPr>
              <w:spacing w:after="0"/>
              <w:rPr>
                <w:sz w:val="23"/>
                <w:szCs w:val="23"/>
                <w:color w:val="auto"/>
              </w:rPr>
            </w:pP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2,744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2,988</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Other non-cash items</w:t>
            </w:r>
          </w:p>
        </w:tc>
        <w:tc>
          <w:tcPr>
            <w:tcW w:w="120" w:type="dxa"/>
            <w:vAlign w:val="bottom"/>
          </w:tcPr>
          <w:p>
            <w:pPr>
              <w:spacing w:after="0"/>
              <w:rPr>
                <w:sz w:val="23"/>
                <w:szCs w:val="23"/>
                <w:color w:val="auto"/>
              </w:rPr>
            </w:pP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2,357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2,971</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(13,040)</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(2,127)</w:t>
            </w:r>
          </w:p>
        </w:tc>
        <w:tc>
          <w:tcPr>
            <w:tcW w:w="0" w:type="dxa"/>
            <w:vAlign w:val="bottom"/>
          </w:tcPr>
          <w:p>
            <w:pPr>
              <w:spacing w:after="0"/>
              <w:rPr>
                <w:sz w:val="1"/>
                <w:szCs w:val="1"/>
                <w:color w:val="auto"/>
              </w:rPr>
            </w:pPr>
          </w:p>
        </w:tc>
      </w:tr>
      <w:tr>
        <w:trPr>
          <w:trHeight w:val="267"/>
        </w:trPr>
        <w:tc>
          <w:tcPr>
            <w:tcW w:w="774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(37,059)</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(11,684)</w:t>
            </w:r>
          </w:p>
        </w:tc>
        <w:tc>
          <w:tcPr>
            <w:tcW w:w="0" w:type="dxa"/>
            <w:vAlign w:val="bottom"/>
          </w:tcPr>
          <w:p>
            <w:pPr>
              <w:spacing w:after="0"/>
              <w:rPr>
                <w:sz w:val="1"/>
                <w:szCs w:val="1"/>
                <w:color w:val="auto"/>
              </w:rPr>
            </w:pPr>
          </w:p>
        </w:tc>
      </w:tr>
      <w:tr>
        <w:trPr>
          <w:trHeight w:val="526"/>
        </w:trPr>
        <w:tc>
          <w:tcPr>
            <w:tcW w:w="774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Acquisition, net of cash acquired</w:t>
            </w:r>
          </w:p>
        </w:tc>
        <w:tc>
          <w:tcPr>
            <w:tcW w:w="120" w:type="dxa"/>
            <w:vAlign w:val="bottom"/>
          </w:tcPr>
          <w:p>
            <w:pPr>
              <w:spacing w:after="0"/>
              <w:rPr>
                <w:sz w:val="23"/>
                <w:szCs w:val="23"/>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22"/>
                <w:szCs w:val="22"/>
                <w:color w:val="auto"/>
              </w:rPr>
              <w:t>(5,154)</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NIH Contract</w:t>
            </w:r>
          </w:p>
        </w:tc>
        <w:tc>
          <w:tcPr>
            <w:tcW w:w="120" w:type="dxa"/>
            <w:vAlign w:val="bottom"/>
          </w:tcPr>
          <w:p>
            <w:pPr>
              <w:spacing w:after="0"/>
              <w:rPr>
                <w:sz w:val="23"/>
                <w:szCs w:val="23"/>
                <w:color w:val="auto"/>
              </w:rPr>
            </w:pP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2,000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11,151</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120" w:type="dxa"/>
            <w:vAlign w:val="bottom"/>
          </w:tcPr>
          <w:p>
            <w:pPr>
              <w:spacing w:after="0"/>
              <w:rPr>
                <w:sz w:val="23"/>
                <w:szCs w:val="23"/>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36,810</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(12,801)</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(2,010)</w:t>
            </w:r>
          </w:p>
        </w:tc>
        <w:tc>
          <w:tcPr>
            <w:tcW w:w="0" w:type="dxa"/>
            <w:vAlign w:val="bottom"/>
          </w:tcPr>
          <w:p>
            <w:pPr>
              <w:spacing w:after="0"/>
              <w:rPr>
                <w:sz w:val="1"/>
                <w:szCs w:val="1"/>
                <w:color w:val="auto"/>
              </w:rPr>
            </w:pPr>
          </w:p>
        </w:tc>
      </w:tr>
      <w:tr>
        <w:trPr>
          <w:trHeight w:val="267"/>
        </w:trPr>
        <w:tc>
          <w:tcPr>
            <w:tcW w:w="7740" w:type="dxa"/>
            <w:vAlign w:val="bottom"/>
          </w:tcPr>
          <w:p>
            <w:pPr>
              <w:spacing w:after="0"/>
              <w:rPr>
                <w:sz w:val="20"/>
                <w:szCs w:val="20"/>
                <w:color w:val="auto"/>
              </w:rPr>
            </w:pPr>
            <w:r>
              <w:rPr>
                <w:rFonts w:ascii="Arial" w:cs="Arial" w:eastAsia="Arial" w:hAnsi="Arial"/>
                <w:sz w:val="22"/>
                <w:szCs w:val="22"/>
                <w:color w:val="auto"/>
              </w:rPr>
              <w:t>Net cash provided by (used in) investing activities</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(10,801)</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40,797</w:t>
            </w:r>
          </w:p>
        </w:tc>
        <w:tc>
          <w:tcPr>
            <w:tcW w:w="0" w:type="dxa"/>
            <w:vAlign w:val="bottom"/>
          </w:tcPr>
          <w:p>
            <w:pPr>
              <w:spacing w:after="0"/>
              <w:rPr>
                <w:sz w:val="1"/>
                <w:szCs w:val="1"/>
                <w:color w:val="auto"/>
              </w:rPr>
            </w:pPr>
          </w:p>
        </w:tc>
      </w:tr>
      <w:tr>
        <w:trPr>
          <w:trHeight w:val="526"/>
        </w:trPr>
        <w:tc>
          <w:tcPr>
            <w:tcW w:w="774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term loan</w:t>
            </w:r>
          </w:p>
        </w:tc>
        <w:tc>
          <w:tcPr>
            <w:tcW w:w="120" w:type="dxa"/>
            <w:vAlign w:val="bottom"/>
          </w:tcPr>
          <w:p>
            <w:pPr>
              <w:spacing w:after="0"/>
              <w:rPr>
                <w:sz w:val="23"/>
                <w:szCs w:val="23"/>
                <w:color w:val="auto"/>
              </w:rPr>
            </w:pP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10,000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7740" w:type="dxa"/>
            <w:vAlign w:val="bottom"/>
          </w:tcPr>
          <w:p>
            <w:pPr>
              <w:spacing w:after="0" w:line="243" w:lineRule="exact"/>
              <w:rPr>
                <w:sz w:val="20"/>
                <w:szCs w:val="20"/>
                <w:color w:val="auto"/>
              </w:rPr>
            </w:pPr>
            <w:r>
              <w:rPr>
                <w:rFonts w:ascii="Arial" w:cs="Arial" w:eastAsia="Arial" w:hAnsi="Arial"/>
                <w:sz w:val="22"/>
                <w:szCs w:val="22"/>
                <w:color w:val="auto"/>
              </w:rPr>
              <w:t>Proceeds from issuance of common stock from at-the-market offering, net of</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commissions</w:t>
            </w:r>
          </w:p>
        </w:tc>
        <w:tc>
          <w:tcPr>
            <w:tcW w:w="120" w:type="dxa"/>
            <w:vAlign w:val="bottom"/>
          </w:tcPr>
          <w:p>
            <w:pPr>
              <w:spacing w:after="0"/>
              <w:rPr>
                <w:sz w:val="23"/>
                <w:szCs w:val="23"/>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20,226</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Repayment of long-term debt</w:t>
            </w:r>
          </w:p>
        </w:tc>
        <w:tc>
          <w:tcPr>
            <w:tcW w:w="12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(501)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(payments for) employee equity programs, net</w:t>
            </w:r>
          </w:p>
        </w:tc>
        <w:tc>
          <w:tcPr>
            <w:tcW w:w="12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(802)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708</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Payment of debt and equity issuance costs</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(35)</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(509)</w:t>
            </w:r>
          </w:p>
        </w:tc>
        <w:tc>
          <w:tcPr>
            <w:tcW w:w="0" w:type="dxa"/>
            <w:vAlign w:val="bottom"/>
          </w:tcPr>
          <w:p>
            <w:pPr>
              <w:spacing w:after="0"/>
              <w:rPr>
                <w:sz w:val="1"/>
                <w:szCs w:val="1"/>
                <w:color w:val="auto"/>
              </w:rPr>
            </w:pPr>
          </w:p>
        </w:tc>
      </w:tr>
      <w:tr>
        <w:trPr>
          <w:trHeight w:val="267"/>
        </w:trPr>
        <w:tc>
          <w:tcPr>
            <w:tcW w:w="7740" w:type="dxa"/>
            <w:vAlign w:val="bottom"/>
          </w:tcPr>
          <w:p>
            <w:pPr>
              <w:spacing w:after="0"/>
              <w:rPr>
                <w:sz w:val="20"/>
                <w:szCs w:val="20"/>
                <w:color w:val="auto"/>
              </w:rPr>
            </w:pPr>
            <w:r>
              <w:rPr>
                <w:rFonts w:ascii="Arial" w:cs="Arial" w:eastAsia="Arial" w:hAnsi="Arial"/>
                <w:sz w:val="22"/>
                <w:szCs w:val="22"/>
                <w:color w:val="auto"/>
              </w:rPr>
              <w:t>Net cash provided by financing activities</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8,662</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20,425</w:t>
            </w:r>
          </w:p>
        </w:tc>
        <w:tc>
          <w:tcPr>
            <w:tcW w:w="0" w:type="dxa"/>
            <w:vAlign w:val="bottom"/>
          </w:tcPr>
          <w:p>
            <w:pPr>
              <w:spacing w:after="0"/>
              <w:rPr>
                <w:sz w:val="1"/>
                <w:szCs w:val="1"/>
                <w:color w:val="auto"/>
              </w:rPr>
            </w:pPr>
          </w:p>
        </w:tc>
      </w:tr>
      <w:tr>
        <w:trPr>
          <w:trHeight w:val="530"/>
        </w:trPr>
        <w:tc>
          <w:tcPr>
            <w:tcW w:w="774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59"/>
        </w:trPr>
        <w:tc>
          <w:tcPr>
            <w:tcW w:w="7740" w:type="dxa"/>
            <w:vAlign w:val="bottom"/>
          </w:tcPr>
          <w:p>
            <w:pPr>
              <w:spacing w:after="0"/>
              <w:rPr>
                <w:sz w:val="20"/>
                <w:szCs w:val="20"/>
                <w:color w:val="auto"/>
              </w:rPr>
            </w:pPr>
            <w:r>
              <w:rPr>
                <w:rFonts w:ascii="Arial" w:cs="Arial" w:eastAsia="Arial" w:hAnsi="Arial"/>
                <w:sz w:val="22"/>
                <w:szCs w:val="22"/>
                <w:color w:val="auto"/>
              </w:rPr>
              <w:t>Net increase (decrease) in cash, cash equivalents and restricted cash</w:t>
            </w:r>
          </w:p>
        </w:tc>
        <w:tc>
          <w:tcPr>
            <w:tcW w:w="120" w:type="dxa"/>
            <w:vAlign w:val="bottom"/>
          </w:tcPr>
          <w:p>
            <w:pPr>
              <w:spacing w:after="0"/>
              <w:rPr>
                <w:sz w:val="22"/>
                <w:szCs w:val="22"/>
                <w:color w:val="auto"/>
              </w:rPr>
            </w:pP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(39,211)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49,624</w:t>
            </w:r>
          </w:p>
        </w:tc>
        <w:tc>
          <w:tcPr>
            <w:tcW w:w="0" w:type="dxa"/>
            <w:vAlign w:val="bottom"/>
          </w:tcPr>
          <w:p>
            <w:pPr>
              <w:spacing w:after="0"/>
              <w:rPr>
                <w:sz w:val="1"/>
                <w:szCs w:val="1"/>
                <w:color w:val="auto"/>
              </w:rPr>
            </w:pPr>
          </w:p>
        </w:tc>
      </w:tr>
      <w:tr>
        <w:trPr>
          <w:trHeight w:val="276"/>
        </w:trPr>
        <w:tc>
          <w:tcPr>
            <w:tcW w:w="7740" w:type="dxa"/>
            <w:vAlign w:val="bottom"/>
          </w:tcPr>
          <w:p>
            <w:pPr>
              <w:spacing w:after="0"/>
              <w:rPr>
                <w:sz w:val="20"/>
                <w:szCs w:val="20"/>
                <w:color w:val="auto"/>
              </w:rPr>
            </w:pPr>
            <w:r>
              <w:rPr>
                <w:rFonts w:ascii="Arial" w:cs="Arial" w:eastAsia="Arial" w:hAnsi="Arial"/>
                <w:sz w:val="22"/>
                <w:szCs w:val="22"/>
                <w:color w:val="auto"/>
              </w:rPr>
              <w:t>Cash, cash equivalents and restricted cash at beginning of period</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69,536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23,736</w:t>
            </w:r>
          </w:p>
        </w:tc>
        <w:tc>
          <w:tcPr>
            <w:tcW w:w="0" w:type="dxa"/>
            <w:vAlign w:val="bottom"/>
          </w:tcPr>
          <w:p>
            <w:pPr>
              <w:spacing w:after="0"/>
              <w:rPr>
                <w:sz w:val="1"/>
                <w:szCs w:val="1"/>
                <w:color w:val="auto"/>
              </w:rPr>
            </w:pPr>
          </w:p>
        </w:tc>
      </w:tr>
      <w:tr>
        <w:trPr>
          <w:trHeight w:val="265"/>
        </w:trPr>
        <w:tc>
          <w:tcPr>
            <w:tcW w:w="7740" w:type="dxa"/>
            <w:vAlign w:val="bottom"/>
          </w:tcPr>
          <w:p>
            <w:pPr>
              <w:spacing w:after="0"/>
              <w:rPr>
                <w:sz w:val="20"/>
                <w:szCs w:val="20"/>
                <w:color w:val="auto"/>
              </w:rPr>
            </w:pPr>
            <w:r>
              <w:rPr>
                <w:rFonts w:ascii="Arial" w:cs="Arial" w:eastAsia="Arial" w:hAnsi="Arial"/>
                <w:sz w:val="22"/>
                <w:szCs w:val="22"/>
                <w:color w:val="auto"/>
              </w:rPr>
              <w:t>Cash, cash equivalents and restricted cash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30,325</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73,360</w:t>
            </w:r>
          </w:p>
        </w:tc>
        <w:tc>
          <w:tcPr>
            <w:tcW w:w="0" w:type="dxa"/>
            <w:vAlign w:val="bottom"/>
          </w:tcPr>
          <w:p>
            <w:pPr>
              <w:spacing w:after="0"/>
              <w:rPr>
                <w:sz w:val="1"/>
                <w:szCs w:val="1"/>
                <w:color w:val="auto"/>
              </w:rPr>
            </w:pPr>
          </w:p>
        </w:tc>
      </w:tr>
      <w:tr>
        <w:trPr>
          <w:trHeight w:val="21"/>
        </w:trPr>
        <w:tc>
          <w:tcPr>
            <w:tcW w:w="7740" w:type="dxa"/>
            <w:vAlign w:val="bottom"/>
            <w:vMerge w:val="restart"/>
          </w:tcPr>
          <w:p>
            <w:pPr>
              <w:spacing w:after="0"/>
              <w:rPr>
                <w:sz w:val="20"/>
                <w:szCs w:val="20"/>
                <w:color w:val="auto"/>
              </w:rPr>
            </w:pPr>
            <w:r>
              <w:rPr>
                <w:rFonts w:ascii="Arial" w:cs="Arial" w:eastAsia="Arial" w:hAnsi="Arial"/>
                <w:sz w:val="22"/>
                <w:szCs w:val="22"/>
                <w:color w:val="auto"/>
              </w:rPr>
              <w:t>Cash, cash equivalents and restricted cash consist of:</w:t>
            </w: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29,309</w:t>
            </w:r>
          </w:p>
        </w:tc>
        <w:tc>
          <w:tcPr>
            <w:tcW w:w="1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72,345</w:t>
            </w:r>
          </w:p>
        </w:tc>
        <w:tc>
          <w:tcPr>
            <w:tcW w:w="0" w:type="dxa"/>
            <w:vAlign w:val="bottom"/>
          </w:tcPr>
          <w:p>
            <w:pPr>
              <w:spacing w:after="0"/>
              <w:rPr>
                <w:sz w:val="1"/>
                <w:szCs w:val="1"/>
                <w:color w:val="auto"/>
              </w:rPr>
            </w:pPr>
          </w:p>
        </w:tc>
      </w:tr>
      <w:tr>
        <w:trPr>
          <w:trHeight w:val="243"/>
        </w:trPr>
        <w:tc>
          <w:tcPr>
            <w:tcW w:w="7740" w:type="dxa"/>
            <w:vAlign w:val="bottom"/>
          </w:tcPr>
          <w:p>
            <w:pPr>
              <w:spacing w:after="0" w:line="243" w:lineRule="exact"/>
              <w:rPr>
                <w:sz w:val="20"/>
                <w:szCs w:val="20"/>
                <w:color w:val="auto"/>
              </w:rPr>
            </w:pPr>
            <w:r>
              <w:rPr>
                <w:rFonts w:ascii="Arial" w:cs="Arial" w:eastAsia="Arial" w:hAnsi="Arial"/>
                <w:sz w:val="22"/>
                <w:szCs w:val="22"/>
                <w:color w:val="auto"/>
                <w:w w:val="94"/>
              </w:rPr>
              <w:t>Restricted cash (included in prepaid and other current assets, and other non-current</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40" w:type="dxa"/>
            <w:vAlign w:val="bottom"/>
          </w:tcPr>
          <w:p>
            <w:pPr>
              <w:spacing w:after="0"/>
              <w:rPr>
                <w:sz w:val="20"/>
                <w:szCs w:val="20"/>
                <w:color w:val="auto"/>
              </w:rPr>
            </w:pPr>
            <w:r>
              <w:rPr>
                <w:rFonts w:ascii="Arial" w:cs="Arial" w:eastAsia="Arial" w:hAnsi="Arial"/>
                <w:sz w:val="22"/>
                <w:szCs w:val="22"/>
                <w:color w:val="auto"/>
              </w:rPr>
              <w:t>assets)</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1,016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1,015</w:t>
            </w:r>
          </w:p>
        </w:tc>
        <w:tc>
          <w:tcPr>
            <w:tcW w:w="0" w:type="dxa"/>
            <w:vAlign w:val="bottom"/>
          </w:tcPr>
          <w:p>
            <w:pPr>
              <w:spacing w:after="0"/>
              <w:rPr>
                <w:sz w:val="1"/>
                <w:szCs w:val="1"/>
                <w:color w:val="auto"/>
              </w:rPr>
            </w:pPr>
          </w:p>
        </w:tc>
      </w:tr>
      <w:tr>
        <w:trPr>
          <w:trHeight w:val="265"/>
        </w:trPr>
        <w:tc>
          <w:tcPr>
            <w:tcW w:w="7740" w:type="dxa"/>
            <w:vAlign w:val="bottom"/>
          </w:tcPr>
          <w:p>
            <w:pPr>
              <w:spacing w:after="0"/>
              <w:rPr>
                <w:sz w:val="20"/>
                <w:szCs w:val="20"/>
                <w:color w:val="auto"/>
              </w:rPr>
            </w:pPr>
            <w:r>
              <w:rPr>
                <w:rFonts w:ascii="Arial" w:cs="Arial" w:eastAsia="Arial" w:hAnsi="Arial"/>
                <w:sz w:val="22"/>
                <w:szCs w:val="22"/>
                <w:color w:val="auto"/>
              </w:rPr>
              <w:t>Total 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30,325</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73,360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NET LOSS</w:t>
      </w:r>
    </w:p>
    <w:p>
      <w:pPr>
        <w:spacing w:after="0" w:line="277" w:lineRule="exact"/>
        <w:rPr>
          <w:sz w:val="20"/>
          <w:szCs w:val="20"/>
          <w:color w:val="auto"/>
        </w:rPr>
      </w:pPr>
    </w:p>
    <w:tbl>
      <w:tblPr>
        <w:tblLayout w:type="fixed"/>
        <w:tblInd w:w="4700" w:type="dxa"/>
        <w:tblCellMar>
          <w:top w:w="0" w:type="dxa"/>
          <w:left w:w="0" w:type="dxa"/>
          <w:bottom w:w="0" w:type="dxa"/>
          <w:right w:w="0" w:type="dxa"/>
        </w:tblCellMar>
      </w:tblPr>
      <w:tr>
        <w:trPr>
          <w:trHeight w:val="253"/>
        </w:trPr>
        <w:tc>
          <w:tcPr>
            <w:tcW w:w="33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Three Months Ended September</w:t>
            </w:r>
          </w:p>
        </w:tc>
        <w:tc>
          <w:tcPr>
            <w:tcW w:w="3220" w:type="dxa"/>
            <w:vAlign w:val="bottom"/>
          </w:tcPr>
          <w:p>
            <w:pPr>
              <w:jc w:val="center"/>
              <w:spacing w:after="0"/>
              <w:rPr>
                <w:sz w:val="20"/>
                <w:szCs w:val="20"/>
                <w:color w:val="auto"/>
              </w:rPr>
            </w:pPr>
            <w:r>
              <w:rPr>
                <w:rFonts w:ascii="Arial" w:cs="Arial" w:eastAsia="Arial" w:hAnsi="Arial"/>
                <w:sz w:val="22"/>
                <w:szCs w:val="22"/>
                <w:b w:val="1"/>
                <w:bCs w:val="1"/>
                <w:color w:val="auto"/>
                <w:w w:val="89"/>
              </w:rPr>
              <w:t>Nine Months Ended September</w:t>
            </w:r>
          </w:p>
        </w:tc>
      </w:tr>
      <w:tr>
        <w:trPr>
          <w:trHeight w:val="282"/>
        </w:trPr>
        <w:tc>
          <w:tcPr>
            <w:tcW w:w="3200" w:type="dxa"/>
            <w:vAlign w:val="bottom"/>
            <w:tcBorders>
              <w:bottom w:val="single" w:sz="8" w:color="auto"/>
            </w:tcBorders>
          </w:tcPr>
          <w:p>
            <w:pPr>
              <w:jc w:val="right"/>
              <w:ind w:right="1352"/>
              <w:spacing w:after="0"/>
              <w:rPr>
                <w:sz w:val="20"/>
                <w:szCs w:val="20"/>
                <w:color w:val="auto"/>
              </w:rPr>
            </w:pPr>
            <w:r>
              <w:rPr>
                <w:rFonts w:ascii="Arial" w:cs="Arial" w:eastAsia="Arial" w:hAnsi="Arial"/>
                <w:sz w:val="22"/>
                <w:szCs w:val="22"/>
                <w:b w:val="1"/>
                <w:bCs w:val="1"/>
                <w:color w:val="auto"/>
              </w:rPr>
              <w:t>30,</w:t>
            </w:r>
          </w:p>
        </w:tc>
        <w:tc>
          <w:tcPr>
            <w:tcW w:w="100" w:type="dxa"/>
            <w:vAlign w:val="bottom"/>
          </w:tcPr>
          <w:p>
            <w:pPr>
              <w:spacing w:after="0"/>
              <w:rPr>
                <w:sz w:val="24"/>
                <w:szCs w:val="24"/>
                <w:color w:val="auto"/>
              </w:rPr>
            </w:pPr>
          </w:p>
        </w:tc>
        <w:tc>
          <w:tcPr>
            <w:tcW w:w="3220" w:type="dxa"/>
            <w:vAlign w:val="bottom"/>
            <w:tcBorders>
              <w:bottom w:val="single" w:sz="8" w:color="auto"/>
            </w:tcBorders>
          </w:tcPr>
          <w:p>
            <w:pPr>
              <w:jc w:val="right"/>
              <w:ind w:right="1372"/>
              <w:spacing w:after="0"/>
              <w:rPr>
                <w:sz w:val="20"/>
                <w:szCs w:val="20"/>
                <w:color w:val="auto"/>
              </w:rPr>
            </w:pPr>
            <w:r>
              <w:rPr>
                <w:rFonts w:ascii="Arial" w:cs="Arial" w:eastAsia="Arial" w:hAnsi="Arial"/>
                <w:sz w:val="22"/>
                <w:szCs w:val="22"/>
                <w:b w:val="1"/>
                <w:bCs w:val="1"/>
                <w:color w:val="auto"/>
              </w:rPr>
              <w:t>30,</w:t>
            </w:r>
          </w:p>
        </w:tc>
      </w:tr>
    </w:tbl>
    <w:p>
      <w:pPr>
        <w:sectPr>
          <w:pgSz w:w="11900" w:h="16838" w:orient="portrait"/>
          <w:cols w:equalWidth="0" w:num="1">
            <w:col w:w="11220"/>
          </w:cols>
          <w:pgMar w:left="340" w:top="118"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2021</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2020</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w w:val="89"/>
              </w:rPr>
              <w:t>2020</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700" w:type="dxa"/>
            <w:vAlign w:val="bottom"/>
          </w:tcPr>
          <w:p>
            <w:pPr>
              <w:spacing w:after="0"/>
              <w:rPr>
                <w:sz w:val="20"/>
                <w:szCs w:val="20"/>
                <w:color w:val="auto"/>
              </w:rPr>
            </w:pPr>
            <w:r>
              <w:rPr>
                <w:rFonts w:ascii="Arial" w:cs="Arial" w:eastAsia="Arial" w:hAnsi="Arial"/>
                <w:sz w:val="22"/>
                <w:szCs w:val="22"/>
                <w:color w:val="auto"/>
              </w:rPr>
              <w:t>Net loss (GAAP)</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(13,843)</w:t>
            </w:r>
          </w:p>
        </w:tc>
        <w:tc>
          <w:tcPr>
            <w:tcW w:w="680" w:type="dxa"/>
            <w:vAlign w:val="bottom"/>
            <w:gridSpan w:val="3"/>
          </w:tcPr>
          <w:p>
            <w:pPr>
              <w:jc w:val="right"/>
              <w:ind w:right="11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(5,999)</w:t>
            </w:r>
          </w:p>
        </w:tc>
        <w:tc>
          <w:tcPr>
            <w:tcW w:w="4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(49,808)</w:t>
            </w:r>
          </w:p>
        </w:tc>
        <w:tc>
          <w:tcPr>
            <w:tcW w:w="860" w:type="dxa"/>
            <w:vAlign w:val="bottom"/>
            <w:gridSpan w:val="3"/>
          </w:tcPr>
          <w:p>
            <w:pPr>
              <w:jc w:val="right"/>
              <w:ind w:right="31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w w:val="90"/>
              </w:rPr>
              <w:t>(34,994)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4,320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4,358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11,738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10,358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2,979</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2,993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8,944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8,929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893</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972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2,744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2,988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Interest expense (b)</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968</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885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2,751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2,682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191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0"/>
                <w:szCs w:val="20"/>
                <w:color w:val="auto"/>
              </w:rPr>
            </w:pPr>
            <w:r>
              <w:rPr>
                <w:rFonts w:ascii="Arial" w:cs="Arial" w:eastAsia="Arial" w:hAnsi="Arial"/>
                <w:sz w:val="22"/>
                <w:szCs w:val="22"/>
                <w:color w:val="auto"/>
                <w:w w:val="99"/>
              </w:rPr>
              <w:t>Benefit from acquisition related income taxes (c)</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(742)</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(742)</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(2,226)</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(2,226)</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00" w:type="dxa"/>
            <w:vAlign w:val="bottom"/>
          </w:tcPr>
          <w:p>
            <w:pPr>
              <w:spacing w:after="0"/>
              <w:rPr>
                <w:sz w:val="20"/>
                <w:szCs w:val="20"/>
                <w:color w:val="auto"/>
              </w:rPr>
            </w:pPr>
            <w:r>
              <w:rPr>
                <w:rFonts w:ascii="Arial" w:cs="Arial" w:eastAsia="Arial" w:hAnsi="Arial"/>
                <w:sz w:val="22"/>
                <w:szCs w:val="22"/>
                <w:color w:val="auto"/>
              </w:rPr>
              <w:t>Net income (loss) (Non-GAAP)</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(5,420)</w:t>
            </w:r>
          </w:p>
        </w:tc>
        <w:tc>
          <w:tcPr>
            <w:tcW w:w="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2,510</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(25,842)</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8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(12,072)</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22"/>
                <w:szCs w:val="22"/>
                <w:color w:val="auto"/>
              </w:rPr>
              <w:t>Shares used in net loss per share calculation -</w:t>
            </w: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70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w:cs="Arial" w:eastAsia="Arial" w:hAnsi="Arial"/>
                <w:sz w:val="22"/>
                <w:szCs w:val="22"/>
                <w:color w:val="auto"/>
              </w:rPr>
              <w:t>76,301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w:cs="Arial" w:eastAsia="Arial" w:hAnsi="Arial"/>
                <w:sz w:val="22"/>
                <w:szCs w:val="22"/>
                <w:color w:val="auto"/>
              </w:rPr>
              <w:t>72,486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Arial" w:cs="Arial" w:eastAsia="Arial" w:hAnsi="Arial"/>
                <w:sz w:val="22"/>
                <w:szCs w:val="22"/>
                <w:color w:val="auto"/>
              </w:rPr>
              <w:t>75,494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71,294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700" w:type="dxa"/>
            <w:vAlign w:val="bottom"/>
          </w:tcPr>
          <w:p>
            <w:pPr>
              <w:ind w:left="200"/>
              <w:spacing w:after="0"/>
              <w:rPr>
                <w:sz w:val="20"/>
                <w:szCs w:val="20"/>
                <w:color w:val="auto"/>
              </w:rPr>
            </w:pPr>
            <w:r>
              <w:rPr>
                <w:rFonts w:ascii="Arial" w:cs="Arial" w:eastAsia="Arial" w:hAnsi="Arial"/>
                <w:sz w:val="22"/>
                <w:szCs w:val="22"/>
                <w:color w:val="auto"/>
              </w:rPr>
              <w:t>basic and diluted (GAAP and Non-GAAP)</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70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(0.18)</w:t>
            </w:r>
          </w:p>
        </w:tc>
        <w:tc>
          <w:tcPr>
            <w:tcW w:w="680" w:type="dxa"/>
            <w:vAlign w:val="bottom"/>
            <w:gridSpan w:val="3"/>
          </w:tcPr>
          <w:p>
            <w:pPr>
              <w:jc w:val="right"/>
              <w:ind w:right="11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(0.08)</w:t>
            </w:r>
          </w:p>
        </w:tc>
        <w:tc>
          <w:tcPr>
            <w:tcW w:w="4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(0.66)</w:t>
            </w:r>
          </w:p>
        </w:tc>
        <w:tc>
          <w:tcPr>
            <w:tcW w:w="860" w:type="dxa"/>
            <w:vAlign w:val="bottom"/>
            <w:gridSpan w:val="3"/>
          </w:tcPr>
          <w:p>
            <w:pPr>
              <w:jc w:val="right"/>
              <w:ind w:right="31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(0.49)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line="242" w:lineRule="exact"/>
              <w:rPr>
                <w:sz w:val="20"/>
                <w:szCs w:val="20"/>
                <w:color w:val="auto"/>
              </w:rPr>
            </w:pPr>
            <w:r>
              <w:rPr>
                <w:rFonts w:ascii="Arial" w:cs="Arial" w:eastAsia="Arial" w:hAnsi="Arial"/>
                <w:sz w:val="22"/>
                <w:szCs w:val="22"/>
                <w:color w:val="auto"/>
              </w:rPr>
              <w:t>Net income (loss) per share -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700" w:type="dxa"/>
            <w:vAlign w:val="bottom"/>
            <w:vMerge w:val="continue"/>
          </w:tcPr>
          <w:p>
            <w:pPr>
              <w:spacing w:after="0"/>
              <w:rPr>
                <w:sz w:val="17"/>
                <w:szCs w:val="17"/>
                <w:color w:val="auto"/>
              </w:rPr>
            </w:pPr>
          </w:p>
        </w:tc>
        <w:tc>
          <w:tcPr>
            <w:tcW w:w="340" w:type="dxa"/>
            <w:vAlign w:val="bottom"/>
            <w:vMerge w:val="restart"/>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vMerge w:val="restart"/>
          </w:tcPr>
          <w:p>
            <w:pPr>
              <w:jc w:val="right"/>
              <w:spacing w:after="0"/>
              <w:rPr>
                <w:sz w:val="20"/>
                <w:szCs w:val="20"/>
                <w:color w:val="auto"/>
              </w:rPr>
            </w:pPr>
            <w:r>
              <w:rPr>
                <w:rFonts w:ascii="Arial" w:cs="Arial" w:eastAsia="Arial" w:hAnsi="Arial"/>
                <w:sz w:val="22"/>
                <w:szCs w:val="22"/>
                <w:color w:val="auto"/>
              </w:rPr>
              <w:t>(0.07)</w:t>
            </w:r>
          </w:p>
        </w:tc>
        <w:tc>
          <w:tcPr>
            <w:tcW w:w="2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340" w:type="dxa"/>
            <w:vAlign w:val="bottom"/>
            <w:vMerge w:val="restart"/>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vMerge w:val="restart"/>
          </w:tcPr>
          <w:p>
            <w:pPr>
              <w:jc w:val="right"/>
              <w:spacing w:after="0"/>
              <w:rPr>
                <w:sz w:val="20"/>
                <w:szCs w:val="20"/>
                <w:color w:val="auto"/>
              </w:rPr>
            </w:pPr>
            <w:r>
              <w:rPr>
                <w:rFonts w:ascii="Arial" w:cs="Arial" w:eastAsia="Arial" w:hAnsi="Arial"/>
                <w:sz w:val="22"/>
                <w:szCs w:val="22"/>
                <w:color w:val="auto"/>
              </w:rPr>
              <w:t>0.03</w:t>
            </w:r>
          </w:p>
        </w:tc>
        <w:tc>
          <w:tcPr>
            <w:tcW w:w="2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00" w:type="dxa"/>
            <w:vAlign w:val="bottom"/>
            <w:vMerge w:val="restart"/>
          </w:tcPr>
          <w:p>
            <w:pPr>
              <w:jc w:val="right"/>
              <w:spacing w:after="0"/>
              <w:rPr>
                <w:sz w:val="20"/>
                <w:szCs w:val="20"/>
                <w:color w:val="auto"/>
              </w:rPr>
            </w:pPr>
            <w:r>
              <w:rPr>
                <w:rFonts w:ascii="Arial" w:cs="Arial" w:eastAsia="Arial" w:hAnsi="Arial"/>
                <w:sz w:val="22"/>
                <w:szCs w:val="22"/>
                <w:color w:val="auto"/>
              </w:rPr>
              <w:t>(0.34)</w:t>
            </w:r>
          </w:p>
        </w:tc>
        <w:tc>
          <w:tcPr>
            <w:tcW w:w="2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540" w:type="dxa"/>
            <w:vAlign w:val="bottom"/>
            <w:vMerge w:val="restart"/>
          </w:tcPr>
          <w:p>
            <w:pPr>
              <w:jc w:val="right"/>
              <w:ind w:right="312"/>
              <w:spacing w:after="0"/>
              <w:rPr>
                <w:sz w:val="20"/>
                <w:szCs w:val="20"/>
                <w:color w:val="auto"/>
              </w:rPr>
            </w:pPr>
            <w:r>
              <w:rPr>
                <w:rFonts w:ascii="Arial" w:cs="Arial" w:eastAsia="Arial" w:hAnsi="Arial"/>
                <w:sz w:val="22"/>
                <w:szCs w:val="22"/>
                <w:color w:val="auto"/>
                <w:w w:val="81"/>
              </w:rPr>
              <w:t>$</w:t>
            </w: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(0.17)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line="251" w:lineRule="exact"/>
              <w:rPr>
                <w:sz w:val="20"/>
                <w:szCs w:val="20"/>
                <w:color w:val="auto"/>
              </w:rPr>
            </w:pPr>
            <w:r>
              <w:rPr>
                <w:rFonts w:ascii="Arial" w:cs="Arial" w:eastAsia="Arial" w:hAnsi="Arial"/>
                <w:sz w:val="22"/>
                <w:szCs w:val="22"/>
                <w:color w:val="auto"/>
              </w:rPr>
              <w:t>(Non-GAAP)</w:t>
            </w:r>
          </w:p>
        </w:tc>
        <w:tc>
          <w:tcPr>
            <w:tcW w:w="3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0"/>
        </w:trPr>
        <w:tc>
          <w:tcPr>
            <w:tcW w:w="11000" w:type="dxa"/>
            <w:vAlign w:val="bottom"/>
            <w:gridSpan w:val="15"/>
          </w:tcPr>
          <w:p>
            <w:pPr>
              <w:ind w:left="460"/>
              <w:spacing w:after="0"/>
              <w:rPr>
                <w:sz w:val="20"/>
                <w:szCs w:val="20"/>
                <w:color w:val="auto"/>
              </w:rPr>
            </w:pPr>
            <w:r>
              <w:rPr>
                <w:rFonts w:ascii="Arial" w:cs="Arial" w:eastAsia="Arial" w:hAnsi="Arial"/>
                <w:sz w:val="22"/>
                <w:szCs w:val="22"/>
                <w:b w:val="1"/>
                <w:bCs w:val="1"/>
                <w:color w:val="auto"/>
              </w:rPr>
              <w:t>ITEMIZED RECONCILIATION BETWEEN GAAP AND NON-GAAP PRODUCT AND SERVICE MARGIN</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4700" w:type="dxa"/>
            <w:vAlign w:val="bottom"/>
          </w:tcPr>
          <w:p>
            <w:pPr>
              <w:spacing w:after="0"/>
              <w:rPr>
                <w:sz w:val="24"/>
                <w:szCs w:val="24"/>
                <w:color w:val="auto"/>
              </w:rPr>
            </w:pPr>
          </w:p>
        </w:tc>
        <w:tc>
          <w:tcPr>
            <w:tcW w:w="3440" w:type="dxa"/>
            <w:vAlign w:val="bottom"/>
            <w:gridSpan w:val="9"/>
          </w:tcPr>
          <w:p>
            <w:pPr>
              <w:jc w:val="center"/>
              <w:ind w:right="132"/>
              <w:spacing w:after="0"/>
              <w:rPr>
                <w:sz w:val="20"/>
                <w:szCs w:val="20"/>
                <w:color w:val="auto"/>
              </w:rPr>
            </w:pPr>
            <w:r>
              <w:rPr>
                <w:rFonts w:ascii="Arial" w:cs="Arial" w:eastAsia="Arial" w:hAnsi="Arial"/>
                <w:sz w:val="22"/>
                <w:szCs w:val="22"/>
                <w:b w:val="1"/>
                <w:bCs w:val="1"/>
                <w:color w:val="auto"/>
                <w:w w:val="88"/>
              </w:rPr>
              <w:t>Three Months Ended September</w:t>
            </w:r>
          </w:p>
        </w:tc>
        <w:tc>
          <w:tcPr>
            <w:tcW w:w="3080" w:type="dxa"/>
            <w:vAlign w:val="bottom"/>
            <w:gridSpan w:val="6"/>
          </w:tcPr>
          <w:p>
            <w:pPr>
              <w:jc w:val="center"/>
              <w:ind w:right="32"/>
              <w:spacing w:after="0"/>
              <w:rPr>
                <w:sz w:val="20"/>
                <w:szCs w:val="20"/>
                <w:color w:val="auto"/>
              </w:rPr>
            </w:pPr>
            <w:r>
              <w:rPr>
                <w:rFonts w:ascii="Arial" w:cs="Arial" w:eastAsia="Arial" w:hAnsi="Arial"/>
                <w:sz w:val="22"/>
                <w:szCs w:val="22"/>
                <w:b w:val="1"/>
                <w:bCs w:val="1"/>
                <w:color w:val="auto"/>
                <w:w w:val="89"/>
              </w:rPr>
              <w:t>Nine Months Ended September</w:t>
            </w:r>
          </w:p>
        </w:tc>
        <w:tc>
          <w:tcPr>
            <w:tcW w:w="0" w:type="dxa"/>
            <w:vAlign w:val="bottom"/>
          </w:tcPr>
          <w:p>
            <w:pPr>
              <w:spacing w:after="0"/>
              <w:rPr>
                <w:sz w:val="1"/>
                <w:szCs w:val="1"/>
                <w:color w:val="auto"/>
              </w:rPr>
            </w:pPr>
          </w:p>
        </w:tc>
      </w:tr>
      <w:tr>
        <w:trPr>
          <w:trHeight w:val="282"/>
        </w:trPr>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22"/>
                <w:szCs w:val="22"/>
                <w:b w:val="1"/>
                <w:bCs w:val="1"/>
                <w:color w:val="auto"/>
                <w:w w:val="91"/>
              </w:rPr>
              <w:t>30,</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center"/>
              <w:ind w:right="212"/>
              <w:spacing w:after="0"/>
              <w:rPr>
                <w:sz w:val="20"/>
                <w:szCs w:val="20"/>
                <w:color w:val="auto"/>
              </w:rPr>
            </w:pPr>
            <w:r>
              <w:rPr>
                <w:rFonts w:ascii="Arial" w:cs="Arial" w:eastAsia="Arial" w:hAnsi="Arial"/>
                <w:sz w:val="22"/>
                <w:szCs w:val="22"/>
                <w:b w:val="1"/>
                <w:bCs w:val="1"/>
                <w:color w:val="auto"/>
                <w:w w:val="84"/>
              </w:rPr>
              <w:t>30,</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2021</w:t>
            </w:r>
          </w:p>
        </w:tc>
        <w:tc>
          <w:tcPr>
            <w:tcW w:w="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2020</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w w:val="89"/>
              </w:rPr>
              <w:t>2020</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22"/>
                <w:szCs w:val="22"/>
                <w:color w:val="auto"/>
              </w:rPr>
              <w:t>Product and service gross profit (GAAP)</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13,118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20,799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45,036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312"/>
              <w:spacing w:after="0"/>
              <w:rPr>
                <w:sz w:val="20"/>
                <w:szCs w:val="20"/>
                <w:color w:val="auto"/>
              </w:rPr>
            </w:pPr>
            <w:r>
              <w:rPr>
                <w:rFonts w:ascii="Arial" w:cs="Arial" w:eastAsia="Arial" w:hAnsi="Arial"/>
                <w:sz w:val="22"/>
                <w:szCs w:val="22"/>
                <w:color w:val="auto"/>
                <w:w w:val="81"/>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45,626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2,800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2,800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8,400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8,400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348</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419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1,161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1,215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188</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133</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414</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312</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00" w:type="dxa"/>
            <w:vAlign w:val="bottom"/>
          </w:tcPr>
          <w:p>
            <w:pPr>
              <w:spacing w:after="0"/>
              <w:rPr>
                <w:sz w:val="20"/>
                <w:szCs w:val="20"/>
                <w:color w:val="auto"/>
              </w:rPr>
            </w:pPr>
            <w:r>
              <w:rPr>
                <w:rFonts w:ascii="Arial" w:cs="Arial" w:eastAsia="Arial" w:hAnsi="Arial"/>
                <w:sz w:val="22"/>
                <w:szCs w:val="22"/>
                <w:color w:val="auto"/>
              </w:rPr>
              <w:t>Product and service gross profit (Non-GAAP)</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16,454</w:t>
            </w:r>
          </w:p>
        </w:tc>
        <w:tc>
          <w:tcPr>
            <w:tcW w:w="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24,151</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55,011</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8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55,553</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700" w:type="dxa"/>
            <w:vAlign w:val="bottom"/>
          </w:tcPr>
          <w:p>
            <w:pPr>
              <w:spacing w:after="0"/>
              <w:rPr>
                <w:sz w:val="20"/>
                <w:szCs w:val="20"/>
                <w:color w:val="auto"/>
              </w:rPr>
            </w:pPr>
            <w:r>
              <w:rPr>
                <w:rFonts w:ascii="Arial" w:cs="Arial" w:eastAsia="Arial" w:hAnsi="Arial"/>
                <w:sz w:val="22"/>
                <w:szCs w:val="22"/>
                <w:color w:val="auto"/>
              </w:rPr>
              <w:t>Product and service margin percentage (GAAP)</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46.9</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58.9</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51.0</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55.6</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0" w:type="dxa"/>
            <w:vAlign w:val="bottom"/>
          </w:tcPr>
          <w:p>
            <w:pPr>
              <w:spacing w:after="0"/>
              <w:rPr>
                <w:sz w:val="1"/>
                <w:szCs w:val="1"/>
                <w:color w:val="auto"/>
              </w:rPr>
            </w:pP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Product and service margin percentage (Non-</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700" w:type="dxa"/>
            <w:vAlign w:val="bottom"/>
          </w:tcPr>
          <w:p>
            <w:pPr>
              <w:spacing w:after="0"/>
              <w:rPr>
                <w:sz w:val="20"/>
                <w:szCs w:val="20"/>
                <w:color w:val="auto"/>
              </w:rPr>
            </w:pPr>
            <w:r>
              <w:rPr>
                <w:rFonts w:ascii="Arial" w:cs="Arial" w:eastAsia="Arial" w:hAnsi="Arial"/>
                <w:sz w:val="22"/>
                <w:szCs w:val="22"/>
                <w:color w:val="auto"/>
              </w:rPr>
              <w:t>GAAP)</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58.9</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68.3</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62.4</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67.7</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0" w:type="dxa"/>
            <w:vAlign w:val="bottom"/>
          </w:tcPr>
          <w:p>
            <w:pPr>
              <w:spacing w:after="0"/>
              <w:rPr>
                <w:sz w:val="1"/>
                <w:szCs w:val="1"/>
                <w:color w:val="auto"/>
              </w:rPr>
            </w:pPr>
          </w:p>
        </w:tc>
      </w:tr>
      <w:tr>
        <w:trPr>
          <w:trHeight w:val="810"/>
        </w:trPr>
        <w:tc>
          <w:tcPr>
            <w:tcW w:w="10200" w:type="dxa"/>
            <w:vAlign w:val="bottom"/>
            <w:gridSpan w:val="14"/>
          </w:tcPr>
          <w:p>
            <w:pPr>
              <w:ind w:left="1020"/>
              <w:spacing w:after="0"/>
              <w:rPr>
                <w:sz w:val="20"/>
                <w:szCs w:val="20"/>
                <w:color w:val="auto"/>
              </w:rPr>
            </w:pPr>
            <w:r>
              <w:rPr>
                <w:rFonts w:ascii="Arial" w:cs="Arial" w:eastAsia="Arial" w:hAnsi="Arial"/>
                <w:sz w:val="22"/>
                <w:szCs w:val="22"/>
                <w:b w:val="1"/>
                <w:bCs w:val="1"/>
                <w:color w:val="auto"/>
                <w:w w:val="98"/>
              </w:rPr>
              <w:t>ITEMIZED RECONCILIATION BETWEEN GAAP AND NON-GAAP OPERATING EXPENSES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4700" w:type="dxa"/>
            <w:vAlign w:val="bottom"/>
          </w:tcPr>
          <w:p>
            <w:pPr>
              <w:spacing w:after="0"/>
              <w:rPr>
                <w:sz w:val="24"/>
                <w:szCs w:val="24"/>
                <w:color w:val="auto"/>
              </w:rPr>
            </w:pPr>
          </w:p>
        </w:tc>
        <w:tc>
          <w:tcPr>
            <w:tcW w:w="3440" w:type="dxa"/>
            <w:vAlign w:val="bottom"/>
            <w:gridSpan w:val="9"/>
          </w:tcPr>
          <w:p>
            <w:pPr>
              <w:jc w:val="center"/>
              <w:ind w:right="132"/>
              <w:spacing w:after="0"/>
              <w:rPr>
                <w:sz w:val="20"/>
                <w:szCs w:val="20"/>
                <w:color w:val="auto"/>
              </w:rPr>
            </w:pPr>
            <w:r>
              <w:rPr>
                <w:rFonts w:ascii="Arial" w:cs="Arial" w:eastAsia="Arial" w:hAnsi="Arial"/>
                <w:sz w:val="22"/>
                <w:szCs w:val="22"/>
                <w:b w:val="1"/>
                <w:bCs w:val="1"/>
                <w:color w:val="auto"/>
                <w:w w:val="88"/>
              </w:rPr>
              <w:t>Three Months Ended September</w:t>
            </w:r>
          </w:p>
        </w:tc>
        <w:tc>
          <w:tcPr>
            <w:tcW w:w="3080" w:type="dxa"/>
            <w:vAlign w:val="bottom"/>
            <w:gridSpan w:val="6"/>
          </w:tcPr>
          <w:p>
            <w:pPr>
              <w:jc w:val="center"/>
              <w:ind w:right="32"/>
              <w:spacing w:after="0"/>
              <w:rPr>
                <w:sz w:val="20"/>
                <w:szCs w:val="20"/>
                <w:color w:val="auto"/>
              </w:rPr>
            </w:pPr>
            <w:r>
              <w:rPr>
                <w:rFonts w:ascii="Arial" w:cs="Arial" w:eastAsia="Arial" w:hAnsi="Arial"/>
                <w:sz w:val="22"/>
                <w:szCs w:val="22"/>
                <w:b w:val="1"/>
                <w:bCs w:val="1"/>
                <w:color w:val="auto"/>
                <w:w w:val="89"/>
              </w:rPr>
              <w:t>Nine Months Ended September</w:t>
            </w:r>
          </w:p>
        </w:tc>
        <w:tc>
          <w:tcPr>
            <w:tcW w:w="0" w:type="dxa"/>
            <w:vAlign w:val="bottom"/>
          </w:tcPr>
          <w:p>
            <w:pPr>
              <w:spacing w:after="0"/>
              <w:rPr>
                <w:sz w:val="1"/>
                <w:szCs w:val="1"/>
                <w:color w:val="auto"/>
              </w:rPr>
            </w:pPr>
          </w:p>
        </w:tc>
      </w:tr>
      <w:tr>
        <w:trPr>
          <w:trHeight w:val="282"/>
        </w:trPr>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22"/>
                <w:szCs w:val="22"/>
                <w:b w:val="1"/>
                <w:bCs w:val="1"/>
                <w:color w:val="auto"/>
                <w:w w:val="91"/>
              </w:rPr>
              <w:t>30,</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center"/>
              <w:ind w:right="212"/>
              <w:spacing w:after="0"/>
              <w:rPr>
                <w:sz w:val="20"/>
                <w:szCs w:val="20"/>
                <w:color w:val="auto"/>
              </w:rPr>
            </w:pPr>
            <w:r>
              <w:rPr>
                <w:rFonts w:ascii="Arial" w:cs="Arial" w:eastAsia="Arial" w:hAnsi="Arial"/>
                <w:sz w:val="22"/>
                <w:szCs w:val="22"/>
                <w:b w:val="1"/>
                <w:bCs w:val="1"/>
                <w:color w:val="auto"/>
                <w:w w:val="84"/>
              </w:rPr>
              <w:t>30,</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2021</w:t>
            </w:r>
          </w:p>
        </w:tc>
        <w:tc>
          <w:tcPr>
            <w:tcW w:w="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2020</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w w:val="89"/>
              </w:rPr>
              <w:t>2020</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33,281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30,783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105,331</w:t>
            </w:r>
          </w:p>
        </w:tc>
        <w:tc>
          <w:tcPr>
            <w:tcW w:w="860" w:type="dxa"/>
            <w:vAlign w:val="bottom"/>
            <w:gridSpan w:val="3"/>
          </w:tcPr>
          <w:p>
            <w:pPr>
              <w:jc w:val="right"/>
              <w:ind w:right="31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91,241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(4,132)</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(4,225)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(11,324)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w w:val="90"/>
              </w:rPr>
              <w:t>(10,046)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(723)</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(746)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(2,127)</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(2,302)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(191)</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0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28,421</w:t>
            </w:r>
          </w:p>
        </w:tc>
        <w:tc>
          <w:tcPr>
            <w:tcW w:w="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25,769</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91,874</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8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78,702</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3300" w:type="dxa"/>
            <w:vAlign w:val="bottom"/>
            <w:gridSpan w:val="7"/>
          </w:tcPr>
          <w:p>
            <w:pPr>
              <w:ind w:left="100"/>
              <w:spacing w:after="0"/>
              <w:rPr>
                <w:sz w:val="20"/>
                <w:szCs w:val="20"/>
                <w:color w:val="auto"/>
              </w:rPr>
            </w:pPr>
            <w:r>
              <w:rPr>
                <w:rFonts w:ascii="Arial" w:cs="Arial" w:eastAsia="Arial" w:hAnsi="Arial"/>
                <w:sz w:val="22"/>
                <w:szCs w:val="22"/>
                <w:b w:val="1"/>
                <w:bCs w:val="1"/>
                <w:color w:val="auto"/>
                <w:w w:val="94"/>
              </w:rPr>
              <w:t>Three Months Ended September</w:t>
            </w:r>
          </w:p>
        </w:tc>
        <w:tc>
          <w:tcPr>
            <w:tcW w:w="140" w:type="dxa"/>
            <w:vAlign w:val="bottom"/>
          </w:tcPr>
          <w:p>
            <w:pPr>
              <w:spacing w:after="0"/>
              <w:rPr>
                <w:sz w:val="21"/>
                <w:szCs w:val="21"/>
                <w:color w:val="auto"/>
              </w:rPr>
            </w:pPr>
          </w:p>
        </w:tc>
        <w:tc>
          <w:tcPr>
            <w:tcW w:w="3080" w:type="dxa"/>
            <w:vAlign w:val="bottom"/>
            <w:gridSpan w:val="5"/>
          </w:tcPr>
          <w:p>
            <w:pPr>
              <w:jc w:val="right"/>
              <w:ind w:right="52"/>
              <w:spacing w:after="0"/>
              <w:rPr>
                <w:sz w:val="20"/>
                <w:szCs w:val="20"/>
                <w:color w:val="auto"/>
              </w:rPr>
            </w:pPr>
            <w:r>
              <w:rPr>
                <w:rFonts w:ascii="Arial" w:cs="Arial" w:eastAsia="Arial" w:hAnsi="Arial"/>
                <w:sz w:val="22"/>
                <w:szCs w:val="22"/>
                <w:b w:val="1"/>
                <w:bCs w:val="1"/>
                <w:color w:val="auto"/>
                <w:w w:val="89"/>
              </w:rPr>
              <w:t>Nine Months Ended September</w:t>
            </w:r>
          </w:p>
        </w:tc>
      </w:tr>
      <w:tr>
        <w:trPr>
          <w:trHeight w:val="282"/>
        </w:trPr>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22"/>
                <w:szCs w:val="22"/>
                <w:b w:val="1"/>
                <w:bCs w:val="1"/>
                <w:color w:val="auto"/>
              </w:rPr>
              <w:t>30,</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22"/>
                <w:szCs w:val="22"/>
                <w:b w:val="1"/>
                <w:bCs w:val="1"/>
                <w:color w:val="auto"/>
              </w:rPr>
              <w:t>30,</w:t>
            </w:r>
          </w:p>
        </w:tc>
        <w:tc>
          <w:tcPr>
            <w:tcW w:w="1220" w:type="dxa"/>
            <w:vAlign w:val="bottom"/>
            <w:tcBorders>
              <w:bottom w:val="single" w:sz="8" w:color="auto"/>
            </w:tcBorders>
          </w:tcPr>
          <w:p>
            <w:pPr>
              <w:spacing w:after="0"/>
              <w:rPr>
                <w:sz w:val="24"/>
                <w:szCs w:val="24"/>
                <w:color w:val="auto"/>
              </w:rPr>
            </w:pPr>
          </w:p>
        </w:tc>
      </w:tr>
      <w:tr>
        <w:trPr>
          <w:trHeight w:val="265"/>
        </w:trPr>
        <w:tc>
          <w:tcPr>
            <w:tcW w:w="47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2021</w:t>
            </w:r>
          </w:p>
        </w:tc>
        <w:tc>
          <w:tcPr>
            <w:tcW w:w="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2021</w:t>
            </w:r>
          </w:p>
        </w:tc>
        <w:tc>
          <w:tcPr>
            <w:tcW w:w="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2020</w:t>
            </w:r>
          </w:p>
        </w:tc>
      </w:tr>
      <w:tr>
        <w:trPr>
          <w:trHeight w:val="256"/>
        </w:trPr>
        <w:tc>
          <w:tcPr>
            <w:tcW w:w="470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(19,612)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ind w:right="152"/>
              <w:spacing w:after="0"/>
              <w:rPr>
                <w:sz w:val="20"/>
                <w:szCs w:val="20"/>
                <w:color w:val="auto"/>
              </w:rPr>
            </w:pPr>
            <w:r>
              <w:rPr>
                <w:rFonts w:ascii="Arial" w:cs="Arial" w:eastAsia="Arial" w:hAnsi="Arial"/>
                <w:sz w:val="22"/>
                <w:szCs w:val="22"/>
                <w:color w:val="auto"/>
              </w:rPr>
              <w:t>(5,464)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(56,200)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(34,132)</w:t>
            </w: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4,320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212"/>
              <w:spacing w:after="0"/>
              <w:rPr>
                <w:sz w:val="20"/>
                <w:szCs w:val="20"/>
                <w:color w:val="auto"/>
              </w:rPr>
            </w:pPr>
            <w:r>
              <w:rPr>
                <w:rFonts w:ascii="Arial" w:cs="Arial" w:eastAsia="Arial" w:hAnsi="Arial"/>
                <w:sz w:val="22"/>
                <w:szCs w:val="22"/>
                <w:color w:val="auto"/>
              </w:rPr>
              <w:t>4,358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52"/>
              <w:spacing w:after="0"/>
              <w:rPr>
                <w:sz w:val="20"/>
                <w:szCs w:val="20"/>
                <w:color w:val="auto"/>
              </w:rPr>
            </w:pPr>
            <w:r>
              <w:rPr>
                <w:rFonts w:ascii="Arial" w:cs="Arial" w:eastAsia="Arial" w:hAnsi="Arial"/>
                <w:sz w:val="22"/>
                <w:szCs w:val="22"/>
                <w:color w:val="auto"/>
              </w:rPr>
              <w:t>11,738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212"/>
              <w:spacing w:after="0"/>
              <w:rPr>
                <w:sz w:val="20"/>
                <w:szCs w:val="20"/>
                <w:color w:val="auto"/>
              </w:rPr>
            </w:pPr>
            <w:r>
              <w:rPr>
                <w:rFonts w:ascii="Arial" w:cs="Arial" w:eastAsia="Arial" w:hAnsi="Arial"/>
                <w:sz w:val="22"/>
                <w:szCs w:val="22"/>
                <w:color w:val="auto"/>
              </w:rPr>
              <w:t>10,358</w:t>
            </w: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2,979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212"/>
              <w:spacing w:after="0"/>
              <w:rPr>
                <w:sz w:val="20"/>
                <w:szCs w:val="20"/>
                <w:color w:val="auto"/>
              </w:rPr>
            </w:pPr>
            <w:r>
              <w:rPr>
                <w:rFonts w:ascii="Arial" w:cs="Arial" w:eastAsia="Arial" w:hAnsi="Arial"/>
                <w:sz w:val="22"/>
                <w:szCs w:val="22"/>
                <w:color w:val="auto"/>
              </w:rPr>
              <w:t>2,993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52"/>
              <w:spacing w:after="0"/>
              <w:rPr>
                <w:sz w:val="20"/>
                <w:szCs w:val="20"/>
                <w:color w:val="auto"/>
              </w:rPr>
            </w:pPr>
            <w:r>
              <w:rPr>
                <w:rFonts w:ascii="Arial" w:cs="Arial" w:eastAsia="Arial" w:hAnsi="Arial"/>
                <w:sz w:val="22"/>
                <w:szCs w:val="22"/>
                <w:color w:val="auto"/>
              </w:rPr>
              <w:t>8,944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212"/>
              <w:spacing w:after="0"/>
              <w:rPr>
                <w:sz w:val="20"/>
                <w:szCs w:val="20"/>
                <w:color w:val="auto"/>
              </w:rPr>
            </w:pPr>
            <w:r>
              <w:rPr>
                <w:rFonts w:ascii="Arial" w:cs="Arial" w:eastAsia="Arial" w:hAnsi="Arial"/>
                <w:sz w:val="22"/>
                <w:szCs w:val="22"/>
                <w:color w:val="auto"/>
              </w:rPr>
              <w:t>8,929</w:t>
            </w:r>
          </w:p>
        </w:tc>
      </w:tr>
      <w:tr>
        <w:trPr>
          <w:trHeight w:val="270"/>
        </w:trPr>
        <w:tc>
          <w:tcPr>
            <w:tcW w:w="470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893</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212"/>
              <w:spacing w:after="0"/>
              <w:rPr>
                <w:sz w:val="20"/>
                <w:szCs w:val="20"/>
                <w:color w:val="auto"/>
              </w:rPr>
            </w:pPr>
            <w:r>
              <w:rPr>
                <w:rFonts w:ascii="Arial" w:cs="Arial" w:eastAsia="Arial" w:hAnsi="Arial"/>
                <w:sz w:val="22"/>
                <w:szCs w:val="22"/>
                <w:color w:val="auto"/>
              </w:rPr>
              <w:t>972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52"/>
              <w:spacing w:after="0"/>
              <w:rPr>
                <w:sz w:val="20"/>
                <w:szCs w:val="20"/>
                <w:color w:val="auto"/>
              </w:rPr>
            </w:pPr>
            <w:r>
              <w:rPr>
                <w:rFonts w:ascii="Arial" w:cs="Arial" w:eastAsia="Arial" w:hAnsi="Arial"/>
                <w:sz w:val="22"/>
                <w:szCs w:val="22"/>
                <w:color w:val="auto"/>
              </w:rPr>
              <w:t>2,744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212"/>
              <w:spacing w:after="0"/>
              <w:rPr>
                <w:sz w:val="20"/>
                <w:szCs w:val="20"/>
                <w:color w:val="auto"/>
              </w:rPr>
            </w:pPr>
            <w:r>
              <w:rPr>
                <w:rFonts w:ascii="Arial" w:cs="Arial" w:eastAsia="Arial" w:hAnsi="Arial"/>
                <w:sz w:val="22"/>
                <w:szCs w:val="22"/>
                <w:color w:val="auto"/>
              </w:rPr>
              <w:t>2,988</w:t>
            </w:r>
          </w:p>
        </w:tc>
      </w:tr>
      <w:tr>
        <w:trPr>
          <w:trHeight w:val="276"/>
        </w:trPr>
        <w:tc>
          <w:tcPr>
            <w:tcW w:w="470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43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191</w:t>
            </w:r>
          </w:p>
        </w:tc>
      </w:tr>
      <w:tr>
        <w:trPr>
          <w:trHeight w:val="265"/>
        </w:trPr>
        <w:tc>
          <w:tcPr>
            <w:tcW w:w="4700" w:type="dxa"/>
            <w:vAlign w:val="bottom"/>
          </w:tcPr>
          <w:p>
            <w:pPr>
              <w:spacing w:after="0"/>
              <w:rPr>
                <w:sz w:val="20"/>
                <w:szCs w:val="20"/>
                <w:color w:val="auto"/>
              </w:rPr>
            </w:pPr>
            <w:r>
              <w:rPr>
                <w:rFonts w:ascii="Arial" w:cs="Arial" w:eastAsia="Arial" w:hAnsi="Arial"/>
                <w:sz w:val="22"/>
                <w:szCs w:val="22"/>
                <w:color w:val="auto"/>
              </w:rPr>
              <w:t>Income (loss) from operations (Non-GAAP)</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(11,415)</w:t>
            </w:r>
          </w:p>
        </w:tc>
        <w:tc>
          <w:tcPr>
            <w:tcW w:w="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2,902</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(32,768)</w:t>
            </w:r>
          </w:p>
        </w:tc>
        <w:tc>
          <w:tcPr>
            <w:tcW w:w="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(11,666)</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11" w:right="339" w:bottom="0" w:gutter="0" w:footer="0" w:header="0"/>
        </w:sectPr>
      </w:pPr>
    </w:p>
    <w:bookmarkStart w:id="10" w:name="page11"/>
    <w:bookmarkEnd w:id="10"/>
    <w:p>
      <w:pPr>
        <w:ind w:left="299" w:hanging="299"/>
        <w:spacing w:after="0"/>
        <w:tabs>
          <w:tab w:leader="none" w:pos="299" w:val="left"/>
        </w:tabs>
        <w:numPr>
          <w:ilvl w:val="0"/>
          <w:numId w:val="2"/>
        </w:numPr>
        <w:rPr>
          <w:rFonts w:ascii="Arial" w:cs="Arial" w:eastAsia="Arial" w:hAnsi="Arial"/>
          <w:sz w:val="19"/>
          <w:szCs w:val="19"/>
          <w:color w:val="auto"/>
        </w:rPr>
      </w:pPr>
      <w:r>
        <w:rPr>
          <w:rFonts w:ascii="Arial" w:cs="Arial" w:eastAsia="Arial" w:hAnsi="Arial"/>
          <w:sz w:val="19"/>
          <w:szCs w:val="19"/>
          <w:color w:val="auto"/>
        </w:rPr>
        <w:t>Represents amortization of developed technology in connection with the DVS and InstruNor acquisitions</w:t>
      </w:r>
    </w:p>
    <w:p>
      <w:pPr>
        <w:spacing w:after="0" w:line="55" w:lineRule="exact"/>
        <w:rPr>
          <w:rFonts w:ascii="Arial" w:cs="Arial" w:eastAsia="Arial" w:hAnsi="Arial"/>
          <w:sz w:val="19"/>
          <w:szCs w:val="19"/>
          <w:color w:val="auto"/>
        </w:rPr>
      </w:pPr>
    </w:p>
    <w:p>
      <w:pPr>
        <w:ind w:left="299" w:hanging="299"/>
        <w:spacing w:after="0"/>
        <w:tabs>
          <w:tab w:leader="none" w:pos="299"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 and the term loan</w:t>
      </w:r>
    </w:p>
    <w:p>
      <w:pPr>
        <w:spacing w:after="0" w:line="17" w:lineRule="exact"/>
        <w:rPr>
          <w:rFonts w:ascii="Arial" w:cs="Arial" w:eastAsia="Arial" w:hAnsi="Arial"/>
          <w:sz w:val="22"/>
          <w:szCs w:val="22"/>
          <w:color w:val="auto"/>
        </w:rPr>
      </w:pPr>
    </w:p>
    <w:p>
      <w:pPr>
        <w:ind w:left="299" w:hanging="299"/>
        <w:spacing w:after="0"/>
        <w:tabs>
          <w:tab w:leader="none" w:pos="299" w:val="left"/>
        </w:tabs>
        <w:numPr>
          <w:ilvl w:val="0"/>
          <w:numId w:val="2"/>
        </w:numPr>
        <w:rPr>
          <w:rFonts w:ascii="Arial" w:cs="Arial" w:eastAsia="Arial" w:hAnsi="Arial"/>
          <w:sz w:val="21"/>
          <w:szCs w:val="21"/>
          <w:color w:val="auto"/>
        </w:rPr>
      </w:pPr>
      <w:r>
        <w:rPr>
          <w:rFonts w:ascii="Arial" w:cs="Arial" w:eastAsia="Arial" w:hAnsi="Arial"/>
          <w:sz w:val="21"/>
          <w:szCs w:val="21"/>
          <w:color w:val="auto"/>
        </w:rPr>
        <w:t>Represents the tax impact on the purchase of intangible assets in connection with the DVS acquisition</w:t>
      </w:r>
    </w:p>
    <w:p>
      <w:pPr>
        <w:spacing w:after="0" w:line="28" w:lineRule="exact"/>
        <w:rPr>
          <w:rFonts w:ascii="Arial" w:cs="Arial" w:eastAsia="Arial" w:hAnsi="Arial"/>
          <w:sz w:val="21"/>
          <w:szCs w:val="21"/>
          <w:color w:val="auto"/>
        </w:rPr>
      </w:pPr>
    </w:p>
    <w:p>
      <w:pPr>
        <w:ind w:left="299" w:hanging="299"/>
        <w:spacing w:after="0"/>
        <w:tabs>
          <w:tab w:leader="none" w:pos="299"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299" w:hanging="299"/>
        <w:spacing w:after="0"/>
        <w:tabs>
          <w:tab w:leader="none" w:pos="299" w:val="left"/>
        </w:tabs>
        <w:numPr>
          <w:ilvl w:val="0"/>
          <w:numId w:val="2"/>
        </w:numPr>
        <w:rPr>
          <w:rFonts w:ascii="Arial" w:cs="Arial" w:eastAsia="Arial" w:hAnsi="Arial"/>
          <w:sz w:val="19"/>
          <w:szCs w:val="19"/>
          <w:color w:val="auto"/>
        </w:rPr>
      </w:pPr>
      <w:r>
        <w:rPr>
          <w:rFonts w:ascii="Arial" w:cs="Arial" w:eastAsia="Arial" w:hAnsi="Arial"/>
          <w:sz w:val="19"/>
          <w:szCs w:val="19"/>
          <w:color w:val="auto"/>
        </w:rPr>
        <w:t>Represents expense associated with research and development and selling, general and administrative activities</w:t>
      </w:r>
    </w:p>
    <w:sectPr>
      <w:pgSz w:w="11900" w:h="16838" w:orient="portrait"/>
      <w:cols w:equalWidth="0" w:num="1">
        <w:col w:w="10118"/>
      </w:cols>
      <w:pgMar w:left="341" w:top="3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2021-11-08T15:18:43Z</dcterms:created>
  <dcterms:modified xsi:type="dcterms:W3CDTF">2021-11-08T15:18:43Z</dcterms:modified>
</cp:coreProperties>
</file>