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7" w:lineRule="exact"/>
        <w:rPr>
          <w:sz w:val="24"/>
          <w:szCs w:val="24"/>
          <w:color w:val="auto"/>
        </w:rPr>
      </w:pPr>
    </w:p>
    <w:tbl>
      <w:tblPr>
        <w:tblLayout w:type="fixed"/>
        <w:tblInd w:w="1148" w:type="dxa"/>
        <w:tblCellMar>
          <w:top w:w="0" w:type="dxa"/>
          <w:left w:w="0" w:type="dxa"/>
          <w:bottom w:w="0" w:type="dxa"/>
          <w:right w:w="0" w:type="dxa"/>
        </w:tblCellMar>
      </w:tblPr>
      <w:tr>
        <w:trPr>
          <w:trHeight w:val="148"/>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5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001-34180</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77-0513190</w:t>
            </w:r>
          </w:p>
        </w:tc>
      </w:tr>
      <w:tr>
        <w:trPr>
          <w:trHeight w:val="144"/>
        </w:trPr>
        <w:tc>
          <w:tcPr>
            <w:tcW w:w="2280" w:type="dxa"/>
            <w:vAlign w:val="bottom"/>
          </w:tcPr>
          <w:p>
            <w:pPr>
              <w:jc w:val="center"/>
              <w:ind w:right="9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(Commission</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rPr>
              <w:t>of Incorporation)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File Number)</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91"/>
        </w:trPr>
        <w:tc>
          <w:tcPr>
            <w:tcW w:w="2280" w:type="dxa"/>
            <w:vAlign w:val="bottom"/>
          </w:tcPr>
          <w:p>
            <w:pPr>
              <w:spacing w:after="0"/>
              <w:rPr>
                <w:sz w:val="24"/>
                <w:szCs w:val="24"/>
                <w:color w:val="auto"/>
              </w:rPr>
            </w:pP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2 Tower Place, Suite 2000</w:t>
            </w:r>
          </w:p>
        </w:tc>
        <w:tc>
          <w:tcPr>
            <w:tcW w:w="1960" w:type="dxa"/>
            <w:vAlign w:val="bottom"/>
          </w:tcPr>
          <w:p>
            <w:pPr>
              <w:spacing w:after="0"/>
              <w:rPr>
                <w:sz w:val="24"/>
                <w:szCs w:val="24"/>
                <w:color w:val="auto"/>
              </w:rPr>
            </w:pPr>
          </w:p>
        </w:tc>
      </w:tr>
      <w:tr>
        <w:trPr>
          <w:trHeight w:val="148"/>
        </w:trPr>
        <w:tc>
          <w:tcPr>
            <w:tcW w:w="2280" w:type="dxa"/>
            <w:vAlign w:val="bottom"/>
          </w:tcPr>
          <w:p>
            <w:pPr>
              <w:spacing w:after="0"/>
              <w:rPr>
                <w:sz w:val="12"/>
                <w:szCs w:val="12"/>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South San Francisco, California 94080</w:t>
            </w:r>
          </w:p>
        </w:tc>
        <w:tc>
          <w:tcPr>
            <w:tcW w:w="1960" w:type="dxa"/>
            <w:vAlign w:val="bottom"/>
          </w:tcPr>
          <w:p>
            <w:pPr>
              <w:spacing w:after="0"/>
              <w:rPr>
                <w:sz w:val="12"/>
                <w:szCs w:val="12"/>
                <w:color w:val="auto"/>
              </w:rPr>
            </w:pPr>
          </w:p>
        </w:tc>
      </w:tr>
      <w:tr>
        <w:trPr>
          <w:trHeight w:val="155"/>
        </w:trPr>
        <w:tc>
          <w:tcPr>
            <w:tcW w:w="2280" w:type="dxa"/>
            <w:vAlign w:val="bottom"/>
          </w:tcPr>
          <w:p>
            <w:pPr>
              <w:spacing w:after="0"/>
              <w:rPr>
                <w:sz w:val="13"/>
                <w:szCs w:val="13"/>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(650) 266-6000</w:t>
      </w:r>
    </w:p>
    <w:p>
      <w:pPr>
        <w:spacing w:after="0" w:line="21" w:lineRule="exact"/>
        <w:rPr>
          <w:sz w:val="24"/>
          <w:szCs w:val="24"/>
          <w:color w:val="auto"/>
        </w:rPr>
      </w:pPr>
    </w:p>
    <w:p>
      <w:pPr>
        <w:ind w:left="4308"/>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ind w:left="406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4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00" w:hanging="8"/>
        <w:spacing w:after="0" w:line="510" w:lineRule="auto"/>
        <w:tabs>
          <w:tab w:leader="none" w:pos="35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60"/>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9"/>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LAB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right="100" w:firstLine="324"/>
        <w:spacing w:after="0" w:line="279" w:lineRule="auto"/>
        <w:rPr>
          <w:sz w:val="20"/>
          <w:szCs w:val="20"/>
          <w:color w:val="auto"/>
        </w:rPr>
      </w:pPr>
      <w:r>
        <w:rPr>
          <w:rFonts w:ascii="Times New Roman" w:cs="Times New Roman" w:eastAsia="Times New Roman" w:hAnsi="Times New Roman"/>
          <w:sz w:val="12"/>
          <w:szCs w:val="12"/>
          <w:color w:val="auto"/>
        </w:rPr>
        <w:t>On January 8, 2024, Standard BioTools Inc. (the “Company”) issued a press release which included information with respect to certain preliminary financial results of the Company and SomaLogic, Inc. for the three months and fiscal year ended December 31, 2023. The press release is attached hereto as Exhibits 99.1 and incorporated herein by reference.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20" w:firstLine="324"/>
        <w:spacing w:after="0" w:line="265" w:lineRule="auto"/>
        <w:rPr>
          <w:sz w:val="20"/>
          <w:szCs w:val="20"/>
          <w:color w:val="auto"/>
        </w:rPr>
      </w:pPr>
      <w:r>
        <w:rPr>
          <w:rFonts w:ascii="Times New Roman" w:cs="Times New Roman" w:eastAsia="Times New Roman" w:hAnsi="Times New Roman"/>
          <w:sz w:val="12"/>
          <w:szCs w:val="12"/>
          <w:color w:val="auto"/>
        </w:rPr>
        <w:t>On January 8, 2024, the Company updated its investor presentation, which the Company expects to use in connection with general corporate presentations and will be made available on the Company’s website or distributed by the Company in hardcopy or electronic form. The investor presentation is attached hereto as Exhibits 99.2 and incorporated herein by reference. The investor presentation is current as of January 8, 2024, and the Company disclaims any obligation to update the investor presentation after such date.</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(d) Exhibits</w:t>
            </w:r>
          </w:p>
        </w:tc>
        <w:tc>
          <w:tcPr>
            <w:tcW w:w="3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20" w:type="dxa"/>
            <w:vAlign w:val="bottom"/>
          </w:tcPr>
          <w:p>
            <w:pPr>
              <w:spacing w:after="0"/>
              <w:rPr>
                <w:sz w:val="13"/>
                <w:szCs w:val="13"/>
                <w:color w:val="auto"/>
              </w:rPr>
            </w:pPr>
          </w:p>
        </w:tc>
      </w:tr>
      <w:tr>
        <w:trPr>
          <w:trHeight w:val="288"/>
        </w:trPr>
        <w:tc>
          <w:tcPr>
            <w:tcW w:w="1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Press Release issued by Standard BioTools Inc., dated January 8, 2024.</w:t>
            </w:r>
          </w:p>
        </w:tc>
        <w:tc>
          <w:tcPr>
            <w:tcW w:w="6580" w:type="dxa"/>
            <w:vAlign w:val="bottom"/>
            <w:tcBorders>
              <w:top w:val="single" w:sz="8" w:color="auto"/>
            </w:tcBorders>
            <w:gridSpan w:val="2"/>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Investor Presentation issued by Standard BioTools Inc., dated January 8, 2024.</w:t>
            </w:r>
          </w:p>
        </w:tc>
        <w:tc>
          <w:tcPr>
            <w:tcW w:w="6220" w:type="dxa"/>
            <w:vAlign w:val="bottom"/>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33" w:lineRule="exact"/>
        <w:rPr>
          <w:sz w:val="20"/>
          <w:szCs w:val="20"/>
          <w:color w:val="auto"/>
        </w:rPr>
      </w:pPr>
    </w:p>
    <w:p>
      <w:pPr>
        <w:ind w:right="60" w:firstLine="324"/>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99.1 and 99.2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8, 2024</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STANDARD BIOTOOLS INC.</w:t>
            </w:r>
          </w:p>
        </w:tc>
      </w:tr>
      <w:tr>
        <w:trPr>
          <w:trHeight w:val="288"/>
        </w:trPr>
        <w:tc>
          <w:tcPr>
            <w:tcW w:w="3340" w:type="dxa"/>
            <w:vAlign w:val="bottom"/>
          </w:tcPr>
          <w:p>
            <w:pPr>
              <w:spacing w:after="0"/>
              <w:rPr>
                <w:sz w:val="24"/>
                <w:szCs w:val="24"/>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Jeffrey Black</w:t>
            </w:r>
          </w:p>
        </w:tc>
      </w:tr>
      <w:tr>
        <w:trPr>
          <w:trHeight w:val="122"/>
        </w:trPr>
        <w:tc>
          <w:tcPr>
            <w:tcW w:w="3340" w:type="dxa"/>
            <w:vAlign w:val="bottom"/>
          </w:tcPr>
          <w:p>
            <w:pPr>
              <w:spacing w:after="0"/>
              <w:rPr>
                <w:sz w:val="10"/>
                <w:szCs w:val="10"/>
                <w:color w:val="auto"/>
              </w:rPr>
            </w:pPr>
          </w:p>
        </w:tc>
        <w:tc>
          <w:tcPr>
            <w:tcW w:w="2880" w:type="dxa"/>
            <w:vAlign w:val="bottom"/>
          </w:tcPr>
          <w:p>
            <w:pPr>
              <w:ind w:left="232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Black</w:t>
            </w:r>
          </w:p>
        </w:tc>
      </w:tr>
      <w:tr>
        <w:trPr>
          <w:trHeight w:val="155"/>
        </w:trPr>
        <w:tc>
          <w:tcPr>
            <w:tcW w:w="3340" w:type="dxa"/>
            <w:vAlign w:val="bottom"/>
          </w:tcPr>
          <w:p>
            <w:pPr>
              <w:spacing w:after="0"/>
              <w:rPr>
                <w:sz w:val="13"/>
                <w:szCs w:val="13"/>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450"/>
        </w:trPr>
        <w:tc>
          <w:tcPr>
            <w:tcW w:w="3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Standard BioTools Announces Preliminary Fourth Quarter and Full Year 2023 Revenue</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Achieving scale with pro forma full year 2023 revenue of approximately $192 million</w:t>
      </w:r>
    </w:p>
    <w:p>
      <w:pPr>
        <w:spacing w:after="0" w:line="150" w:lineRule="exact"/>
        <w:rPr>
          <w:sz w:val="20"/>
          <w:szCs w:val="20"/>
          <w:color w:val="auto"/>
        </w:rPr>
      </w:pPr>
    </w:p>
    <w:p>
      <w:pPr>
        <w:ind w:left="8" w:right="260"/>
        <w:spacing w:after="0" w:line="283" w:lineRule="auto"/>
        <w:rPr>
          <w:sz w:val="20"/>
          <w:szCs w:val="20"/>
          <w:color w:val="auto"/>
        </w:rPr>
      </w:pPr>
      <w:r>
        <w:rPr>
          <w:rFonts w:ascii="Times New Roman" w:cs="Times New Roman" w:eastAsia="Times New Roman" w:hAnsi="Times New Roman"/>
          <w:sz w:val="12"/>
          <w:szCs w:val="12"/>
          <w:color w:val="auto"/>
        </w:rPr>
        <w:t xml:space="preserve">SOUTH SAN FRANCISCO, Calif., January 8, 2024 -- Standard BioTools Inc. (Nasdaq: LAB) (Standard BioTools or the Company), </w:t>
      </w:r>
      <w:r>
        <w:rPr>
          <w:rFonts w:ascii="Times New Roman" w:cs="Times New Roman" w:eastAsia="Times New Roman" w:hAnsi="Times New Roman"/>
          <w:sz w:val="12"/>
          <w:szCs w:val="12"/>
          <w:color w:val="0A0A0A"/>
        </w:rPr>
        <w:t>driven by a bold purpose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0A0A0A"/>
        </w:rPr>
        <w:t>Unleashing tools to accelerate breakthroughs in human health</w:t>
      </w:r>
      <w:r>
        <w:rPr>
          <w:rFonts w:ascii="Times New Roman" w:cs="Times New Roman" w:eastAsia="Times New Roman" w:hAnsi="Times New Roman"/>
          <w:sz w:val="12"/>
          <w:szCs w:val="12"/>
          <w:color w:val="auto"/>
        </w:rPr>
        <w:t>, today announced Standard BioTools and SomaLogic, Inc. preliminary and unaudited revenue results for the fourth quarter and full year 2023.</w:t>
      </w:r>
    </w:p>
    <w:p>
      <w:pPr>
        <w:spacing w:after="0" w:line="109" w:lineRule="exact"/>
        <w:rPr>
          <w:sz w:val="20"/>
          <w:szCs w:val="20"/>
          <w:color w:val="auto"/>
        </w:rPr>
      </w:pPr>
    </w:p>
    <w:p>
      <w:pPr>
        <w:ind w:left="8" w:right="60"/>
        <w:spacing w:after="0" w:line="297" w:lineRule="auto"/>
        <w:rPr>
          <w:sz w:val="20"/>
          <w:szCs w:val="20"/>
          <w:color w:val="auto"/>
        </w:rPr>
      </w:pPr>
      <w:r>
        <w:rPr>
          <w:rFonts w:ascii="Times New Roman" w:cs="Times New Roman" w:eastAsia="Times New Roman" w:hAnsi="Times New Roman"/>
          <w:sz w:val="12"/>
          <w:szCs w:val="12"/>
          <w:color w:val="auto"/>
        </w:rPr>
        <w:t>Standard BioTools expects fourth quarter 2023 revenue of approximately $28 million and full year 2023 revenue of approximately $106 million. The Company’s preliminary full year 2023 revenue results represent growth of over 10% in core revenue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driven by over 40% growth in instrument revenue, in each case as compared with 2022.</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SomaLogic expects fourth quarter 2023 revenue of approximately $23 million and full year 2023 revenue of approximately $86 million.</w:t>
      </w:r>
    </w:p>
    <w:p>
      <w:pPr>
        <w:spacing w:after="0" w:line="150"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As previously announced, Standard BioTools completed its merger with SomaLogic on January 5, 2024. Standard BioTools expects cash, cash equivalents and short-term investments of the combined company to be over $550 million as of December 31, 2023, on a pro forma condensed combined basis.</w:t>
      </w:r>
    </w:p>
    <w:p>
      <w:pPr>
        <w:spacing w:after="0" w:line="111"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Michael Egholm, PhD, President and Chief Executive Officer of Standard BioTools, said, “With steadfast operating discipline, we continue to make important progress executing against our long-term strategic transformation plan, and we are excited to move forward as a combined company with SomaLogic. We are pleased that both companies delivered annual revenues above our stated targets, which we achieved in a challenging macroenvironment, and remain committed to building a scalable, profitable suite of differentiated life science tools and accelerating breakthroughs in health care.”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Standard BioTools expects to report its fourth quarter and full year 2023 results in early March, at which time the Company will discuss its 2023 financial results in more detail and provide its outlook for 2024.</w:t>
      </w:r>
    </w:p>
    <w:p>
      <w:pPr>
        <w:spacing w:after="0" w:line="150" w:lineRule="exact"/>
        <w:rPr>
          <w:sz w:val="20"/>
          <w:szCs w:val="20"/>
          <w:color w:val="auto"/>
        </w:rPr>
      </w:pPr>
    </w:p>
    <w:p>
      <w:pPr>
        <w:jc w:val="both"/>
        <w:ind w:left="8" w:right="40"/>
        <w:spacing w:after="0" w:line="265" w:lineRule="auto"/>
        <w:rPr>
          <w:sz w:val="20"/>
          <w:szCs w:val="20"/>
          <w:color w:val="auto"/>
        </w:rPr>
      </w:pPr>
      <w:r>
        <w:rPr>
          <w:rFonts w:ascii="Times New Roman" w:cs="Times New Roman" w:eastAsia="Times New Roman" w:hAnsi="Times New Roman"/>
          <w:sz w:val="12"/>
          <w:szCs w:val="12"/>
          <w:color w:val="auto"/>
          <w:highlight w:val="white"/>
        </w:rPr>
        <w:t>The Company’s and SomaLogic’s unaudited, preliminary 2023 revenue results and unaudited pro forma condensed combined cash, cash equivalents and short-term investments are based on current expectations and may be adjusted as a result of, among other things, completion of annual audit procedures</w:t>
      </w:r>
      <w:r>
        <w:rPr>
          <w:rFonts w:ascii="Times New Roman" w:cs="Times New Roman" w:eastAsia="Times New Roman" w:hAnsi="Times New Roman"/>
          <w:sz w:val="12"/>
          <w:szCs w:val="12"/>
          <w:color w:val="444444"/>
          <w:highlight w:val="white"/>
        </w:rPr>
        <w:t>.</w:t>
      </w:r>
      <w:r>
        <w:rPr>
          <w:rFonts w:ascii="Times New Roman" w:cs="Times New Roman" w:eastAsia="Times New Roman" w:hAnsi="Times New Roman"/>
          <w:sz w:val="12"/>
          <w:szCs w:val="12"/>
          <w:color w:val="auto"/>
          <w:highlight w:val="white"/>
        </w:rPr>
        <w:t xml:space="preserve"> This financial information does not represent a comprehensive statement of the Company’s or SomaLogic’s financial results for the fourth quarter or full year 2023 and remains subject to the completion of financial closing procedures and internal reviews.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Standard BioTools Inc.</w:t>
      </w:r>
    </w:p>
    <w:p>
      <w:pPr>
        <w:spacing w:after="0" w:line="154" w:lineRule="exact"/>
        <w:rPr>
          <w:sz w:val="20"/>
          <w:szCs w:val="20"/>
          <w:color w:val="auto"/>
        </w:rPr>
      </w:pPr>
    </w:p>
    <w:p>
      <w:pPr>
        <w:ind w:left="8" w:right="260"/>
        <w:spacing w:after="0" w:line="255" w:lineRule="auto"/>
        <w:rPr>
          <w:sz w:val="20"/>
          <w:szCs w:val="20"/>
          <w:color w:val="auto"/>
        </w:rPr>
      </w:pPr>
      <w:r>
        <w:rPr>
          <w:rFonts w:ascii="Times New Roman" w:cs="Times New Roman" w:eastAsia="Times New Roman" w:hAnsi="Times New Roman"/>
          <w:sz w:val="12"/>
          <w:szCs w:val="12"/>
          <w:color w:val="auto"/>
        </w:rPr>
        <w:t>Standard BioTools Inc. (Nasdaq:LAB),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Research Use Only. Not for use in diagnostic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7945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51" w:lineRule="exact"/>
        <w:rPr>
          <w:sz w:val="20"/>
          <w:szCs w:val="20"/>
          <w:color w:val="auto"/>
        </w:rPr>
      </w:pPr>
    </w:p>
    <w:p>
      <w:pPr>
        <w:ind w:left="8" w:right="140" w:hanging="8"/>
        <w:spacing w:after="0" w:line="194" w:lineRule="auto"/>
        <w:tabs>
          <w:tab w:leader="none" w:pos="83"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Core revenue growth excludes 2022 revenue from discontinued products in the Genomics business. Including the impact of this revenue, Standard BioTools expects total revenue growth of approximately 8% in 2023 as compared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0A0A0A"/>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0A0A0A"/>
        </w:rPr>
        <w:t>This press release contains forward-looking statements within the meaning of the Private Securities Litigation Reform Act of 1995, including, among others, statements regarding future financial and business performance; expectations, operational and strategic plans; the merger of the Company and SomaLogic; deployment of capital; market and growth opportunity and potential, and the potential to realize the expected benefits following the merger of the Company and SomaLogic. Forward-looking statements are subject to numerous risks and uncertainties that could cause actual results to differ materially from currently anticipated results, including, but not limited to, the outcome of any legal proceedings related to the merger; risks that the anticipated benefits of the merger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Standard BioTools’ business or external market conditions;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uncertainties relating to Standard BioTools’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Standard BioTools’ most recent quarterly report on Form 10-Q filed with the U.S. Securities and Exchange Commission (the “SEC”) on November 7, 2023, on its most recent annual report on Form 10-K filed with the SEC on March 14, 2023 and in Standard BioTools’ other filings with the SEC, as well as the “Risk Factors” section of SomaLogic’s most recent quarterly report on Form 10-Q filed with the SEC on November 8, 2023, on its most recent annual report on Form 10-K filed with the SEC on March 28, 2023 and in SomaLogic’s other filings with the SEC. These forward-looking statements speak only as of the date hereof. Standard BioTools disclaims any obligation to update these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Peter DeNardo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CapComm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ir@standardbio.com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Nick Lamplough / Dan Moore / Tali Epstein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Collected Strategies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6" w:name="page7"/>
    <w:bookmarkEnd w:id="6"/>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2024-01-08T07:55:41Z</dcterms:created>
  <dcterms:modified xsi:type="dcterms:W3CDTF">2024-01-08T07:55:41Z</dcterms:modified>
</cp:coreProperties>
</file>