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THE SECURITIES EXCHANGE ACT OF 1934</w:t>
      </w:r>
    </w:p>
    <w:p>
      <w:pPr>
        <w:jc w:val="center"/>
        <w:ind w:right="-13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Eli Casdin</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Casdin Capital, LLC</w:t>
      </w:r>
    </w:p>
    <w:p>
      <w:pPr>
        <w:jc w:val="center"/>
        <w:ind w:right="-139"/>
        <w:spacing w:after="0" w:line="230" w:lineRule="auto"/>
        <w:rPr>
          <w:sz w:val="20"/>
          <w:szCs w:val="20"/>
          <w:color w:val="auto"/>
        </w:rPr>
      </w:pPr>
      <w:r>
        <w:rPr>
          <w:rFonts w:ascii="Times New Roman" w:cs="Times New Roman" w:eastAsia="Times New Roman" w:hAnsi="Times New Roman"/>
          <w:sz w:val="22"/>
          <w:szCs w:val="22"/>
          <w:color w:val="auto"/>
        </w:rPr>
        <w:t>1350 Avenue of the Americas, Suite 2600</w:t>
      </w:r>
    </w:p>
    <w:p>
      <w:pPr>
        <w:jc w:val="center"/>
        <w:ind w:right="-139"/>
        <w:spacing w:after="0" w:line="231" w:lineRule="auto"/>
        <w:rPr>
          <w:sz w:val="20"/>
          <w:szCs w:val="20"/>
          <w:color w:val="auto"/>
        </w:rPr>
      </w:pPr>
      <w:r>
        <w:rPr>
          <w:rFonts w:ascii="Times New Roman" w:cs="Times New Roman" w:eastAsia="Times New Roman" w:hAnsi="Times New Roman"/>
          <w:sz w:val="22"/>
          <w:szCs w:val="22"/>
          <w:color w:val="auto"/>
        </w:rPr>
        <w:t>New York, New York 10019</w:t>
      </w:r>
    </w:p>
    <w:p>
      <w:pPr>
        <w:jc w:val="center"/>
        <w:ind w:right="-139"/>
        <w:spacing w:after="0"/>
        <w:rPr>
          <w:sz w:val="20"/>
          <w:szCs w:val="20"/>
          <w:color w:val="auto"/>
        </w:rPr>
      </w:pPr>
      <w:r>
        <w:rPr>
          <w:rFonts w:ascii="Times New Roman" w:cs="Times New Roman" w:eastAsia="Times New Roman" w:hAnsi="Times New Roman"/>
          <w:sz w:val="22"/>
          <w:szCs w:val="22"/>
          <w:color w:val="auto"/>
        </w:rPr>
        <w:t>(212) 897-5430</w:t>
      </w:r>
    </w:p>
    <w:p>
      <w:pPr>
        <w:spacing w:after="0" w:line="2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(Name, Address and Telephone Number of Person Authorized to Receive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-151130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2"/>
          <w:szCs w:val="22"/>
          <w:color w:val="auto"/>
        </w:rPr>
        <w:t>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January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ind w:right="160"/>
        <w:spacing w:after="0" w:line="253" w:lineRule="auto"/>
        <w:rPr>
          <w:sz w:val="20"/>
          <w:szCs w:val="20"/>
          <w:color w:val="auto"/>
        </w:rPr>
      </w:pPr>
      <w:r>
        <w:rPr>
          <w:rFonts w:ascii="Times New Roman" w:cs="Times New Roman" w:eastAsia="Times New Roman" w:hAnsi="Times New Roman"/>
          <w:sz w:val="21"/>
          <w:szCs w:val="21"/>
          <w:color w:val="auto"/>
        </w:rPr>
        <w:t>If the filing person has previously filed a statement on Schedule 13G to report the acquisition that is the subject of this Schedule 13D, and is filing this schedule because of ss.240.13d-1(e), 240.13d-1(f) or 240.13d-1(g), check the following box</w:t>
      </w:r>
    </w:p>
    <w:p>
      <w:pPr>
        <w:spacing w:after="0" w:line="1" w:lineRule="exact"/>
        <w:rPr>
          <w:sz w:val="24"/>
          <w:szCs w:val="24"/>
          <w:color w:val="auto"/>
        </w:rPr>
      </w:pPr>
    </w:p>
    <w:p>
      <w:pPr>
        <w:ind w:left="180" w:hanging="175"/>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color w:val="auto"/>
        </w:rPr>
      </w:pPr>
    </w:p>
    <w:p>
      <w:pPr>
        <w:ind w:left="600" w:hanging="69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-480695</wp:posOffset>
            </wp:positionV>
            <wp:extent cx="720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299085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420" w:top="459" w:right="5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r>
    </w:tbl>
    <w:p>
      <w:pPr>
        <w:spacing w:after="0" w:line="216"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40" w:type="dxa"/>
            <w:vAlign w:val="bottom"/>
          </w:tcPr>
          <w:p>
            <w:pPr>
              <w:ind w:left="164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52,773,091</w:t>
      </w:r>
    </w:p>
    <w:p>
      <w:pPr>
        <w:ind w:left="900" w:right="742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52,773,091</w:t>
      </w:r>
    </w:p>
    <w:p>
      <w:pPr>
        <w:ind w:left="900" w:right="226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52,773,091</w:t>
      </w:r>
    </w:p>
    <w:p>
      <w:pPr>
        <w:ind w:left="900" w:hanging="895"/>
        <w:spacing w:after="0"/>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16.17%</w:t>
      </w:r>
    </w:p>
    <w:p>
      <w:pPr>
        <w:ind w:left="900" w:right="7120" w:hanging="895"/>
        <w:spacing w:after="0" w:line="489"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r>
    </w:tbl>
    <w:p>
      <w:pPr>
        <w:spacing w:after="0" w:line="216"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Private Growth Equity Fund II, L.P.</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40" w:type="dxa"/>
            <w:vAlign w:val="bottom"/>
          </w:tcPr>
          <w:p>
            <w:pPr>
              <w:ind w:left="164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WC</w:t>
      </w: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11,274,704</w:t>
      </w:r>
    </w:p>
    <w:p>
      <w:pPr>
        <w:ind w:left="900" w:right="742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11,274,704</w:t>
      </w:r>
    </w:p>
    <w:p>
      <w:pPr>
        <w:ind w:left="900" w:right="226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11,274,704</w:t>
      </w:r>
    </w:p>
    <w:p>
      <w:pPr>
        <w:ind w:left="900" w:hanging="895"/>
        <w:spacing w:after="0"/>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3.45%</w:t>
      </w:r>
    </w:p>
    <w:p>
      <w:pPr>
        <w:ind w:left="900" w:right="7120" w:hanging="895"/>
        <w:spacing w:after="0" w:line="489"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451485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r>
    </w:tbl>
    <w:p>
      <w:pPr>
        <w:spacing w:after="0" w:line="216"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Private Growth Equity Fund II GP,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40" w:type="dxa"/>
            <w:vAlign w:val="bottom"/>
          </w:tcPr>
          <w:p>
            <w:pPr>
              <w:ind w:left="164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11,274,704</w:t>
      </w:r>
    </w:p>
    <w:p>
      <w:pPr>
        <w:ind w:left="900" w:right="742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11,274,704</w:t>
      </w:r>
    </w:p>
    <w:p>
      <w:pPr>
        <w:ind w:left="900" w:right="2260" w:hanging="895"/>
        <w:spacing w:after="0" w:line="461" w:lineRule="auto"/>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11,274,704</w:t>
      </w:r>
    </w:p>
    <w:p>
      <w:pPr>
        <w:ind w:left="900" w:hanging="895"/>
        <w:spacing w:after="0"/>
        <w:tabs>
          <w:tab w:leader="none" w:pos="9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3.45%</w:t>
      </w:r>
    </w:p>
    <w:p>
      <w:pPr>
        <w:ind w:left="900" w:right="7120" w:hanging="895"/>
        <w:spacing w:after="0" w:line="489" w:lineRule="auto"/>
        <w:tabs>
          <w:tab w:leader="none" w:pos="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r>
    </w:tbl>
    <w:p>
      <w:pPr>
        <w:spacing w:after="0" w:line="216"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Partners Master Fund, L.P.</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40" w:type="dxa"/>
            <w:vAlign w:val="bottom"/>
          </w:tcPr>
          <w:p>
            <w:pPr>
              <w:ind w:left="164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WC</w:t>
      </w:r>
    </w:p>
    <w:p>
      <w:pPr>
        <w:ind w:left="900" w:hanging="895"/>
        <w:spacing w:after="0"/>
        <w:tabs>
          <w:tab w:leader="none" w:pos="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Cayman Islands</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37,554,168</w:t>
      </w:r>
    </w:p>
    <w:p>
      <w:pPr>
        <w:ind w:left="900" w:right="742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37,554,168</w:t>
      </w:r>
    </w:p>
    <w:p>
      <w:pPr>
        <w:ind w:left="900" w:right="2260" w:hanging="895"/>
        <w:spacing w:after="0" w:line="461" w:lineRule="auto"/>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37,554,168</w:t>
      </w:r>
    </w:p>
    <w:p>
      <w:pPr>
        <w:ind w:left="900" w:hanging="895"/>
        <w:spacing w:after="0"/>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11.51%</w:t>
      </w:r>
    </w:p>
    <w:p>
      <w:pPr>
        <w:ind w:left="900" w:right="7120" w:hanging="895"/>
        <w:spacing w:after="0" w:line="489" w:lineRule="auto"/>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r>
    </w:tbl>
    <w:p>
      <w:pPr>
        <w:spacing w:after="0" w:line="216" w:lineRule="exact"/>
        <w:rPr>
          <w:sz w:val="20"/>
          <w:szCs w:val="20"/>
          <w:color w:val="auto"/>
        </w:rPr>
      </w:pPr>
    </w:p>
    <w:p>
      <w:pPr>
        <w:ind w:left="900" w:hanging="895"/>
        <w:spacing w:after="0"/>
        <w:tabs>
          <w:tab w:leader="none" w:pos="9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Partners GP,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40" w:type="dxa"/>
            <w:vAlign w:val="bottom"/>
          </w:tcPr>
          <w:p>
            <w:pPr>
              <w:ind w:left="164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38,754,168</w:t>
      </w:r>
    </w:p>
    <w:p>
      <w:pPr>
        <w:ind w:left="900" w:right="742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38,754,168</w:t>
      </w:r>
    </w:p>
    <w:p>
      <w:pPr>
        <w:ind w:left="900" w:right="2260" w:hanging="895"/>
        <w:spacing w:after="0" w:line="461" w:lineRule="auto"/>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38,754,168</w:t>
      </w:r>
    </w:p>
    <w:p>
      <w:pPr>
        <w:ind w:left="900" w:hanging="895"/>
        <w:spacing w:after="0"/>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11.87%</w:t>
      </w:r>
    </w:p>
    <w:p>
      <w:pPr>
        <w:ind w:left="900" w:right="7120" w:hanging="895"/>
        <w:spacing w:after="0" w:line="489" w:lineRule="auto"/>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r>
    </w:tbl>
    <w:p>
      <w:pPr>
        <w:spacing w:after="0" w:line="216" w:lineRule="exact"/>
        <w:rPr>
          <w:sz w:val="20"/>
          <w:szCs w:val="20"/>
          <w:color w:val="auto"/>
        </w:rPr>
      </w:pPr>
    </w:p>
    <w:p>
      <w:pPr>
        <w:ind w:left="900" w:hanging="895"/>
        <w:spacing w:after="0"/>
        <w:tabs>
          <w:tab w:leader="none" w:pos="9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Eli Casdin</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040" w:type="dxa"/>
            <w:vAlign w:val="bottom"/>
          </w:tcPr>
          <w:p>
            <w:pPr>
              <w:ind w:left="1640"/>
              <w:spacing w:after="0" w:line="244" w:lineRule="exact"/>
              <w:rPr>
                <w:sz w:val="20"/>
                <w:szCs w:val="20"/>
                <w:color w:val="auto"/>
              </w:rPr>
            </w:pPr>
            <w:r>
              <w:rPr>
                <w:rFonts w:ascii="Times New Roman" w:cs="Times New Roman" w:eastAsia="Times New Roman" w:hAnsi="Times New Roman"/>
                <w:sz w:val="22"/>
                <w:szCs w:val="22"/>
                <w:color w:val="auto"/>
              </w:rPr>
              <w:t>(a)</w:t>
            </w:r>
          </w:p>
        </w:tc>
        <w:tc>
          <w:tcPr>
            <w:tcW w:w="40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rPr>
              <w:t>[_]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w:t>
            </w:r>
          </w:p>
        </w:tc>
      </w:tr>
    </w:tbl>
    <w:p>
      <w:pPr>
        <w:spacing w:after="0" w:line="204" w:lineRule="exact"/>
        <w:rPr>
          <w:sz w:val="20"/>
          <w:szCs w:val="20"/>
          <w:color w:val="auto"/>
        </w:rPr>
      </w:pPr>
    </w:p>
    <w:p>
      <w:pPr>
        <w:ind w:left="900" w:hanging="895"/>
        <w:spacing w:after="0"/>
        <w:tabs>
          <w:tab w:leader="none" w:pos="9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hanging="895"/>
        <w:spacing w:after="0"/>
        <w:tabs>
          <w:tab w:leader="none" w:pos="9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right="7900" w:hanging="895"/>
        <w:spacing w:after="0" w:line="461" w:lineRule="auto"/>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65,297,596</w:t>
      </w:r>
    </w:p>
    <w:p>
      <w:pPr>
        <w:ind w:left="900" w:right="7420" w:hanging="895"/>
        <w:spacing w:after="0" w:line="461" w:lineRule="auto"/>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65,297,596</w:t>
      </w:r>
    </w:p>
    <w:p>
      <w:pPr>
        <w:ind w:left="900" w:right="2260" w:hanging="895"/>
        <w:spacing w:after="0" w:line="461" w:lineRule="auto"/>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65,297,596</w:t>
      </w:r>
    </w:p>
    <w:p>
      <w:pPr>
        <w:ind w:left="900" w:hanging="895"/>
        <w:spacing w:after="0"/>
        <w:tabs>
          <w:tab w:leader="none" w:pos="9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19.71%</w:t>
      </w:r>
    </w:p>
    <w:p>
      <w:pPr>
        <w:ind w:left="900" w:right="7120" w:hanging="895"/>
        <w:spacing w:after="0" w:line="489" w:lineRule="auto"/>
        <w:tabs>
          <w:tab w:leader="none" w:pos="9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CUSIP No.</w:t>
            </w:r>
          </w:p>
        </w:tc>
        <w:tc>
          <w:tcPr>
            <w:tcW w:w="600" w:type="dxa"/>
            <w:vAlign w:val="bottom"/>
          </w:tcPr>
          <w:p>
            <w:pPr>
              <w:spacing w:after="0"/>
              <w:rPr>
                <w:sz w:val="23"/>
                <w:szCs w:val="23"/>
                <w:color w:val="auto"/>
              </w:rPr>
            </w:pPr>
          </w:p>
        </w:tc>
        <w:tc>
          <w:tcPr>
            <w:tcW w:w="4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34385P108</w:t>
            </w:r>
          </w:p>
        </w:tc>
        <w:tc>
          <w:tcPr>
            <w:tcW w:w="5260" w:type="dxa"/>
            <w:vAlign w:val="bottom"/>
          </w:tcPr>
          <w:p>
            <w:pPr>
              <w:spacing w:after="0"/>
              <w:rPr>
                <w:sz w:val="23"/>
                <w:szCs w:val="23"/>
                <w:color w:val="auto"/>
              </w:rPr>
            </w:pPr>
          </w:p>
        </w:tc>
      </w:tr>
      <w:tr>
        <w:trPr>
          <w:trHeight w:val="491"/>
        </w:trPr>
        <w:tc>
          <w:tcPr>
            <w:tcW w:w="1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1.</w:t>
            </w:r>
          </w:p>
        </w:tc>
        <w:tc>
          <w:tcPr>
            <w:tcW w:w="101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Security and Issuer.</w:t>
            </w:r>
          </w:p>
        </w:tc>
      </w:tr>
      <w:tr>
        <w:trPr>
          <w:trHeight w:val="44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The name of the issuer is Standard BioTools Inc., a Delaware corporation (the "Issuer").  The address of the</w:t>
            </w:r>
          </w:p>
        </w:tc>
      </w:tr>
      <w:tr>
        <w:trPr>
          <w:trHeight w:val="243"/>
        </w:trPr>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1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Issuer's principal executive offices is 2 Tower Place, Suite 2000, South San Francisco, California 94080. This</w:t>
            </w:r>
          </w:p>
        </w:tc>
      </w:tr>
      <w:tr>
        <w:trPr>
          <w:trHeight w:val="28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Schedule 13D amendment relates to the Issuer's Common Stock, par value $0.001 per share (the "Shares").</w:t>
            </w:r>
          </w:p>
        </w:tc>
      </w:tr>
      <w:tr>
        <w:trPr>
          <w:trHeight w:val="231"/>
        </w:trPr>
        <w:tc>
          <w:tcPr>
            <w:tcW w:w="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233" w:lineRule="exact"/>
        <w:rPr>
          <w:sz w:val="20"/>
          <w:szCs w:val="20"/>
          <w:color w:val="auto"/>
        </w:rPr>
      </w:pPr>
    </w:p>
    <w:p>
      <w:pPr>
        <w:jc w:val="both"/>
        <w:ind w:left="2040" w:right="540" w:hanging="1011"/>
        <w:spacing w:after="0" w:line="235" w:lineRule="auto"/>
        <w:tabs>
          <w:tab w:leader="none" w:pos="2020" w:val="left"/>
        </w:tabs>
        <w:rPr>
          <w:sz w:val="20"/>
          <w:szCs w:val="20"/>
          <w:color w:val="auto"/>
        </w:rPr>
      </w:pPr>
      <w:r>
        <w:rPr>
          <w:rFonts w:ascii="Times New Roman" w:cs="Times New Roman" w:eastAsia="Times New Roman" w:hAnsi="Times New Roman"/>
          <w:sz w:val="22"/>
          <w:szCs w:val="22"/>
          <w:color w:val="auto"/>
        </w:rPr>
        <w:t>(a), (f)</w:t>
      </w:r>
      <w:r>
        <w:rPr>
          <w:sz w:val="20"/>
          <w:szCs w:val="20"/>
          <w:color w:val="auto"/>
        </w:rPr>
        <w:tab/>
      </w:r>
      <w:r>
        <w:rPr>
          <w:rFonts w:ascii="Times New Roman" w:cs="Times New Roman" w:eastAsia="Times New Roman" w:hAnsi="Times New Roman"/>
          <w:sz w:val="22"/>
          <w:szCs w:val="22"/>
          <w:color w:val="auto"/>
        </w:rPr>
        <w:t>This Schedule 13D is being filed by Casdin Capital, LLC, a Delaware limited liability company (“Casdin”), Casdin Private Growth Equity Fund II, L.P., a Delaware limited partnership (“Casdin PGEII”), Casdin Private Growth Equity Fund II GP, LLC, a Delaware limited liability company (“Casdin PGEII GP”), Casdin Partners Master Fund L.P., a Cayman Islands exempted limited partnership (“Casdin PMF”), Casdin Partners GP, LLC, a Delaware limited liability company (“Casdin GP”), and Eli Casdin, a United States citizen (each a “Reporting Person” and collectively, the “Reporting Persons”).</w:t>
      </w:r>
    </w:p>
    <w:p>
      <w:pPr>
        <w:spacing w:after="0" w:line="210" w:lineRule="exact"/>
        <w:rPr>
          <w:sz w:val="20"/>
          <w:szCs w:val="20"/>
          <w:color w:val="auto"/>
        </w:rPr>
      </w:pPr>
    </w:p>
    <w:p>
      <w:pPr>
        <w:ind w:left="2040" w:right="560" w:hanging="1022"/>
        <w:spacing w:after="0" w:line="258" w:lineRule="auto"/>
        <w:tabs>
          <w:tab w:leader="none" w:pos="20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for each of the Reporting Persons is 1350 Avenue of the Americas, Suite 2600, New York, New York 10019.</w:t>
      </w:r>
    </w:p>
    <w:p>
      <w:pPr>
        <w:spacing w:after="0" w:line="185" w:lineRule="exact"/>
        <w:rPr>
          <w:rFonts w:ascii="Times New Roman" w:cs="Times New Roman" w:eastAsia="Times New Roman" w:hAnsi="Times New Roman"/>
          <w:sz w:val="22"/>
          <w:szCs w:val="22"/>
          <w:color w:val="auto"/>
        </w:rPr>
      </w:pPr>
    </w:p>
    <w:p>
      <w:pPr>
        <w:jc w:val="both"/>
        <w:ind w:left="2040" w:right="540" w:hanging="1022"/>
        <w:spacing w:after="0" w:line="236" w:lineRule="auto"/>
        <w:tabs>
          <w:tab w:leader="none" w:pos="20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Casdin is serving as an investment adviser to its clients. The principal business of Casdin GP and Casdin PGEII GP is serving as the general partner to certain private funds. Casdin is the investment manager to Casdin PMF and Casdin PGEII. Casdin GP is the general partner of Casdin PMF, and Casdin PGEII GP is the general partner of Casdin PGEII. The principal business of Casdin PMF and Casdin PGEII is purchasing, holding and selling securities for investment purposes.</w:t>
      </w:r>
    </w:p>
    <w:p>
      <w:pPr>
        <w:spacing w:after="0" w:line="208" w:lineRule="exact"/>
        <w:rPr>
          <w:sz w:val="20"/>
          <w:szCs w:val="20"/>
          <w:color w:val="auto"/>
        </w:rPr>
      </w:pPr>
    </w:p>
    <w:p>
      <w:pPr>
        <w:jc w:val="both"/>
        <w:ind w:left="2040" w:right="560" w:hanging="1011"/>
        <w:spacing w:after="0" w:line="236" w:lineRule="auto"/>
        <w:tabs>
          <w:tab w:leader="none" w:pos="2020" w:val="left"/>
        </w:tabs>
        <w:rPr>
          <w:sz w:val="20"/>
          <w:szCs w:val="20"/>
          <w:color w:val="auto"/>
        </w:rPr>
      </w:pPr>
      <w:r>
        <w:rPr>
          <w:rFonts w:ascii="Times New Roman" w:cs="Times New Roman" w:eastAsia="Times New Roman" w:hAnsi="Times New Roman"/>
          <w:sz w:val="22"/>
          <w:szCs w:val="22"/>
          <w:color w:val="auto"/>
        </w:rPr>
        <w:t>(d), (e)</w:t>
      </w:r>
      <w:r>
        <w:rPr>
          <w:sz w:val="20"/>
          <w:szCs w:val="20"/>
          <w:color w:val="auto"/>
        </w:rPr>
        <w:tab/>
      </w:r>
      <w:r>
        <w:rPr>
          <w:rFonts w:ascii="Times New Roman" w:cs="Times New Roman" w:eastAsia="Times New Roman" w:hAnsi="Times New Roman"/>
          <w:sz w:val="22"/>
          <w:szCs w:val="22"/>
          <w:color w:val="auto"/>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304165</wp:posOffset>
            </wp:positionV>
            <wp:extent cx="6489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233" w:lineRule="exact"/>
        <w:rPr>
          <w:sz w:val="20"/>
          <w:szCs w:val="20"/>
          <w:color w:val="auto"/>
        </w:rPr>
      </w:pPr>
    </w:p>
    <w:p>
      <w:pPr>
        <w:jc w:val="both"/>
        <w:ind w:left="1020" w:right="560"/>
        <w:spacing w:after="0" w:line="253" w:lineRule="auto"/>
        <w:rPr>
          <w:sz w:val="20"/>
          <w:szCs w:val="20"/>
          <w:color w:val="auto"/>
        </w:rPr>
      </w:pPr>
      <w:r>
        <w:rPr>
          <w:rFonts w:ascii="Times New Roman" w:cs="Times New Roman" w:eastAsia="Times New Roman" w:hAnsi="Times New Roman"/>
          <w:sz w:val="21"/>
          <w:szCs w:val="21"/>
          <w:color w:val="auto"/>
        </w:rPr>
        <w:t>On January 23, 2022, the Issuer agreed to issue and sell (a) 78,750 shares of Series B-1 Convertible Preferred Stock (“Series B-1 Preferred Stock”) to Casdin PMF in exchange for cash consideration of $78,750,000 and</w:t>
      </w:r>
    </w:p>
    <w:p>
      <w:pPr>
        <w:spacing w:after="0" w:line="1" w:lineRule="exact"/>
        <w:rPr>
          <w:sz w:val="20"/>
          <w:szCs w:val="20"/>
          <w:color w:val="auto"/>
        </w:rPr>
      </w:pPr>
    </w:p>
    <w:p>
      <w:pPr>
        <w:jc w:val="both"/>
        <w:ind w:left="1020" w:right="540" w:hanging="2"/>
        <w:spacing w:after="0" w:line="232" w:lineRule="auto"/>
        <w:tabs>
          <w:tab w:leader="none" w:pos="137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33,750 shares of Series B-1 Preferred 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w:t>
      </w:r>
    </w:p>
    <w:p>
      <w:pPr>
        <w:spacing w:after="0" w:line="136" w:lineRule="exact"/>
        <w:rPr>
          <w:sz w:val="20"/>
          <w:szCs w:val="20"/>
          <w:color w:val="auto"/>
        </w:rPr>
      </w:pPr>
    </w:p>
    <w:p>
      <w:pPr>
        <w:ind w:left="1020" w:right="540"/>
        <w:spacing w:after="0" w:line="258" w:lineRule="auto"/>
        <w:rPr>
          <w:sz w:val="20"/>
          <w:szCs w:val="20"/>
          <w:color w:val="auto"/>
        </w:rPr>
      </w:pPr>
      <w:r>
        <w:rPr>
          <w:rFonts w:ascii="Times New Roman" w:cs="Times New Roman" w:eastAsia="Times New Roman" w:hAnsi="Times New Roman"/>
          <w:sz w:val="22"/>
          <w:szCs w:val="22"/>
          <w:color w:val="auto"/>
        </w:rPr>
        <w:t>Casdin PGEII and Casdin PMF used working capital to fund the term loan and purchase of the Series B-1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135255</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452120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706" w:right="339" w:bottom="1440" w:gutter="0" w:footer="0" w:header="0"/>
        </w:sectPr>
      </w:pPr>
    </w:p>
    <w:bookmarkStart w:id="8" w:name="page9"/>
    <w:bookmarkEnd w:id="8"/>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Eli Casdin is a member of the Board of Directors of the Issuer.</w:t>
      </w:r>
    </w:p>
    <w:p>
      <w:pPr>
        <w:spacing w:after="0" w:line="166" w:lineRule="exact"/>
        <w:rPr>
          <w:sz w:val="20"/>
          <w:szCs w:val="20"/>
          <w:color w:val="auto"/>
        </w:rPr>
      </w:pPr>
    </w:p>
    <w:p>
      <w:pPr>
        <w:jc w:val="both"/>
        <w:ind w:left="1020"/>
        <w:spacing w:after="0" w:line="238" w:lineRule="auto"/>
        <w:rPr>
          <w:sz w:val="20"/>
          <w:szCs w:val="20"/>
          <w:color w:val="auto"/>
        </w:rPr>
      </w:pPr>
      <w:r>
        <w:rPr>
          <w:rFonts w:ascii="Times New Roman" w:cs="Times New Roman" w:eastAsia="Times New Roman" w:hAnsi="Times New Roman"/>
          <w:sz w:val="22"/>
          <w:szCs w:val="22"/>
          <w:color w:val="auto"/>
        </w:rPr>
        <w:t>The Reporting Persons have acquired their shares of the Issuer for investment purposes. The Reporting Persons intend to review their holdings in the Issuer on a continuing basis and, depending upon the price and availability of the Issuer’s securities, subsequent developments affecting the Issuer, the business prospects of the Issuer, general stock market and economic conditions, tax considerations, investment considerations and/or other factors deemed relevant, may consider increasing or decreasing their investments in the Issuer.</w:t>
      </w:r>
    </w:p>
    <w:p>
      <w:pPr>
        <w:spacing w:after="0" w:line="150" w:lineRule="exact"/>
        <w:rPr>
          <w:sz w:val="20"/>
          <w:szCs w:val="20"/>
          <w:color w:val="auto"/>
        </w:rPr>
      </w:pPr>
    </w:p>
    <w:p>
      <w:pPr>
        <w:jc w:val="both"/>
        <w:ind w:left="1020"/>
        <w:spacing w:after="0" w:line="251" w:lineRule="auto"/>
        <w:rPr>
          <w:sz w:val="20"/>
          <w:szCs w:val="20"/>
          <w:color w:val="auto"/>
        </w:rPr>
      </w:pPr>
      <w:r>
        <w:rPr>
          <w:rFonts w:ascii="Times New Roman" w:cs="Times New Roman" w:eastAsia="Times New Roman" w:hAnsi="Times New Roman"/>
          <w:sz w:val="21"/>
          <w:szCs w:val="21"/>
          <w:color w:val="auto"/>
        </w:rPr>
        <w:t>On January 5, 2024, the Issuer completed the previously announced merger pursuant to the Agreement and Plan of Merger, dated as of October 4, 2023 (the “Merger Agreement”), by and among the Issuer, SomaLogic, Inc., a Delaware corporation (“SomaLogic”), and Martis Merger Sub, Inc., a Delaware corporation and wholly owned subsidiary of the Issuer (“Merger Sub”). Pursuant to the Merger Agreement, Merger Sub merged with and into SomaLogic, with SomaLogic surviving as a wholly owned subsidiary of the Issuer (the “Merger”).</w:t>
      </w:r>
    </w:p>
    <w:p>
      <w:pPr>
        <w:spacing w:after="0" w:line="195"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At the consummation of the Merger, each issued and outstanding share of common stock of SomaLogic, par value $0.0001 per share (“SomaLogic Common Stock”), was converted into the right to receive 1.11 (the “Exchange Ratio”) Shares, and cash in lieu of fractional shares.</w:t>
      </w:r>
    </w:p>
    <w:p>
      <w:pPr>
        <w:spacing w:after="0" w:line="200" w:lineRule="exact"/>
        <w:rPr>
          <w:sz w:val="20"/>
          <w:szCs w:val="20"/>
          <w:color w:val="auto"/>
        </w:rPr>
      </w:pPr>
    </w:p>
    <w:p>
      <w:pPr>
        <w:jc w:val="both"/>
        <w:ind w:left="1020"/>
        <w:spacing w:after="0" w:line="233" w:lineRule="auto"/>
        <w:rPr>
          <w:sz w:val="20"/>
          <w:szCs w:val="20"/>
          <w:color w:val="auto"/>
        </w:rPr>
      </w:pPr>
      <w:r>
        <w:rPr>
          <w:rFonts w:ascii="Times New Roman" w:cs="Times New Roman" w:eastAsia="Times New Roman" w:hAnsi="Times New Roman"/>
          <w:sz w:val="22"/>
          <w:szCs w:val="22"/>
          <w:color w:val="auto"/>
        </w:rPr>
        <w:t>In addition, as of the effective time of the Merger, the Issuer assumed each SomaLogic stock incentive plan, each outstanding option to purchase shares of SomaLogic Common Stock (the “Options”) and each outstanding restricted stock unit convertible into shares of SomaLogic Common Stock (the “RSUs,” and together with the Options, the “Equity Awards”), whether vested or unvested. Each such Equity Award assumed by the Issuer will continue to have, and be subject to, the same terms and conditions applicable to such Equity Award immediately prior to the effective time of the Merger, except that (A) each such Option will be exercisable for that number of Shares equal to the number of shares of SomaLogic Common Stock subject to such Option immediately prior to the effective time of the Merger multiplied by the Exchange Ratio and rounded down to the next nearest Share, (B) the exercise price per share will be the exercise price per share in effect for that Option immediately prior to the effective time of the Merger divided by the Exchange Ratio and rounded up to the next nearest cent and (C) each such RSU will vest for that number of Shares equal to the number of shares of SomaLogic Common Stock subject to such RSU immediately prior to the effective time of the Merger multiplied by the Exchange Ratio and rounded to the next nearest Share.</w:t>
      </w:r>
    </w:p>
    <w:p>
      <w:pPr>
        <w:spacing w:after="0" w:line="209"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22"/>
          <w:szCs w:val="22"/>
          <w:color w:val="auto"/>
        </w:rPr>
        <w:t>In addition, as of the effective time of the Merger, each SomaLogic warrant, each exercisable for one share of SomaLogic Common Stock, shall be treated in accordance with its terms.</w:t>
      </w:r>
    </w:p>
    <w:p>
      <w:pPr>
        <w:spacing w:after="0" w:line="158"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The description of the Merger Agreement and related transactions (including, without limitation, the Merger) is subject and qualified in its entirety by reference to the full text of the Merger Agreement, a copy of which is incorporated herein by reference to Exhibit 2.1 of the 8-K filed by the Issuer on January 5, 2024.</w:t>
      </w:r>
    </w:p>
    <w:p>
      <w:pPr>
        <w:spacing w:after="0" w:line="173" w:lineRule="exact"/>
        <w:rPr>
          <w:sz w:val="20"/>
          <w:szCs w:val="20"/>
          <w:color w:val="auto"/>
        </w:rPr>
      </w:pPr>
    </w:p>
    <w:p>
      <w:pPr>
        <w:jc w:val="both"/>
        <w:ind w:left="1020"/>
        <w:spacing w:after="0" w:line="235" w:lineRule="auto"/>
        <w:rPr>
          <w:sz w:val="20"/>
          <w:szCs w:val="20"/>
          <w:color w:val="auto"/>
        </w:rPr>
      </w:pPr>
      <w:r>
        <w:rPr>
          <w:rFonts w:ascii="Times New Roman" w:cs="Times New Roman" w:eastAsia="Times New Roman" w:hAnsi="Times New Roman"/>
          <w:sz w:val="22"/>
          <w:szCs w:val="22"/>
          <w:color w:val="auto"/>
        </w:rPr>
        <w:t>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Issuer’s financial condition, business, operations, competitive position, prospects and/or share price, (iii) industry, economic and/or securities markets conditions, (iv) alternative investment opportunities and (v) other relevant factors.</w:t>
      </w:r>
    </w:p>
    <w:p>
      <w:pPr>
        <w:spacing w:after="0" w:line="183" w:lineRule="exact"/>
        <w:rPr>
          <w:sz w:val="20"/>
          <w:szCs w:val="20"/>
          <w:color w:val="auto"/>
        </w:rPr>
      </w:pPr>
    </w:p>
    <w:p>
      <w:pPr>
        <w:jc w:val="both"/>
        <w:ind w:left="1020"/>
        <w:spacing w:after="0" w:line="243" w:lineRule="auto"/>
        <w:rPr>
          <w:sz w:val="20"/>
          <w:szCs w:val="20"/>
          <w:color w:val="auto"/>
        </w:rPr>
      </w:pPr>
      <w:r>
        <w:rPr>
          <w:rFonts w:ascii="Times New Roman" w:cs="Times New Roman" w:eastAsia="Times New Roman" w:hAnsi="Times New Roman"/>
          <w:sz w:val="21"/>
          <w:szCs w:val="21"/>
          <w:color w:val="auto"/>
        </w:rPr>
        <w:t>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Issuer, or instruments convertible into or exercisable for any such securities (collectively, “Issuer Securities”), in the open market, in privately negotiated transactions or otherwise, (B) sell, transfer or otherwise dispose of Issuer Securities in public or private transactions, (C) acquire or write options contracts, or enter into derivatives or hedging transactions, relating to Issuer Securities, (D) pledge Issuer Securities to secure obligations of the Reporting Persons and/or (E) encourage (including, without limitation, through any designated or nominated member of the Issuer’s board of directors (the “Board of Directors”) and/or communications with directors, management and existing or prospective security holders, investors or lenders of the Issuer, existing or potential strategic partners, industry analysts and other investment and financing professionals) the Issuer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Issuer’s capitalization or dividend policy,</w:t>
      </w:r>
    </w:p>
    <w:p>
      <w:pPr>
        <w:spacing w:after="0" w:line="3" w:lineRule="exact"/>
        <w:rPr>
          <w:sz w:val="20"/>
          <w:szCs w:val="20"/>
          <w:color w:val="auto"/>
        </w:rPr>
      </w:pPr>
    </w:p>
    <w:p>
      <w:pPr>
        <w:jc w:val="both"/>
        <w:ind w:left="1020" w:hanging="2"/>
        <w:spacing w:after="0" w:line="235" w:lineRule="auto"/>
        <w:tabs>
          <w:tab w:leader="none" w:pos="14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the present Board of Directors, including changes to the number or term of members of the Board of Directors or filling existing vacancies on the Board of Directors, (iv) changes to the Issuer’s by-laws and (v) other changes to the Issuer’s business or structure.</w:t>
      </w:r>
    </w:p>
    <w:p>
      <w:pPr>
        <w:sectPr>
          <w:pgSz w:w="11900" w:h="16838" w:orient="portrait"/>
          <w:cols w:equalWidth="0" w:num="1">
            <w:col w:w="10600"/>
          </w:cols>
          <w:pgMar w:left="420" w:top="706" w:right="879" w:bottom="0" w:gutter="0" w:footer="0" w:header="0"/>
        </w:sectPr>
      </w:pPr>
    </w:p>
    <w:bookmarkStart w:id="9" w:name="page10"/>
    <w:bookmarkEnd w:id="9"/>
    <w:p>
      <w:pPr>
        <w:spacing w:after="0" w:line="244" w:lineRule="auto"/>
        <w:rPr>
          <w:sz w:val="20"/>
          <w:szCs w:val="20"/>
          <w:color w:val="auto"/>
        </w:rPr>
      </w:pPr>
      <w:r>
        <w:rPr>
          <w:rFonts w:ascii="Times New Roman" w:cs="Times New Roman" w:eastAsia="Times New Roman" w:hAnsi="Times New Roman"/>
          <w:sz w:val="22"/>
          <w:szCs w:val="22"/>
          <w:color w:val="auto"/>
        </w:rPr>
        <w:t>For avoidance of doubt, 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144780</wp:posOffset>
            </wp:positionV>
            <wp:extent cx="6489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462280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00"/>
          </w:cols>
          <w:pgMar w:left="1440" w:top="111" w:right="1359" w:bottom="1440" w:gutter="0" w:footer="0" w:header="0"/>
        </w:sectPr>
      </w:pPr>
    </w:p>
    <w:bookmarkStart w:id="10" w:name="page11"/>
    <w:bookmarkEnd w:id="10"/>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233" w:lineRule="exact"/>
        <w:rPr>
          <w:sz w:val="20"/>
          <w:szCs w:val="20"/>
          <w:color w:val="auto"/>
        </w:rPr>
      </w:pPr>
    </w:p>
    <w:p>
      <w:pPr>
        <w:ind w:left="2160" w:hanging="1142"/>
        <w:spacing w:after="0" w:line="258" w:lineRule="auto"/>
        <w:tabs>
          <w:tab w:leader="none" w:pos="1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(e)As of the date hereof, Casdin may be deemed to be the beneficial owner of 52,773,091 Shares, constituting 16.17% of the Shares, based upon 326,411,220* Shares outstanding.</w:t>
      </w:r>
    </w:p>
    <w:p>
      <w:pPr>
        <w:spacing w:after="0" w:line="185" w:lineRule="exact"/>
        <w:rPr>
          <w:sz w:val="20"/>
          <w:szCs w:val="20"/>
          <w:color w:val="auto"/>
        </w:rPr>
      </w:pPr>
    </w:p>
    <w:p>
      <w:pPr>
        <w:jc w:val="both"/>
        <w:ind w:left="2160"/>
        <w:spacing w:after="0" w:line="244" w:lineRule="auto"/>
        <w:rPr>
          <w:sz w:val="20"/>
          <w:szCs w:val="20"/>
          <w:color w:val="auto"/>
        </w:rPr>
      </w:pPr>
      <w:r>
        <w:rPr>
          <w:rFonts w:ascii="Times New Roman" w:cs="Times New Roman" w:eastAsia="Times New Roman" w:hAnsi="Times New Roman"/>
          <w:sz w:val="22"/>
          <w:szCs w:val="22"/>
          <w:color w:val="auto"/>
        </w:rPr>
        <w:t>Casdin has the sole power to vote or direct the vote of 0 Shares; has the shared power to vote or direct the vote of 52,773,091 Shares; has the sole power to dispose or direct the disposition of 0 Shares; and had the shared power to dispose or direct the disposition of 52,773,091 Shares.</w:t>
      </w:r>
    </w:p>
    <w:p>
      <w:pPr>
        <w:spacing w:after="0" w:line="200"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2"/>
          <w:szCs w:val="22"/>
          <w:color w:val="auto"/>
        </w:rPr>
        <w:t xml:space="preserve">As of the date hereof, Casdin PGEII and Casdin PGEII GP may be deemed to be the beneficial owners of 11,274,704 Shares, constituting 3.45% of the Shares, based upon 326,411,220* Shares outstanding. </w:t>
      </w:r>
      <w:r>
        <w:rPr>
          <w:rFonts w:ascii="Times New Roman" w:cs="Times New Roman" w:eastAsia="Times New Roman" w:hAnsi="Times New Roman"/>
          <w:sz w:val="19"/>
          <w:szCs w:val="19"/>
          <w:color w:val="auto"/>
        </w:rPr>
        <w:t>As of the date hereof</w:t>
      </w:r>
      <w:r>
        <w:rPr>
          <w:rFonts w:ascii="Times New Roman" w:cs="Times New Roman" w:eastAsia="Times New Roman" w:hAnsi="Times New Roman"/>
          <w:sz w:val="22"/>
          <w:szCs w:val="22"/>
          <w:color w:val="auto"/>
        </w:rPr>
        <w:t xml:space="preserve"> Casdin PGEII </w:t>
      </w:r>
      <w:r>
        <w:rPr>
          <w:rFonts w:ascii="Times New Roman" w:cs="Times New Roman" w:eastAsia="Times New Roman" w:hAnsi="Times New Roman"/>
          <w:sz w:val="19"/>
          <w:szCs w:val="19"/>
          <w:color w:val="auto"/>
        </w:rPr>
        <w:t>and Casdin PGEII GP have ceased to be the beneficial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owners of more than five percent of the </w:t>
      </w:r>
      <w:r>
        <w:rPr>
          <w:rFonts w:ascii="Times New Roman" w:cs="Times New Roman" w:eastAsia="Times New Roman" w:hAnsi="Times New Roman"/>
          <w:sz w:val="21"/>
          <w:szCs w:val="21"/>
          <w:color w:val="auto"/>
        </w:rPr>
        <w:t>Shares.</w:t>
      </w:r>
    </w:p>
    <w:p>
      <w:pPr>
        <w:spacing w:after="0" w:line="207"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2"/>
          <w:szCs w:val="22"/>
          <w:color w:val="auto"/>
        </w:rPr>
        <w:t>Casdin PGEII and Casdin PGEII GP have the sole power to vote or direct the vote of 0 Shares; have the shared power to vote or direct the vote of 11,274,704 Shares; have the sole power to dispose or direct the disposition of 0 Shares; and have the shared power to dispose or direct the disposition of 11,274,704 Shares.</w:t>
      </w:r>
    </w:p>
    <w:p>
      <w:pPr>
        <w:spacing w:after="0" w:line="207" w:lineRule="exact"/>
        <w:rPr>
          <w:sz w:val="20"/>
          <w:szCs w:val="20"/>
          <w:color w:val="auto"/>
        </w:rPr>
      </w:pPr>
    </w:p>
    <w:p>
      <w:pPr>
        <w:jc w:val="both"/>
        <w:ind w:left="2160" w:right="20"/>
        <w:spacing w:after="0" w:line="258" w:lineRule="auto"/>
        <w:rPr>
          <w:sz w:val="20"/>
          <w:szCs w:val="20"/>
          <w:color w:val="auto"/>
        </w:rPr>
      </w:pPr>
      <w:r>
        <w:rPr>
          <w:rFonts w:ascii="Times New Roman" w:cs="Times New Roman" w:eastAsia="Times New Roman" w:hAnsi="Times New Roman"/>
          <w:sz w:val="22"/>
          <w:szCs w:val="22"/>
          <w:color w:val="auto"/>
        </w:rPr>
        <w:t>As of the date hereof, Casdin GP may be deemed to be the beneficial owner of 38,754,168 Shares, constituting 11.87% of the Shares, based upon 326,411,220* Shares outstanding.</w:t>
      </w:r>
    </w:p>
    <w:p>
      <w:pPr>
        <w:spacing w:after="0" w:line="185" w:lineRule="exact"/>
        <w:rPr>
          <w:sz w:val="20"/>
          <w:szCs w:val="20"/>
          <w:color w:val="auto"/>
        </w:rPr>
      </w:pPr>
    </w:p>
    <w:p>
      <w:pPr>
        <w:jc w:val="both"/>
        <w:ind w:left="2160"/>
        <w:spacing w:after="0" w:line="261" w:lineRule="auto"/>
        <w:rPr>
          <w:sz w:val="20"/>
          <w:szCs w:val="20"/>
          <w:color w:val="auto"/>
        </w:rPr>
      </w:pPr>
      <w:r>
        <w:rPr>
          <w:rFonts w:ascii="Times New Roman" w:cs="Times New Roman" w:eastAsia="Times New Roman" w:hAnsi="Times New Roman"/>
          <w:sz w:val="21"/>
          <w:szCs w:val="21"/>
          <w:color w:val="auto"/>
        </w:rPr>
        <w:t>Casdin GP has the sole power to vote or direct the vote of 0 Shares; has the shared power to vote or direct the vote of 38,754,168 Shares; has the sole power to dispose or direct the disposition of 0 Shares; and had the shared power to dispose or direct the disposition of 38,754,168 Shares.</w:t>
      </w:r>
    </w:p>
    <w:p>
      <w:pPr>
        <w:spacing w:after="0" w:line="184" w:lineRule="exact"/>
        <w:rPr>
          <w:sz w:val="20"/>
          <w:szCs w:val="20"/>
          <w:color w:val="auto"/>
        </w:rPr>
      </w:pPr>
    </w:p>
    <w:p>
      <w:pPr>
        <w:jc w:val="both"/>
        <w:ind w:left="2160"/>
        <w:spacing w:after="0" w:line="258" w:lineRule="auto"/>
        <w:rPr>
          <w:sz w:val="20"/>
          <w:szCs w:val="20"/>
          <w:color w:val="auto"/>
        </w:rPr>
      </w:pPr>
      <w:r>
        <w:rPr>
          <w:rFonts w:ascii="Times New Roman" w:cs="Times New Roman" w:eastAsia="Times New Roman" w:hAnsi="Times New Roman"/>
          <w:sz w:val="22"/>
          <w:szCs w:val="22"/>
          <w:color w:val="auto"/>
        </w:rPr>
        <w:t>As of the date hereof, Casdin PMF may be deemed to be the beneficial owner of 37,554,168 Shares, constituting 11.51% of the Shares, based upon 326,411,220* Shares outstanding.</w:t>
      </w:r>
    </w:p>
    <w:p>
      <w:pPr>
        <w:spacing w:after="0" w:line="185" w:lineRule="exact"/>
        <w:rPr>
          <w:sz w:val="20"/>
          <w:szCs w:val="20"/>
          <w:color w:val="auto"/>
        </w:rPr>
      </w:pPr>
    </w:p>
    <w:p>
      <w:pPr>
        <w:jc w:val="both"/>
        <w:ind w:left="2160"/>
        <w:spacing w:after="0" w:line="239" w:lineRule="auto"/>
        <w:rPr>
          <w:sz w:val="20"/>
          <w:szCs w:val="20"/>
          <w:color w:val="auto"/>
        </w:rPr>
      </w:pPr>
      <w:r>
        <w:rPr>
          <w:rFonts w:ascii="Times New Roman" w:cs="Times New Roman" w:eastAsia="Times New Roman" w:hAnsi="Times New Roman"/>
          <w:sz w:val="22"/>
          <w:szCs w:val="22"/>
          <w:color w:val="auto"/>
        </w:rPr>
        <w:t>Casdin PMF has the sole power to vote or direct the vote of 0 Shares; has the shared power to vote or direct the vote of 37,554,168 Shares; has the sole power to dispose or direct the disposition of 0 Shares; and had the shared power to dispose or direct the disposition of 37,554,168 Shares.</w:t>
      </w:r>
    </w:p>
    <w:p>
      <w:pPr>
        <w:spacing w:after="0" w:line="207" w:lineRule="exact"/>
        <w:rPr>
          <w:sz w:val="20"/>
          <w:szCs w:val="20"/>
          <w:color w:val="auto"/>
        </w:rPr>
      </w:pPr>
    </w:p>
    <w:p>
      <w:pPr>
        <w:jc w:val="both"/>
        <w:ind w:left="2160"/>
        <w:spacing w:after="0" w:line="258" w:lineRule="auto"/>
        <w:rPr>
          <w:sz w:val="20"/>
          <w:szCs w:val="20"/>
          <w:color w:val="auto"/>
        </w:rPr>
      </w:pPr>
      <w:r>
        <w:rPr>
          <w:rFonts w:ascii="Times New Roman" w:cs="Times New Roman" w:eastAsia="Times New Roman" w:hAnsi="Times New Roman"/>
          <w:sz w:val="22"/>
          <w:szCs w:val="22"/>
          <w:color w:val="auto"/>
        </w:rPr>
        <w:t>As of the date hereof, Eli Casdin may be deemed to be the beneficial owner of 65,297,596 Shares, constituting 19.71% of the Shares, based upon 331,236,022* Shares outstanding.</w:t>
      </w:r>
    </w:p>
    <w:p>
      <w:pPr>
        <w:spacing w:after="0" w:line="185" w:lineRule="exact"/>
        <w:rPr>
          <w:sz w:val="20"/>
          <w:szCs w:val="20"/>
          <w:color w:val="auto"/>
        </w:rPr>
      </w:pPr>
    </w:p>
    <w:p>
      <w:pPr>
        <w:jc w:val="both"/>
        <w:ind w:left="2160"/>
        <w:spacing w:after="0" w:line="261" w:lineRule="auto"/>
        <w:rPr>
          <w:sz w:val="20"/>
          <w:szCs w:val="20"/>
          <w:color w:val="auto"/>
        </w:rPr>
      </w:pPr>
      <w:r>
        <w:rPr>
          <w:rFonts w:ascii="Times New Roman" w:cs="Times New Roman" w:eastAsia="Times New Roman" w:hAnsi="Times New Roman"/>
          <w:sz w:val="21"/>
          <w:szCs w:val="21"/>
          <w:color w:val="auto"/>
        </w:rPr>
        <w:t>Eli Casdin has the sole power to vote or direct the vote of 0 Shares; has the shared power to vote or direct the vote of 65,297,596 Shares; has the sole power to dispose or direct the disposition of 0 Shares; and had the shared power to dispose or direct the disposition of 65,297,596 Shares.</w:t>
      </w:r>
    </w:p>
    <w:p>
      <w:pPr>
        <w:spacing w:after="0" w:line="18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The only Shares acquired in the prior 60 days are pursuant to the Merger described in Item 4.</w:t>
      </w:r>
    </w:p>
    <w:p>
      <w:pPr>
        <w:spacing w:after="0" w:line="233" w:lineRule="exact"/>
        <w:rPr>
          <w:sz w:val="20"/>
          <w:szCs w:val="20"/>
          <w:color w:val="auto"/>
        </w:rPr>
      </w:pPr>
    </w:p>
    <w:p>
      <w:pPr>
        <w:jc w:val="both"/>
        <w:ind w:left="2160"/>
        <w:spacing w:after="0" w:line="258" w:lineRule="auto"/>
        <w:rPr>
          <w:sz w:val="20"/>
          <w:szCs w:val="20"/>
          <w:color w:val="auto"/>
        </w:rPr>
      </w:pPr>
      <w:r>
        <w:rPr>
          <w:rFonts w:ascii="Times New Roman" w:cs="Times New Roman" w:eastAsia="Times New Roman" w:hAnsi="Times New Roman"/>
          <w:sz w:val="22"/>
          <w:szCs w:val="22"/>
          <w:color w:val="auto"/>
        </w:rPr>
        <w:t>*This outstanding Shares figure reflects the number of outstanding Shares as reported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135255</wp:posOffset>
            </wp:positionV>
            <wp:extent cx="6489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452120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11" w:name="page12"/>
    <w:bookmarkEnd w:id="11"/>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i w:val="1"/>
          <w:iCs w:val="1"/>
          <w:color w:val="auto"/>
        </w:rPr>
        <w:t>Stock Purchase Agreement</w:t>
      </w:r>
    </w:p>
    <w:p>
      <w:pPr>
        <w:spacing w:after="0" w:line="212" w:lineRule="exact"/>
        <w:rPr>
          <w:sz w:val="20"/>
          <w:szCs w:val="20"/>
          <w:color w:val="auto"/>
        </w:rPr>
      </w:pPr>
    </w:p>
    <w:p>
      <w:pPr>
        <w:jc w:val="both"/>
        <w:ind w:left="1020"/>
        <w:spacing w:after="0" w:line="238" w:lineRule="auto"/>
        <w:rPr>
          <w:sz w:val="20"/>
          <w:szCs w:val="20"/>
          <w:color w:val="auto"/>
        </w:rPr>
      </w:pPr>
      <w:r>
        <w:rPr>
          <w:rFonts w:ascii="Times New Roman" w:cs="Times New Roman" w:eastAsia="Times New Roman" w:hAnsi="Times New Roman"/>
          <w:sz w:val="22"/>
          <w:szCs w:val="22"/>
          <w:color w:val="auto"/>
        </w:rPr>
        <w:t>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w:t>
      </w:r>
    </w:p>
    <w:p>
      <w:pPr>
        <w:spacing w:after="0" w:line="136" w:lineRule="exact"/>
        <w:rPr>
          <w:sz w:val="20"/>
          <w:szCs w:val="20"/>
          <w:color w:val="auto"/>
        </w:rPr>
      </w:pPr>
    </w:p>
    <w:p>
      <w:pPr>
        <w:jc w:val="both"/>
        <w:ind w:left="1020"/>
        <w:spacing w:after="0" w:line="235" w:lineRule="auto"/>
        <w:rPr>
          <w:sz w:val="20"/>
          <w:szCs w:val="20"/>
          <w:color w:val="auto"/>
        </w:rPr>
      </w:pPr>
      <w:r>
        <w:rPr>
          <w:rFonts w:ascii="Times New Roman" w:cs="Times New Roman" w:eastAsia="Times New Roman" w:hAnsi="Times New Roman"/>
          <w:sz w:val="22"/>
          <w:szCs w:val="22"/>
          <w:color w:val="auto"/>
        </w:rPr>
        <w:t>The shares issued to Casdin PMF and Casdin PGEII pursuant to the Stock Purchase Agreement were subject to certain transfer restrictions until October 4, 2022. Each of Casdin PMF and Casdin PGEII has agreed to a customary standstill until the later of April 4, 2023 and such time as the shares beneficially owned by Casdin PMF and Casdin PGEII no longer represent 7.5% or more of the total number Shares issued and outstanding, calculated on an as-converted basis. For as long as Casdin PMF and Casdin PGEII continue to own 25% of the Acquired Shares (as defined in the Stock Purchase Agreement), Casdin PMF and Casdin PGEII are entitled to certain information rights and preemptive rights.</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i w:val="1"/>
          <w:iCs w:val="1"/>
          <w:color w:val="auto"/>
        </w:rPr>
        <w:t>Loan Agreement</w:t>
      </w:r>
    </w:p>
    <w:p>
      <w:pPr>
        <w:spacing w:after="0" w:line="212" w:lineRule="exact"/>
        <w:rPr>
          <w:sz w:val="20"/>
          <w:szCs w:val="20"/>
          <w:color w:val="auto"/>
        </w:rPr>
      </w:pPr>
    </w:p>
    <w:p>
      <w:pPr>
        <w:jc w:val="both"/>
        <w:ind w:left="1020"/>
        <w:spacing w:after="0" w:line="239" w:lineRule="auto"/>
        <w:rPr>
          <w:sz w:val="20"/>
          <w:szCs w:val="20"/>
          <w:color w:val="auto"/>
        </w:rPr>
      </w:pPr>
      <w:r>
        <w:rPr>
          <w:rFonts w:ascii="Times New Roman" w:cs="Times New Roman" w:eastAsia="Times New Roman" w:hAnsi="Times New Roman"/>
          <w:sz w:val="22"/>
          <w:szCs w:val="22"/>
          <w:color w:val="auto"/>
        </w:rPr>
        <w:t>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w:t>
      </w:r>
    </w:p>
    <w:p>
      <w:pPr>
        <w:spacing w:after="0" w:line="140" w:lineRule="exact"/>
        <w:rPr>
          <w:sz w:val="20"/>
          <w:szCs w:val="20"/>
          <w:color w:val="auto"/>
        </w:rPr>
      </w:pPr>
    </w:p>
    <w:p>
      <w:pPr>
        <w:jc w:val="both"/>
        <w:ind w:left="1020"/>
        <w:spacing w:after="0" w:line="236" w:lineRule="auto"/>
        <w:rPr>
          <w:sz w:val="20"/>
          <w:szCs w:val="20"/>
          <w:color w:val="auto"/>
        </w:rPr>
      </w:pPr>
      <w:r>
        <w:rPr>
          <w:rFonts w:ascii="Times New Roman" w:cs="Times New Roman" w:eastAsia="Times New Roman" w:hAnsi="Times New Roman"/>
          <w:sz w:val="22"/>
          <w:szCs w:val="22"/>
          <w:color w:val="auto"/>
        </w:rPr>
        <w:t>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i w:val="1"/>
          <w:iCs w:val="1"/>
          <w:color w:val="auto"/>
        </w:rPr>
        <w:t>Registration Rights Agreement</w:t>
      </w:r>
    </w:p>
    <w:p>
      <w:pPr>
        <w:spacing w:after="0" w:line="212" w:lineRule="exact"/>
        <w:rPr>
          <w:sz w:val="20"/>
          <w:szCs w:val="20"/>
          <w:color w:val="auto"/>
        </w:rPr>
      </w:pPr>
    </w:p>
    <w:p>
      <w:pPr>
        <w:jc w:val="both"/>
        <w:ind w:left="1020"/>
        <w:spacing w:after="0" w:line="233" w:lineRule="auto"/>
        <w:rPr>
          <w:sz w:val="20"/>
          <w:szCs w:val="20"/>
          <w:color w:val="auto"/>
        </w:rPr>
      </w:pPr>
      <w:r>
        <w:rPr>
          <w:rFonts w:ascii="Times New Roman" w:cs="Times New Roman" w:eastAsia="Times New Roman" w:hAnsi="Times New Roman"/>
          <w:sz w:val="22"/>
          <w:szCs w:val="22"/>
          <w:color w:val="auto"/>
        </w:rPr>
        <w:t>On January 23, 2022, the Issuer entered into a registration rights agreement (the “Registration Rights Agreement”) with Casdin PGEII, Casdin PMF and the other stockholders party thereto (together with any other party that may become party to the Registration Rights Agreement, “Holders”), pursuant to which, among other things, and on the terms and subject to certain limitations set forth therein, the Issuer is obligated to use its reasonable best efforts to prepare and file within 120 days after the date of the Registration Rights Agreement a registration statement registering the sale or distribution of Registrable Securities (as defined in the Registration Rights Agreement), which includes: (i) the Series B-1 Preferred Stock acquired by Casdin PGEII and Casdin PMF pursuant to the Purchase Agreement and the Loan Agreement, (ii) any Shares acquired pursuant to the conversion of the Series B-1 Preferred Stock in accordance with the Certificate of Designations (as defined below), and (iii) any other securities issued or issuable with respect to any such Shares or Series B-1 Preferred Stock by way of share split, share dividend, distribution, recapitalization, merger, exchange, replacement or similar event or otherwise.</w:t>
      </w:r>
    </w:p>
    <w:p>
      <w:pPr>
        <w:spacing w:after="0" w:line="158"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In addition, pursuant to the Registration Rights Agreement, Holders have the right to require the Issuer, subject to certain limitations set forth therein, to effect a sale of any or all of their Registrable Securities by means of an underwritten offering.</w:t>
      </w:r>
    </w:p>
    <w:p>
      <w:pPr>
        <w:spacing w:after="0" w:line="200" w:lineRule="exact"/>
        <w:rPr>
          <w:sz w:val="20"/>
          <w:szCs w:val="20"/>
          <w:color w:val="auto"/>
        </w:rPr>
      </w:pPr>
    </w:p>
    <w:p>
      <w:pPr>
        <w:jc w:val="both"/>
        <w:ind w:left="1020"/>
        <w:spacing w:after="0" w:line="235" w:lineRule="auto"/>
        <w:rPr>
          <w:sz w:val="20"/>
          <w:szCs w:val="20"/>
          <w:color w:val="auto"/>
        </w:rPr>
      </w:pPr>
      <w:r>
        <w:rPr>
          <w:rFonts w:ascii="Times New Roman" w:cs="Times New Roman" w:eastAsia="Times New Roman" w:hAnsi="Times New Roman"/>
          <w:sz w:val="22"/>
          <w:szCs w:val="22"/>
          <w:color w:val="auto"/>
        </w:rPr>
        <w:t>The Issuer is not obligated to effect any underwritten offering (a) subject to certain exceptions, unless the dollar amount of the Registrable Securities of Holder(s) demanding such underwritten offering to be included therein is anticipated to result in gross proceeds of at least $25,000,000, (b) if three underwritten offerings have already been launched at the request of Holder(s) within a 365-day period (or more than two underwritten offerings in the case of a long-form registration statement), (c) if the underwritten offering would be within 60 days following a prior offering in which Holders sold (or had the opportunity to sell) Registrable Securities (or within 90 days in the case of a long-form registration statement) or (d) subject to certain limitations, during the Issuer’s blackout period under its insider trading policy.</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The Registration Rights Agreement also provides Holders with customary piggyback registration rights.</w:t>
      </w:r>
    </w:p>
    <w:p>
      <w:pPr>
        <w:spacing w:after="0" w:line="166"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These registration rights are subject to certain conditions and limitations, including the right of the underwriters to limit the number of shares to be included in a registration or offering and the Issuer’s right to delay or withdraw a registration statement under certain circumstances.</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i w:val="1"/>
          <w:iCs w:val="1"/>
          <w:color w:val="auto"/>
        </w:rPr>
        <w:t>Certificate of Designations of Series B-1 Preferred Stock</w:t>
      </w:r>
    </w:p>
    <w:p>
      <w:pPr>
        <w:sectPr>
          <w:pgSz w:w="11900" w:h="16838" w:orient="portrait"/>
          <w:cols w:equalWidth="0" w:num="1">
            <w:col w:w="10600"/>
          </w:cols>
          <w:pgMar w:left="420" w:top="706" w:right="879" w:bottom="0" w:gutter="0" w:footer="0" w:header="0"/>
        </w:sectPr>
      </w:pPr>
    </w:p>
    <w:bookmarkStart w:id="12" w:name="page13"/>
    <w:bookmarkEnd w:id="12"/>
    <w:p>
      <w:pPr>
        <w:spacing w:after="0" w:line="84" w:lineRule="exact"/>
        <w:rPr>
          <w:sz w:val="20"/>
          <w:szCs w:val="20"/>
          <w:color w:val="auto"/>
        </w:rPr>
      </w:pPr>
    </w:p>
    <w:p>
      <w:pPr>
        <w:jc w:val="both"/>
        <w:ind w:left="2"/>
        <w:spacing w:after="0" w:line="238" w:lineRule="auto"/>
        <w:rPr>
          <w:sz w:val="20"/>
          <w:szCs w:val="20"/>
          <w:color w:val="auto"/>
        </w:rPr>
      </w:pPr>
      <w:r>
        <w:rPr>
          <w:rFonts w:ascii="Times New Roman" w:cs="Times New Roman" w:eastAsia="Times New Roman" w:hAnsi="Times New Roman"/>
          <w:sz w:val="22"/>
          <w:szCs w:val="22"/>
          <w:color w:val="auto"/>
        </w:rPr>
        <w:t>On April 1, 2022, in connection with the consummation of the Stock Purchase Agreement, the Issuer filed a Certificate of Designations of Series B-1 Convertible Preferred Stock (the “Certificate of Designations”) with the Secretary of State of the State of Delaware, designating the Series B-1 Preferred Stock and establishing the powers, designations, preferences, rights and privileges of the shares of Series B-1 Preferred Stock included in such series. The Certificate of Designations became effective on filing.</w:t>
      </w:r>
    </w:p>
    <w:p>
      <w:pPr>
        <w:spacing w:after="0" w:line="137" w:lineRule="exact"/>
        <w:rPr>
          <w:sz w:val="20"/>
          <w:szCs w:val="20"/>
          <w:color w:val="auto"/>
        </w:rPr>
      </w:pPr>
    </w:p>
    <w:p>
      <w:pPr>
        <w:jc w:val="both"/>
        <w:ind w:left="2"/>
        <w:spacing w:after="0" w:line="238" w:lineRule="auto"/>
        <w:rPr>
          <w:sz w:val="20"/>
          <w:szCs w:val="20"/>
          <w:color w:val="auto"/>
        </w:rPr>
      </w:pPr>
      <w:r>
        <w:rPr>
          <w:rFonts w:ascii="Times New Roman" w:cs="Times New Roman" w:eastAsia="Times New Roman" w:hAnsi="Times New Roman"/>
          <w:sz w:val="22"/>
          <w:szCs w:val="22"/>
          <w:color w:val="auto"/>
        </w:rPr>
        <w:t>The Series B-1 Preferred Stock ranks senior to the Shares with respect to dividend rights, redemption rights and rights on the distribution of assets on any voluntary or involuntary liquidation, dissolution or winding up of the affairs of the Issuer. The holders of Series B-1 Preferred Stock are entitled to participate in all dividends declared on the Shares on an as-converted basis, on the terms and subject to the conditions set forth in the Series B-1 Certificate of Designations.</w:t>
      </w:r>
    </w:p>
    <w:p>
      <w:pPr>
        <w:spacing w:after="0" w:line="150" w:lineRule="exact"/>
        <w:rPr>
          <w:sz w:val="20"/>
          <w:szCs w:val="20"/>
          <w:color w:val="auto"/>
        </w:rPr>
      </w:pPr>
    </w:p>
    <w:p>
      <w:pPr>
        <w:jc w:val="both"/>
        <w:ind w:left="2"/>
        <w:spacing w:after="0" w:line="235" w:lineRule="auto"/>
        <w:rPr>
          <w:sz w:val="20"/>
          <w:szCs w:val="20"/>
          <w:color w:val="auto"/>
        </w:rPr>
      </w:pPr>
      <w:r>
        <w:rPr>
          <w:rFonts w:ascii="Times New Roman" w:cs="Times New Roman" w:eastAsia="Times New Roman" w:hAnsi="Times New Roman"/>
          <w:sz w:val="22"/>
          <w:szCs w:val="22"/>
          <w:color w:val="auto"/>
        </w:rPr>
        <w:t>In the event of any voluntary or involuntary liquidation, dissolution or winding up of the affairs of the Issuer,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B-1 Preferred Stock, immediately prior to such voluntary or involuntary liquidation, dissolution or winding up of the affairs of the Issuer, converted all shares of Series B-1 Preferred Stock into Shares pursuant to the terms of the Series B-1 Certificate of Designations (without regard to any limitations on conversion contained therein).</w:t>
      </w:r>
    </w:p>
    <w:p>
      <w:pPr>
        <w:spacing w:after="0" w:line="143" w:lineRule="exact"/>
        <w:rPr>
          <w:sz w:val="20"/>
          <w:szCs w:val="20"/>
          <w:color w:val="auto"/>
        </w:rPr>
      </w:pPr>
    </w:p>
    <w:p>
      <w:pPr>
        <w:jc w:val="both"/>
        <w:ind w:left="2"/>
        <w:spacing w:after="0" w:line="244" w:lineRule="auto"/>
        <w:rPr>
          <w:sz w:val="20"/>
          <w:szCs w:val="20"/>
          <w:color w:val="auto"/>
        </w:rPr>
      </w:pPr>
      <w:r>
        <w:rPr>
          <w:rFonts w:ascii="Times New Roman" w:cs="Times New Roman" w:eastAsia="Times New Roman" w:hAnsi="Times New Roman"/>
          <w:sz w:val="22"/>
          <w:szCs w:val="22"/>
          <w:color w:val="auto"/>
        </w:rPr>
        <w:t>The Series B-1 Preferred Stock is convertible at the option of the holders thereof at any time into 294.1176 Shares, subject to adjustment as set forth in the Series B-1 Certificate of Designations (the “Conversion Rate”).</w:t>
      </w:r>
    </w:p>
    <w:p>
      <w:pPr>
        <w:spacing w:after="0" w:line="133" w:lineRule="exact"/>
        <w:rPr>
          <w:sz w:val="20"/>
          <w:szCs w:val="20"/>
          <w:color w:val="auto"/>
        </w:rPr>
      </w:pPr>
    </w:p>
    <w:p>
      <w:pPr>
        <w:jc w:val="both"/>
        <w:ind w:left="2"/>
        <w:spacing w:after="0" w:line="239" w:lineRule="auto"/>
        <w:rPr>
          <w:sz w:val="20"/>
          <w:szCs w:val="20"/>
          <w:color w:val="auto"/>
        </w:rPr>
      </w:pPr>
      <w:r>
        <w:rPr>
          <w:rFonts w:ascii="Times New Roman" w:cs="Times New Roman" w:eastAsia="Times New Roman" w:hAnsi="Times New Roman"/>
          <w:sz w:val="22"/>
          <w:szCs w:val="22"/>
          <w:color w:val="auto"/>
        </w:rPr>
        <w:t>At any time after April 4, 2027, if the last reported sale price of the Shares is greater than 250% of an amount equal to $1,000 divided by the Conversion Rate as of such time for at least 20 consecutive trading days immediately preceding the date of the notice of mandatory conversion, the Issuer may elect to convert all of the outstanding shares of Series B-1 Preferred Stock into Shares.</w:t>
      </w:r>
    </w:p>
    <w:p>
      <w:pPr>
        <w:spacing w:after="0" w:line="153" w:lineRule="exact"/>
        <w:rPr>
          <w:sz w:val="20"/>
          <w:szCs w:val="20"/>
          <w:color w:val="auto"/>
        </w:rPr>
      </w:pPr>
    </w:p>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If the Issuer undergoes certain change of control transactions, each holder of outstanding Series B-1 Preferred Stock has the option, subject to the holder’s right to convert all or a portion of the shares of Series B-1 Preferred Stock held by such holder into Shares prior to such redemption, to require the Issuer to purchase all or a portion of such holder’s outstanding shares of Series B-1 Preferred Stock that have not been converted into Shares at a purchase price per share of Series B-1 Preferred Stock, payable in cash, equal to the greater of</w:t>
      </w:r>
    </w:p>
    <w:p>
      <w:pPr>
        <w:spacing w:after="0" w:line="1" w:lineRule="exact"/>
        <w:rPr>
          <w:sz w:val="20"/>
          <w:szCs w:val="20"/>
          <w:color w:val="auto"/>
        </w:rPr>
      </w:pPr>
    </w:p>
    <w:p>
      <w:pPr>
        <w:jc w:val="both"/>
        <w:ind w:left="2" w:hanging="2"/>
        <w:spacing w:after="0" w:line="234" w:lineRule="auto"/>
        <w:tabs>
          <w:tab w:leader="none" w:pos="3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Preference of such share of Series B-1 Preferred Stock, and (B) the amount of cash and/or other assets that such holder would have been entitled to receive if such holder had converted such share of Series B-1 Preferred Stock into Shares immediately prior to the change of control transaction (“B-1 Change of Control Put”).</w:t>
      </w:r>
    </w:p>
    <w:p>
      <w:pPr>
        <w:spacing w:after="0" w:line="204" w:lineRule="exact"/>
        <w:rPr>
          <w:sz w:val="20"/>
          <w:szCs w:val="20"/>
          <w:color w:val="auto"/>
        </w:rPr>
      </w:pPr>
    </w:p>
    <w:p>
      <w:pPr>
        <w:jc w:val="both"/>
        <w:ind w:left="2"/>
        <w:spacing w:after="0" w:line="234" w:lineRule="auto"/>
        <w:rPr>
          <w:sz w:val="20"/>
          <w:szCs w:val="20"/>
          <w:color w:val="auto"/>
        </w:rPr>
      </w:pPr>
      <w:r>
        <w:rPr>
          <w:rFonts w:ascii="Times New Roman" w:cs="Times New Roman" w:eastAsia="Times New Roman" w:hAnsi="Times New Roman"/>
          <w:sz w:val="22"/>
          <w:szCs w:val="22"/>
          <w:color w:val="auto"/>
        </w:rPr>
        <w:t>In the event of a change of control in which the Issuer is anticipated to merge with another person and will not be the surviving corporation or if the Shares will no longer be listed on a U.S. national securities exchange, the Issuer has a right to redeem, subject to the holder’s right to convert into Shares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Shares immediately prior to the change of control transaction.</w:t>
      </w:r>
    </w:p>
    <w:p>
      <w:pPr>
        <w:spacing w:after="0" w:line="143" w:lineRule="exact"/>
        <w:rPr>
          <w:sz w:val="20"/>
          <w:szCs w:val="20"/>
          <w:color w:val="auto"/>
        </w:rPr>
      </w:pPr>
    </w:p>
    <w:p>
      <w:pPr>
        <w:jc w:val="both"/>
        <w:ind w:left="2"/>
        <w:spacing w:after="0" w:line="244" w:lineRule="auto"/>
        <w:rPr>
          <w:sz w:val="20"/>
          <w:szCs w:val="20"/>
          <w:color w:val="auto"/>
        </w:rPr>
      </w:pPr>
      <w:r>
        <w:rPr>
          <w:rFonts w:ascii="Times New Roman" w:cs="Times New Roman" w:eastAsia="Times New Roman" w:hAnsi="Times New Roman"/>
          <w:sz w:val="21"/>
          <w:szCs w:val="21"/>
          <w:color w:val="auto"/>
        </w:rPr>
        <w:t>The holders of shares of Series B-1 Preferred Stock have voting power measured in a manner related to the conversion ratio of the shares of Series B-1 Preferred Stock and are entitled to vote as a single class with the holders of the Shares and the holders of any other class or series of equity interest of the Issuer then entitled to vote with the Shares on all matters submitted to a vote of the holders of Shares; provided, among other things, that to the extent the Series B-1 Preferred Stock held by the Casdin Parties (as defined the Stock Purchase Agreement) would, in the aggregate, represent voting rights with respect to more than 19.9% of the Shares (including the Series B-1 Preferred Stock on an as-converted basis) (the “Voting Threshold”), Casdin will not be permitted to exercise the voting rights with respect to any shares of Series B-1 Preferred Stock, as applicable, held by them in excess of the Voting Threshold and the Chief Financial Officer or General Counsel of the Issuer shall exercise the voting rights with respect to such shares of Series B-1 Preferred Stock in excess of the Voting Threshold in a neutral manner. 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w:t>
      </w:r>
    </w:p>
    <w:p>
      <w:pPr>
        <w:spacing w:after="0" w:line="143" w:lineRule="exact"/>
        <w:rPr>
          <w:sz w:val="20"/>
          <w:szCs w:val="20"/>
          <w:color w:val="auto"/>
        </w:rPr>
      </w:pPr>
    </w:p>
    <w:p>
      <w:pPr>
        <w:jc w:val="both"/>
        <w:ind w:left="2"/>
        <w:spacing w:after="0" w:line="248" w:lineRule="auto"/>
        <w:rPr>
          <w:sz w:val="20"/>
          <w:szCs w:val="20"/>
          <w:color w:val="auto"/>
        </w:rPr>
      </w:pPr>
      <w:r>
        <w:rPr>
          <w:rFonts w:ascii="Times New Roman" w:cs="Times New Roman" w:eastAsia="Times New Roman" w:hAnsi="Times New Roman"/>
          <w:sz w:val="21"/>
          <w:szCs w:val="21"/>
          <w:color w:val="auto"/>
        </w:rPr>
        <w:t>In addition, for so long as Casdin and its Permitted Transferees (as defined in the Series B-1 Certificate of Designations) continue to beneficially own shares of Series B-1 Preferred Stock that represent at least 7.5% of the outstanding shares of Shares, on an as converted basis (the “Casdin Ownership Percentage”), on the terms and subject to the conditions set forth in the Series B-1 Certificate of Designations, the holders of a majority of the outstanding shares of Series B-1 Preferred Stock have the right to nominate for election and to elect one member to the Board of Directors (the “Series B-1 Preferred Director”). Eli Casdin, Casdin’s nominee, was appointed as the Series B-1 Preferred Director. Subject to applicable law and Nasdaq listing standards, the</w:t>
      </w:r>
    </w:p>
    <w:p>
      <w:pPr>
        <w:sectPr>
          <w:pgSz w:w="11900" w:h="16923" w:orient="portrait"/>
          <w:cols w:equalWidth="0" w:num="1">
            <w:col w:w="9582"/>
          </w:cols>
          <w:pgMar w:left="1438" w:top="112" w:right="879" w:bottom="0" w:gutter="0" w:footer="0" w:header="0"/>
        </w:sectPr>
      </w:pPr>
    </w:p>
    <w:bookmarkStart w:id="13" w:name="page14"/>
    <w:bookmarkEnd w:id="13"/>
    <w:p>
      <w:pPr>
        <w:jc w:val="both"/>
        <w:ind w:left="2"/>
        <w:spacing w:after="0" w:line="251" w:lineRule="auto"/>
        <w:rPr>
          <w:sz w:val="20"/>
          <w:szCs w:val="20"/>
          <w:color w:val="auto"/>
        </w:rPr>
      </w:pPr>
      <w:r>
        <w:rPr>
          <w:rFonts w:ascii="Times New Roman" w:cs="Times New Roman" w:eastAsia="Times New Roman" w:hAnsi="Times New Roman"/>
          <w:sz w:val="21"/>
          <w:szCs w:val="21"/>
          <w:color w:val="auto"/>
        </w:rPr>
        <w:t>Series B-1 Preferred Director shall be offered the opportunity, with respect to each standing committee of the Board of Directors, to sit on such committee. Further, the Series B-1 Preferred Director will hold office until the following year’s annual meeting of the Issuer’s stockholders and until his or her successor is duly elected or qualified or until his or her earlier death, incapacity, resignation or removal. For purposes of clarity, the Series B-1 Preferred Director shall not be classified with the remaining members of the Board of Directors.</w:t>
      </w:r>
    </w:p>
    <w:p>
      <w:pPr>
        <w:spacing w:after="0" w:line="128" w:lineRule="exact"/>
        <w:rPr>
          <w:sz w:val="20"/>
          <w:szCs w:val="20"/>
          <w:color w:val="auto"/>
        </w:rPr>
      </w:pPr>
    </w:p>
    <w:p>
      <w:pPr>
        <w:jc w:val="both"/>
        <w:ind w:left="2"/>
        <w:spacing w:after="0" w:line="244" w:lineRule="auto"/>
        <w:rPr>
          <w:sz w:val="20"/>
          <w:szCs w:val="20"/>
          <w:color w:val="auto"/>
        </w:rPr>
      </w:pPr>
      <w:r>
        <w:rPr>
          <w:rFonts w:ascii="Times New Roman" w:cs="Times New Roman" w:eastAsia="Times New Roman" w:hAnsi="Times New Roman"/>
          <w:sz w:val="21"/>
          <w:szCs w:val="21"/>
          <w:color w:val="auto"/>
        </w:rPr>
        <w:t>The Certificate of Designations also provides that for so long as the Casdin Ownership Percentage continues to be met or exceeded for the Series B-1 Preferred Stock, the Series B-1 Director will continue to have certain consent rights over, among other things: (i) any increase in the number of directors on the Board of Directors beyond seven; (ii) the hiring, promotion, demotion, or termination of the Issuer’s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the Issuer;</w:t>
      </w:r>
    </w:p>
    <w:p>
      <w:pPr>
        <w:spacing w:after="0" w:line="6" w:lineRule="exact"/>
        <w:rPr>
          <w:sz w:val="20"/>
          <w:szCs w:val="20"/>
          <w:color w:val="auto"/>
        </w:rPr>
      </w:pPr>
    </w:p>
    <w:p>
      <w:pPr>
        <w:jc w:val="both"/>
        <w:ind w:left="2" w:hanging="2"/>
        <w:spacing w:after="0" w:line="232" w:lineRule="auto"/>
        <w:tabs>
          <w:tab w:leader="none" w:pos="33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principal business of the Issuer or entry by the Issuer into any material new line of business; and (vi) until April 4, 2025, (A) any acquisition (including by merger, consolidation or acquisition of stock or assets) of any assets, securities or property of any other person or (B) any sale, lease, license, transfer or other disposition of any assets of the Issuer or any of its subsidiaries, in each case, other than acquisitions or disposition of inventory or equipment in the ordinary course of business consistent with past practice, for consideration in excess of $50,000,000 in the aggregate in any six-month period.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The transactions by the Reporting Persons in the Shares during the past sixty days are set forth in Exhibit B.</w:t>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All such transactions were carried out in open market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149860</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467360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2"/>
          </w:cols>
          <w:pgMar w:left="1438" w:top="112" w:right="879" w:bottom="1440" w:gutter="0" w:footer="0" w:header="0"/>
        </w:sectPr>
      </w:pPr>
    </w:p>
    <w:bookmarkStart w:id="14" w:name="page15"/>
    <w:bookmarkEnd w:id="14"/>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A: Joint Filing Agreement</w:t>
      </w:r>
    </w:p>
    <w:p>
      <w:pPr>
        <w:spacing w:after="0" w:line="206" w:lineRule="exact"/>
        <w:rPr>
          <w:sz w:val="20"/>
          <w:szCs w:val="20"/>
          <w:color w:val="auto"/>
        </w:rPr>
      </w:pPr>
    </w:p>
    <w:p>
      <w:pPr>
        <w:jc w:val="both"/>
        <w:ind w:left="1020"/>
        <w:spacing w:after="0" w:line="239" w:lineRule="auto"/>
        <w:rPr>
          <w:sz w:val="20"/>
          <w:szCs w:val="20"/>
          <w:color w:val="auto"/>
        </w:rPr>
      </w:pPr>
      <w:r>
        <w:rPr>
          <w:rFonts w:ascii="Times New Roman" w:cs="Times New Roman" w:eastAsia="Times New Roman" w:hAnsi="Times New Roman"/>
          <w:sz w:val="22"/>
          <w:szCs w:val="22"/>
          <w:color w:val="auto"/>
        </w:rPr>
        <w:t>Exhibit B: Series B-1 Convertible Preferred Stock Purchase Agreement, dated as of January 23, 2022, by and among Standard BioTools Inc. (f/k/a Fluidigm Corporation), Casdin Private Growth Equity Fund II, L.P., and Casdin Partners Master Fund, L.P. (incorporated by reference to Exhibit 10.3 of the Issuers’s Current Report on Form 8-K, filed on January 24, 2022) (File No. 001-34180).</w:t>
      </w:r>
    </w:p>
    <w:p>
      <w:pPr>
        <w:spacing w:after="0" w:line="180" w:lineRule="exact"/>
        <w:rPr>
          <w:sz w:val="20"/>
          <w:szCs w:val="20"/>
          <w:color w:val="auto"/>
        </w:rPr>
      </w:pPr>
    </w:p>
    <w:p>
      <w:pPr>
        <w:jc w:val="both"/>
        <w:ind w:left="1020"/>
        <w:spacing w:after="0" w:line="239" w:lineRule="auto"/>
        <w:rPr>
          <w:sz w:val="20"/>
          <w:szCs w:val="20"/>
          <w:color w:val="auto"/>
        </w:rPr>
      </w:pPr>
      <w:r>
        <w:rPr>
          <w:rFonts w:ascii="Times New Roman" w:cs="Times New Roman" w:eastAsia="Times New Roman" w:hAnsi="Times New Roman"/>
          <w:sz w:val="22"/>
          <w:szCs w:val="22"/>
          <w:color w:val="auto"/>
        </w:rPr>
        <w:t>Exhibit C: Series B-1 Loan Agreement, dated as of January 23, 2022, by and among Standard BioTools Inc. (f/k/a Fluidigm Corporation), Casdin Partners Master Fund, L.P., and Casdin Private Growth Equity Fund II, L.P. (incorporated by reference to Exhibit 10.1 of the Issuers’s Current Report on Form 8-K, filed with the SEC on January 24, 2022) (File No. 001-34180).</w:t>
      </w:r>
    </w:p>
    <w:p>
      <w:pPr>
        <w:spacing w:after="0" w:line="180" w:lineRule="exact"/>
        <w:rPr>
          <w:sz w:val="20"/>
          <w:szCs w:val="20"/>
          <w:color w:val="auto"/>
        </w:rPr>
      </w:pPr>
    </w:p>
    <w:p>
      <w:pPr>
        <w:jc w:val="both"/>
        <w:ind w:left="1020"/>
        <w:spacing w:after="0" w:line="238" w:lineRule="auto"/>
        <w:rPr>
          <w:sz w:val="20"/>
          <w:szCs w:val="20"/>
          <w:color w:val="auto"/>
        </w:rPr>
      </w:pPr>
      <w:r>
        <w:rPr>
          <w:rFonts w:ascii="Times New Roman" w:cs="Times New Roman" w:eastAsia="Times New Roman" w:hAnsi="Times New Roman"/>
          <w:sz w:val="22"/>
          <w:szCs w:val="22"/>
          <w:color w:val="auto"/>
        </w:rPr>
        <w:t>Exhibit D: Registration Rights Agreement, dated as of January 23, 2022, by and among Standard BioTools Inc. (f/k/a Fluidigm Corporation), Casdin Private Growth Equity Fund II, L.P., Casdin Partners Master Fund, L.P., Viking Global Opportunities Illiquid Investments Sub-Master LP, and Viking Global Opportunities Drawdown (Aggregator) LP (incorporated by reference to Exhibit 10.5 of the Issuers’s Current Report on Form 8-K, filed on January 24, 2022) (File No. 001-34180).</w:t>
      </w:r>
    </w:p>
    <w:p>
      <w:pPr>
        <w:spacing w:after="0" w:line="177" w:lineRule="exact"/>
        <w:rPr>
          <w:sz w:val="20"/>
          <w:szCs w:val="20"/>
          <w:color w:val="auto"/>
        </w:rPr>
      </w:pPr>
    </w:p>
    <w:p>
      <w:pPr>
        <w:jc w:val="both"/>
        <w:ind w:left="1020"/>
        <w:spacing w:after="0" w:line="238" w:lineRule="auto"/>
        <w:rPr>
          <w:sz w:val="20"/>
          <w:szCs w:val="20"/>
          <w:color w:val="auto"/>
        </w:rPr>
      </w:pPr>
      <w:r>
        <w:rPr>
          <w:rFonts w:ascii="Times New Roman" w:cs="Times New Roman" w:eastAsia="Times New Roman" w:hAnsi="Times New Roman"/>
          <w:sz w:val="22"/>
          <w:szCs w:val="22"/>
          <w:color w:val="auto"/>
        </w:rPr>
        <w:t>Exhibit E: Letter Agreement, dated March 25, 2022, by and among Standard BioTools Inc. (f/k/a Fluidigm Corporation), Casdin Partners Master Fund, L.P., Casdin Private Growth Equity Fund II, L.P., Viking Global Opportunities Illiquid Investments Sub-Master LP, and Viking Global Opportunities Drawdown (Aggregator) LP (incorporated by reference to Exhibit 10.1 of the Issuers’s Current Report on Form 8-K, filed on March 28, 2022) (File No. 001-34180).</w:t>
      </w:r>
    </w:p>
    <w:p>
      <w:pPr>
        <w:spacing w:after="0" w:line="177"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Exhibit F: Certificate of Designations of Rights, Preferences and Privileges of Series B-1 Convertible Preferred Stock (incorporated by reference to Exhibit 3.6 to the Issuers 's Current Report on Form 8-K, filed on April 5, 2022) (File No. 001-34180).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281940</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598805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January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Casdin Private Growth Equity Fund II GP, LLC</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Casdin Partners GP, LLC, its general partner</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8"/>
        <w:spacing w:after="0" w:line="244" w:lineRule="auto"/>
        <w:tabs>
          <w:tab w:leader="none" w:pos="17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ectPr>
          <w:pgSz w:w="11900" w:h="16838" w:orient="portrait"/>
          <w:cols w:equalWidth="0" w:num="1">
            <w:col w:w="11240"/>
          </w:cols>
          <w:pgMar w:left="320" w:top="949"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12" w:right="13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January 9, 2024, relating to the Common Stock, par value $0.001 per share, of Standard BioTools Inc. shall be filed on behalf of the undersigned.</w:t>
      </w:r>
    </w:p>
    <w:p>
      <w:pPr>
        <w:spacing w:after="0" w:line="18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January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Casdin Private Growth Equity Fund II GP, LLC</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Casdin Partners GP, LLC, its general partner</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Eli Casdin</w:t>
      </w:r>
    </w:p>
    <w:sectPr>
      <w:pgSz w:w="11900" w:h="16838" w:orient="portrait"/>
      <w:cols w:equalWidth="0" w:num="1">
        <w:col w:w="11240"/>
      </w:cols>
      <w:pgMar w:left="320" w:top="949" w:right="339" w:bottom="79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6"/>
    </w:lvl>
  </w:abstractNum>
  <w:abstractNum w:abstractNumId="4">
    <w:nsid w:val="333AB105"/>
    <w:multiLevelType w:val="hybridMultilevel"/>
    <w:lvl w:ilvl="0">
      <w:lvlJc w:val="left"/>
      <w:lvlText w:val="%1."/>
      <w:numFmt w:val="decimal"/>
      <w:start w:val="7"/>
    </w:lvl>
  </w:abstractNum>
  <w:abstractNum w:abstractNumId="5">
    <w:nsid w:val="721DA317"/>
    <w:multiLevelType w:val="hybridMultilevel"/>
    <w:lvl w:ilvl="0">
      <w:lvlJc w:val="left"/>
      <w:lvlText w:val="%1."/>
      <w:numFmt w:val="decimal"/>
      <w:start w:val="13"/>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13"/>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3"/>
    </w:lvl>
  </w:abstractNum>
  <w:abstractNum w:abstractNumId="13">
    <w:nsid w:val="B03E0C6"/>
    <w:multiLevelType w:val="hybridMultilevel"/>
    <w:lvl w:ilvl="0">
      <w:lvlJc w:val="left"/>
      <w:lvlText w:val="%1."/>
      <w:numFmt w:val="decimal"/>
      <w:start w:val="6"/>
    </w:lvl>
  </w:abstractNum>
  <w:abstractNum w:abstractNumId="14">
    <w:nsid w:val="189A769B"/>
    <w:multiLevelType w:val="hybridMultilevel"/>
    <w:lvl w:ilvl="0">
      <w:lvlJc w:val="left"/>
      <w:lvlText w:val="%1."/>
      <w:numFmt w:val="decimal"/>
      <w:start w:val="7"/>
    </w:lvl>
  </w:abstractNum>
  <w:abstractNum w:abstractNumId="15">
    <w:nsid w:val="54E49EB4"/>
    <w:multiLevelType w:val="hybridMultilevel"/>
    <w:lvl w:ilvl="0">
      <w:lvlJc w:val="left"/>
      <w:lvlText w:val="%1."/>
      <w:numFmt w:val="decimal"/>
      <w:start w:val="13"/>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3"/>
    </w:lvl>
  </w:abstractNum>
  <w:abstractNum w:abstractNumId="18">
    <w:nsid w:val="836C40E"/>
    <w:multiLevelType w:val="hybridMultilevel"/>
    <w:lvl w:ilvl="0">
      <w:lvlJc w:val="left"/>
      <w:lvlText w:val="%1."/>
      <w:numFmt w:val="decimal"/>
      <w:start w:val="6"/>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decimal"/>
      <w:start w:val="13"/>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3"/>
    </w:lvl>
  </w:abstractNum>
  <w:abstractNum w:abstractNumId="23">
    <w:nsid w:val="7C3DBD3D"/>
    <w:multiLevelType w:val="hybridMultilevel"/>
    <w:lvl w:ilvl="0">
      <w:lvlJc w:val="left"/>
      <w:lvlText w:val="%1."/>
      <w:numFmt w:val="decimal"/>
      <w:start w:val="6"/>
    </w:lvl>
  </w:abstractNum>
  <w:abstractNum w:abstractNumId="24">
    <w:nsid w:val="737B8DDC"/>
    <w:multiLevelType w:val="hybridMultilevel"/>
    <w:lvl w:ilvl="0">
      <w:lvlJc w:val="left"/>
      <w:lvlText w:val="%1."/>
      <w:numFmt w:val="decimal"/>
      <w:start w:val="7"/>
    </w:lvl>
  </w:abstractNum>
  <w:abstractNum w:abstractNumId="25">
    <w:nsid w:val="6CEAF087"/>
    <w:multiLevelType w:val="hybridMultilevel"/>
    <w:lvl w:ilvl="0">
      <w:lvlJc w:val="left"/>
      <w:lvlText w:val="%1."/>
      <w:numFmt w:val="decimal"/>
      <w:start w:val="13"/>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6"/>
    </w:lvl>
  </w:abstractNum>
  <w:abstractNum w:abstractNumId="29">
    <w:nsid w:val="614FD4A1"/>
    <w:multiLevelType w:val="hybridMultilevel"/>
    <w:lvl w:ilvl="0">
      <w:lvlJc w:val="left"/>
      <w:lvlText w:val="%1."/>
      <w:numFmt w:val="decimal"/>
      <w:start w:val="7"/>
    </w:lvl>
  </w:abstractNum>
  <w:abstractNum w:abstractNumId="30">
    <w:nsid w:val="419AC241"/>
    <w:multiLevelType w:val="hybridMultilevel"/>
    <w:lvl w:ilvl="0">
      <w:lvlJc w:val="left"/>
      <w:lvlText w:val="%1."/>
      <w:numFmt w:val="decimal"/>
      <w:start w:val="13"/>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lowerRoman"/>
      <w:start w:val="3"/>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upperLetter"/>
      <w:start w:val="1"/>
    </w:lvl>
  </w:abstractNum>
  <w:abstractNum w:abstractNumId="36">
    <w:nsid w:val="7724C67E"/>
    <w:multiLevelType w:val="hybridMultilevel"/>
    <w:lvl w:ilvl="0">
      <w:lvlJc w:val="left"/>
      <w:lvlText w:val="(%1)"/>
      <w:numFmt w:val="lowerRoman"/>
      <w:start w:val="5"/>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2024-01-09T16:16:14Z</dcterms:created>
  <dcterms:modified xsi:type="dcterms:W3CDTF">2024-01-09T16:16:14Z</dcterms:modified>
</cp:coreProperties>
</file>