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442"/>
        <w:spacing w:after="0"/>
        <w:rPr>
          <w:sz w:val="20"/>
          <w:szCs w:val="20"/>
          <w:color w:val="auto"/>
        </w:rPr>
      </w:pPr>
      <w:r>
        <w:rPr>
          <w:rFonts w:ascii="Arial" w:cs="Arial" w:eastAsia="Arial" w:hAnsi="Arial"/>
          <w:sz w:val="22"/>
          <w:szCs w:val="22"/>
          <w:b w:val="1"/>
          <w:bCs w:val="1"/>
          <w:color w:val="auto"/>
        </w:rPr>
        <w:t>SCHEDULE 13D</w:t>
      </w:r>
    </w:p>
    <w:p>
      <w:pPr>
        <w:spacing w:after="0" w:line="206" w:lineRule="exact"/>
        <w:rPr>
          <w:sz w:val="24"/>
          <w:szCs w:val="24"/>
          <w:color w:val="auto"/>
        </w:rPr>
      </w:pPr>
    </w:p>
    <w:p>
      <w:pPr>
        <w:ind w:left="3282"/>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302"/>
        <w:spacing w:after="0"/>
        <w:rPr>
          <w:sz w:val="20"/>
          <w:szCs w:val="20"/>
          <w:color w:val="auto"/>
        </w:rPr>
      </w:pPr>
      <w:r>
        <w:rPr>
          <w:rFonts w:ascii="Arial" w:cs="Arial" w:eastAsia="Arial" w:hAnsi="Arial"/>
          <w:sz w:val="22"/>
          <w:szCs w:val="22"/>
          <w:b w:val="1"/>
          <w:bCs w:val="1"/>
          <w:color w:val="auto"/>
        </w:rPr>
        <w:t>(Amendment No. 1)*</w:t>
      </w:r>
    </w:p>
    <w:p>
      <w:pPr>
        <w:spacing w:after="0" w:line="188" w:lineRule="exact"/>
        <w:rPr>
          <w:sz w:val="24"/>
          <w:szCs w:val="24"/>
          <w:color w:val="auto"/>
        </w:rPr>
      </w:pPr>
    </w:p>
    <w:p>
      <w:pPr>
        <w:ind w:left="4302"/>
        <w:spacing w:after="0"/>
        <w:rPr>
          <w:sz w:val="20"/>
          <w:szCs w:val="20"/>
          <w:color w:val="auto"/>
        </w:rPr>
      </w:pPr>
      <w:r>
        <w:rPr>
          <w:rFonts w:ascii="Arial" w:cs="Arial" w:eastAsia="Arial" w:hAnsi="Arial"/>
          <w:sz w:val="22"/>
          <w:szCs w:val="22"/>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21"/>
        <w:spacing w:after="0"/>
        <w:rPr>
          <w:sz w:val="20"/>
          <w:szCs w:val="20"/>
          <w:color w:val="auto"/>
        </w:rPr>
      </w:pPr>
      <w:r>
        <w:rPr>
          <w:rFonts w:ascii="Arial" w:cs="Arial" w:eastAsia="Arial" w:hAnsi="Arial"/>
          <w:sz w:val="22"/>
          <w:szCs w:val="22"/>
          <w:color w:val="auto"/>
        </w:rPr>
        <w:t>(Name of Issuer)</w:t>
      </w:r>
    </w:p>
    <w:p>
      <w:pPr>
        <w:spacing w:after="0" w:line="242" w:lineRule="exact"/>
        <w:rPr>
          <w:sz w:val="24"/>
          <w:szCs w:val="24"/>
          <w:color w:val="auto"/>
        </w:rPr>
      </w:pPr>
    </w:p>
    <w:p>
      <w:pPr>
        <w:jc w:val="center"/>
        <w:ind w:right="-21"/>
        <w:spacing w:after="0"/>
        <w:rPr>
          <w:sz w:val="20"/>
          <w:szCs w:val="20"/>
          <w:color w:val="auto"/>
        </w:rPr>
      </w:pPr>
      <w:r>
        <w:rPr>
          <w:rFonts w:ascii="Arial" w:cs="Arial" w:eastAsia="Arial" w:hAnsi="Arial"/>
          <w:sz w:val="22"/>
          <w:szCs w:val="22"/>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41"/>
        <w:spacing w:after="0"/>
        <w:rPr>
          <w:sz w:val="20"/>
          <w:szCs w:val="20"/>
          <w:color w:val="auto"/>
        </w:rPr>
      </w:pPr>
      <w:r>
        <w:rPr>
          <w:rFonts w:ascii="Arial" w:cs="Arial" w:eastAsia="Arial" w:hAnsi="Arial"/>
          <w:sz w:val="22"/>
          <w:szCs w:val="22"/>
          <w:color w:val="auto"/>
        </w:rPr>
        <w:t>(Title of Class of Securities)</w:t>
      </w:r>
    </w:p>
    <w:p>
      <w:pPr>
        <w:spacing w:after="0" w:line="242" w:lineRule="exact"/>
        <w:rPr>
          <w:sz w:val="24"/>
          <w:szCs w:val="24"/>
          <w:color w:val="auto"/>
        </w:rPr>
      </w:pPr>
    </w:p>
    <w:p>
      <w:pPr>
        <w:jc w:val="center"/>
        <w:ind w:right="-21"/>
        <w:spacing w:after="0"/>
        <w:rPr>
          <w:sz w:val="20"/>
          <w:szCs w:val="20"/>
          <w:color w:val="auto"/>
        </w:rPr>
      </w:pPr>
      <w:r>
        <w:rPr>
          <w:rFonts w:ascii="Arial" w:cs="Arial" w:eastAsia="Arial" w:hAnsi="Arial"/>
          <w:sz w:val="22"/>
          <w:szCs w:val="22"/>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21"/>
        <w:spacing w:after="0"/>
        <w:rPr>
          <w:sz w:val="20"/>
          <w:szCs w:val="20"/>
          <w:color w:val="auto"/>
        </w:rPr>
      </w:pPr>
      <w:r>
        <w:rPr>
          <w:rFonts w:ascii="Arial" w:cs="Arial" w:eastAsia="Arial" w:hAnsi="Arial"/>
          <w:sz w:val="22"/>
          <w:szCs w:val="22"/>
          <w:color w:val="auto"/>
        </w:rPr>
        <w:t>(CUSIP Number)</w:t>
      </w:r>
    </w:p>
    <w:p>
      <w:pPr>
        <w:spacing w:after="0" w:line="263"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John A. Levin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Levin Capital Strategies, L.P.</w:t>
      </w:r>
    </w:p>
    <w:p>
      <w:pPr>
        <w:spacing w:after="0" w:line="9"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595 Madison Avenue, 17th Floor</w:t>
      </w:r>
    </w:p>
    <w:p>
      <w:pPr>
        <w:spacing w:after="0" w:line="9"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New York, NY 10022</w:t>
      </w:r>
    </w:p>
    <w:p>
      <w:pPr>
        <w:spacing w:after="0" w:line="6" w:lineRule="exact"/>
        <w:rPr>
          <w:sz w:val="24"/>
          <w:szCs w:val="24"/>
          <w:color w:val="auto"/>
        </w:rPr>
      </w:pPr>
    </w:p>
    <w:p>
      <w:pPr>
        <w:jc w:val="center"/>
        <w:ind w:right="-21"/>
        <w:spacing w:after="0"/>
        <w:rPr>
          <w:sz w:val="20"/>
          <w:szCs w:val="20"/>
          <w:color w:val="auto"/>
        </w:rPr>
      </w:pPr>
      <w:r>
        <w:rPr>
          <w:rFonts w:ascii="Arial" w:cs="Arial" w:eastAsia="Arial" w:hAnsi="Arial"/>
          <w:sz w:val="22"/>
          <w:szCs w:val="22"/>
          <w:color w:val="auto"/>
        </w:rPr>
        <w:t>(212) 259-0800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-3175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
        <w:spacing w:after="0" w:line="234" w:lineRule="auto"/>
        <w:rPr>
          <w:sz w:val="20"/>
          <w:szCs w:val="20"/>
          <w:color w:val="auto"/>
        </w:rPr>
      </w:pPr>
      <w:r>
        <w:rPr>
          <w:rFonts w:ascii="Arial" w:cs="Arial" w:eastAsia="Arial" w:hAnsi="Arial"/>
          <w:sz w:val="22"/>
          <w:szCs w:val="22"/>
          <w:color w:val="auto"/>
        </w:rPr>
        <w:t>(Name, Address and Telephone Number of Person</w:t>
      </w:r>
    </w:p>
    <w:p>
      <w:pPr>
        <w:jc w:val="center"/>
        <w:ind w:right="-41"/>
        <w:spacing w:after="0"/>
        <w:rPr>
          <w:sz w:val="20"/>
          <w:szCs w:val="20"/>
          <w:color w:val="auto"/>
        </w:rPr>
      </w:pPr>
      <w:r>
        <w:rPr>
          <w:rFonts w:ascii="Arial" w:cs="Arial" w:eastAsia="Arial" w:hAnsi="Arial"/>
          <w:sz w:val="22"/>
          <w:szCs w:val="22"/>
          <w:color w:val="auto"/>
        </w:rPr>
        <w:t>Authorized to Receive Notices and Communications)</w:t>
      </w:r>
    </w:p>
    <w:p>
      <w:pPr>
        <w:spacing w:after="0" w:line="242" w:lineRule="exact"/>
        <w:rPr>
          <w:sz w:val="24"/>
          <w:szCs w:val="24"/>
          <w:color w:val="auto"/>
        </w:rPr>
      </w:pPr>
    </w:p>
    <w:p>
      <w:pPr>
        <w:jc w:val="center"/>
        <w:ind w:right="-21"/>
        <w:spacing w:after="0"/>
        <w:rPr>
          <w:sz w:val="20"/>
          <w:szCs w:val="20"/>
          <w:color w:val="auto"/>
        </w:rPr>
      </w:pPr>
      <w:r>
        <w:rPr>
          <w:rFonts w:ascii="Arial" w:cs="Arial" w:eastAsia="Arial" w:hAnsi="Arial"/>
          <w:sz w:val="22"/>
          <w:szCs w:val="22"/>
          <w:color w:val="auto"/>
        </w:rPr>
        <w:t>August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41"/>
        <w:spacing w:after="0"/>
        <w:rPr>
          <w:sz w:val="20"/>
          <w:szCs w:val="20"/>
          <w:color w:val="auto"/>
        </w:rPr>
      </w:pPr>
      <w:r>
        <w:rPr>
          <w:rFonts w:ascii="Arial" w:cs="Arial" w:eastAsia="Arial" w:hAnsi="Arial"/>
          <w:sz w:val="22"/>
          <w:szCs w:val="22"/>
          <w:color w:val="auto"/>
        </w:rPr>
        <w:t>(Date of Event which Requires Filing of this Statement)</w:t>
      </w:r>
    </w:p>
    <w:p>
      <w:pPr>
        <w:spacing w:after="0" w:line="242" w:lineRule="exact"/>
        <w:rPr>
          <w:sz w:val="24"/>
          <w:szCs w:val="24"/>
          <w:color w:val="auto"/>
        </w:rPr>
      </w:pPr>
    </w:p>
    <w:p>
      <w:pPr>
        <w:ind w:left="2" w:right="120"/>
        <w:spacing w:after="0" w:line="266" w:lineRule="exact"/>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2"/>
          <w:szCs w:val="22"/>
          <w:color w:val="auto"/>
        </w:rPr>
        <w:t>☐</w:t>
      </w:r>
    </w:p>
    <w:p>
      <w:pPr>
        <w:spacing w:after="0" w:line="156" w:lineRule="exact"/>
        <w:rPr>
          <w:sz w:val="24"/>
          <w:szCs w:val="24"/>
          <w:color w:val="auto"/>
        </w:rPr>
      </w:pPr>
    </w:p>
    <w:p>
      <w:pPr>
        <w:ind w:left="2" w:right="660"/>
        <w:spacing w:after="0" w:line="256" w:lineRule="auto"/>
        <w:rPr>
          <w:sz w:val="20"/>
          <w:szCs w:val="20"/>
          <w:color w:val="auto"/>
        </w:rPr>
      </w:pPr>
      <w:r>
        <w:rPr>
          <w:rFonts w:ascii="Arial" w:cs="Arial" w:eastAsia="Arial" w:hAnsi="Arial"/>
          <w:sz w:val="22"/>
          <w:szCs w:val="22"/>
          <w:b w:val="1"/>
          <w:bCs w:val="1"/>
          <w:color w:val="auto"/>
        </w:rPr>
        <w:t>Note</w:t>
      </w:r>
      <w:r>
        <w:rPr>
          <w:rFonts w:ascii="Arial" w:cs="Arial" w:eastAsia="Arial" w:hAnsi="Arial"/>
          <w:sz w:val="22"/>
          <w:szCs w:val="22"/>
          <w:color w:val="auto"/>
        </w:rPr>
        <w:t>: Schedules filed in paper format shall include a signed original and five copies of the schedule, including all</w:t>
      </w:r>
      <w:r>
        <w:rPr>
          <w:rFonts w:ascii="Arial" w:cs="Arial" w:eastAsia="Arial" w:hAnsi="Arial"/>
          <w:sz w:val="22"/>
          <w:szCs w:val="22"/>
          <w:b w:val="1"/>
          <w:bCs w:val="1"/>
          <w:color w:val="auto"/>
        </w:rPr>
        <w:t xml:space="preserve"> </w:t>
      </w:r>
      <w:r>
        <w:rPr>
          <w:rFonts w:ascii="Arial" w:cs="Arial" w:eastAsia="Arial" w:hAnsi="Arial"/>
          <w:sz w:val="22"/>
          <w:szCs w:val="22"/>
          <w:color w:val="auto"/>
        </w:rPr>
        <w:t>exhibits. See §240.13d-7 for other parties to whom copies are to be sent.</w:t>
      </w:r>
    </w:p>
    <w:p>
      <w:pPr>
        <w:spacing w:after="0" w:line="223" w:lineRule="exact"/>
        <w:rPr>
          <w:sz w:val="24"/>
          <w:szCs w:val="24"/>
          <w:color w:val="auto"/>
        </w:rPr>
      </w:pPr>
    </w:p>
    <w:p>
      <w:pPr>
        <w:ind w:left="2" w:right="20" w:hanging="2"/>
        <w:spacing w:after="0" w:line="198" w:lineRule="auto"/>
        <w:tabs>
          <w:tab w:leader="none" w:pos="146" w:val="left"/>
        </w:tabs>
        <w:numPr>
          <w:ilvl w:val="0"/>
          <w:numId w:val="1"/>
        </w:numPr>
        <w:rPr>
          <w:rFonts w:ascii="Arial" w:cs="Arial" w:eastAsia="Arial" w:hAnsi="Arial"/>
          <w:sz w:val="36"/>
          <w:szCs w:val="36"/>
          <w:color w:val="auto"/>
          <w:vertAlign w:val="superscript"/>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left="2"/>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4"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2"/>
          </w:cols>
          <w:pgMar w:left="698" w:top="220" w:right="71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1070610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0" w:right="3140" w:hanging="482"/>
        <w:spacing w:after="0" w:line="405"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Levin Capital Strategies, L.P.</w:t>
      </w:r>
    </w:p>
    <w:p>
      <w:pPr>
        <w:ind w:left="720" w:right="6220" w:hanging="482"/>
        <w:spacing w:after="0" w:line="266"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WC, AF</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8,274,483</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11,395,014</w:t>
      </w:r>
    </w:p>
    <w:p>
      <w:pPr>
        <w:ind w:left="720" w:right="4800" w:hanging="557"/>
        <w:spacing w:after="0" w:line="405"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11,395,014</w:t>
      </w:r>
    </w:p>
    <w:p>
      <w:pPr>
        <w:ind w:left="720" w:right="4260" w:hanging="563"/>
        <w:spacing w:after="0" w:line="214" w:lineRule="exact"/>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(11) 29.6%</w:t>
      </w:r>
    </w:p>
    <w:p>
      <w:pPr>
        <w:ind w:left="720" w:hanging="563"/>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1156335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0" w:right="3140" w:hanging="482"/>
        <w:spacing w:after="0" w:line="405"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Levin Capital Strategies GP, LLC</w:t>
      </w:r>
    </w:p>
    <w:p>
      <w:pPr>
        <w:ind w:left="720" w:right="6220" w:hanging="482"/>
        <w:spacing w:after="0" w:line="26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6"/>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6"/>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AF</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7"/>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8,274,483</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DISPOSITIVE POWER 11,395,014</w:t>
      </w:r>
    </w:p>
    <w:p>
      <w:pPr>
        <w:ind w:left="720" w:right="4800" w:hanging="557"/>
        <w:spacing w:after="0" w:line="405"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11,395,014</w:t>
      </w:r>
    </w:p>
    <w:p>
      <w:pPr>
        <w:ind w:left="720" w:right="4260" w:hanging="563"/>
        <w:spacing w:after="0" w:line="214" w:lineRule="exact"/>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 REPRESENTED BY AMOUNT IN ROW (11) 29.6%</w:t>
      </w:r>
    </w:p>
    <w:p>
      <w:pPr>
        <w:ind w:left="720" w:hanging="563"/>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20" w:right="3140" w:hanging="482"/>
        <w:spacing w:after="0" w:line="405"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Levin Capital Trilogy Master Fund, Ltd.</w:t>
      </w:r>
    </w:p>
    <w:p>
      <w:pPr>
        <w:ind w:left="720" w:right="6220" w:hanging="482"/>
        <w:spacing w:after="0" w:line="266"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10"/>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10"/>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WC</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82,884</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SHARED DISPOSITIVE POWER 82,884</w:t>
      </w:r>
    </w:p>
    <w:p>
      <w:pPr>
        <w:ind w:left="720" w:right="4800" w:hanging="557"/>
        <w:spacing w:after="0" w:line="405"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82,884</w:t>
      </w:r>
    </w:p>
    <w:p>
      <w:pPr>
        <w:ind w:left="720" w:right="4260" w:hanging="563"/>
        <w:spacing w:after="0" w:line="214" w:lineRule="exact"/>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PERCENT OF CLASS REPRESENTED BY AMOUNT IN ROW (11) Less than 1%</w:t>
      </w:r>
    </w:p>
    <w:p>
      <w:pPr>
        <w:ind w:left="720" w:hanging="563"/>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20" w:right="3140" w:hanging="482"/>
        <w:spacing w:after="0" w:line="405"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LCS, LLC</w:t>
      </w:r>
    </w:p>
    <w:p>
      <w:pPr>
        <w:ind w:left="720" w:right="6220" w:hanging="482"/>
        <w:spacing w:after="0" w:line="266"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14"/>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14"/>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AF</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82,884</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DISPOSITIVE POWER 82,884</w:t>
      </w:r>
    </w:p>
    <w:p>
      <w:pPr>
        <w:ind w:left="720" w:right="4800" w:hanging="557"/>
        <w:spacing w:after="0" w:line="405"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82,884</w:t>
      </w:r>
    </w:p>
    <w:p>
      <w:pPr>
        <w:ind w:left="720" w:right="4260" w:hanging="563"/>
        <w:spacing w:after="0" w:line="214" w:lineRule="exact"/>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PERCENT OF CLASS REPRESENTED BY AMOUNT IN ROW (11) Less than 1%</w:t>
      </w:r>
    </w:p>
    <w:p>
      <w:pPr>
        <w:ind w:left="720" w:hanging="563"/>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20" w:right="3140" w:hanging="482"/>
        <w:spacing w:after="0" w:line="405"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Levcap Alternative Fund, L.P..</w:t>
      </w:r>
    </w:p>
    <w:p>
      <w:pPr>
        <w:ind w:left="720" w:right="6220" w:hanging="482"/>
        <w:spacing w:after="0" w:line="26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18"/>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18"/>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WC</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56,820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SHARED DISPOSITIVE POWER 56,820</w:t>
      </w:r>
    </w:p>
    <w:p>
      <w:pPr>
        <w:ind w:left="720" w:right="4800" w:hanging="557"/>
        <w:spacing w:after="0" w:line="405"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56,820</w:t>
      </w:r>
    </w:p>
    <w:p>
      <w:pPr>
        <w:ind w:left="720" w:right="4260" w:hanging="563"/>
        <w:spacing w:after="0" w:line="214" w:lineRule="exact"/>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hanging="563"/>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720" w:hanging="563"/>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20" w:right="3140" w:hanging="482"/>
        <w:spacing w:after="0" w:line="405"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LCS Event Partners, LLC</w:t>
      </w:r>
    </w:p>
    <w:p>
      <w:pPr>
        <w:ind w:left="720" w:right="6220" w:hanging="482"/>
        <w:spacing w:after="0" w:line="266"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2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2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AF</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56,820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SHARED DISPOSITIVE POWER 56,820</w:t>
      </w:r>
    </w:p>
    <w:p>
      <w:pPr>
        <w:ind w:left="720" w:right="4800" w:hanging="557"/>
        <w:spacing w:after="0" w:line="405"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56,820</w:t>
      </w:r>
    </w:p>
    <w:p>
      <w:pPr>
        <w:ind w:left="720" w:right="4260" w:hanging="563"/>
        <w:spacing w:after="0" w:line="214" w:lineRule="exact"/>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PERCENT OF CLASS REPRESENTED BY AMOUNT IN ROW (11) Less than 1%</w:t>
      </w:r>
    </w:p>
    <w:p>
      <w:pPr>
        <w:ind w:left="720" w:hanging="563"/>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20" w:right="3140" w:hanging="482"/>
        <w:spacing w:after="0" w:line="405"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Safinia Partners, L.P.</w:t>
      </w:r>
    </w:p>
    <w:p>
      <w:pPr>
        <w:ind w:left="720" w:right="6220" w:hanging="482"/>
        <w:spacing w:after="0" w:line="266"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2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2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WC,</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SHARED DISPOSITIVE POWER 19,818</w:t>
      </w:r>
    </w:p>
    <w:p>
      <w:pPr>
        <w:ind w:left="720" w:right="4800" w:hanging="557"/>
        <w:spacing w:after="0" w:line="405"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19,818</w:t>
      </w:r>
    </w:p>
    <w:p>
      <w:pPr>
        <w:ind w:left="720" w:right="4260" w:hanging="563"/>
        <w:spacing w:after="0" w:line="214" w:lineRule="exact"/>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PERCENT OF CLASS REPRESENTED BY AMOUNT IN ROW (11) Less than 1%</w:t>
      </w:r>
    </w:p>
    <w:p>
      <w:pPr>
        <w:ind w:left="720" w:hanging="563"/>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20" w:right="3140" w:hanging="482"/>
        <w:spacing w:after="0" w:line="405"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LCS L/S, LLC</w:t>
      </w:r>
    </w:p>
    <w:p>
      <w:pPr>
        <w:ind w:left="720" w:right="6220" w:hanging="482"/>
        <w:spacing w:after="0" w:line="266"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3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3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AF</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SHARED DISPOSITIVE POWER 19,818</w:t>
      </w:r>
    </w:p>
    <w:p>
      <w:pPr>
        <w:ind w:left="720" w:right="4800" w:hanging="557"/>
        <w:spacing w:after="0" w:line="405"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19,818</w:t>
      </w:r>
    </w:p>
    <w:p>
      <w:pPr>
        <w:ind w:left="720" w:right="4260" w:hanging="563"/>
        <w:spacing w:after="0" w:line="214" w:lineRule="exact"/>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PERCENT OF CLASS REPRESENTED BY AMOUNT IN ROW (11) Less than 1%</w:t>
      </w:r>
    </w:p>
    <w:p>
      <w:pPr>
        <w:ind w:left="720" w:hanging="563"/>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20" w:right="3140" w:hanging="482"/>
        <w:spacing w:after="0" w:line="405"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NAMES OF REPORTING PERSONS I.R.S. IDENTIFICATION NOS. OF ABOVE PERSONS (ENTITIES ONLY) John A. Levin</w:t>
      </w:r>
    </w:p>
    <w:p>
      <w:pPr>
        <w:ind w:left="720" w:right="6220" w:hanging="482"/>
        <w:spacing w:after="0" w:line="266"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35"/>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 w:lineRule="exact"/>
        <w:rPr>
          <w:rFonts w:ascii="Arial" w:cs="Arial" w:eastAsia="Arial" w:hAnsi="Arial"/>
          <w:sz w:val="16"/>
          <w:szCs w:val="16"/>
          <w:color w:val="auto"/>
        </w:rPr>
      </w:pPr>
    </w:p>
    <w:p>
      <w:pPr>
        <w:ind w:left="1060" w:hanging="350"/>
        <w:spacing w:after="0" w:line="184" w:lineRule="exact"/>
        <w:tabs>
          <w:tab w:leader="none" w:pos="1060" w:val="left"/>
        </w:tabs>
        <w:numPr>
          <w:ilvl w:val="1"/>
          <w:numId w:val="35"/>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6" w:lineRule="exact"/>
        <w:rPr>
          <w:rFonts w:ascii="Arial" w:cs="Arial" w:eastAsia="Arial" w:hAnsi="Arial"/>
          <w:sz w:val="16"/>
          <w:szCs w:val="16"/>
          <w:color w:val="auto"/>
        </w:rPr>
      </w:pPr>
    </w:p>
    <w:p>
      <w:pPr>
        <w:ind w:left="720" w:hanging="482"/>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6" w:lineRule="exact"/>
        <w:rPr>
          <w:rFonts w:ascii="Arial" w:cs="Arial" w:eastAsia="Arial" w:hAnsi="Arial"/>
          <w:sz w:val="16"/>
          <w:szCs w:val="16"/>
          <w:color w:val="auto"/>
        </w:rPr>
      </w:pPr>
    </w:p>
    <w:p>
      <w:pPr>
        <w:ind w:left="720" w:hanging="482"/>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160" w:type="dxa"/>
            <w:vAlign w:val="bottom"/>
          </w:tcPr>
          <w:p>
            <w:pPr>
              <w:ind w:left="180"/>
              <w:spacing w:after="0"/>
              <w:rPr>
                <w:sz w:val="20"/>
                <w:szCs w:val="20"/>
                <w:color w:val="auto"/>
              </w:rPr>
            </w:pPr>
            <w:r>
              <w:rPr>
                <w:rFonts w:ascii="Arial" w:cs="Arial" w:eastAsia="Arial" w:hAnsi="Arial"/>
                <w:sz w:val="16"/>
                <w:szCs w:val="16"/>
                <w:color w:val="auto"/>
              </w:rPr>
              <w:t>AF</w:t>
            </w:r>
          </w:p>
        </w:tc>
      </w:tr>
      <w:tr>
        <w:trPr>
          <w:trHeight w:val="25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160" w:type="dxa"/>
            <w:vAlign w:val="bottom"/>
          </w:tcPr>
          <w:p>
            <w:pPr>
              <w:ind w:left="180"/>
              <w:spacing w:after="0" w:line="184" w:lineRule="exact"/>
              <w:rPr>
                <w:sz w:val="20"/>
                <w:szCs w:val="20"/>
                <w:color w:val="auto"/>
              </w:rPr>
            </w:pPr>
            <w:r>
              <w:rPr>
                <w:rFonts w:ascii="Arial" w:cs="Arial" w:eastAsia="Arial" w:hAnsi="Arial"/>
                <w:sz w:val="16"/>
                <w:szCs w:val="16"/>
                <w:color w:val="auto"/>
                <w:w w:val="96"/>
              </w:rPr>
              <w:t xml:space="preserve">CHECK BOX IF DISCLOSURE OF LEGAL PROCEEDINGS IS REQUIRED PURSUANT TO ITEMS 2(d) or 2(e)   </w:t>
            </w:r>
            <w:r>
              <w:rPr>
                <w:rFonts w:ascii="MS PGothic" w:cs="MS PGothic" w:eastAsia="MS PGothic" w:hAnsi="MS PGothic"/>
                <w:sz w:val="16"/>
                <w:szCs w:val="16"/>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20" w:right="7400" w:hanging="482"/>
        <w:spacing w:after="0" w:line="399"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rFonts w:ascii="Arial" w:cs="Arial" w:eastAsia="Arial" w:hAnsi="Arial"/>
          <w:sz w:val="16"/>
          <w:szCs w:val="16"/>
          <w:color w:val="auto"/>
        </w:rPr>
      </w:pPr>
    </w:p>
    <w:p>
      <w:pPr>
        <w:ind w:left="2520" w:hanging="459"/>
        <w:spacing w:after="0"/>
        <w:tabs>
          <w:tab w:leader="none" w:pos="25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6"/>
              </w:rPr>
              <w:t>NUMBER OF SHARES</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06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40" w:type="dxa"/>
            <w:vAlign w:val="bottom"/>
          </w:tcPr>
          <w:p>
            <w:pPr>
              <w:jc w:val="center"/>
              <w:ind w:right="279"/>
              <w:spacing w:after="0"/>
              <w:rPr>
                <w:sz w:val="20"/>
                <w:szCs w:val="20"/>
                <w:color w:val="auto"/>
              </w:rPr>
            </w:pPr>
            <w:r>
              <w:rPr>
                <w:rFonts w:ascii="Arial" w:cs="Arial" w:eastAsia="Arial" w:hAnsi="Arial"/>
                <w:sz w:val="16"/>
                <w:szCs w:val="16"/>
                <w:color w:val="auto"/>
              </w:rPr>
              <w:t>BENEFICIALLY</w:t>
            </w:r>
          </w:p>
        </w:tc>
        <w:tc>
          <w:tcPr>
            <w:tcW w:w="40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8,331,303</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OWNED BY EACH</w:t>
            </w:r>
          </w:p>
        </w:tc>
        <w:tc>
          <w:tcPr>
            <w:tcW w:w="40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940" w:type="dxa"/>
            <w:vAlign w:val="bottom"/>
            <w:vMerge w:val="restart"/>
          </w:tcPr>
          <w:p>
            <w:pPr>
              <w:jc w:val="center"/>
              <w:ind w:right="259"/>
              <w:spacing w:after="0"/>
              <w:rPr>
                <w:sz w:val="20"/>
                <w:szCs w:val="20"/>
                <w:color w:val="auto"/>
              </w:rPr>
            </w:pPr>
            <w:r>
              <w:rPr>
                <w:rFonts w:ascii="Arial" w:cs="Arial" w:eastAsia="Arial" w:hAnsi="Arial"/>
                <w:sz w:val="16"/>
                <w:szCs w:val="16"/>
                <w:color w:val="auto"/>
                <w:w w:val="93"/>
              </w:rPr>
              <w:t>REPORTING PERSON</w:t>
            </w:r>
          </w:p>
        </w:tc>
        <w:tc>
          <w:tcPr>
            <w:tcW w:w="40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180" w:type="dxa"/>
            <w:vAlign w:val="bottom"/>
          </w:tcPr>
          <w:p>
            <w:pPr>
              <w:spacing w:after="0"/>
              <w:rPr>
                <w:sz w:val="20"/>
                <w:szCs w:val="20"/>
                <w:color w:val="auto"/>
              </w:rPr>
            </w:pPr>
            <w:r>
              <w:rPr>
                <w:rFonts w:ascii="Arial" w:cs="Arial" w:eastAsia="Arial" w:hAnsi="Arial"/>
                <w:sz w:val="16"/>
                <w:szCs w:val="16"/>
                <w:color w:val="auto"/>
              </w:rPr>
              <w:t>WITH</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3810</wp:posOffset>
            </wp:positionV>
            <wp:extent cx="60032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ind w:left="2520" w:right="6620" w:hanging="540"/>
        <w:spacing w:after="0" w:line="405" w:lineRule="auto"/>
        <w:tabs>
          <w:tab w:leader="none" w:pos="25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SHARED DISPOSITIVE POWER 11,395,014</w:t>
      </w:r>
    </w:p>
    <w:p>
      <w:pPr>
        <w:ind w:left="720" w:right="4800" w:hanging="557"/>
        <w:spacing w:after="0" w:line="405"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11,395,014</w:t>
      </w:r>
    </w:p>
    <w:p>
      <w:pPr>
        <w:ind w:left="720" w:right="4260" w:hanging="563"/>
        <w:spacing w:after="0" w:line="214" w:lineRule="exact"/>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195" w:lineRule="exact"/>
        <w:rPr>
          <w:rFonts w:ascii="Arial" w:cs="Arial" w:eastAsia="Arial" w:hAnsi="Arial"/>
          <w:sz w:val="16"/>
          <w:szCs w:val="16"/>
          <w:color w:val="auto"/>
        </w:rPr>
      </w:pPr>
    </w:p>
    <w:p>
      <w:pPr>
        <w:ind w:left="720" w:right="6080" w:hanging="563"/>
        <w:spacing w:after="0" w:line="405"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PERCENT OF CLASS REPRESENTED BY AMOUNT IN ROW (11) 29.6%</w:t>
      </w:r>
    </w:p>
    <w:p>
      <w:pPr>
        <w:ind w:left="720" w:hanging="563"/>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34385P108</w:t>
      </w:r>
    </w:p>
    <w:p>
      <w:pPr>
        <w:spacing w:after="0" w:line="200" w:lineRule="exact"/>
        <w:rPr>
          <w:sz w:val="20"/>
          <w:szCs w:val="20"/>
          <w:color w:val="auto"/>
        </w:rPr>
      </w:pPr>
    </w:p>
    <w:p>
      <w:pPr>
        <w:spacing w:after="0" w:line="36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following constitutes the Schedule 13D filed by the undersigned (the “Schedule 13D”). The Reporting Persons (as defined below) remain passive investors in the Issuer (as defined below) and are filing the Schedule 13D as a result of acquiring over 20% of the outstanding Shares (as defined below) of the Issuer.</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u w:val="single" w:color="auto"/>
          <w:color w:val="auto"/>
        </w:rPr>
        <w:t>SECURITY AND ISSUER.</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This statement relates to the common stock, par value $0.001 per share (the “Shares”), of Fluidigm Corporation, a Delaware corporation (the “Issuer”). The address of the principal executive offices of the Issuer is 7000 Shoreline Court, Suite 100, South San Francisco, California 94080.</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u w:val="single" w:color="auto"/>
          <w:color w:val="auto"/>
        </w:rPr>
        <w:t>IDENTITY AND BACKGROUND.</w:t>
      </w:r>
    </w:p>
    <w:p>
      <w:pPr>
        <w:spacing w:after="0" w:line="225" w:lineRule="exact"/>
        <w:rPr>
          <w:sz w:val="20"/>
          <w:szCs w:val="20"/>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Levin Capital Strategies, L.P., a Delaware limited partnership (“LCS”),</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Levin Capital Strategies GP, LLC, a Delaware limited liability company (“LCS GP”),</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Levin Capital Trilogy Master Fund, Ltd., a Cayman Islands exempt company (“Trilogy”),</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LCS, LLC, a Delaware limited liability company (“LCSL”),</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Levcap Alternative Fund, L.P., a Delaware limited partnership (“Levcap”),</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LCS Event Partners, LLC, a Delaware limited liability company (“LCSEP”),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(vii)Safinia Partners, L.P., a Delaware limited partnership (“Safinia”),</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(viii)LCS L/S, LLC, a Delaware limited liability company (“LCSLS”), 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(ix) John A. Levin, a U.S. citizen (“Mr. Levin”).</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Set forth on Appendix A annexed hereto (“Appendix A”) is the name and present principal business, occupation or employment and the name, principal business and address of any corporation or other organization in which such employment is conducted of the directors of Trilogy. Trilogy does not have any executive officers.</w:t>
      </w:r>
    </w:p>
    <w:p>
      <w:pPr>
        <w:spacing w:after="0" w:line="181" w:lineRule="exact"/>
        <w:rPr>
          <w:sz w:val="20"/>
          <w:szCs w:val="20"/>
          <w:color w:val="auto"/>
        </w:rPr>
      </w:pPr>
    </w:p>
    <w:p>
      <w:pPr>
        <w:ind w:left="2220" w:hanging="915"/>
        <w:spacing w:after="0"/>
        <w:tabs>
          <w:tab w:leader="none" w:pos="2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address of the principal executive office of each of the Reporting Persons is: 595 Madison Avenue, 17th Floor, New York,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10022.</w:t>
      </w:r>
    </w:p>
    <w:p>
      <w:pPr>
        <w:spacing w:after="0" w:line="211" w:lineRule="exact"/>
        <w:rPr>
          <w:sz w:val="20"/>
          <w:szCs w:val="20"/>
          <w:color w:val="auto"/>
        </w:rPr>
      </w:pPr>
    </w:p>
    <w:p>
      <w:pPr>
        <w:jc w:val="both"/>
        <w:ind w:firstLine="1305"/>
        <w:spacing w:after="0" w:line="255" w:lineRule="auto"/>
        <w:tabs>
          <w:tab w:leader="none" w:pos="22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business of LCS is acting as the investment advisor to Trilogy, Levcap, Safinia and certain managed accounts and as a sub-investment advisor to certain other investment companies, as further described in Item 5. The principal business of LCS GP is acting as the general partner of LCS. The principal business of Trilogy, Levcap and Safinia is investing in securities. The principal business of LCSL is acting as the general partner to Trilogy. The principal business of LCSEP is acting as the general partner to Levcap. The principal business of LCSLS is acting as the general partner to Safinia. The principal business of Mr. Levin is acting as the Chief Executive Officer of LCS and the managing member of each of LCSL, LCSEP and LCSLS.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firstLine="1305"/>
        <w:spacing w:after="0" w:line="277" w:lineRule="auto"/>
        <w:tabs>
          <w:tab w:leader="none" w:pos="24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last five years, no Reporting Person, nor any person listed on Appendix A, has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1305"/>
        <w:spacing w:after="0" w:line="312" w:lineRule="auto"/>
        <w:tabs>
          <w:tab w:leader="none" w:pos="22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the last five years, no Reporting Person, nor any person listed on Appendix A, has been a party to a civil proceeding of a judicial or administrative body of competent jurisdiction that resulted in such Reporting Person being subject to a judgment, decree or final order enjoining future violations of, or prohibiting or mandating activities subject to, federal or state securities laws or finding any violation with respect to such laws.</w:t>
      </w:r>
    </w:p>
    <w:p>
      <w:pPr>
        <w:spacing w:after="0" w:line="146" w:lineRule="exact"/>
        <w:rPr>
          <w:rFonts w:ascii="Arial" w:cs="Arial" w:eastAsia="Arial" w:hAnsi="Arial"/>
          <w:sz w:val="16"/>
          <w:szCs w:val="16"/>
          <w:color w:val="auto"/>
        </w:rPr>
      </w:pPr>
    </w:p>
    <w:p>
      <w:pPr>
        <w:ind w:left="2200" w:hanging="895"/>
        <w:spacing w:after="0"/>
        <w:tabs>
          <w:tab w:leader="none" w:pos="2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Except as set forth on Appendix A, Levin and each person listed on Appendix A is a citizen of the United States of America.</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25"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The Shares purchased by LCS were purchased with general investment funds in open market purchases, except as otherwise noted. The aggregate purchase price of the 11,395,014 Shares owned directly by LCS is approximately $66,425,633, including brokerage commissions.</w:t>
      </w:r>
    </w:p>
    <w:p>
      <w:pPr>
        <w:spacing w:after="0" w:line="124"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The Shares purchased by Trilogy were purchased with general investment funds in open market purchases, except as otherwise noted. The aggregate purchase price of the 82,884 Shares owned directly by Trilogy is approximately $504,310, including brokerage commissions.</w:t>
      </w:r>
    </w:p>
    <w:p>
      <w:pPr>
        <w:spacing w:after="0" w:line="147"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The Shares purchased by Levcap were purchased with general investment funds in open market purchases, except as otherwise noted. The aggregate purchase price of the 56,820 Shares owned directly by Levcap is approximately $280,825, including brokerage commissions.</w:t>
      </w:r>
    </w:p>
    <w:p>
      <w:pPr>
        <w:spacing w:after="0" w:line="147"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The Shares purchased by Safinia were purchased with general investment funds in open market purchases, except as otherwise noted. The aggregate purchase price of the 19,818 Shares owned directly by Safinia is approximately $107,616, including brokerage commissions.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best of the Reporting Persons’ knowledge, none of the persons listed on Appendix A beneficially owns any securities of the Issuer.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The Reporting Persons purchased the Shares based on the Reporting Persons’ belief that the Shares, when purchased, were undervalued and represented an attractive investment opportunity. The Reporting Persons remain passive investors in the Issuer and are filing the Schedule 13D as a result of acquiring over 20% of the outstanding Shares of the Issuer. The Reporting Persons have not acquired the Shares with a purpose or effect of changing or influencing control of the Issuer and no Reporting Person has any present plan or proposal which would relate to or result in any of the matters set forth in subparagraphs (a) - (j) of Item 4 of Schedule 13D. The Reporting Persons may acquire or dispose of Shares in the future.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34385P108</w:t>
      </w:r>
    </w:p>
    <w:p>
      <w:pPr>
        <w:spacing w:after="0" w:line="200" w:lineRule="exact"/>
        <w:rPr>
          <w:sz w:val="20"/>
          <w:szCs w:val="20"/>
          <w:color w:val="auto"/>
        </w:rPr>
      </w:pPr>
    </w:p>
    <w:p>
      <w:pPr>
        <w:spacing w:after="0" w:line="3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aggregate percentage of Shares reported owned by each person named herein is based upon 38,505,144 Shares outstanding, which is the total number of Shares outstanding as of July 28, 2017, as reported in the Issuer’s Quarterly Report on Form 10-Q filed with the Securities and Exchange Commission on August 8, 2017, plus the 9,090,909 Shares sold by the Issuer on August 10, 2017 as reported in the Issuer’s Prospectus Supplement on Form 424B5 filed with the Securities and Exchange Commission on August 11,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LCS</w:t>
      </w:r>
    </w:p>
    <w:p>
      <w:pPr>
        <w:spacing w:after="0" w:line="225" w:lineRule="exact"/>
        <w:rPr>
          <w:sz w:val="20"/>
          <w:szCs w:val="20"/>
          <w:color w:val="auto"/>
        </w:rPr>
      </w:pPr>
    </w:p>
    <w:p>
      <w:pPr>
        <w:ind w:left="1300" w:right="3460" w:hanging="644"/>
        <w:spacing w:after="0" w:line="501" w:lineRule="auto"/>
        <w:tabs>
          <w:tab w:leader="none" w:pos="1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the close of business on August 10, 2017, LCS beneficially owned 11, 395,014 Shares. Percentage: Approximately 29.6%.</w:t>
      </w: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Shared power to vote or direct vote: 8,331,303*</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11,395,014*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See Item 5(d) for further discussion.</w:t>
      </w:r>
    </w:p>
    <w:p>
      <w:pPr>
        <w:spacing w:after="0" w:line="225" w:lineRule="exact"/>
        <w:rPr>
          <w:sz w:val="20"/>
          <w:szCs w:val="20"/>
          <w:color w:val="auto"/>
        </w:rPr>
      </w:pPr>
    </w:p>
    <w:p>
      <w:pPr>
        <w:ind w:left="1300" w:hanging="644"/>
        <w:spacing w:after="0"/>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transactions in the Shares by LCS during the past 60 days are set forth in Schedule A and are incorporated herein by reference.</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 LCS GP</w:t>
      </w:r>
    </w:p>
    <w:p>
      <w:pPr>
        <w:spacing w:after="0" w:line="225" w:lineRule="exact"/>
        <w:rPr>
          <w:rFonts w:ascii="Arial" w:cs="Arial" w:eastAsia="Arial" w:hAnsi="Arial"/>
          <w:sz w:val="17"/>
          <w:szCs w:val="17"/>
          <w:color w:val="auto"/>
        </w:rPr>
      </w:pPr>
    </w:p>
    <w:p>
      <w:pPr>
        <w:ind w:left="1300" w:right="1420" w:hanging="644"/>
        <w:spacing w:after="0" w:line="501" w:lineRule="auto"/>
        <w:tabs>
          <w:tab w:leader="none" w:pos="126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7,317,390 Shares beneficially owned by LCS. Percentage: Approximately 29.6%.</w:t>
      </w:r>
    </w:p>
    <w:p>
      <w:pPr>
        <w:ind w:left="1300" w:hanging="644"/>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Shared power to vote or direct vote: 8,331,303*</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11,395,014*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See Item 5(d) for further discussion.</w:t>
      </w:r>
    </w:p>
    <w:p>
      <w:pPr>
        <w:spacing w:after="0" w:line="225" w:lineRule="exact"/>
        <w:rPr>
          <w:sz w:val="20"/>
          <w:szCs w:val="20"/>
          <w:color w:val="auto"/>
        </w:rPr>
      </w:pPr>
    </w:p>
    <w:p>
      <w:pPr>
        <w:ind w:left="1300" w:right="2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during the past 60 days. The transactions in the Shares by LCS during the past 60 days are set forth in Schedule A and are incorporated herein by reference.</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Trilogy</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of the close of business on August 10, 2017, Trilogy beneficially owned 82,884 Shares.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Less than 1.0%.</w:t>
      </w:r>
    </w:p>
    <w:p>
      <w:pPr>
        <w:spacing w:after="0" w:line="225"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Shared power to vote or direct vote: 82,884 *</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82,884 *</w:t>
      </w:r>
    </w:p>
    <w:p>
      <w:pPr>
        <w:spacing w:after="0" w:line="225" w:lineRule="exact"/>
        <w:rPr>
          <w:sz w:val="20"/>
          <w:szCs w:val="20"/>
          <w:color w:val="auto"/>
        </w:rPr>
      </w:pPr>
    </w:p>
    <w:p>
      <w:pPr>
        <w:ind w:left="660" w:right="100" w:hanging="4"/>
        <w:spacing w:after="0" w:line="277"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the general partner to Trilogy, LCSL has shared voting and dispositive power over these Shares. As the investment advisor to Trilogy, LCS has shared voting and dispositive power over these Shares.</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transactions in the Shares by Trilogy during the past 60 days are set forth in Schedule A and are incorporated herein by reference.</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 LCSL</w:t>
      </w:r>
    </w:p>
    <w:p>
      <w:pPr>
        <w:spacing w:after="0" w:line="225" w:lineRule="exact"/>
        <w:rPr>
          <w:rFonts w:ascii="Arial" w:cs="Arial" w:eastAsia="Arial" w:hAnsi="Arial"/>
          <w:sz w:val="16"/>
          <w:szCs w:val="16"/>
          <w:color w:val="auto"/>
        </w:rPr>
      </w:pPr>
    </w:p>
    <w:p>
      <w:pPr>
        <w:ind w:left="1280" w:hanging="624"/>
        <w:spacing w:after="0"/>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the General Partner of Trilogy, LCSL is deemed to beneficially own the 82,884 Shares beneficially owned by Trilogy.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Shared power to vote or direct vote: 82,884 *</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82,884 *</w:t>
      </w:r>
    </w:p>
    <w:p>
      <w:pPr>
        <w:spacing w:after="0" w:line="225" w:lineRule="exact"/>
        <w:rPr>
          <w:sz w:val="20"/>
          <w:szCs w:val="20"/>
          <w:color w:val="auto"/>
        </w:rPr>
      </w:pPr>
    </w:p>
    <w:p>
      <w:pPr>
        <w:ind w:left="660" w:hanging="4"/>
        <w:spacing w:after="0" w:line="277" w:lineRule="auto"/>
        <w:tabs>
          <w:tab w:leader="none" w:pos="7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the general partner to Trilogy, LCSL has shared voting and dispositive power over these Shares. As the investment advisor to Trilogy, LCS has shared voting and dispositive power over these Shares.</w:t>
      </w:r>
    </w:p>
    <w:p>
      <w:pPr>
        <w:spacing w:after="0" w:line="387" w:lineRule="exact"/>
        <w:rPr>
          <w:sz w:val="20"/>
          <w:szCs w:val="20"/>
          <w:color w:val="auto"/>
        </w:rPr>
      </w:pPr>
    </w:p>
    <w:p>
      <w:pPr>
        <w:ind w:left="1300" w:right="100" w:hanging="644"/>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during the past 60 days. The transactions in the Shares by Trilogy during the past 60 days are set forth in Schedule A and are incorporated herein by reference.</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Levcap</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of the close of business on August 10, 2017, Levcap beneficially owned 22,453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Shared power to vote or direct vote: 56,820 *</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25" w:lineRule="exact"/>
        <w:rPr>
          <w:sz w:val="20"/>
          <w:szCs w:val="20"/>
          <w:color w:val="auto"/>
        </w:rPr>
      </w:pPr>
    </w:p>
    <w:p>
      <w:pPr>
        <w:ind w:left="660" w:right="160" w:hanging="4"/>
        <w:spacing w:after="0" w:line="277" w:lineRule="auto"/>
        <w:tabs>
          <w:tab w:leader="none" w:pos="7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5620" w:right="360" w:hanging="4964"/>
        <w:spacing w:after="0" w:line="528" w:lineRule="auto"/>
        <w:tabs>
          <w:tab w:leader="none" w:pos="13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transactions in the Shares by Levcap during the past 60 days are set forth in Schedule A and are incorporated herein by reference.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34385P108</w:t>
      </w:r>
    </w:p>
    <w:p>
      <w:pPr>
        <w:spacing w:after="0" w:line="200" w:lineRule="exact"/>
        <w:rPr>
          <w:sz w:val="20"/>
          <w:szCs w:val="20"/>
          <w:color w:val="auto"/>
        </w:rPr>
      </w:pPr>
    </w:p>
    <w:p>
      <w:pPr>
        <w:spacing w:after="0" w:line="337"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LCSEP</w:t>
      </w:r>
    </w:p>
    <w:p>
      <w:pPr>
        <w:spacing w:after="0" w:line="225" w:lineRule="exact"/>
        <w:rPr>
          <w:rFonts w:ascii="Arial" w:cs="Arial" w:eastAsia="Arial" w:hAnsi="Arial"/>
          <w:sz w:val="18"/>
          <w:szCs w:val="18"/>
          <w:color w:val="auto"/>
        </w:rPr>
      </w:pPr>
    </w:p>
    <w:p>
      <w:pPr>
        <w:ind w:left="1300" w:right="1280" w:hanging="644"/>
        <w:spacing w:after="0" w:line="501" w:lineRule="auto"/>
        <w:tabs>
          <w:tab w:leader="none" w:pos="12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As the General Partner of Levcap, LCSEP is deemed to beneficially own the 56,820 Shares beneficially owned by Levcap. Percentage: Less than 1.0%.</w:t>
      </w:r>
    </w:p>
    <w:p>
      <w:pPr>
        <w:ind w:left="1300" w:hanging="644"/>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Shared power to vote or direct vote: 56,820 *</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25" w:lineRule="exact"/>
        <w:rPr>
          <w:sz w:val="20"/>
          <w:szCs w:val="20"/>
          <w:color w:val="auto"/>
        </w:rPr>
      </w:pPr>
    </w:p>
    <w:p>
      <w:pPr>
        <w:ind w:left="660" w:right="240" w:hanging="4"/>
        <w:spacing w:after="0" w:line="277" w:lineRule="auto"/>
        <w:tabs>
          <w:tab w:leader="none" w:pos="7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1300" w:right="80" w:hanging="644"/>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LCSEP has not undertaken any transactions in the Shares during the past 60 days. The transactions in the Shares by Levcap during the past 60 days are set forth in Schedule A and are incorporated herein by reference.</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 Safinia</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of the close of business on August 10, 2017, Safinia beneficially owned 19,818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Shared power to vote or direct vote: 19,818 *</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disposition:19,818 *</w:t>
      </w:r>
    </w:p>
    <w:p>
      <w:pPr>
        <w:spacing w:after="0" w:line="225" w:lineRule="exact"/>
        <w:rPr>
          <w:sz w:val="20"/>
          <w:szCs w:val="20"/>
          <w:color w:val="auto"/>
        </w:rPr>
      </w:pPr>
    </w:p>
    <w:p>
      <w:pPr>
        <w:ind w:left="660" w:hanging="4"/>
        <w:spacing w:after="0" w:line="277" w:lineRule="auto"/>
        <w:tabs>
          <w:tab w:leader="none" w:pos="7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387" w:lineRule="exact"/>
        <w:rPr>
          <w:sz w:val="20"/>
          <w:szCs w:val="20"/>
          <w:color w:val="auto"/>
        </w:rPr>
      </w:pPr>
    </w:p>
    <w:p>
      <w:pPr>
        <w:ind w:left="1300" w:hanging="644"/>
        <w:spacing w:after="0"/>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transactions in the Shares by Safinia during the past 60 days are set forth in Schedule A and are incorporated herein by reference.</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 LCSLS</w:t>
      </w:r>
    </w:p>
    <w:p>
      <w:pPr>
        <w:spacing w:after="0" w:line="225" w:lineRule="exact"/>
        <w:rPr>
          <w:rFonts w:ascii="Arial" w:cs="Arial" w:eastAsia="Arial" w:hAnsi="Arial"/>
          <w:sz w:val="16"/>
          <w:szCs w:val="16"/>
          <w:color w:val="auto"/>
        </w:rPr>
      </w:pPr>
    </w:p>
    <w:p>
      <w:pPr>
        <w:ind w:left="1300" w:right="60" w:hanging="644"/>
        <w:spacing w:after="0" w:line="277" w:lineRule="auto"/>
        <w:tabs>
          <w:tab w:leader="none" w:pos="12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 the General Partner of Safinia, LCSLS is deemed to beneficially own the 19,818 Shares beneficially owned by Safinia. Percentage: Less than 1.0%.</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Shared power to vote or direct vote: 19,818 *</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19,818 *</w:t>
      </w:r>
    </w:p>
    <w:p>
      <w:pPr>
        <w:spacing w:after="0" w:line="225" w:lineRule="exact"/>
        <w:rPr>
          <w:sz w:val="20"/>
          <w:szCs w:val="20"/>
          <w:color w:val="auto"/>
        </w:rPr>
      </w:pPr>
    </w:p>
    <w:p>
      <w:pPr>
        <w:ind w:left="660" w:hanging="4"/>
        <w:spacing w:after="0" w:line="277" w:lineRule="auto"/>
        <w:tabs>
          <w:tab w:leader="none" w:pos="7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70" w:lineRule="exact"/>
        <w:rPr>
          <w:sz w:val="20"/>
          <w:szCs w:val="20"/>
          <w:color w:val="auto"/>
        </w:rPr>
      </w:pPr>
    </w:p>
    <w:p>
      <w:pPr>
        <w:ind w:left="5620" w:right="4200" w:hanging="4964"/>
        <w:spacing w:after="0" w:line="528" w:lineRule="auto"/>
        <w:tabs>
          <w:tab w:leader="none" w:pos="1301" w:val="left"/>
        </w:tabs>
        <w:numPr>
          <w:ilvl w:val="0"/>
          <w:numId w:val="68"/>
        </w:numPr>
        <w:rPr>
          <w:rFonts w:ascii="Arial" w:cs="Arial" w:eastAsia="Arial" w:hAnsi="Arial"/>
          <w:sz w:val="18"/>
          <w:szCs w:val="18"/>
          <w:color w:val="auto"/>
        </w:rPr>
      </w:pPr>
      <w:r>
        <w:rPr>
          <w:rFonts w:ascii="Arial" w:cs="Arial" w:eastAsia="Arial" w:hAnsi="Arial"/>
          <w:sz w:val="18"/>
          <w:szCs w:val="18"/>
          <w:color w:val="auto"/>
        </w:rPr>
        <w:t>LCSLS has not undertaken any transactions in the Shares during the past 60 days.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 John Levin</w:t>
      </w:r>
    </w:p>
    <w:p>
      <w:pPr>
        <w:spacing w:after="0" w:line="225" w:lineRule="exact"/>
        <w:rPr>
          <w:sz w:val="20"/>
          <w:szCs w:val="20"/>
          <w:color w:val="auto"/>
        </w:rPr>
      </w:pPr>
    </w:p>
    <w:p>
      <w:pPr>
        <w:ind w:left="1300" w:right="780" w:hanging="644"/>
        <w:spacing w:after="0" w:line="277" w:lineRule="auto"/>
        <w:tabs>
          <w:tab w:leader="none" w:pos="1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the Chief Executive Officer of LCS and the Managing Member of each of LCSL, LCSEP and LCSLS, Mr. Levin is deemed to beneficially own 7,317,390 Shares beneficially owned by LCS.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29.6%.</w:t>
      </w:r>
    </w:p>
    <w:p>
      <w:pPr>
        <w:spacing w:after="0" w:line="225"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Shared power to vote or direct vote: 8,331,303*</w:t>
      </w:r>
    </w:p>
    <w:p>
      <w:pPr>
        <w:spacing w:after="0" w:line="225" w:lineRule="exact"/>
        <w:rPr>
          <w:rFonts w:ascii="Arial" w:cs="Arial" w:eastAsia="Arial" w:hAnsi="Arial"/>
          <w:sz w:val="18"/>
          <w:szCs w:val="18"/>
          <w:color w:val="auto"/>
        </w:rPr>
      </w:pPr>
    </w:p>
    <w:p>
      <w:pPr>
        <w:ind w:left="1480" w:hanging="175"/>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660" w:right="5400" w:firstLine="645"/>
        <w:spacing w:after="0" w:line="501" w:lineRule="auto"/>
        <w:tabs>
          <w:tab w:leader="none" w:pos="1488" w:val="left"/>
        </w:tabs>
        <w:numPr>
          <w:ilvl w:val="1"/>
          <w:numId w:val="7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11,395,014* * See Item 5(d) for further discussion.</w:t>
      </w:r>
    </w:p>
    <w:p>
      <w:pPr>
        <w:ind w:firstLine="656"/>
        <w:spacing w:after="0" w:line="277" w:lineRule="auto"/>
        <w:tabs>
          <w:tab w:leader="none" w:pos="11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Levin has not undertaken any transactions in the Shares during the past 60 days. The transactions in the Shares by LCS during the past 60 days are set forth in Schedule A and are incorporated herein by reference.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the best of the Reporting Persons’ knowledge, none of the persons listed on Appendix A beneficially owns any securities of the Issuer.</w:t>
      </w:r>
    </w:p>
    <w:p>
      <w:pPr>
        <w:spacing w:after="0" w:line="237" w:lineRule="exact"/>
        <w:rPr>
          <w:sz w:val="20"/>
          <w:szCs w:val="20"/>
          <w:color w:val="auto"/>
        </w:rPr>
      </w:pPr>
    </w:p>
    <w:p>
      <w:pPr>
        <w:ind w:right="80" w:firstLine="656"/>
        <w:spacing w:after="0" w:line="264" w:lineRule="auto"/>
        <w:tabs>
          <w:tab w:leader="none" w:pos="1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Transamerica Large Cap Value Fund (“Transamerica”), a registered investment company under the Investment Company Act of 1940, as amended, for which LCS acts as sub-investment advisor, has the right to receive dividends from, and the proceeds from the sale of, 1,113,376 Shares. Voting and dispositive power over such Shares is deemed to be shared between LCS and Transamerica.</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Various separately managed accounts for whom LCS acts as investment manager have the right to receive dividends from, and the proceeds from the sale of 10,122,116 Shares. Dispositive power over such Shares is shared. Voting power over such Shares is deemed shared between such managed accounts and LCS with respect to 7,058,405 Shares. The managed accounts have sole voting power over the remaining 3,063,711 Shares.</w:t>
      </w:r>
    </w:p>
    <w:p>
      <w:pPr>
        <w:spacing w:after="0" w:line="166" w:lineRule="exact"/>
        <w:rPr>
          <w:sz w:val="20"/>
          <w:szCs w:val="20"/>
          <w:color w:val="auto"/>
        </w:rPr>
      </w:pPr>
    </w:p>
    <w:p>
      <w:pPr>
        <w:ind w:left="1280" w:hanging="624"/>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6" w:name="page17"/>
    <w:bookmarkEnd w:id="16"/>
    <w:p>
      <w:pPr>
        <w:ind w:left="1300" w:right="660" w:hanging="1296"/>
        <w:spacing w:after="0" w:line="277" w:lineRule="auto"/>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u w:val="single" w:color="auto"/>
          <w:color w:val="auto"/>
        </w:rPr>
        <w:t>CONTRACTS, ARRANGEMENTS, UNDERSTANDINGS OR RELATIONSHIPS WITH RESPECT TO SECURITIES OF THE ISSUER</w:t>
      </w:r>
      <w:r>
        <w:rPr>
          <w:rFonts w:ascii="Arial" w:cs="Arial" w:eastAsia="Arial" w:hAnsi="Arial"/>
          <w:sz w:val="18"/>
          <w:szCs w:val="18"/>
          <w:color w:val="auto"/>
        </w:rPr>
        <w:t>.</w:t>
      </w:r>
    </w:p>
    <w:p>
      <w:pPr>
        <w:spacing w:after="0" w:line="170" w:lineRule="exact"/>
        <w:rPr>
          <w:sz w:val="20"/>
          <w:szCs w:val="20"/>
          <w:color w:val="auto"/>
        </w:rPr>
      </w:pPr>
    </w:p>
    <w:p>
      <w:pPr>
        <w:jc w:val="both"/>
        <w:ind w:right="320" w:firstLine="825"/>
        <w:spacing w:after="0" w:line="264" w:lineRule="auto"/>
        <w:rPr>
          <w:sz w:val="20"/>
          <w:szCs w:val="20"/>
          <w:color w:val="auto"/>
        </w:rPr>
      </w:pPr>
      <w:r>
        <w:rPr>
          <w:rFonts w:ascii="Arial" w:cs="Arial" w:eastAsia="Arial" w:hAnsi="Arial"/>
          <w:sz w:val="18"/>
          <w:szCs w:val="18"/>
          <w:color w:val="auto"/>
        </w:rPr>
        <w:t>On August 10, 2017,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ind w:right="140" w:firstLine="825"/>
        <w:spacing w:after="0" w:line="277" w:lineRule="auto"/>
        <w:rPr>
          <w:sz w:val="20"/>
          <w:szCs w:val="20"/>
          <w:color w:val="auto"/>
        </w:rPr>
      </w:pPr>
      <w:r>
        <w:rPr>
          <w:rFonts w:ascii="Arial" w:cs="Arial" w:eastAsia="Arial" w:hAnsi="Arial"/>
          <w:sz w:val="18"/>
          <w:szCs w:val="18"/>
          <w:color w:val="auto"/>
        </w:rPr>
        <w:t>To the best of the Reporting Persons’ knowledge, except as otherwise set forth herein, none of the persons listed on Appendix A is a party to any contract, agreement or understanding required to be disclosed herein.</w:t>
      </w:r>
    </w:p>
    <w:p>
      <w:pPr>
        <w:spacing w:after="0" w:line="170" w:lineRule="exact"/>
        <w:rPr>
          <w:sz w:val="20"/>
          <w:szCs w:val="20"/>
          <w:color w:val="auto"/>
        </w:rPr>
      </w:pPr>
    </w:p>
    <w:p>
      <w:pPr>
        <w:ind w:firstLine="825"/>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u w:val="single" w:color="auto"/>
          <w:color w:val="auto"/>
        </w:rPr>
        <w:t>MATERIAL TO BE FILED AS EXHIBITS</w:t>
      </w:r>
      <w:r>
        <w:rPr>
          <w:rFonts w:ascii="Arial" w:cs="Arial" w:eastAsia="Arial" w:hAnsi="Arial"/>
          <w:sz w:val="17"/>
          <w:szCs w:val="17"/>
          <w:color w:val="auto"/>
        </w:rPr>
        <w:t>.</w:t>
      </w:r>
    </w:p>
    <w:p>
      <w:pPr>
        <w:spacing w:after="0" w:line="212"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34385P108</w:t>
      </w: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2017</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r>
      <w:tr>
        <w:trPr>
          <w:trHeight w:val="195"/>
        </w:trPr>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Trustee</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Levin Capital Trilogy Master Fund,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648"/>
        </w:trPr>
        <w:tc>
          <w:tcPr>
            <w:tcW w:w="150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88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Levcap Alternative Fund,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Event Partners,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LCS Event Partners,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bl>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w w:val="92"/>
              </w:rPr>
              <w:t>Safinia Partners, L.P.</w:t>
            </w:r>
          </w:p>
        </w:tc>
        <w:tc>
          <w:tcPr>
            <w:tcW w:w="378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L/S,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00" w:type="dxa"/>
            <w:vAlign w:val="bottom"/>
            <w:gridSpan w:val="2"/>
          </w:tcPr>
          <w:p>
            <w:pPr>
              <w:spacing w:after="0"/>
              <w:rPr>
                <w:sz w:val="20"/>
                <w:szCs w:val="20"/>
                <w:color w:val="auto"/>
              </w:rPr>
            </w:pPr>
            <w:r>
              <w:rPr>
                <w:rFonts w:ascii="Arial" w:cs="Arial" w:eastAsia="Arial" w:hAnsi="Arial"/>
                <w:sz w:val="18"/>
                <w:szCs w:val="18"/>
                <w:color w:val="auto"/>
              </w:rPr>
              <w:t>LCS L/S, LLC</w:t>
            </w:r>
          </w:p>
        </w:tc>
        <w:tc>
          <w:tcPr>
            <w:tcW w:w="378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CUSIP NO. 34385P108</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 of Levin Capital Trilogy Master Fund, Ltd.</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Name and Position</w:t>
            </w:r>
          </w:p>
        </w:tc>
        <w:tc>
          <w:tcPr>
            <w:tcW w:w="820" w:type="dxa"/>
            <w:vAlign w:val="bottom"/>
            <w:tcBorders>
              <w:top w:val="single" w:sz="8" w:color="auto"/>
            </w:tcBorders>
          </w:tcPr>
          <w:p>
            <w:pPr>
              <w:spacing w:after="0"/>
              <w:rPr>
                <w:sz w:val="19"/>
                <w:szCs w:val="19"/>
                <w:color w:val="auto"/>
              </w:rPr>
            </w:pPr>
          </w:p>
        </w:tc>
        <w:tc>
          <w:tcPr>
            <w:tcW w:w="29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Present Principal Occupation</w:t>
            </w:r>
          </w:p>
        </w:tc>
        <w:tc>
          <w:tcPr>
            <w:tcW w:w="37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Business Address</w:t>
            </w:r>
          </w:p>
        </w:tc>
      </w:tr>
      <w:tr>
        <w:trPr>
          <w:trHeight w:val="61"/>
        </w:trPr>
        <w:tc>
          <w:tcPr>
            <w:tcW w:w="60" w:type="dxa"/>
            <w:vAlign w:val="bottom"/>
            <w:tcBorders>
              <w:left w:val="single" w:sz="8" w:color="auto"/>
              <w:bottom w:val="single" w:sz="8" w:color="auto"/>
            </w:tcBorders>
          </w:tcPr>
          <w:p>
            <w:pPr>
              <w:spacing w:after="0"/>
              <w:rPr>
                <w:sz w:val="5"/>
                <w:szCs w:val="5"/>
                <w:color w:val="auto"/>
              </w:rPr>
            </w:pPr>
          </w:p>
        </w:tc>
        <w:tc>
          <w:tcPr>
            <w:tcW w:w="1380" w:type="dxa"/>
            <w:vAlign w:val="bottom"/>
            <w:tcBorders>
              <w:top w:val="single" w:sz="8" w:color="auto"/>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100" w:type="dxa"/>
            <w:vAlign w:val="bottom"/>
            <w:tcBorders>
              <w:top w:val="single" w:sz="8" w:color="auto"/>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80" w:type="dxa"/>
            <w:vAlign w:val="bottom"/>
            <w:tcBorders>
              <w:top w:val="single" w:sz="8" w:color="auto"/>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r>
      <w:tr>
        <w:trPr>
          <w:trHeight w:val="236"/>
        </w:trPr>
        <w:tc>
          <w:tcPr>
            <w:tcW w:w="39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John Mackin, Director</w:t>
            </w:r>
          </w:p>
        </w:tc>
        <w:tc>
          <w:tcPr>
            <w:tcW w:w="37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Levin Capital Strategies, L.P.</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595 Madison Avenue, 17th Floor</w:t>
            </w:r>
          </w:p>
        </w:tc>
      </w:tr>
      <w:tr>
        <w:trPr>
          <w:trHeight w:val="230"/>
        </w:trPr>
        <w:tc>
          <w:tcPr>
            <w:tcW w:w="60" w:type="dxa"/>
            <w:vAlign w:val="bottom"/>
            <w:tcBorders>
              <w:lef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New York, NY 10022</w:t>
            </w:r>
          </w:p>
        </w:tc>
      </w:tr>
      <w:tr>
        <w:trPr>
          <w:trHeight w:val="41"/>
        </w:trPr>
        <w:tc>
          <w:tcPr>
            <w:tcW w:w="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r>
      <w:tr>
        <w:trPr>
          <w:trHeight w:val="236"/>
        </w:trPr>
        <w:tc>
          <w:tcPr>
            <w:tcW w:w="39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Lisa Alexander, Director</w:t>
            </w:r>
          </w:p>
        </w:tc>
        <w:tc>
          <w:tcPr>
            <w:tcW w:w="37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Attorney at 19 Degrees North Fund Services, Ltd.</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Regatta Office Park, Windward 1</w:t>
            </w:r>
          </w:p>
        </w:tc>
      </w:tr>
      <w:tr>
        <w:trPr>
          <w:trHeight w:val="216"/>
        </w:trPr>
        <w:tc>
          <w:tcPr>
            <w:tcW w:w="6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Suite 110, PO Box 31527</w:t>
            </w:r>
          </w:p>
        </w:tc>
      </w:tr>
      <w:tr>
        <w:trPr>
          <w:trHeight w:val="216"/>
        </w:trPr>
        <w:tc>
          <w:tcPr>
            <w:tcW w:w="6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Grand Cayman, KY1-1207</w:t>
            </w:r>
          </w:p>
        </w:tc>
      </w:tr>
      <w:tr>
        <w:trPr>
          <w:trHeight w:val="230"/>
        </w:trPr>
        <w:tc>
          <w:tcPr>
            <w:tcW w:w="60" w:type="dxa"/>
            <w:vAlign w:val="bottom"/>
            <w:tcBorders>
              <w:lef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Cayman Islands</w:t>
            </w:r>
          </w:p>
        </w:tc>
      </w:tr>
      <w:tr>
        <w:trPr>
          <w:trHeight w:val="41"/>
        </w:trPr>
        <w:tc>
          <w:tcPr>
            <w:tcW w:w="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r>
      <w:tr>
        <w:trPr>
          <w:trHeight w:val="236"/>
        </w:trPr>
        <w:tc>
          <w:tcPr>
            <w:tcW w:w="39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Scott P. Lennon, Director</w:t>
            </w:r>
          </w:p>
        </w:tc>
        <w:tc>
          <w:tcPr>
            <w:tcW w:w="37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Attorney at 19 Degrees North Fund Services, Ltd.</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Regatta Office Park, Windward 1</w:t>
            </w:r>
          </w:p>
        </w:tc>
      </w:tr>
      <w:tr>
        <w:trPr>
          <w:trHeight w:val="216"/>
        </w:trPr>
        <w:tc>
          <w:tcPr>
            <w:tcW w:w="6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Suite 110, PO Box 31527</w:t>
            </w:r>
          </w:p>
        </w:tc>
      </w:tr>
      <w:tr>
        <w:trPr>
          <w:trHeight w:val="216"/>
        </w:trPr>
        <w:tc>
          <w:tcPr>
            <w:tcW w:w="6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Grand Cayman, KY1-1207</w:t>
            </w:r>
          </w:p>
        </w:tc>
      </w:tr>
      <w:tr>
        <w:trPr>
          <w:trHeight w:val="230"/>
        </w:trPr>
        <w:tc>
          <w:tcPr>
            <w:tcW w:w="60" w:type="dxa"/>
            <w:vAlign w:val="bottom"/>
            <w:tcBorders>
              <w:lef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Cayman Islands</w:t>
            </w:r>
          </w:p>
        </w:tc>
      </w:tr>
      <w:tr>
        <w:trPr>
          <w:trHeight w:val="41"/>
        </w:trPr>
        <w:tc>
          <w:tcPr>
            <w:tcW w:w="60" w:type="dxa"/>
            <w:vAlign w:val="bottom"/>
            <w:tcBorders>
              <w:left w:val="single" w:sz="8" w:color="auto"/>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Exceptions to Item 2(f) of the Schedule 13D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Alexander and Scott P. Lennon are citizens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CUSIP NO. 34385P108</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During the Past Sixty Days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740" w:type="dxa"/>
            <w:vAlign w:val="bottom"/>
            <w:tcBorders>
              <w:top w:val="single" w:sz="8" w:color="auto"/>
              <w:left w:val="single" w:sz="8" w:color="auto"/>
              <w:right w:val="single" w:sz="8" w:color="auto"/>
            </w:tcBorders>
            <w:vMerge w:val="restart"/>
            <w:shd w:val="clear" w:color="auto" w:fill="C0C0C0"/>
          </w:tcPr>
          <w:p>
            <w:pPr>
              <w:jc w:val="right"/>
              <w:ind w:right="610"/>
              <w:spacing w:after="0"/>
              <w:rPr>
                <w:sz w:val="20"/>
                <w:szCs w:val="20"/>
                <w:color w:val="auto"/>
              </w:rPr>
            </w:pPr>
            <w:r>
              <w:rPr>
                <w:rFonts w:ascii="Arial" w:cs="Arial" w:eastAsia="Arial" w:hAnsi="Arial"/>
                <w:sz w:val="18"/>
                <w:szCs w:val="18"/>
                <w:color w:val="auto"/>
              </w:rPr>
              <w:t>Date</w:t>
            </w:r>
          </w:p>
        </w:tc>
        <w:tc>
          <w:tcPr>
            <w:tcW w:w="1160" w:type="dxa"/>
            <w:vAlign w:val="bottom"/>
            <w:tcBorders>
              <w:top w:val="single" w:sz="8" w:color="auto"/>
              <w:right w:val="single" w:sz="8" w:color="auto"/>
            </w:tcBorders>
            <w:vMerge w:val="restart"/>
            <w:shd w:val="clear" w:color="auto" w:fill="C0C0C0"/>
          </w:tcPr>
          <w:p>
            <w:pPr>
              <w:ind w:left="160"/>
              <w:spacing w:after="0"/>
              <w:rPr>
                <w:sz w:val="20"/>
                <w:szCs w:val="20"/>
                <w:color w:val="auto"/>
              </w:rPr>
            </w:pPr>
            <w:r>
              <w:rPr>
                <w:rFonts w:ascii="Arial" w:cs="Arial" w:eastAsia="Arial" w:hAnsi="Arial"/>
                <w:sz w:val="18"/>
                <w:szCs w:val="18"/>
                <w:color w:val="auto"/>
              </w:rPr>
              <w:t>Buy or Sell</w:t>
            </w:r>
          </w:p>
        </w:tc>
        <w:tc>
          <w:tcPr>
            <w:tcW w:w="1240" w:type="dxa"/>
            <w:vAlign w:val="bottom"/>
            <w:tcBorders>
              <w:top w:val="single" w:sz="8" w:color="auto"/>
              <w:right w:val="single" w:sz="8" w:color="auto"/>
            </w:tcBorders>
            <w:vMerge w:val="restart"/>
            <w:shd w:val="clear" w:color="auto" w:fill="C0C0C0"/>
          </w:tcPr>
          <w:p>
            <w:pPr>
              <w:jc w:val="right"/>
              <w:ind w:right="230"/>
              <w:spacing w:after="0"/>
              <w:rPr>
                <w:sz w:val="20"/>
                <w:szCs w:val="20"/>
                <w:color w:val="auto"/>
              </w:rPr>
            </w:pPr>
            <w:r>
              <w:rPr>
                <w:rFonts w:ascii="Arial" w:cs="Arial" w:eastAsia="Arial" w:hAnsi="Arial"/>
                <w:sz w:val="18"/>
                <w:szCs w:val="18"/>
                <w:color w:val="auto"/>
              </w:rPr>
              <w:t>Quantity</w:t>
            </w:r>
          </w:p>
        </w:tc>
        <w:tc>
          <w:tcPr>
            <w:tcW w:w="194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Arial" w:cs="Arial" w:eastAsia="Arial" w:hAnsi="Arial"/>
                <w:sz w:val="18"/>
                <w:szCs w:val="18"/>
                <w:color w:val="auto"/>
                <w:w w:val="94"/>
              </w:rPr>
              <w:t>Price Per Share (before</w:t>
            </w:r>
          </w:p>
        </w:tc>
        <w:tc>
          <w:tcPr>
            <w:tcW w:w="5340" w:type="dxa"/>
            <w:vAlign w:val="bottom"/>
            <w:tcBorders>
              <w:top w:val="single" w:sz="8" w:color="auto"/>
              <w:right w:val="single" w:sz="8" w:color="auto"/>
            </w:tcBorders>
            <w:vMerge w:val="restart"/>
            <w:shd w:val="clear" w:color="auto" w:fill="C0C0C0"/>
          </w:tcPr>
          <w:p>
            <w:pPr>
              <w:ind w:left="2040"/>
              <w:spacing w:after="0"/>
              <w:rPr>
                <w:sz w:val="20"/>
                <w:szCs w:val="20"/>
                <w:color w:val="auto"/>
              </w:rPr>
            </w:pPr>
            <w:r>
              <w:rPr>
                <w:rFonts w:ascii="Arial" w:cs="Arial" w:eastAsia="Arial" w:hAnsi="Arial"/>
                <w:sz w:val="18"/>
                <w:szCs w:val="18"/>
                <w:color w:val="auto"/>
              </w:rPr>
              <w:t>Reporting Person</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continue"/>
            <w:shd w:val="clear" w:color="auto" w:fill="C0C0C0"/>
          </w:tcPr>
          <w:p>
            <w:pPr>
              <w:spacing w:after="0"/>
              <w:rPr>
                <w:sz w:val="10"/>
                <w:szCs w:val="10"/>
                <w:color w:val="auto"/>
              </w:rPr>
            </w:pPr>
          </w:p>
        </w:tc>
        <w:tc>
          <w:tcPr>
            <w:tcW w:w="1160" w:type="dxa"/>
            <w:vAlign w:val="bottom"/>
            <w:tcBorders>
              <w:right w:val="single" w:sz="8" w:color="auto"/>
            </w:tcBorders>
            <w:vMerge w:val="continue"/>
            <w:shd w:val="clear" w:color="auto" w:fill="C0C0C0"/>
          </w:tcPr>
          <w:p>
            <w:pPr>
              <w:spacing w:after="0"/>
              <w:rPr>
                <w:sz w:val="10"/>
                <w:szCs w:val="10"/>
                <w:color w:val="auto"/>
              </w:rPr>
            </w:pPr>
          </w:p>
        </w:tc>
        <w:tc>
          <w:tcPr>
            <w:tcW w:w="1240" w:type="dxa"/>
            <w:vAlign w:val="bottom"/>
            <w:tcBorders>
              <w:right w:val="single" w:sz="8" w:color="auto"/>
            </w:tcBorders>
            <w:vMerge w:val="continue"/>
            <w:shd w:val="clear" w:color="auto" w:fill="C0C0C0"/>
          </w:tcPr>
          <w:p>
            <w:pPr>
              <w:spacing w:after="0"/>
              <w:rPr>
                <w:sz w:val="10"/>
                <w:szCs w:val="10"/>
                <w:color w:val="auto"/>
              </w:rPr>
            </w:pPr>
          </w:p>
        </w:tc>
        <w:tc>
          <w:tcPr>
            <w:tcW w:w="1940" w:type="dxa"/>
            <w:vAlign w:val="bottom"/>
            <w:tcBorders>
              <w:right w:val="single" w:sz="8" w:color="auto"/>
            </w:tcBorders>
            <w:vMerge w:val="restart"/>
            <w:shd w:val="clear" w:color="auto" w:fill="C0C0C0"/>
          </w:tcPr>
          <w:p>
            <w:pPr>
              <w:jc w:val="right"/>
              <w:ind w:right="430"/>
              <w:spacing w:after="0"/>
              <w:rPr>
                <w:sz w:val="20"/>
                <w:szCs w:val="20"/>
                <w:color w:val="auto"/>
              </w:rPr>
            </w:pPr>
            <w:r>
              <w:rPr>
                <w:rFonts w:ascii="Arial" w:cs="Arial" w:eastAsia="Arial" w:hAnsi="Arial"/>
                <w:sz w:val="18"/>
                <w:szCs w:val="18"/>
                <w:color w:val="auto"/>
              </w:rPr>
              <w:t>commission)</w:t>
            </w:r>
          </w:p>
        </w:tc>
        <w:tc>
          <w:tcPr>
            <w:tcW w:w="5340" w:type="dxa"/>
            <w:vAlign w:val="bottom"/>
            <w:tcBorders>
              <w:right w:val="single" w:sz="8" w:color="auto"/>
            </w:tcBorders>
            <w:vMerge w:val="continue"/>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shd w:val="clear" w:color="auto" w:fill="C0C0C0"/>
          </w:tcPr>
          <w:p>
            <w:pPr>
              <w:spacing w:after="0"/>
              <w:rPr>
                <w:sz w:val="9"/>
                <w:szCs w:val="9"/>
                <w:color w:val="auto"/>
              </w:rPr>
            </w:pPr>
          </w:p>
        </w:tc>
        <w:tc>
          <w:tcPr>
            <w:tcW w:w="1160" w:type="dxa"/>
            <w:vAlign w:val="bottom"/>
            <w:tcBorders>
              <w:bottom w:val="single" w:sz="8" w:color="auto"/>
              <w:right w:val="single" w:sz="8" w:color="auto"/>
            </w:tcBorders>
            <w:shd w:val="clear" w:color="auto" w:fill="C0C0C0"/>
          </w:tcPr>
          <w:p>
            <w:pPr>
              <w:spacing w:after="0"/>
              <w:rPr>
                <w:sz w:val="9"/>
                <w:szCs w:val="9"/>
                <w:color w:val="auto"/>
              </w:rPr>
            </w:pPr>
          </w:p>
        </w:tc>
        <w:tc>
          <w:tcPr>
            <w:tcW w:w="1240" w:type="dxa"/>
            <w:vAlign w:val="bottom"/>
            <w:tcBorders>
              <w:bottom w:val="single" w:sz="8" w:color="auto"/>
              <w:right w:val="single" w:sz="8" w:color="auto"/>
            </w:tcBorders>
            <w:shd w:val="clear" w:color="auto" w:fill="C0C0C0"/>
          </w:tcPr>
          <w:p>
            <w:pPr>
              <w:spacing w:after="0"/>
              <w:rPr>
                <w:sz w:val="9"/>
                <w:szCs w:val="9"/>
                <w:color w:val="auto"/>
              </w:rPr>
            </w:pPr>
          </w:p>
        </w:tc>
        <w:tc>
          <w:tcPr>
            <w:tcW w:w="194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534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8/9/2017</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3.1838</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8/10/2017</w:t>
            </w: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Transamerica Large Cap Value Fund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8/10/2017</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31,816</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Levin Capital Trilogy Master Fund, LTD.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8/10/2017</w:t>
            </w: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34,367</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8/10/2017</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10,566</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Safinia Partners,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8/10/2017</w:t>
            </w: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3,908,251</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8/10/2017</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3.2479</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8/10/2017</w:t>
            </w: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1,080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3.31</w:t>
            </w: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dated August 10, 2017 (including amendments thereto) with respect to the Common Stock of Fluidigm Corporation. This Joint Filing Agreement shall be filed as an Exhibit to such Statement. The undersigned acknowledge that each shall be responsible for the timely filing of any amendments to such Statement, and for the completeness and accuracy of the information concerning him or her contained in such Statement and any amendments thereto, but shall not be responsible for the completeness and accuracy of the information concerning the other, except to the extent that he or she knows or has reason to believe that such information is inaccurate.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2017</w:t>
      </w:r>
    </w:p>
    <w:p>
      <w:pPr>
        <w:spacing w:after="0" w:line="200" w:lineRule="exact"/>
        <w:rPr>
          <w:sz w:val="20"/>
          <w:szCs w:val="20"/>
          <w:color w:val="auto"/>
        </w:rPr>
      </w:pPr>
    </w:p>
    <w:p>
      <w:pPr>
        <w:spacing w:after="0" w:line="26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0"/>
                <w:szCs w:val="20"/>
                <w:color w:val="auto"/>
              </w:rPr>
            </w:pPr>
          </w:p>
        </w:tc>
      </w:tr>
      <w:tr>
        <w:trPr>
          <w:trHeight w:val="195"/>
        </w:trPr>
        <w:tc>
          <w:tcPr>
            <w:tcW w:w="662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Levin Capital Strategies GP, LLC</w:t>
            </w: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Elisabeth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Trustee</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Levin Capital Trilogy Master Fund, Ltd.</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LLC, its General Partner</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648"/>
        </w:trPr>
        <w:tc>
          <w:tcPr>
            <w:tcW w:w="7440" w:type="dxa"/>
            <w:vAlign w:val="bottom"/>
            <w:gridSpan w:val="2"/>
          </w:tcPr>
          <w:p>
            <w:pPr>
              <w:ind w:left="5940"/>
              <w:spacing w:after="0"/>
              <w:rPr>
                <w:sz w:val="20"/>
                <w:szCs w:val="20"/>
                <w:color w:val="auto"/>
              </w:rPr>
            </w:pPr>
            <w:r>
              <w:rPr>
                <w:rFonts w:ascii="Arial" w:cs="Arial" w:eastAsia="Arial" w:hAnsi="Arial"/>
                <w:sz w:val="18"/>
                <w:szCs w:val="18"/>
                <w:color w:val="auto"/>
              </w:rPr>
              <w:t>LCS, LLC</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Levcap Alternative Fund, L.P.</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Event Partners, LLC, its General Partner</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LCS Event Partners, LLC</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540"/>
        </w:trPr>
        <w:tc>
          <w:tcPr>
            <w:tcW w:w="6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line="1"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w w:val="92"/>
              </w:rPr>
              <w:t>Safinia Partners, L.P.</w:t>
            </w:r>
          </w:p>
        </w:tc>
        <w:tc>
          <w:tcPr>
            <w:tcW w:w="378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L/S,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00" w:type="dxa"/>
            <w:vAlign w:val="bottom"/>
            <w:gridSpan w:val="2"/>
          </w:tcPr>
          <w:p>
            <w:pPr>
              <w:spacing w:after="0"/>
              <w:rPr>
                <w:sz w:val="20"/>
                <w:szCs w:val="20"/>
                <w:color w:val="auto"/>
              </w:rPr>
            </w:pPr>
            <w:r>
              <w:rPr>
                <w:rFonts w:ascii="Arial" w:cs="Arial" w:eastAsia="Arial" w:hAnsi="Arial"/>
                <w:sz w:val="18"/>
                <w:szCs w:val="18"/>
                <w:color w:val="auto"/>
              </w:rPr>
              <w:t>LCS L/S, LLC</w:t>
            </w:r>
          </w:p>
        </w:tc>
        <w:tc>
          <w:tcPr>
            <w:tcW w:w="378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4817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sectPr>
      <w:pgSz w:w="11900" w:h="16838" w:orient="portrait"/>
      <w:cols w:equalWidth="0" w:num="1">
        <w:col w:w="10120"/>
      </w:cols>
      <w:pgMar w:left="14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decimal"/>
      <w:start w:val="1"/>
    </w:lvl>
    <w:lvl w:ilvl="1">
      <w:lvlJc w:val="left"/>
      <w:lvlText w:val="(%2)"/>
      <w:numFmt w:val="lowerLetter"/>
      <w:start w:val="1"/>
    </w:lvl>
  </w:abstractNum>
  <w:abstractNum w:abstractNumId="2">
    <w:nsid w:val="7724C67E"/>
    <w:multiLevelType w:val="hybridMultilevel"/>
    <w:lvl w:ilvl="0">
      <w:lvlJc w:val="left"/>
      <w:lvlText w:val="%1."/>
      <w:numFmt w:val="decimal"/>
      <w:start w:val="6"/>
    </w:lvl>
    <w:lvl w:ilvl="1">
      <w:lvlJc w:val="left"/>
      <w:lvlText w:val="%2."/>
      <w:numFmt w:val="decimal"/>
      <w:start w:val="7"/>
    </w:lvl>
  </w:abstractNum>
  <w:abstractNum w:abstractNumId="3">
    <w:nsid w:val="5C482A97"/>
    <w:multiLevelType w:val="hybridMultilevel"/>
    <w:lvl w:ilvl="0">
      <w:lvlJc w:val="left"/>
      <w:lvlText w:val="%1"/>
      <w:numFmt w:val="decimal"/>
      <w:start w:val="1"/>
    </w:lvl>
    <w:lvl w:ilvl="1">
      <w:lvlJc w:val="left"/>
      <w:lvlText w:val="%2."/>
      <w:numFmt w:val="decimal"/>
      <w:start w:val="10"/>
    </w:lvl>
  </w:abstractNum>
  <w:abstractNum w:abstractNumId="4">
    <w:nsid w:val="2463B9EA"/>
    <w:multiLevelType w:val="hybridMultilevel"/>
    <w:lvl w:ilvl="0">
      <w:lvlJc w:val="left"/>
      <w:lvlText w:val="%1."/>
      <w:numFmt w:val="decimal"/>
      <w:start w:val="11"/>
    </w:lvl>
    <w:lvl w:ilvl="1">
      <w:lvlJc w:val="left"/>
      <w:lvlText w:val="%2"/>
      <w:numFmt w:val="decimal"/>
      <w:start w:val="1"/>
    </w:lvl>
  </w:abstractNum>
  <w:abstractNum w:abstractNumId="5">
    <w:nsid w:val="5E884ADC"/>
    <w:multiLevelType w:val="hybridMultilevel"/>
    <w:lvl w:ilvl="0">
      <w:lvlJc w:val="left"/>
      <w:lvlText w:val="%1."/>
      <w:numFmt w:val="decimal"/>
      <w:start w:val="1"/>
    </w:lvl>
    <w:lvl w:ilvl="1">
      <w:lvlJc w:val="left"/>
      <w:lvlText w:val="(%2)"/>
      <w:numFmt w:val="lowerLetter"/>
      <w:start w:val="1"/>
    </w:lvl>
  </w:abstractNum>
  <w:abstractNum w:abstractNumId="6">
    <w:nsid w:val="51EAD36B"/>
    <w:multiLevelType w:val="hybridMultilevel"/>
    <w:lvl w:ilvl="0">
      <w:lvlJc w:val="left"/>
      <w:lvlText w:val="%1."/>
      <w:numFmt w:val="decimal"/>
      <w:start w:val="6"/>
    </w:lvl>
    <w:lvl w:ilvl="1">
      <w:lvlJc w:val="left"/>
      <w:lvlText w:val="%2."/>
      <w:numFmt w:val="decimal"/>
      <w:start w:val="7"/>
    </w:lvl>
  </w:abstractNum>
  <w:abstractNum w:abstractNumId="7">
    <w:nsid w:val="2D517796"/>
    <w:multiLevelType w:val="hybridMultilevel"/>
    <w:lvl w:ilvl="0">
      <w:lvlJc w:val="left"/>
      <w:lvlText w:val="%1"/>
      <w:numFmt w:val="decimal"/>
      <w:start w:val="1"/>
    </w:lvl>
    <w:lvl w:ilvl="1">
      <w:lvlJc w:val="left"/>
      <w:lvlText w:val="%2."/>
      <w:numFmt w:val="decimal"/>
      <w:start w:val="10"/>
    </w:lvl>
  </w:abstractNum>
  <w:abstractNum w:abstractNumId="8">
    <w:nsid w:val="580BD78F"/>
    <w:multiLevelType w:val="hybridMultilevel"/>
    <w:lvl w:ilvl="0">
      <w:lvlJc w:val="left"/>
      <w:lvlText w:val="%1."/>
      <w:numFmt w:val="decimal"/>
      <w:start w:val="11"/>
    </w:lvl>
    <w:lvl w:ilvl="1">
      <w:lvlJc w:val="left"/>
      <w:lvlText w:val="%2"/>
      <w:numFmt w:val="decimal"/>
      <w:start w:val="1"/>
    </w:lvl>
  </w:abstractNum>
  <w:abstractNum w:abstractNumId="9">
    <w:nsid w:val="153EA438"/>
    <w:multiLevelType w:val="hybridMultilevel"/>
    <w:lvl w:ilvl="0">
      <w:lvlJc w:val="left"/>
      <w:lvlText w:val="%1."/>
      <w:numFmt w:val="decimal"/>
      <w:start w:val="1"/>
    </w:lvl>
    <w:lvl w:ilvl="1">
      <w:lvlJc w:val="left"/>
      <w:lvlText w:val="(%2)"/>
      <w:numFmt w:val="lowerLetter"/>
      <w:start w:val="1"/>
    </w:lvl>
  </w:abstractNum>
  <w:abstractNum w:abstractNumId="10">
    <w:nsid w:val="3855585C"/>
    <w:multiLevelType w:val="hybridMultilevel"/>
    <w:lvl w:ilvl="0">
      <w:lvlJc w:val="left"/>
      <w:lvlText w:val="%1."/>
      <w:numFmt w:val="decimal"/>
      <w:start w:val="6"/>
    </w:lvl>
    <w:lvl w:ilvl="1">
      <w:lvlJc w:val="left"/>
      <w:lvlText w:val="%2."/>
      <w:numFmt w:val="decimal"/>
      <w:start w:val="7"/>
    </w:lvl>
  </w:abstractNum>
  <w:abstractNum w:abstractNumId="11">
    <w:nsid w:val="70A64E2A"/>
    <w:multiLevelType w:val="hybridMultilevel"/>
    <w:lvl w:ilvl="0">
      <w:lvlJc w:val="left"/>
      <w:lvlText w:val="%1"/>
      <w:numFmt w:val="decimal"/>
      <w:start w:val="1"/>
    </w:lvl>
    <w:lvl w:ilvl="1">
      <w:lvlJc w:val="left"/>
      <w:lvlText w:val="%2."/>
      <w:numFmt w:val="decimal"/>
      <w:start w:val="10"/>
    </w:lvl>
  </w:abstractNum>
  <w:abstractNum w:abstractNumId="12">
    <w:nsid w:val="6A2342EC"/>
    <w:multiLevelType w:val="hybridMultilevel"/>
    <w:lvl w:ilvl="0">
      <w:lvlJc w:val="left"/>
      <w:lvlText w:val="%1."/>
      <w:numFmt w:val="decimal"/>
      <w:start w:val="11"/>
    </w:lvl>
    <w:lvl w:ilvl="1">
      <w:lvlJc w:val="left"/>
      <w:lvlText w:val="%2"/>
      <w:numFmt w:val="decimal"/>
      <w:start w:val="1"/>
    </w:lvl>
  </w:abstractNum>
  <w:abstractNum w:abstractNumId="13">
    <w:nsid w:val="2A487CB0"/>
    <w:multiLevelType w:val="hybridMultilevel"/>
    <w:lvl w:ilvl="0">
      <w:lvlJc w:val="left"/>
      <w:lvlText w:val="%1."/>
      <w:numFmt w:val="decimal"/>
      <w:start w:val="1"/>
    </w:lvl>
    <w:lvl w:ilvl="1">
      <w:lvlJc w:val="left"/>
      <w:lvlText w:val="(%2)"/>
      <w:numFmt w:val="lowerLetter"/>
      <w:start w:val="1"/>
    </w:lvl>
  </w:abstractNum>
  <w:abstractNum w:abstractNumId="14">
    <w:nsid w:val="1D4ED43B"/>
    <w:multiLevelType w:val="hybridMultilevel"/>
    <w:lvl w:ilvl="0">
      <w:lvlJc w:val="left"/>
      <w:lvlText w:val="%1."/>
      <w:numFmt w:val="decimal"/>
      <w:start w:val="6"/>
    </w:lvl>
    <w:lvl w:ilvl="1">
      <w:lvlJc w:val="left"/>
      <w:lvlText w:val="%2."/>
      <w:numFmt w:val="decimal"/>
      <w:start w:val="7"/>
    </w:lvl>
  </w:abstractNum>
  <w:abstractNum w:abstractNumId="15">
    <w:nsid w:val="725A06FB"/>
    <w:multiLevelType w:val="hybridMultilevel"/>
    <w:lvl w:ilvl="0">
      <w:lvlJc w:val="left"/>
      <w:lvlText w:val="%1"/>
      <w:numFmt w:val="decimal"/>
      <w:start w:val="1"/>
    </w:lvl>
    <w:lvl w:ilvl="1">
      <w:lvlJc w:val="left"/>
      <w:lvlText w:val="%2."/>
      <w:numFmt w:val="decimal"/>
      <w:start w:val="10"/>
    </w:lvl>
  </w:abstractNum>
  <w:abstractNum w:abstractNumId="16">
    <w:nsid w:val="2CD89A32"/>
    <w:multiLevelType w:val="hybridMultilevel"/>
    <w:lvl w:ilvl="0">
      <w:lvlJc w:val="left"/>
      <w:lvlText w:val="%1."/>
      <w:numFmt w:val="decimal"/>
      <w:start w:val="11"/>
    </w:lvl>
    <w:lvl w:ilvl="1">
      <w:lvlJc w:val="left"/>
      <w:lvlText w:val="%2"/>
      <w:numFmt w:val="decimal"/>
      <w:start w:val="1"/>
    </w:lvl>
  </w:abstractNum>
  <w:abstractNum w:abstractNumId="17">
    <w:nsid w:val="57E4CCAF"/>
    <w:multiLevelType w:val="hybridMultilevel"/>
    <w:lvl w:ilvl="0">
      <w:lvlJc w:val="left"/>
      <w:lvlText w:val="%1."/>
      <w:numFmt w:val="decimal"/>
      <w:start w:val="1"/>
    </w:lvl>
    <w:lvl w:ilvl="1">
      <w:lvlJc w:val="left"/>
      <w:lvlText w:val="(%2)"/>
      <w:numFmt w:val="lowerLetter"/>
      <w:start w:val="1"/>
    </w:lvl>
  </w:abstractNum>
  <w:abstractNum w:abstractNumId="18">
    <w:nsid w:val="7A6D8D3C"/>
    <w:multiLevelType w:val="hybridMultilevel"/>
    <w:lvl w:ilvl="0">
      <w:lvlJc w:val="left"/>
      <w:lvlText w:val="%1."/>
      <w:numFmt w:val="decimal"/>
      <w:start w:val="6"/>
    </w:lvl>
    <w:lvl w:ilvl="1">
      <w:lvlJc w:val="left"/>
      <w:lvlText w:val="%2."/>
      <w:numFmt w:val="decimal"/>
      <w:start w:val="7"/>
    </w:lvl>
  </w:abstractNum>
  <w:abstractNum w:abstractNumId="19">
    <w:nsid w:val="4B588F54"/>
    <w:multiLevelType w:val="hybridMultilevel"/>
    <w:lvl w:ilvl="0">
      <w:lvlJc w:val="left"/>
      <w:lvlText w:val="%1"/>
      <w:numFmt w:val="decimal"/>
      <w:start w:val="1"/>
    </w:lvl>
    <w:lvl w:ilvl="1">
      <w:lvlJc w:val="left"/>
      <w:lvlText w:val="%2."/>
      <w:numFmt w:val="decimal"/>
      <w:start w:val="10"/>
    </w:lvl>
  </w:abstractNum>
  <w:abstractNum w:abstractNumId="20">
    <w:nsid w:val="542289EC"/>
    <w:multiLevelType w:val="hybridMultilevel"/>
    <w:lvl w:ilvl="0">
      <w:lvlJc w:val="left"/>
      <w:lvlText w:val="%1."/>
      <w:numFmt w:val="decimal"/>
      <w:start w:val="11"/>
    </w:lvl>
    <w:lvl w:ilvl="1">
      <w:lvlJc w:val="left"/>
      <w:lvlText w:val="%2"/>
      <w:numFmt w:val="decimal"/>
      <w:start w:val="1"/>
    </w:lvl>
  </w:abstractNum>
  <w:abstractNum w:abstractNumId="21">
    <w:nsid w:val="6DE91B18"/>
    <w:multiLevelType w:val="hybridMultilevel"/>
    <w:lvl w:ilvl="0">
      <w:lvlJc w:val="left"/>
      <w:lvlText w:val="%1."/>
      <w:numFmt w:val="decimal"/>
      <w:start w:val="14"/>
    </w:lvl>
  </w:abstractNum>
  <w:abstractNum w:abstractNumId="22">
    <w:nsid w:val="38437FDB"/>
    <w:multiLevelType w:val="hybridMultilevel"/>
    <w:lvl w:ilvl="0">
      <w:lvlJc w:val="left"/>
      <w:lvlText w:val="%1."/>
      <w:numFmt w:val="decimal"/>
      <w:start w:val="1"/>
    </w:lvl>
    <w:lvl w:ilvl="1">
      <w:lvlJc w:val="left"/>
      <w:lvlText w:val="(%2)"/>
      <w:numFmt w:val="lowerLetter"/>
      <w:start w:val="1"/>
    </w:lvl>
  </w:abstractNum>
  <w:abstractNum w:abstractNumId="23">
    <w:nsid w:val="7644A45C"/>
    <w:multiLevelType w:val="hybridMultilevel"/>
    <w:lvl w:ilvl="0">
      <w:lvlJc w:val="left"/>
      <w:lvlText w:val="%1."/>
      <w:numFmt w:val="decimal"/>
      <w:start w:val="6"/>
    </w:lvl>
    <w:lvl w:ilvl="1">
      <w:lvlJc w:val="left"/>
      <w:lvlText w:val="%2."/>
      <w:numFmt w:val="decimal"/>
      <w:start w:val="7"/>
    </w:lvl>
  </w:abstractNum>
  <w:abstractNum w:abstractNumId="24">
    <w:nsid w:val="32FFF902"/>
    <w:multiLevelType w:val="hybridMultilevel"/>
    <w:lvl w:ilvl="0">
      <w:lvlJc w:val="left"/>
      <w:lvlText w:val="%1"/>
      <w:numFmt w:val="decimal"/>
      <w:start w:val="1"/>
    </w:lvl>
    <w:lvl w:ilvl="1">
      <w:lvlJc w:val="left"/>
      <w:lvlText w:val="%2."/>
      <w:numFmt w:val="decimal"/>
      <w:start w:val="10"/>
    </w:lvl>
  </w:abstractNum>
  <w:abstractNum w:abstractNumId="25">
    <w:nsid w:val="684A481A"/>
    <w:multiLevelType w:val="hybridMultilevel"/>
    <w:lvl w:ilvl="0">
      <w:lvlJc w:val="left"/>
      <w:lvlText w:val="%1."/>
      <w:numFmt w:val="decimal"/>
      <w:start w:val="11"/>
    </w:lvl>
    <w:lvl w:ilvl="1">
      <w:lvlJc w:val="left"/>
      <w:lvlText w:val="%2"/>
      <w:numFmt w:val="decimal"/>
      <w:start w:val="1"/>
    </w:lvl>
  </w:abstractNum>
  <w:abstractNum w:abstractNumId="26">
    <w:nsid w:val="579478FE"/>
    <w:multiLevelType w:val="hybridMultilevel"/>
    <w:lvl w:ilvl="0">
      <w:lvlJc w:val="left"/>
      <w:lvlText w:val="%1."/>
      <w:numFmt w:val="decimal"/>
      <w:start w:val="1"/>
    </w:lvl>
    <w:lvl w:ilvl="1">
      <w:lvlJc w:val="left"/>
      <w:lvlText w:val="(%2)"/>
      <w:numFmt w:val="lowerLetter"/>
      <w:start w:val="1"/>
    </w:lvl>
  </w:abstractNum>
  <w:abstractNum w:abstractNumId="27">
    <w:nsid w:val="749ABB43"/>
    <w:multiLevelType w:val="hybridMultilevel"/>
    <w:lvl w:ilvl="0">
      <w:lvlJc w:val="left"/>
      <w:lvlText w:val="%1."/>
      <w:numFmt w:val="decimal"/>
      <w:start w:val="6"/>
    </w:lvl>
    <w:lvl w:ilvl="1">
      <w:lvlJc w:val="left"/>
      <w:lvlText w:val="%2."/>
      <w:numFmt w:val="decimal"/>
      <w:start w:val="7"/>
    </w:lvl>
  </w:abstractNum>
  <w:abstractNum w:abstractNumId="28">
    <w:nsid w:val="3DC240FB"/>
    <w:multiLevelType w:val="hybridMultilevel"/>
    <w:lvl w:ilvl="0">
      <w:lvlJc w:val="left"/>
      <w:lvlText w:val="%1"/>
      <w:numFmt w:val="decimal"/>
      <w:start w:val="1"/>
    </w:lvl>
    <w:lvl w:ilvl="1">
      <w:lvlJc w:val="left"/>
      <w:lvlText w:val="%2."/>
      <w:numFmt w:val="decimal"/>
      <w:start w:val="10"/>
    </w:lvl>
  </w:abstractNum>
  <w:abstractNum w:abstractNumId="29">
    <w:nsid w:val="1BA026FA"/>
    <w:multiLevelType w:val="hybridMultilevel"/>
    <w:lvl w:ilvl="0">
      <w:lvlJc w:val="left"/>
      <w:lvlText w:val="%1."/>
      <w:numFmt w:val="decimal"/>
      <w:start w:val="11"/>
    </w:lvl>
    <w:lvl w:ilvl="1">
      <w:lvlJc w:val="left"/>
      <w:lvlText w:val="%2"/>
      <w:numFmt w:val="decimal"/>
      <w:start w:val="1"/>
    </w:lvl>
  </w:abstractNum>
  <w:abstractNum w:abstractNumId="30">
    <w:nsid w:val="79A1DEAA"/>
    <w:multiLevelType w:val="hybridMultilevel"/>
    <w:lvl w:ilvl="0">
      <w:lvlJc w:val="left"/>
      <w:lvlText w:val="%1."/>
      <w:numFmt w:val="decimal"/>
      <w:start w:val="1"/>
    </w:lvl>
    <w:lvl w:ilvl="1">
      <w:lvlJc w:val="left"/>
      <w:lvlText w:val="(%2)"/>
      <w:numFmt w:val="lowerLetter"/>
      <w:start w:val="1"/>
    </w:lvl>
  </w:abstractNum>
  <w:abstractNum w:abstractNumId="31">
    <w:nsid w:val="75C6C33A"/>
    <w:multiLevelType w:val="hybridMultilevel"/>
    <w:lvl w:ilvl="0">
      <w:lvlJc w:val="left"/>
      <w:lvlText w:val="%1."/>
      <w:numFmt w:val="decimal"/>
      <w:start w:val="6"/>
    </w:lvl>
    <w:lvl w:ilvl="1">
      <w:lvlJc w:val="left"/>
      <w:lvlText w:val="%2."/>
      <w:numFmt w:val="decimal"/>
      <w:start w:val="7"/>
    </w:lvl>
  </w:abstractNum>
  <w:abstractNum w:abstractNumId="32">
    <w:nsid w:val="12E685FB"/>
    <w:multiLevelType w:val="hybridMultilevel"/>
    <w:lvl w:ilvl="0">
      <w:lvlJc w:val="left"/>
      <w:lvlText w:val="%1"/>
      <w:numFmt w:val="decimal"/>
      <w:start w:val="1"/>
    </w:lvl>
    <w:lvl w:ilvl="1">
      <w:lvlJc w:val="left"/>
      <w:lvlText w:val="%2."/>
      <w:numFmt w:val="decimal"/>
      <w:start w:val="10"/>
    </w:lvl>
  </w:abstractNum>
  <w:abstractNum w:abstractNumId="33">
    <w:nsid w:val="70C6A529"/>
    <w:multiLevelType w:val="hybridMultilevel"/>
    <w:lvl w:ilvl="0">
      <w:lvlJc w:val="left"/>
      <w:lvlText w:val="%1."/>
      <w:numFmt w:val="decimal"/>
      <w:start w:val="11"/>
    </w:lvl>
    <w:lvl w:ilvl="1">
      <w:lvlJc w:val="left"/>
      <w:lvlText w:val="%2"/>
      <w:numFmt w:val="decimal"/>
      <w:start w:val="1"/>
    </w:lvl>
  </w:abstractNum>
  <w:abstractNum w:abstractNumId="34">
    <w:nsid w:val="520EEDD1"/>
    <w:multiLevelType w:val="hybridMultilevel"/>
    <w:lvl w:ilvl="0">
      <w:lvlJc w:val="left"/>
      <w:lvlText w:val="%1."/>
      <w:numFmt w:val="decimal"/>
      <w:start w:val="1"/>
    </w:lvl>
    <w:lvl w:ilvl="1">
      <w:lvlJc w:val="left"/>
      <w:lvlText w:val="(%2)"/>
      <w:numFmt w:val="lowerLetter"/>
      <w:start w:val="1"/>
    </w:lvl>
  </w:abstractNum>
  <w:abstractNum w:abstractNumId="35">
    <w:nsid w:val="374A3FE6"/>
    <w:multiLevelType w:val="hybridMultilevel"/>
    <w:lvl w:ilvl="0">
      <w:lvlJc w:val="left"/>
      <w:lvlText w:val="%1."/>
      <w:numFmt w:val="decimal"/>
      <w:start w:val="6"/>
    </w:lvl>
    <w:lvl w:ilvl="1">
      <w:lvlJc w:val="left"/>
      <w:lvlText w:val="%2."/>
      <w:numFmt w:val="decimal"/>
      <w:start w:val="7"/>
    </w:lvl>
  </w:abstractNum>
  <w:abstractNum w:abstractNumId="36">
    <w:nsid w:val="4F4EF005"/>
    <w:multiLevelType w:val="hybridMultilevel"/>
    <w:lvl w:ilvl="0">
      <w:lvlJc w:val="left"/>
      <w:lvlText w:val="%1"/>
      <w:numFmt w:val="decimal"/>
      <w:start w:val="1"/>
    </w:lvl>
    <w:lvl w:ilvl="1">
      <w:lvlJc w:val="left"/>
      <w:lvlText w:val="%2."/>
      <w:numFmt w:val="decimal"/>
      <w:start w:val="10"/>
    </w:lvl>
  </w:abstractNum>
  <w:abstractNum w:abstractNumId="37">
    <w:nsid w:val="23F9C13C"/>
    <w:multiLevelType w:val="hybridMultilevel"/>
    <w:lvl w:ilvl="0">
      <w:lvlJc w:val="left"/>
      <w:lvlText w:val="%1."/>
      <w:numFmt w:val="decimal"/>
      <w:start w:val="11"/>
    </w:lvl>
    <w:lvl w:ilvl="1">
      <w:lvlJc w:val="left"/>
      <w:lvlText w:val="%2"/>
      <w:numFmt w:val="decimal"/>
      <w:start w:val="1"/>
    </w:lvl>
  </w:abstractNum>
  <w:abstractNum w:abstractNumId="38">
    <w:nsid w:val="649BB77C"/>
    <w:multiLevelType w:val="hybridMultilevel"/>
    <w:lvl w:ilvl="0">
      <w:lvlJc w:val="left"/>
      <w:lvlText w:val="(%1)"/>
      <w:numFmt w:val="lowerLetter"/>
      <w:start w:val="1"/>
    </w:lvl>
    <w:lvl w:ilvl="1">
      <w:lvlJc w:val="left"/>
      <w:lvlText w:val="(%2)"/>
      <w:numFmt w:val="lowerRoman"/>
      <w:start w:val="1"/>
    </w:lvl>
  </w:abstractNum>
  <w:abstractNum w:abstractNumId="39">
    <w:nsid w:val="275AC794"/>
    <w:multiLevelType w:val="hybridMultilevel"/>
    <w:lvl w:ilvl="0">
      <w:lvlJc w:val="left"/>
      <w:lvlText w:val="(%1)"/>
      <w:numFmt w:val="lowerLetter"/>
      <w:start w:val="2"/>
    </w:lvl>
  </w:abstractNum>
  <w:abstractNum w:abstractNumId="40">
    <w:nsid w:val="39386575"/>
    <w:multiLevelType w:val="hybridMultilevel"/>
    <w:lvl w:ilvl="0">
      <w:lvlJc w:val="left"/>
      <w:lvlText w:val="(%1)"/>
      <w:numFmt w:val="lowerLetter"/>
      <w:start w:val="3"/>
    </w:lvl>
  </w:abstractNum>
  <w:abstractNum w:abstractNumId="41">
    <w:nsid w:val="1CF10FD8"/>
    <w:multiLevelType w:val="hybridMultilevel"/>
    <w:lvl w:ilvl="0">
      <w:lvlJc w:val="left"/>
      <w:lvlText w:val="(%1)"/>
      <w:numFmt w:val="lowerLetter"/>
      <w:start w:val="4"/>
    </w:lvl>
  </w:abstractNum>
  <w:abstractNum w:abstractNumId="42">
    <w:nsid w:val="180115BE"/>
    <w:multiLevelType w:val="hybridMultilevel"/>
    <w:lvl w:ilvl="0">
      <w:lvlJc w:val="left"/>
      <w:lvlText w:val="(%1)"/>
      <w:numFmt w:val="lowerLetter"/>
      <w:start w:val="1"/>
    </w:lvl>
    <w:lvl w:ilvl="1">
      <w:lvlJc w:val="left"/>
      <w:lvlText w:val="%2."/>
      <w:numFmt w:val="decimal"/>
      <w:start w:val="2"/>
    </w:lvl>
  </w:abstractNum>
  <w:abstractNum w:abstractNumId="43">
    <w:nsid w:val="235BA861"/>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44">
    <w:nsid w:val="47398C8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5">
    <w:nsid w:val="354FE9F9"/>
    <w:multiLevelType w:val="hybridMultilevel"/>
    <w:lvl w:ilvl="0">
      <w:lvlJc w:val="left"/>
      <w:lvlText w:val="%1"/>
      <w:numFmt w:val="upperLetter"/>
      <w:start w:val="1"/>
    </w:lvl>
    <w:lvl w:ilvl="1">
      <w:lvlJc w:val="left"/>
      <w:lvlText w:val="(%2)"/>
      <w:numFmt w:val="lowerLetter"/>
      <w:start w:val="3"/>
    </w:lvl>
  </w:abstractNum>
  <w:abstractNum w:abstractNumId="46">
    <w:nsid w:val="15B5AF5C"/>
    <w:multiLevelType w:val="hybridMultilevel"/>
    <w:lvl w:ilvl="0">
      <w:lvlJc w:val="left"/>
      <w:lvlText w:val="%1"/>
      <w:numFmt w:val="upperLetter"/>
      <w:start w:val="1"/>
    </w:lvl>
    <w:lvl w:ilvl="1">
      <w:lvlJc w:val="left"/>
      <w:lvlText w:val="(%2)"/>
      <w:numFmt w:val="lowerLetter"/>
      <w:start w:val="1"/>
    </w:lvl>
  </w:abstractNum>
  <w:abstractNum w:abstractNumId="47">
    <w:nsid w:val="741226BB"/>
    <w:multiLevelType w:val="hybridMultilevel"/>
    <w:lvl w:ilvl="0">
      <w:lvlJc w:val="left"/>
      <w:lvlText w:val="(%1)"/>
      <w:numFmt w:val="lowerLetter"/>
      <w:start w:val="2"/>
    </w:lvl>
    <w:lvl w:ilvl="1">
      <w:lvlJc w:val="left"/>
      <w:lvlText w:val="%2."/>
      <w:numFmt w:val="decimal"/>
      <w:start w:val="2"/>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upperLetter"/>
      <w:start w:val="1"/>
    </w:lvl>
    <w:lvl w:ilvl="1">
      <w:lvlJc w:val="left"/>
      <w:lvlText w:val="(%2)"/>
      <w:numFmt w:val="lowerLetter"/>
      <w:start w:val="3"/>
    </w:lvl>
  </w:abstractNum>
  <w:abstractNum w:abstractNumId="50">
    <w:nsid w:val="3F6AB60F"/>
    <w:multiLevelType w:val="hybridMultilevel"/>
    <w:lvl w:ilvl="0">
      <w:lvlJc w:val="left"/>
      <w:lvlText w:val="%1"/>
      <w:numFmt w:val="upperLetter"/>
      <w:start w:val="1"/>
    </w:lvl>
    <w:lvl w:ilvl="1">
      <w:lvlJc w:val="left"/>
      <w:lvlText w:val="(%2)"/>
      <w:numFmt w:val="lowerLetter"/>
      <w:start w:val="1"/>
    </w:lvl>
  </w:abstractNum>
  <w:abstractNum w:abstractNumId="51">
    <w:nsid w:val="61574095"/>
    <w:multiLevelType w:val="hybridMultilevel"/>
    <w:lvl w:ilvl="0">
      <w:lvlJc w:val="left"/>
      <w:lvlText w:val="(%1)"/>
      <w:numFmt w:val="lowerLetter"/>
      <w:start w:val="2"/>
    </w:lvl>
    <w:lvl w:ilvl="1">
      <w:lvlJc w:val="left"/>
      <w:lvlText w:val="%2."/>
      <w:numFmt w:val="decimal"/>
      <w:start w:val="2"/>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upperLetter"/>
      <w:start w:val="1"/>
    </w:lvl>
    <w:lvl w:ilvl="1">
      <w:lvlJc w:val="left"/>
      <w:lvlText w:val="(%2)"/>
      <w:numFmt w:val="lowerLetter"/>
      <w:start w:val="3"/>
    </w:lvl>
  </w:abstractNum>
  <w:abstractNum w:abstractNumId="54">
    <w:nsid w:val="579BE4F1"/>
    <w:multiLevelType w:val="hybridMultilevel"/>
    <w:lvl w:ilvl="0">
      <w:lvlJc w:val="left"/>
      <w:lvlText w:val="%1"/>
      <w:numFmt w:val="upperLetter"/>
      <w:start w:val="1"/>
    </w:lvl>
    <w:lvl w:ilvl="1">
      <w:lvlJc w:val="left"/>
      <w:lvlText w:val="(%2)"/>
      <w:numFmt w:val="lowerLetter"/>
      <w:start w:val="1"/>
    </w:lvl>
  </w:abstractNum>
  <w:abstractNum w:abstractNumId="55">
    <w:nsid w:val="310C50B3"/>
    <w:multiLevelType w:val="hybridMultilevel"/>
    <w:lvl w:ilvl="0">
      <w:lvlJc w:val="left"/>
      <w:lvlText w:val="(%1)"/>
      <w:numFmt w:val="lowerLetter"/>
      <w:start w:val="2"/>
    </w:lvl>
    <w:lvl w:ilvl="1">
      <w:lvlJc w:val="left"/>
      <w:lvlText w:val="%2."/>
      <w:numFmt w:val="decimal"/>
      <w:start w:val="2"/>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lowerLetter"/>
      <w:start w:val="3"/>
    </w:lvl>
  </w:abstractNum>
  <w:abstractNum w:abstractNumId="58">
    <w:nsid w:val="25A70BF7"/>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2"/>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upperLetter"/>
      <w:start w:val="1"/>
    </w:lvl>
    <w:lvl w:ilvl="1">
      <w:lvlJc w:val="left"/>
      <w:lvlText w:val="(%2)"/>
      <w:numFmt w:val="lowerLetter"/>
      <w:start w:val="3"/>
    </w:lvl>
  </w:abstractNum>
  <w:abstractNum w:abstractNumId="61">
    <w:nsid w:val="1F48EAA1"/>
    <w:multiLevelType w:val="hybridMultilevel"/>
    <w:lvl w:ilvl="0">
      <w:lvlJc w:val="left"/>
      <w:lvlText w:val="%1"/>
      <w:numFmt w:val="upperLetter"/>
      <w:start w:val="1"/>
    </w:lvl>
    <w:lvl w:ilvl="1">
      <w:lvlJc w:val="left"/>
      <w:lvlText w:val="(%2)"/>
      <w:numFmt w:val="lowerLetter"/>
      <w:start w:val="1"/>
    </w:lvl>
  </w:abstractNum>
  <w:abstractNum w:abstractNumId="62">
    <w:nsid w:val="1381823A"/>
    <w:multiLevelType w:val="hybridMultilevel"/>
    <w:lvl w:ilvl="0">
      <w:lvlJc w:val="left"/>
      <w:lvlText w:val="(%1)"/>
      <w:numFmt w:val="lowerLetter"/>
      <w:start w:val="2"/>
    </w:lvl>
    <w:lvl w:ilvl="1">
      <w:lvlJc w:val="left"/>
      <w:lvlText w:val="%2."/>
      <w:numFmt w:val="decimal"/>
      <w:start w:val="2"/>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65">
    <w:nsid w:val="6590700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lowerLetter"/>
      <w:start w:val="3"/>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Letter"/>
      <w:start w:val="2"/>
    </w:lvl>
    <w:lvl w:ilvl="1">
      <w:lvlJc w:val="left"/>
      <w:lvlText w:val="%2."/>
      <w:numFmt w:val="decimal"/>
      <w:start w:val="2"/>
    </w:lvl>
  </w:abstractNum>
  <w:abstractNum w:abstractNumId="70">
    <w:nsid w:val="6B94764"/>
    <w:multiLevelType w:val="hybridMultilevel"/>
    <w:lvl w:ilvl="0">
      <w:lvlJc w:val="left"/>
      <w:lvlText w:val="(%1)"/>
      <w:numFmt w:val="lowerLetter"/>
      <w:start w:val="4"/>
    </w:lvl>
  </w:abstractNum>
  <w:abstractNum w:abstractNumId="71">
    <w:nsid w:val="42C296B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2019-12-06T16:57:36Z</dcterms:created>
  <dcterms:modified xsi:type="dcterms:W3CDTF">2019-12-06T16:57:36Z</dcterms:modified>
</cp:coreProperties>
</file>