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06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JOG VIKRAM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398"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03/19/2018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CHIEF FINANCIAL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6.33</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03/19/2018</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27,500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03/19/2028</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27,500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12/48th of the total number of shares subject to the Option will vest on March 19, 2019 and 1/48th of the total shares subject to the Option will vest and become exercisable each month thereafter over the succeeding 36 months, such that the Option will be fully vested on March 19, 2022, subject to the recipient's continued status as a Service Provider (as defined in the Company's 2011 Equity Incentive Plan) through each applicable vest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Vikram Jog by Nicholas</w:t>
            </w:r>
          </w:p>
        </w:tc>
        <w:tc>
          <w:tcPr>
            <w:tcW w:w="4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03/21/2018</w:t>
            </w:r>
          </w:p>
        </w:tc>
        <w:tc>
          <w:tcPr>
            <w:tcW w:w="0" w:type="dxa"/>
            <w:vAlign w:val="bottom"/>
          </w:tcPr>
          <w:p>
            <w:pPr>
              <w:spacing w:after="0"/>
              <w:rPr>
                <w:sz w:val="1"/>
                <w:szCs w:val="1"/>
                <w:color w:val="auto"/>
              </w:rPr>
            </w:pPr>
          </w:p>
        </w:tc>
      </w:tr>
      <w:tr>
        <w:trPr>
          <w:trHeight w:val="92"/>
        </w:trPr>
        <w:tc>
          <w:tcPr>
            <w:tcW w:w="1860" w:type="dxa"/>
            <w:vAlign w:val="bottom"/>
            <w:vMerge w:val="restart"/>
          </w:tcPr>
          <w:p>
            <w:pPr>
              <w:spacing w:after="0"/>
              <w:rPr>
                <w:sz w:val="20"/>
                <w:szCs w:val="20"/>
                <w:color w:val="auto"/>
              </w:rPr>
            </w:pPr>
            <w:r>
              <w:rPr>
                <w:rFonts w:ascii="Arial" w:cs="Arial" w:eastAsia="Arial" w:hAnsi="Arial"/>
                <w:sz w:val="17"/>
                <w:szCs w:val="17"/>
                <w:color w:val="0000FF"/>
                <w:w w:val="94"/>
              </w:rPr>
              <w:t>Khadder, Attorney-in-Fact</w:t>
            </w:r>
          </w:p>
        </w:tc>
        <w:tc>
          <w:tcPr>
            <w:tcW w:w="4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2019-12-04T00:54:12Z</dcterms:created>
  <dcterms:modified xsi:type="dcterms:W3CDTF">2019-12-04T00:54:12Z</dcterms:modified>
</cp:coreProperties>
</file>