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Walder Fredric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OPERATING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01/03/2013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9,858</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56"/>
              <w:spacing w:after="0"/>
              <w:rPr>
                <w:sz w:val="20"/>
                <w:szCs w:val="20"/>
                <w:color w:val="auto"/>
              </w:rPr>
            </w:pPr>
            <w:r>
              <w:rPr>
                <w:rFonts w:ascii="Arial" w:cs="Arial" w:eastAsia="Arial" w:hAnsi="Arial"/>
                <w:sz w:val="18"/>
                <w:szCs w:val="18"/>
                <w:color w:val="0000FF"/>
              </w:rPr>
              <w:t>9,858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01/03/2013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9,858</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14.2237</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9,858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01/03/2013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9,858</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08/26/2020</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34,534</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Walder were effected pursuant to a Rule 10b5-1 trading plan adopted on November 15,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$14.14 to $14.33,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shares subject to the Option vested on May 17, 2011 and 1/48 of the shares subject to the Option vest monthly thereafter.</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2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2019-12-17T16:19:15Z</dcterms:created>
  <dcterms:modified xsi:type="dcterms:W3CDTF">2019-12-17T16:19:15Z</dcterms:modified>
</cp:coreProperties>
</file>