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eh230355478_8k.htm"/>
      <w:bookmarkStart w:id="1" w:name="kseh230355478_8k"/>
      <w:bookmarkEnd w:id="0"/>
      <w:bookmarkEnd w:id="1"/>
      <w:r>
        <w:rPr/>
        <w:t> </w:t>
      </w:r>
    </w:p>
    <w:p>
      <w:pPr>
        <w:pStyle w:val="TextBody"/>
        <w:rPr>
          <w:bdr w:val="single" w:sz="16" w:space="1" w:color="000000"/>
        </w:rPr>
      </w:pPr>
      <w:r>
        <w:rPr>
          <w:bdr w:val="single" w:sz="16" w:space="1" w:color="000000"/>
        </w:rPr>
        <w:t> </w:t>
      </w:r>
    </w:p>
    <w:p>
      <w:pPr>
        <w:pStyle w:val="TextBody"/>
        <w:rPr/>
      </w:pPr>
      <w:r>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30428__20"/>
      <w:bookmarkEnd w:id="2"/>
      <w:r>
        <w:rPr>
          <w:rFonts w:ascii="Times New Roman;Times;Serif" w:hAnsi="Times New Roman;Times;Serif"/>
          <w:b/>
          <w:i w:val="false"/>
          <w:caps w:val="false"/>
          <w:smallCaps w:val="false"/>
          <w:sz w:val="20"/>
        </w:rPr>
        <w:t>8-K</w:t>
      </w:r>
    </w:p>
    <w:p>
      <w:pPr>
        <w:pStyle w:val="TextBody"/>
        <w:spacing w:before="120" w:after="120"/>
        <w:ind w:left="120" w:right="12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w:t>
        <w:br/>
        <w:t>THE SECURITIES EXCHANGE ACT OF 1934</w:t>
      </w:r>
    </w:p>
    <w:p>
      <w:pPr>
        <w:pStyle w:val="TextBody"/>
        <w:spacing w:before="120" w:after="120"/>
        <w:ind w:left="120" w:right="120" w:hanging="0"/>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April 28, 2023</w:t>
      </w:r>
    </w:p>
    <w:p>
      <w:pPr>
        <w:pStyle w:val="TextBody"/>
        <w:jc w:val="center"/>
        <w:rPr>
          <w:caps w:val="false"/>
          <w:smallCaps w:val="false"/>
        </w:rPr>
      </w:pPr>
      <w:r>
        <w:rPr>
          <w:caps w:val="false"/>
          <w:smallCaps w:val="false"/>
        </w:rPr>
        <w:t> </w:t>
      </w:r>
    </w:p>
    <w:tbl>
      <w:tblPr>
        <w:tblW w:w="4175" w:type="dxa"/>
        <w:jc w:val="left"/>
        <w:tblInd w:w="0" w:type="dxa"/>
        <w:tblCellMar>
          <w:top w:w="0" w:type="dxa"/>
          <w:left w:w="0" w:type="dxa"/>
          <w:bottom w:w="28" w:type="dxa"/>
          <w:right w:w="0" w:type="dxa"/>
        </w:tblCellMar>
      </w:tblPr>
      <w:tblGrid>
        <w:gridCol w:w="4175"/>
      </w:tblGrid>
      <w:tr>
        <w:trPr/>
        <w:tc>
          <w:tcPr>
            <w:tcW w:w="417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36"/>
              </w:rPr>
            </w:pPr>
            <w:bookmarkStart w:id="4" w:name="xdx_90A_edei--EntityRegistrantName_c2023"/>
            <w:bookmarkEnd w:id="4"/>
            <w:r>
              <w:rPr>
                <w:rFonts w:ascii="Times New Roman;Times;Serif" w:hAnsi="Times New Roman;Times;Serif"/>
                <w:b/>
                <w:i w:val="false"/>
                <w:caps w:val="false"/>
                <w:smallCaps w:val="false"/>
                <w:sz w:val="36"/>
              </w:rPr>
              <w:t>Standard BioTools Inc.</w:t>
            </w:r>
          </w:p>
        </w:tc>
      </w:tr>
      <w:tr>
        <w:trPr/>
        <w:tc>
          <w:tcPr>
            <w:tcW w:w="417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tc>
      </w:tr>
    </w:tbl>
    <w:p>
      <w:pPr>
        <w:pStyle w:val="TextBody"/>
        <w:rPr>
          <w:caps w:val="false"/>
          <w:smallCaps w:val="false"/>
        </w:rPr>
      </w:pPr>
      <w:r>
        <w:rPr>
          <w:caps w:val="false"/>
          <w:smallCaps w:val="false"/>
        </w:rPr>
        <w:t> </w:t>
      </w:r>
    </w:p>
    <w:tbl>
      <w:tblPr>
        <w:tblW w:w="4890" w:type="dxa"/>
        <w:jc w:val="left"/>
        <w:tblInd w:w="0" w:type="dxa"/>
        <w:tblCellMar>
          <w:top w:w="0" w:type="dxa"/>
          <w:left w:w="0" w:type="dxa"/>
          <w:bottom w:w="28" w:type="dxa"/>
          <w:right w:w="0" w:type="dxa"/>
        </w:tblCellMar>
      </w:tblPr>
      <w:tblGrid>
        <w:gridCol w:w="2210"/>
        <w:gridCol w:w="1145"/>
        <w:gridCol w:w="1535"/>
      </w:tblGrid>
      <w:tr>
        <w:trPr/>
        <w:tc>
          <w:tcPr>
            <w:tcW w:w="22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114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bookmarkStart w:id="6" w:name="xdx_90F_edei--EntityFileNumber_c20230428"/>
            <w:bookmarkEnd w:id="6"/>
            <w:r>
              <w:rPr>
                <w:rFonts w:ascii="Times New Roman;Times;Serif" w:hAnsi="Times New Roman;Times;Serif"/>
                <w:b/>
                <w:sz w:val="20"/>
              </w:rPr>
              <w:t>001-34180</w:t>
            </w:r>
          </w:p>
        </w:tc>
        <w:tc>
          <w:tcPr>
            <w:tcW w:w="153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77-0513190</w:t>
            </w:r>
          </w:p>
        </w:tc>
      </w:tr>
      <w:tr>
        <w:trPr/>
        <w:tc>
          <w:tcPr>
            <w:tcW w:w="221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114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(Commission </w:t>
              <w:br/>
              <w:t>File Number)</w:t>
            </w:r>
          </w:p>
        </w:tc>
        <w:tc>
          <w:tcPr>
            <w:tcW w:w="1535"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(I.R.S. Employer </w:t>
              <w:br/>
              <w:t>Identification No.)</w:t>
            </w:r>
          </w:p>
        </w:tc>
      </w:tr>
    </w:tbl>
    <w:p>
      <w:pPr>
        <w:pStyle w:val="TextBody"/>
        <w:jc w:val="both"/>
        <w:rPr>
          <w:caps w:val="false"/>
          <w:smallCaps w:val="false"/>
        </w:rPr>
      </w:pPr>
      <w:r>
        <w:rPr>
          <w:caps w:val="false"/>
          <w:smallCaps w:val="false"/>
        </w:rPr>
        <w:t> </w:t>
      </w:r>
    </w:p>
    <w:tbl>
      <w:tblPr>
        <w:tblW w:w="4625" w:type="dxa"/>
        <w:jc w:val="left"/>
        <w:tblInd w:w="0" w:type="dxa"/>
        <w:tblCellMar>
          <w:top w:w="0" w:type="dxa"/>
          <w:left w:w="0" w:type="dxa"/>
          <w:bottom w:w="28" w:type="dxa"/>
          <w:right w:w="0" w:type="dxa"/>
        </w:tblCellMar>
      </w:tblPr>
      <w:tblGrid>
        <w:gridCol w:w="4625"/>
      </w:tblGrid>
      <w:tr>
        <w:trPr/>
        <w:tc>
          <w:tcPr>
            <w:tcW w:w="4625" w:type="dxa"/>
            <w:tcBorders>
              <w:bottom w:val="single" w:sz="8" w:space="0" w:color="000000"/>
            </w:tcBorders>
            <w:shd w:fill="auto" w:val="clear"/>
            <w:vAlign w:val="center"/>
          </w:tcPr>
          <w:p>
            <w:pPr>
              <w:pStyle w:val="TableContents"/>
              <w:ind w:left="16" w:right="16"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 Tower Place, </w:t>
            </w:r>
            <w:bookmarkStart w:id="9" w:name="xdx_907_edei--EntityAddressAddressLine2_"/>
            <w:bookmarkEnd w:id="9"/>
            <w:r>
              <w:rPr>
                <w:rFonts w:ascii="Times New Roman;Times;Serif" w:hAnsi="Times New Roman;Times;Serif"/>
                <w:b/>
                <w:i w:val="false"/>
                <w:caps w:val="false"/>
                <w:smallCaps w:val="false"/>
                <w:sz w:val="20"/>
              </w:rPr>
              <w:t>Suite 2000</w:t>
            </w:r>
          </w:p>
          <w:p>
            <w:pPr>
              <w:pStyle w:val="TableContents"/>
              <w:spacing w:before="0" w:after="283"/>
              <w:ind w:left="16" w:right="16" w:hanging="0"/>
              <w:jc w:val="center"/>
              <w:rPr>
                <w:rFonts w:ascii="Times New Roman;Times;Serif" w:hAnsi="Times New Roman;Times;Serif"/>
                <w:b/>
                <w:i w:val="false"/>
                <w:caps w:val="false"/>
                <w:smallCaps w:val="false"/>
                <w:sz w:val="20"/>
              </w:rPr>
            </w:pPr>
            <w:bookmarkStart w:id="10" w:name="xdx_905_edei--EntityAddressCityOrTown_c2"/>
            <w:bookmarkEnd w:id="10"/>
            <w:r>
              <w:rPr>
                <w:rFonts w:ascii="Times New Roman;Times;Serif" w:hAnsi="Times New Roman;Times;Serif"/>
                <w:b/>
                <w:i w:val="false"/>
                <w:caps w:val="false"/>
                <w:smallCaps w:val="false"/>
                <w:sz w:val="20"/>
              </w:rPr>
              <w:t xml:space="preserve">South San Francisco, </w:t>
            </w:r>
            <w:bookmarkStart w:id="11" w:name="xdx_904_edei--EntityAddressStateOrProvin"/>
            <w:bookmarkEnd w:id="11"/>
            <w:r>
              <w:rPr>
                <w:rFonts w:ascii="Times New Roman;Times;Serif" w:hAnsi="Times New Roman;Times;Serif"/>
                <w:b/>
                <w:i w:val="false"/>
                <w:caps w:val="false"/>
                <w:smallCaps w:val="false"/>
                <w:sz w:val="20"/>
              </w:rPr>
              <w:t xml:space="preserve">California </w:t>
            </w:r>
            <w:bookmarkStart w:id="12" w:name="xdx_90F_edei--EntityAddressPostalZipCode"/>
            <w:bookmarkEnd w:id="12"/>
            <w:r>
              <w:rPr>
                <w:rFonts w:ascii="Times New Roman;Times;Serif" w:hAnsi="Times New Roman;Times;Serif"/>
                <w:b/>
                <w:i w:val="false"/>
                <w:caps w:val="false"/>
                <w:smallCaps w:val="false"/>
                <w:sz w:val="20"/>
              </w:rPr>
              <w:t>94080</w:t>
            </w:r>
          </w:p>
        </w:tc>
      </w:tr>
      <w:tr>
        <w:trPr/>
        <w:tc>
          <w:tcPr>
            <w:tcW w:w="46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tc>
      </w:tr>
      <w:tr>
        <w:trPr/>
        <w:tc>
          <w:tcPr>
            <w:tcW w:w="46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46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D_edei--CityAreaCode_c20230428__20"/>
            <w:bookmarkEnd w:id="13"/>
            <w:r>
              <w:rPr>
                <w:rFonts w:ascii="Times New Roman;Times;Serif" w:hAnsi="Times New Roman;Times;Serif"/>
                <w:b/>
                <w:i w:val="false"/>
                <w:caps w:val="false"/>
                <w:smallCaps w:val="false"/>
                <w:sz w:val="20"/>
              </w:rPr>
              <w:t xml:space="preserve">650) </w:t>
            </w:r>
            <w:bookmarkStart w:id="14" w:name="xdx_909_edei--LocalPhoneNumber_c20230428"/>
            <w:bookmarkEnd w:id="14"/>
            <w:r>
              <w:rPr>
                <w:rFonts w:ascii="Times New Roman;Times;Serif" w:hAnsi="Times New Roman;Times;Serif"/>
                <w:b/>
                <w:i w:val="false"/>
                <w:caps w:val="false"/>
                <w:smallCaps w:val="false"/>
                <w:sz w:val="20"/>
              </w:rPr>
              <w:t>266-6000</w:t>
            </w:r>
          </w:p>
        </w:tc>
      </w:tr>
      <w:tr>
        <w:trPr/>
        <w:tc>
          <w:tcPr>
            <w:tcW w:w="46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r>
        <w:trPr/>
        <w:tc>
          <w:tcPr>
            <w:tcW w:w="462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4625" w:type="dxa"/>
            <w:tcBorders>
              <w:bottom w:val="single" w:sz="8" w:space="0" w:color="000000"/>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462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Address, if Changed Since Last Report)</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jc w:val="both"/>
        <w:rPr>
          <w:caps w:val="false"/>
          <w:smallCaps w:val="false"/>
        </w:rPr>
      </w:pPr>
      <w:r>
        <w:rPr>
          <w:caps w:val="false"/>
          <w:smallCaps w:val="false"/>
        </w:rPr>
        <w:t> </w:t>
      </w:r>
    </w:p>
    <w:tbl>
      <w:tblPr>
        <w:tblW w:w="9460" w:type="dxa"/>
        <w:jc w:val="left"/>
        <w:tblInd w:w="0" w:type="dxa"/>
        <w:tblCellMar>
          <w:top w:w="0" w:type="dxa"/>
          <w:left w:w="0" w:type="dxa"/>
          <w:bottom w:w="0" w:type="dxa"/>
          <w:right w:w="0" w:type="dxa"/>
        </w:tblCellMar>
      </w:tblPr>
      <w:tblGrid>
        <w:gridCol w:w="75"/>
        <w:gridCol w:w="230"/>
        <w:gridCol w:w="9155"/>
      </w:tblGrid>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bookmarkStart w:id="15" w:name="xdx_90A_edei--WrittenCommunications_c202"/>
            <w:bookmarkEnd w:id="15"/>
            <w:r>
              <w:rPr/>
              <w:t>☐</w:t>
            </w:r>
          </w:p>
        </w:tc>
        <w:tc>
          <w:tcPr>
            <w:tcW w:w="91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 </w:t>
            </w:r>
          </w:p>
        </w:tc>
        <w:tc>
          <w:tcPr>
            <w:tcW w:w="915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bookmarkStart w:id="16" w:name="xdx_902_edei--SolicitingMaterial_c202304"/>
            <w:bookmarkEnd w:id="16"/>
            <w:r>
              <w:rPr/>
              <w:t>☐</w:t>
            </w:r>
          </w:p>
        </w:tc>
        <w:tc>
          <w:tcPr>
            <w:tcW w:w="915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75" w:type="dxa"/>
            <w:tcBorders/>
            <w:shd w:fill="auto" w:val="clear"/>
            <w:vAlign w:val="center"/>
          </w:tcPr>
          <w:p>
            <w:pPr>
              <w:pStyle w:val="TableContents"/>
              <w:spacing w:before="0" w:after="283"/>
              <w:jc w:val="both"/>
              <w:rPr/>
            </w:pPr>
            <w:r>
              <w:rPr/>
              <w:t> </w:t>
            </w:r>
          </w:p>
        </w:tc>
        <w:tc>
          <w:tcPr>
            <w:tcW w:w="230" w:type="dxa"/>
            <w:tcBorders/>
            <w:shd w:fill="auto" w:val="clear"/>
            <w:vAlign w:val="center"/>
          </w:tcPr>
          <w:p>
            <w:pPr>
              <w:pStyle w:val="TableContents"/>
              <w:spacing w:before="0" w:after="283"/>
              <w:jc w:val="both"/>
              <w:rPr/>
            </w:pPr>
            <w:r>
              <w:rPr/>
              <w:t> </w:t>
            </w:r>
          </w:p>
        </w:tc>
        <w:tc>
          <w:tcPr>
            <w:tcW w:w="915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7" w:name="xdx_90E_edei--PreCommencementTenderOffer"/>
            <w:bookmarkEnd w:id="17"/>
            <w:r>
              <w:rPr/>
              <w:t>☐</w:t>
            </w:r>
          </w:p>
        </w:tc>
        <w:tc>
          <w:tcPr>
            <w:tcW w:w="9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915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bookmarkStart w:id="18" w:name="xdx_90F_edei--PreCommencementIssuerTende"/>
            <w:bookmarkEnd w:id="18"/>
            <w:r>
              <w:rPr/>
              <w:t>☐</w:t>
            </w:r>
          </w:p>
        </w:tc>
        <w:tc>
          <w:tcPr>
            <w:tcW w:w="915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rPr>
          <w:caps w:val="false"/>
          <w:smallCaps w:val="false"/>
        </w:rPr>
      </w:pPr>
      <w:r>
        <w:rPr>
          <w:caps w:val="false"/>
          <w:smallCaps w:val="false"/>
        </w:rPr>
        <w:t> </w:t>
      </w:r>
    </w:p>
    <w:tbl>
      <w:tblPr>
        <w:tblW w:w="8955" w:type="dxa"/>
        <w:jc w:val="left"/>
        <w:tblInd w:w="0" w:type="dxa"/>
        <w:tblCellMar>
          <w:top w:w="0" w:type="dxa"/>
          <w:left w:w="0" w:type="dxa"/>
          <w:bottom w:w="28" w:type="dxa"/>
          <w:right w:w="0" w:type="dxa"/>
        </w:tblCellMar>
      </w:tblPr>
      <w:tblGrid>
        <w:gridCol w:w="3515"/>
        <w:gridCol w:w="60"/>
        <w:gridCol w:w="1610"/>
        <w:gridCol w:w="60"/>
        <w:gridCol w:w="3710"/>
      </w:tblGrid>
      <w:tr>
        <w:trPr/>
        <w:tc>
          <w:tcPr>
            <w:tcW w:w="351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B_edei--Security12bTitle_c20230428"/>
            <w:bookmarkEnd w:id="19"/>
            <w:r>
              <w:rPr>
                <w:rFonts w:ascii="Times New Roman;Times;Serif" w:hAnsi="Times New Roman;Times;Serif"/>
                <w:b w:val="false"/>
                <w:i w:val="false"/>
                <w:caps w:val="false"/>
                <w:smallCaps w:val="false"/>
                <w:sz w:val="20"/>
              </w:rPr>
              <w:t>Common Stock, $0.001 par value per share</w:t>
            </w:r>
          </w:p>
        </w:tc>
        <w:tc>
          <w:tcPr>
            <w:tcW w:w="60" w:type="dxa"/>
            <w:tcBorders/>
            <w:shd w:fill="auto" w:val="clear"/>
            <w:tcMar>
              <w:bottom w:w="0" w:type="dxa"/>
            </w:tcMar>
            <w:vAlign w:val="center"/>
          </w:tcPr>
          <w:p>
            <w:pPr>
              <w:pStyle w:val="TableContents"/>
              <w:spacing w:before="0" w:after="283"/>
              <w:jc w:val="center"/>
              <w:rPr/>
            </w:pPr>
            <w:r>
              <w:rPr/>
              <w:t> </w:t>
            </w:r>
          </w:p>
        </w:tc>
        <w:tc>
          <w:tcPr>
            <w:tcW w:w="161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bookmarkStart w:id="20" w:name="xdx_90F_edei--TradingSymbol_c20230428__2"/>
            <w:bookmarkEnd w:id="20"/>
            <w:r>
              <w:rPr>
                <w:rFonts w:ascii="Times New Roman;Times;Serif" w:hAnsi="Times New Roman;Times;Serif"/>
                <w:sz w:val="20"/>
              </w:rPr>
              <w:t>LAB</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sz w:val="20"/>
              </w:rPr>
            </w:pPr>
            <w:bookmarkStart w:id="21" w:name="xdx_90C_edei--SecurityExchangeName_c2023"/>
            <w:bookmarkEnd w:id="21"/>
            <w:r>
              <w:rPr>
                <w:rFonts w:ascii="Times New Roman;Times;Serif" w:hAnsi="Times New Roman;Times;Serif"/>
                <w:sz w:val="20"/>
              </w:rPr>
              <w:t>Nasdaq Global Select Market</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rPr>
          <w:caps w:val="false"/>
          <w:smallCaps w:val="false"/>
        </w:rPr>
      </w:pPr>
      <w:r>
        <w:rPr>
          <w:caps w:val="false"/>
          <w:smallCaps w:val="false"/>
        </w:rPr>
        <w:t> </w:t>
      </w:r>
    </w:p>
    <w:p>
      <w:pPr>
        <w:pStyle w:val="TextBody"/>
        <w:shd w:fill="FFFFFF" w:val="clear"/>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1_edei--EntityEmergingGrowthCompan"/>
      <w:bookmarkEnd w:id="22"/>
      <w:r>
        <w:rPr>
          <w:rFonts w:ascii="Arial;Helvetica;Sans-Serif" w:hAnsi="Arial;Helvetica;Sans-Serif"/>
          <w:b w:val="false"/>
          <w:i w:val="false"/>
          <w:caps w:val="false"/>
          <w:smallCaps w:val="false"/>
          <w:sz w:val="20"/>
        </w:rPr>
        <w:t>☐</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Helvetica;Sans-Serif" w:hAnsi="Arial;Helvetica;Sans-Serif"/>
          <w:b w:val="false"/>
          <w:i w:val="false"/>
          <w:caps w:val="false"/>
          <w:smallCaps w:val="false"/>
          <w:sz w:val="20"/>
        </w:rPr>
        <w:t>☐</w:t>
      </w:r>
    </w:p>
    <w:p>
      <w:pPr>
        <w:pStyle w:val="TextBody"/>
        <w:rPr>
          <w:caps w:val="false"/>
          <w:smallCaps w:val="false"/>
        </w:rPr>
      </w:pPr>
      <w:r>
        <w:rPr>
          <w:caps w:val="false"/>
          <w:smallCaps w:val="false"/>
        </w:rPr>
        <w:t> </w:t>
      </w:r>
    </w:p>
    <w:p>
      <w:pPr>
        <w:pStyle w:val="TextBody"/>
        <w:rPr>
          <w:bdr w:val="single" w:sz="8" w:space="1" w:color="000000"/>
        </w:rPr>
      </w:pPr>
      <w:r>
        <w:rPr>
          <w:bdr w:val="single" w:sz="8" w:space="1" w:color="000000"/>
        </w:rPr>
        <w:t> </w:t>
      </w:r>
    </w:p>
    <w:p>
      <w:pPr>
        <w:pStyle w:val="TextBody"/>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38"/>
        <w:gridCol w:w="965"/>
        <w:gridCol w:w="9202"/>
      </w:tblGrid>
      <w:tr>
        <w:trPr/>
        <w:tc>
          <w:tcPr>
            <w:tcW w:w="38"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b/>
              </w:rPr>
            </w:pPr>
            <w:r>
              <w:rPr>
                <w:b/>
              </w:rPr>
              <w:t>Item 5.02</w:t>
            </w:r>
          </w:p>
        </w:tc>
        <w:tc>
          <w:tcPr>
            <w:tcW w:w="9202" w:type="dxa"/>
            <w:tcBorders/>
            <w:shd w:fill="auto" w:val="clear"/>
            <w:vAlign w:val="center"/>
          </w:tcPr>
          <w:p>
            <w:pPr>
              <w:pStyle w:val="TableContents"/>
              <w:spacing w:before="0" w:after="283"/>
              <w:rPr>
                <w:b/>
              </w:rPr>
            </w:pPr>
            <w:r>
              <w:rPr>
                <w:b/>
              </w:rPr>
              <w:t xml:space="preserve">Departure of Directors or Certain Officers; Election of Directors; Appointment of Certain Officers; Compensatory Arrangements of Certain Officers. </w:t>
            </w:r>
          </w:p>
        </w:tc>
      </w:tr>
    </w:tbl>
    <w:p>
      <w:pPr>
        <w:pStyle w:val="TextBody"/>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2023, Gerhard Burbach, a member of the board of directors (the “Board”) of Standard BioTools Inc. (the “Company”), notified the Board of his intent to retire from the Board and the nominating and corporate governance committee and compensation committee of the Board, effective immediately following the Company’s 2023 annual meeting of stockholders on June 14, 2023. Mr. Burbach’s retirement is consistent with the Company’s corporate governance principles related to limited tenure for members of the Board and is not due to any disagreement with the Company or the Board on any matter relating to the Company’s operations, policies or practices. The Company thanks Mr. Burbach for his service and significant contributions to the Company over the last ten years.</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p>
      <w:pPr>
        <w:pStyle w:val="TextBody"/>
        <w:jc w:val="both"/>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240" w:after="240"/>
        <w:ind w:left="240" w:right="24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4210" w:type="dxa"/>
        <w:jc w:val="left"/>
        <w:tblInd w:w="0" w:type="dxa"/>
        <w:tblCellMar>
          <w:top w:w="0" w:type="dxa"/>
          <w:left w:w="0" w:type="dxa"/>
          <w:bottom w:w="0" w:type="dxa"/>
          <w:right w:w="0" w:type="dxa"/>
        </w:tblCellMar>
      </w:tblPr>
      <w:tblGrid>
        <w:gridCol w:w="1550"/>
        <w:gridCol w:w="376"/>
        <w:gridCol w:w="2209"/>
        <w:gridCol w:w="75"/>
      </w:tblGrid>
      <w:tr>
        <w:trPr/>
        <w:tc>
          <w:tcPr>
            <w:tcW w:w="1550" w:type="dxa"/>
            <w:tcBorders/>
            <w:shd w:fill="auto" w:val="clear"/>
            <w:vAlign w:val="center"/>
          </w:tcPr>
          <w:p>
            <w:pPr>
              <w:pStyle w:val="TableContents"/>
              <w:spacing w:before="0" w:after="283"/>
              <w:rPr/>
            </w:pPr>
            <w:r>
              <w:rPr/>
              <w:t> </w:t>
            </w:r>
          </w:p>
        </w:tc>
        <w:tc>
          <w:tcPr>
            <w:tcW w:w="2585" w:type="dxa"/>
            <w:gridSpan w:val="2"/>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STANDARD BIOTOOLS INC.</w:t>
            </w:r>
          </w:p>
        </w:tc>
        <w:tc>
          <w:tcPr>
            <w:tcW w:w="7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 May 3, 2023</w:t>
            </w:r>
          </w:p>
        </w:tc>
        <w:tc>
          <w:tcPr>
            <w:tcW w:w="37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209" w:type="dxa"/>
            <w:tcBorders/>
            <w:shd w:fill="auto" w:val="clear"/>
            <w:vAlign w:val="center"/>
          </w:tcPr>
          <w:p>
            <w:pPr>
              <w:pStyle w:val="TableContents"/>
              <w:pBdr>
                <w:bottom w:val="single" w:sz="6" w:space="1" w:color="000000"/>
              </w:pBdr>
              <w:spacing w:before="0" w:after="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Vikram Jog</w:t>
            </w:r>
          </w:p>
        </w:tc>
        <w:tc>
          <w:tcPr>
            <w:tcW w:w="7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Vikram Jog</w:t>
            </w:r>
          </w:p>
        </w:tc>
        <w:tc>
          <w:tcPr>
            <w:tcW w:w="75" w:type="dxa"/>
            <w:tcBorders/>
            <w:shd w:fill="auto"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22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Financial Officer</w:t>
            </w:r>
          </w:p>
        </w:tc>
        <w:tc>
          <w:tcPr>
            <w:tcW w:w="75" w:type="dxa"/>
            <w:tcBorders/>
            <w:shd w:fill="auto" w:val="clear"/>
            <w:vAlign w:val="center"/>
          </w:tcPr>
          <w:p>
            <w:pPr>
              <w:pStyle w:val="TableContents"/>
              <w:spacing w:before="0" w:after="283"/>
              <w:rPr/>
            </w:pPr>
            <w:r>
              <w:rPr/>
              <w:t> </w:t>
            </w:r>
          </w:p>
        </w:tc>
      </w:tr>
    </w:tbl>
    <w:p>
      <w:pPr>
        <w:pStyle w:val="TextBody"/>
        <w:ind w:left="0" w:right="0" w:firstLine="5670"/>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rPr>
          <w:caps w:val="false"/>
          <w:smallCaps w:val="false"/>
        </w:rPr>
      </w:pPr>
      <w:r>
        <w:rPr>
          <w:caps w:val="false"/>
          <w:smallCaps w:val="false"/>
        </w:rPr>
        <w:t> </w:t>
      </w:r>
    </w:p>
    <w:p>
      <w:pPr>
        <w:pStyle w:val="TextBody"/>
        <w:rPr/>
      </w:pPr>
      <w:r>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491</Words>
  <CharactersWithSpaces>3235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