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7"/>
        </w:trPr>
        <w:tc>
          <w:tcPr>
            <w:tcW w:w="846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7"/>
              </w:rPr>
              <w:t>UNITED STATES</w:t>
            </w:r>
          </w:p>
        </w:tc>
        <w:tc>
          <w:tcPr>
            <w:tcW w:w="29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780"/>
              <w:spacing w:after="0" w:line="195" w:lineRule="exact"/>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60" w:type="dxa"/>
            <w:vAlign w:val="bottom"/>
            <w:vMerge w:val="restart"/>
          </w:tcPr>
          <w:p>
            <w:pPr>
              <w:jc w:val="center"/>
              <w:ind w:left="2541"/>
              <w:spacing w:after="0"/>
              <w:rPr>
                <w:sz w:val="20"/>
                <w:szCs w:val="20"/>
                <w:color w:val="auto"/>
              </w:rPr>
            </w:pPr>
            <w:r>
              <w:rPr>
                <w:rFonts w:ascii="Arial" w:cs="Arial" w:eastAsia="Arial" w:hAnsi="Arial"/>
                <w:sz w:val="22"/>
                <w:szCs w:val="22"/>
                <w:b w:val="1"/>
                <w:bCs w:val="1"/>
                <w:color w:val="auto"/>
                <w:w w:val="99"/>
              </w:rPr>
              <w:t>SECURITIES AND EXCHANGE COMMISSION</w:t>
            </w:r>
          </w:p>
        </w:tc>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460" w:type="dxa"/>
            <w:vAlign w:val="bottom"/>
            <w:vMerge w:val="continue"/>
          </w:tcPr>
          <w:p>
            <w:pPr>
              <w:spacing w:after="0"/>
              <w:rPr>
                <w:sz w:val="17"/>
                <w:szCs w:val="17"/>
                <w:color w:val="auto"/>
              </w:rPr>
            </w:pPr>
          </w:p>
        </w:tc>
        <w:tc>
          <w:tcPr>
            <w:tcW w:w="2940" w:type="dxa"/>
            <w:vAlign w:val="bottom"/>
            <w:tcBorders>
              <w:left w:val="single" w:sz="8" w:color="auto"/>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OMB Number: 3235-0145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60" w:type="dxa"/>
            <w:vAlign w:val="bottom"/>
          </w:tcPr>
          <w:p>
            <w:pPr>
              <w:jc w:val="center"/>
              <w:ind w:left="2541"/>
              <w:spacing w:after="0"/>
              <w:rPr>
                <w:sz w:val="20"/>
                <w:szCs w:val="20"/>
                <w:color w:val="auto"/>
              </w:rPr>
            </w:pPr>
            <w:r>
              <w:rPr>
                <w:rFonts w:ascii="Arial" w:cs="Arial" w:eastAsia="Arial" w:hAnsi="Arial"/>
                <w:sz w:val="18"/>
                <w:szCs w:val="18"/>
                <w:b w:val="1"/>
                <w:bCs w:val="1"/>
                <w:color w:val="auto"/>
                <w:w w:val="91"/>
              </w:rPr>
              <w:t>Washington, D.C. 20549</w:t>
            </w:r>
          </w:p>
        </w:tc>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Expires: February 28, 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60" w:type="dxa"/>
            <w:vAlign w:val="bottom"/>
          </w:tcPr>
          <w:p>
            <w:pPr>
              <w:spacing w:after="0"/>
              <w:rPr>
                <w:sz w:val="18"/>
                <w:szCs w:val="18"/>
                <w:color w:val="auto"/>
              </w:rPr>
            </w:pPr>
          </w:p>
        </w:tc>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Estimated average burden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60" w:type="dxa"/>
            <w:vAlign w:val="bottom"/>
            <w:vMerge w:val="restart"/>
          </w:tcPr>
          <w:p>
            <w:pPr>
              <w:jc w:val="center"/>
              <w:ind w:left="2861"/>
              <w:spacing w:after="0"/>
              <w:rPr>
                <w:sz w:val="20"/>
                <w:szCs w:val="20"/>
                <w:color w:val="auto"/>
              </w:rPr>
            </w:pPr>
            <w:r>
              <w:rPr>
                <w:rFonts w:ascii="Arial" w:cs="Arial" w:eastAsia="Arial" w:hAnsi="Arial"/>
                <w:sz w:val="22"/>
                <w:szCs w:val="22"/>
                <w:b w:val="1"/>
                <w:bCs w:val="1"/>
                <w:color w:val="auto"/>
                <w:w w:val="96"/>
              </w:rPr>
              <w:t>SCHEDULE 13G</w:t>
            </w:r>
          </w:p>
        </w:tc>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hours per response. . . . . . . .10.4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460" w:type="dxa"/>
            <w:vAlign w:val="bottom"/>
            <w:vMerge w:val="continue"/>
          </w:tcPr>
          <w:p>
            <w:pPr>
              <w:spacing w:after="0"/>
              <w:rPr>
                <w:sz w:val="21"/>
                <w:szCs w:val="21"/>
                <w:color w:val="auto"/>
              </w:rPr>
            </w:pPr>
          </w:p>
        </w:tc>
        <w:tc>
          <w:tcPr>
            <w:tcW w:w="2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4"/>
        </w:trPr>
        <w:tc>
          <w:tcPr>
            <w:tcW w:w="8460" w:type="dxa"/>
            <w:vAlign w:val="bottom"/>
          </w:tcPr>
          <w:p>
            <w:pPr>
              <w:jc w:val="center"/>
              <w:ind w:left="2881"/>
              <w:spacing w:after="0"/>
              <w:rPr>
                <w:sz w:val="20"/>
                <w:szCs w:val="20"/>
                <w:color w:val="auto"/>
              </w:rPr>
            </w:pPr>
            <w:r>
              <w:rPr>
                <w:rFonts w:ascii="Arial" w:cs="Arial" w:eastAsia="Arial" w:hAnsi="Arial"/>
                <w:sz w:val="18"/>
                <w:szCs w:val="18"/>
                <w:b w:val="1"/>
                <w:bCs w:val="1"/>
                <w:color w:val="auto"/>
                <w:w w:val="89"/>
              </w:rPr>
              <w:t>Under the Securities Exchange Act of 1934</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60" w:type="dxa"/>
            <w:vAlign w:val="bottom"/>
          </w:tcPr>
          <w:p>
            <w:pPr>
              <w:jc w:val="center"/>
              <w:ind w:left="2881"/>
              <w:spacing w:after="0"/>
              <w:rPr>
                <w:sz w:val="20"/>
                <w:szCs w:val="20"/>
                <w:color w:val="auto"/>
              </w:rPr>
            </w:pPr>
            <w:r>
              <w:rPr>
                <w:rFonts w:ascii="Arial" w:cs="Arial" w:eastAsia="Arial" w:hAnsi="Arial"/>
                <w:sz w:val="18"/>
                <w:szCs w:val="18"/>
                <w:b w:val="1"/>
                <w:bCs w:val="1"/>
                <w:color w:val="auto"/>
                <w:w w:val="92"/>
              </w:rPr>
              <w:t>(Amendment No. 8)*</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8460" w:type="dxa"/>
            <w:vAlign w:val="bottom"/>
            <w:tcBorders>
              <w:bottom w:val="single" w:sz="8" w:color="auto"/>
            </w:tcBorders>
          </w:tcPr>
          <w:p>
            <w:pPr>
              <w:jc w:val="center"/>
              <w:ind w:left="2861"/>
              <w:spacing w:after="0"/>
              <w:rPr>
                <w:sz w:val="20"/>
                <w:szCs w:val="20"/>
                <w:color w:val="auto"/>
              </w:rPr>
            </w:pPr>
            <w:r>
              <w:rPr>
                <w:rFonts w:ascii="Arial" w:cs="Arial" w:eastAsia="Arial" w:hAnsi="Arial"/>
                <w:sz w:val="32"/>
                <w:szCs w:val="32"/>
                <w:b w:val="1"/>
                <w:bCs w:val="1"/>
                <w:color w:val="auto"/>
                <w:w w:val="94"/>
              </w:rPr>
              <w:t>Fluidigm Corp.</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0"/>
              </w:rPr>
              <w:t>(Name of Issuer)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60" w:type="dxa"/>
            <w:vAlign w:val="bottom"/>
          </w:tcPr>
          <w:p>
            <w:pPr>
              <w:jc w:val="center"/>
              <w:ind w:left="2861"/>
              <w:spacing w:after="0"/>
              <w:rPr>
                <w:sz w:val="20"/>
                <w:szCs w:val="20"/>
                <w:color w:val="auto"/>
              </w:rPr>
            </w:pPr>
            <w:r>
              <w:rPr>
                <w:rFonts w:ascii="Arial" w:cs="Arial" w:eastAsia="Arial" w:hAnsi="Arial"/>
                <w:sz w:val="18"/>
                <w:szCs w:val="18"/>
                <w:b w:val="1"/>
                <w:bCs w:val="1"/>
                <w:color w:val="auto"/>
                <w:w w:val="89"/>
              </w:rPr>
              <w:t>Common</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81"/>
              <w:spacing w:after="0"/>
              <w:rPr>
                <w:sz w:val="20"/>
                <w:szCs w:val="20"/>
                <w:color w:val="auto"/>
              </w:rPr>
            </w:pPr>
            <w:r>
              <w:rPr>
                <w:rFonts w:ascii="Arial" w:cs="Arial" w:eastAsia="Arial" w:hAnsi="Arial"/>
                <w:sz w:val="18"/>
                <w:szCs w:val="18"/>
                <w:color w:val="auto"/>
                <w:w w:val="92"/>
              </w:rPr>
              <w:t>(Title of Class of Securities)</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460" w:type="dxa"/>
            <w:vAlign w:val="bottom"/>
          </w:tcPr>
          <w:p>
            <w:pPr>
              <w:jc w:val="center"/>
              <w:ind w:left="2861"/>
              <w:spacing w:after="0"/>
              <w:rPr>
                <w:sz w:val="20"/>
                <w:szCs w:val="20"/>
                <w:color w:val="auto"/>
              </w:rPr>
            </w:pPr>
            <w:r>
              <w:rPr>
                <w:rFonts w:ascii="Arial" w:cs="Arial" w:eastAsia="Arial" w:hAnsi="Arial"/>
                <w:sz w:val="18"/>
                <w:szCs w:val="18"/>
                <w:b w:val="1"/>
                <w:bCs w:val="1"/>
                <w:color w:val="auto"/>
                <w:w w:val="89"/>
              </w:rPr>
              <w:t>34385P108</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4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2"/>
              </w:rPr>
              <w:t>(CUSIP Number)</w:t>
            </w:r>
          </w:p>
        </w:tc>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460" w:type="dxa"/>
            <w:vAlign w:val="bottom"/>
            <w:tcBorders>
              <w:bottom w:val="single" w:sz="8" w:color="auto"/>
            </w:tcBorders>
          </w:tcPr>
          <w:p>
            <w:pPr>
              <w:jc w:val="center"/>
              <w:ind w:left="2861"/>
              <w:spacing w:after="0"/>
              <w:rPr>
                <w:sz w:val="20"/>
                <w:szCs w:val="20"/>
                <w:color w:val="auto"/>
              </w:rPr>
            </w:pPr>
            <w:r>
              <w:rPr>
                <w:rFonts w:ascii="Arial" w:cs="Arial" w:eastAsia="Arial" w:hAnsi="Arial"/>
                <w:sz w:val="18"/>
                <w:szCs w:val="18"/>
                <w:b w:val="1"/>
                <w:bCs w:val="1"/>
                <w:color w:val="auto"/>
                <w:w w:val="90"/>
              </w:rPr>
              <w:t>December 31, 2018</w:t>
            </w: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60" w:type="dxa"/>
            <w:vAlign w:val="bottom"/>
          </w:tcPr>
          <w:p>
            <w:pPr>
              <w:jc w:val="center"/>
              <w:ind w:left="2861"/>
              <w:spacing w:after="0"/>
              <w:rPr>
                <w:sz w:val="20"/>
                <w:szCs w:val="20"/>
                <w:color w:val="auto"/>
              </w:rPr>
            </w:pPr>
            <w:r>
              <w:rPr>
                <w:rFonts w:ascii="Arial" w:cs="Arial" w:eastAsia="Arial" w:hAnsi="Arial"/>
                <w:sz w:val="18"/>
                <w:szCs w:val="18"/>
                <w:color w:val="auto"/>
                <w:w w:val="92"/>
              </w:rPr>
              <w:t>(Date of Event Which Requires Filing of this Statement)</w:t>
            </w: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2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000" w:right="4979"/>
        <w:spacing w:after="0" w:line="290" w:lineRule="auto"/>
        <w:rPr>
          <w:rFonts w:ascii="Arial" w:cs="Arial" w:eastAsia="Arial" w:hAnsi="Arial"/>
          <w:sz w:val="18"/>
          <w:szCs w:val="18"/>
          <w:color w:val="auto"/>
        </w:rPr>
      </w:pPr>
      <w:r>
        <w:rPr>
          <w:rFonts w:ascii="Arial" w:cs="Arial" w:eastAsia="Arial" w:hAnsi="Arial"/>
          <w:sz w:val="17"/>
          <w:szCs w:val="17"/>
          <w:color w:val="auto"/>
        </w:rPr>
        <w:t>I.R.S. Identification Nos. of above persons (entities only). PRIMECAP Management Company 95-3868081</w:t>
      </w:r>
    </w:p>
    <w:p>
      <w:pPr>
        <w:spacing w:after="0" w:line="377"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60" w:hanging="1159"/>
        <w:spacing w:after="0"/>
        <w:tabs>
          <w:tab w:leader="none" w:pos="2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177 E. Colorado Blvd., 11th Floor, Pasadena, CA 91105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-919480</wp:posOffset>
            </wp:positionV>
            <wp:extent cx="58743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1339215</wp:posOffset>
            </wp:positionH>
            <wp:positionV relativeFrom="paragraph">
              <wp:posOffset>-1134110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-1751330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sect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36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Beneficially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3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3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4,666,832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6,671,043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720"/>
            <w:col w:w="7459"/>
          </w:cols>
          <w:pgMar w:left="300" w:top="395" w:right="1440" w:bottom="1440" w:gutter="0" w:footer="0" w:header="0"/>
          <w:type w:val="continuous"/>
        </w:sectPr>
      </w:pPr>
    </w:p>
    <w:p>
      <w:pPr>
        <w:spacing w:after="0" w:line="227" w:lineRule="exact"/>
        <w:rPr>
          <w:sz w:val="20"/>
          <w:szCs w:val="20"/>
          <w:color w:val="auto"/>
        </w:rPr>
      </w:pPr>
    </w:p>
    <w:p>
      <w:pPr>
        <w:ind w:left="1000" w:right="4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6,671,043</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if the Aggregate Amount in Row (9) Excludes Certain Shares (See Instructions)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00" w:right="5359"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13.70%</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-1057275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-1468755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159"/>
          </w:cols>
          <w:pgMar w:left="300" w:top="395"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jc w:val="both"/>
        <w:ind w:left="1440" w:right="8640" w:hanging="493"/>
        <w:spacing w:after="0" w:line="342" w:lineRule="auto"/>
        <w:tabs>
          <w:tab w:leader="none" w:pos="1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Fluidigm Corp.</w:t>
      </w:r>
    </w:p>
    <w:p>
      <w:pPr>
        <w:spacing w:after="0" w:line="29" w:lineRule="exact"/>
        <w:rPr>
          <w:rFonts w:ascii="Arial" w:cs="Arial" w:eastAsia="Arial" w:hAnsi="Arial"/>
          <w:sz w:val="16"/>
          <w:szCs w:val="16"/>
          <w:color w:val="auto"/>
        </w:rPr>
      </w:pPr>
    </w:p>
    <w:p>
      <w:pPr>
        <w:ind w:left="1440" w:hanging="493"/>
        <w:spacing w:after="0"/>
        <w:tabs>
          <w:tab w:leader="none" w:pos="1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7000 Shoreline Court, #100, 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40005</wp:posOffset>
            </wp:positionV>
            <wp:extent cx="632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-311150</wp:posOffset>
            </wp:positionV>
            <wp:extent cx="63290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440" w:hanging="493"/>
        <w:spacing w:after="0"/>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PRIMECAP Management Company</w:t>
      </w:r>
    </w:p>
    <w:p>
      <w:pPr>
        <w:spacing w:after="0" w:line="116" w:lineRule="exact"/>
        <w:rPr>
          <w:rFonts w:ascii="Arial" w:cs="Arial" w:eastAsia="Arial" w:hAnsi="Arial"/>
          <w:sz w:val="18"/>
          <w:szCs w:val="18"/>
          <w:color w:val="auto"/>
        </w:rPr>
      </w:pPr>
    </w:p>
    <w:p>
      <w:pPr>
        <w:ind w:left="1440" w:right="548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177 E. Colorado Blvd., 11th Floor, Pasadena, CA 91105</w:t>
      </w:r>
    </w:p>
    <w:p>
      <w:pPr>
        <w:spacing w:after="0" w:line="29" w:lineRule="exact"/>
        <w:rPr>
          <w:rFonts w:ascii="Arial" w:cs="Arial" w:eastAsia="Arial" w:hAnsi="Arial"/>
          <w:sz w:val="16"/>
          <w:szCs w:val="16"/>
          <w:color w:val="auto"/>
        </w:rPr>
      </w:pPr>
    </w:p>
    <w:p>
      <w:pPr>
        <w:ind w:left="1440" w:right="894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Citizenship U.S.A.</w:t>
      </w:r>
    </w:p>
    <w:p>
      <w:pPr>
        <w:spacing w:after="0" w:line="29" w:lineRule="exact"/>
        <w:rPr>
          <w:rFonts w:ascii="Arial" w:cs="Arial" w:eastAsia="Arial" w:hAnsi="Arial"/>
          <w:sz w:val="16"/>
          <w:szCs w:val="16"/>
          <w:color w:val="auto"/>
        </w:rPr>
      </w:pPr>
    </w:p>
    <w:p>
      <w:pPr>
        <w:ind w:left="1440" w:right="7840" w:hanging="493"/>
        <w:spacing w:after="0" w:line="277" w:lineRule="auto"/>
        <w:tabs>
          <w:tab w:leader="none" w:pos="1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75" w:lineRule="exact"/>
        <w:rPr>
          <w:rFonts w:ascii="Arial" w:cs="Arial" w:eastAsia="Arial" w:hAnsi="Arial"/>
          <w:sz w:val="18"/>
          <w:szCs w:val="18"/>
          <w:color w:val="auto"/>
        </w:rPr>
      </w:pPr>
    </w:p>
    <w:p>
      <w:pPr>
        <w:ind w:left="1440" w:right="8600" w:hanging="493"/>
        <w:spacing w:after="0" w:line="342" w:lineRule="auto"/>
        <w:tabs>
          <w:tab w:leader="none" w:pos="1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884555</wp:posOffset>
            </wp:positionH>
            <wp:positionV relativeFrom="paragraph">
              <wp:posOffset>-14605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-366395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-717550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-1069340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drawing>
          <wp:anchor simplePos="0" relativeHeight="251657728" behindDoc="1" locked="0" layoutInCell="0" allowOverlap="1">
            <wp:simplePos x="0" y="0"/>
            <wp:positionH relativeFrom="column">
              <wp:posOffset>884555</wp:posOffset>
            </wp:positionH>
            <wp:positionV relativeFrom="paragraph">
              <wp:posOffset>-1421130</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1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75" w:lineRule="exact"/>
        <w:rPr>
          <w:sz w:val="20"/>
          <w:szCs w:val="20"/>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25"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960" w:hanging="1013"/>
        <w:spacing w:after="0" w:line="277" w:lineRule="auto"/>
        <w:tabs>
          <w:tab w:leader="none" w:pos="1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40" w:hanging="493"/>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§240.13d-1(b)(1)(ii)(J).</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300" w:top="391" w:right="399" w:bottom="1440" w:gutter="0" w:footer="0" w:header="0"/>
        </w:sectPr>
      </w:pPr>
    </w:p>
    <w:bookmarkStart w:id="3" w:name="page4"/>
    <w:bookmarkEnd w:id="3"/>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71" w:lineRule="exact"/>
        <w:rPr>
          <w:sz w:val="20"/>
          <w:szCs w:val="20"/>
          <w:color w:val="auto"/>
        </w:rPr>
      </w:pPr>
    </w:p>
    <w:p>
      <w:pPr>
        <w:ind w:left="1600" w:right="7620" w:hanging="394"/>
        <w:spacing w:after="0" w:line="340" w:lineRule="auto"/>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6,671,043.</w:t>
      </w:r>
    </w:p>
    <w:p>
      <w:pPr>
        <w:spacing w:after="0" w:line="129" w:lineRule="exact"/>
        <w:rPr>
          <w:rFonts w:ascii="Arial" w:cs="Arial" w:eastAsia="Arial" w:hAnsi="Arial"/>
          <w:sz w:val="18"/>
          <w:szCs w:val="18"/>
          <w:color w:val="auto"/>
        </w:rPr>
      </w:pPr>
    </w:p>
    <w:p>
      <w:pPr>
        <w:ind w:left="1600" w:hanging="400"/>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13.70%.</w:t>
      </w:r>
    </w:p>
    <w:p>
      <w:pPr>
        <w:spacing w:after="0" w:line="238" w:lineRule="exact"/>
        <w:rPr>
          <w:rFonts w:ascii="Arial" w:cs="Arial" w:eastAsia="Arial" w:hAnsi="Arial"/>
          <w:sz w:val="18"/>
          <w:szCs w:val="18"/>
          <w:color w:val="auto"/>
        </w:rPr>
      </w:pPr>
    </w:p>
    <w:p>
      <w:pPr>
        <w:ind w:left="1600" w:hanging="394"/>
        <w:spacing w:after="0"/>
        <w:tabs>
          <w:tab w:leader="none" w:pos="1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979170</wp:posOffset>
            </wp:positionH>
            <wp:positionV relativeFrom="paragraph">
              <wp:posOffset>255270</wp:posOffset>
            </wp:positionV>
            <wp:extent cx="62344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-198755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979170</wp:posOffset>
            </wp:positionH>
            <wp:positionV relativeFrom="paragraph">
              <wp:posOffset>-653415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20" w:right="6260" w:hanging="453"/>
        <w:spacing w:after="0" w:line="340" w:lineRule="auto"/>
        <w:tabs>
          <w:tab w:leader="none" w:pos="2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 4,666,832.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6080" w:hanging="478"/>
        <w:spacing w:after="0" w:line="340" w:lineRule="auto"/>
        <w:tabs>
          <w:tab w:leader="none" w:pos="2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20" w:right="5340" w:hanging="503"/>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6,671,043.</w:t>
      </w:r>
    </w:p>
    <w:p>
      <w:pPr>
        <w:spacing w:after="0" w:line="129" w:lineRule="exact"/>
        <w:rPr>
          <w:rFonts w:ascii="Arial" w:cs="Arial" w:eastAsia="Arial" w:hAnsi="Arial"/>
          <w:sz w:val="18"/>
          <w:szCs w:val="18"/>
          <w:color w:val="auto"/>
        </w:rPr>
      </w:pPr>
    </w:p>
    <w:p>
      <w:pPr>
        <w:ind w:left="2220" w:right="5160" w:hanging="498"/>
        <w:spacing w:after="0" w:line="340" w:lineRule="auto"/>
        <w:tabs>
          <w:tab w:leader="none" w:pos="2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1373505</wp:posOffset>
            </wp:positionH>
            <wp:positionV relativeFrom="paragraph">
              <wp:posOffset>13970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1373505</wp:posOffset>
            </wp:positionH>
            <wp:positionV relativeFrom="paragraph">
              <wp:posOffset>-440055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Instruction: </w:t>
      </w:r>
      <w:r>
        <w:rPr>
          <w:rFonts w:ascii="Arial" w:cs="Arial" w:eastAsia="Arial" w:hAnsi="Arial"/>
          <w:sz w:val="18"/>
          <w:szCs w:val="18"/>
          <w:color w:val="auto"/>
        </w:rPr>
        <w:t>Dissolution of a group requires a response to this item.</w:t>
      </w:r>
    </w:p>
    <w:p>
      <w:pPr>
        <w:spacing w:after="0" w:line="200" w:lineRule="exact"/>
        <w:rPr>
          <w:sz w:val="20"/>
          <w:szCs w:val="20"/>
          <w:color w:val="auto"/>
        </w:rPr>
      </w:pPr>
    </w:p>
    <w:p>
      <w:pPr>
        <w:spacing w:after="0" w:line="23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right="320" w:firstLine="324"/>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393"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00" w:top="391" w:right="319" w:bottom="1440" w:gutter="0" w:footer="0" w:header="0"/>
        </w:sectPr>
      </w:pPr>
    </w:p>
    <w:bookmarkStart w:id="4" w:name="page5"/>
    <w:bookmarkEnd w:id="4"/>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The following certification shall be included if the statement is filed pursuant to §240.13d-1(b):</w:t>
      </w:r>
    </w:p>
    <w:p>
      <w:pPr>
        <w:spacing w:after="0" w:line="225" w:lineRule="exact"/>
        <w:rPr>
          <w:sz w:val="20"/>
          <w:szCs w:val="20"/>
          <w:color w:val="auto"/>
        </w:rPr>
      </w:pPr>
    </w:p>
    <w:p>
      <w:pPr>
        <w:ind w:left="116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7" w:lineRule="exact"/>
        <w:rPr>
          <w:sz w:val="20"/>
          <w:szCs w:val="20"/>
          <w:color w:val="auto"/>
        </w:rPr>
      </w:pPr>
    </w:p>
    <w:p>
      <w:pPr>
        <w:ind w:left="380"/>
        <w:spacing w:after="0"/>
        <w:tabs>
          <w:tab w:leader="none" w:pos="7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The following certification shall be included if the statement is filed pursuant to §240.13d-1(c):</w:t>
      </w:r>
    </w:p>
    <w:p>
      <w:pPr>
        <w:spacing w:after="0" w:line="225" w:lineRule="exact"/>
        <w:rPr>
          <w:sz w:val="20"/>
          <w:szCs w:val="20"/>
          <w:color w:val="auto"/>
        </w:rPr>
      </w:pPr>
    </w:p>
    <w:p>
      <w:pPr>
        <w:ind w:left="116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February 8, 2019</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Karen Chen</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Karen Chen, CCO</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right="40" w:firstLine="259"/>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whom copies are to be sent.</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54875"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4875" cy="154305"/>
                    </a:xfrm>
                    <a:prstGeom prst="rect">
                      <a:avLst/>
                    </a:prstGeom>
                    <a:noFill/>
                  </pic:spPr>
                </pic:pic>
              </a:graphicData>
            </a:graphic>
          </wp:anchor>
        </w:drawing>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60"/>
      </w:cols>
      <w:pgMar w:left="240" w:top="3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1."/>
      <w:numFmt w:val="decimal"/>
      <w:start w:val="1"/>
    </w:lvl>
    <w:lvl w:ilvl="1">
      <w:lvlJc w:val="left"/>
      <w:lvlText w:val="(%2)"/>
      <w:numFmt w:val="lowerLetter"/>
      <w:start w:val="1"/>
    </w:lvl>
  </w:abstractNum>
  <w:abstractNum w:abstractNumId="2">
    <w:nsid w:val="2EB141F2"/>
    <w:multiLevelType w:val="hybridMultilevel"/>
    <w:lvl w:ilvl="0">
      <w:lvlJc w:val="left"/>
      <w:lvlText w:val="%1."/>
      <w:numFmt w:val="decimal"/>
      <w:start w:val="9"/>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2019-12-20T15:43:20Z</dcterms:created>
  <dcterms:modified xsi:type="dcterms:W3CDTF">2019-12-20T15:43:20Z</dcterms:modified>
</cp:coreProperties>
</file>