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SCHEDULE 13D/A</w:t>
      </w:r>
    </w:p>
    <w:p>
      <w:pPr>
        <w:spacing w:after="0" w:line="229" w:lineRule="exact"/>
        <w:rPr>
          <w:sz w:val="24"/>
          <w:szCs w:val="24"/>
          <w:color w:val="auto"/>
        </w:rPr>
      </w:pPr>
    </w:p>
    <w:p>
      <w:pPr>
        <w:jc w:val="center"/>
        <w:ind w:left="360" w:right="2360"/>
        <w:spacing w:after="0" w:line="254" w:lineRule="auto"/>
        <w:rPr>
          <w:sz w:val="20"/>
          <w:szCs w:val="20"/>
          <w:color w:val="auto"/>
        </w:rPr>
      </w:pPr>
      <w:r>
        <w:rPr>
          <w:rFonts w:ascii="Times New Roman" w:cs="Times New Roman" w:eastAsia="Times New Roman" w:hAnsi="Times New Roman"/>
          <w:sz w:val="20"/>
          <w:szCs w:val="20"/>
          <w:color w:val="auto"/>
        </w:rPr>
        <w:t>INFORMATION TO BE INCLUDED IN STATEMENTS FILED PURSUANT TO RULE 13d-1(a) AND AMENDMENTS THERETO FILED PURSUANT TO RULE 13d-2(a)</w:t>
      </w:r>
    </w:p>
    <w:p>
      <w:pPr>
        <w:spacing w:after="0" w:line="1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 5)*</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Standard BioTools,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0"/>
          <w:szCs w:val="20"/>
          <w:color w:val="auto"/>
        </w:rPr>
        <w:t>David Johnson</w:t>
      </w:r>
    </w:p>
    <w:p>
      <w:pPr>
        <w:spacing w:after="0" w:line="21"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0"/>
          <w:szCs w:val="20"/>
          <w:color w:val="auto"/>
        </w:rPr>
        <w:t>Caligan Partners LP</w:t>
      </w:r>
    </w:p>
    <w:p>
      <w:pPr>
        <w:ind w:left="4780"/>
        <w:spacing w:after="0"/>
        <w:rPr>
          <w:sz w:val="20"/>
          <w:szCs w:val="20"/>
          <w:color w:val="auto"/>
        </w:rPr>
      </w:pPr>
      <w:r>
        <w:rPr>
          <w:rFonts w:ascii="Times New Roman" w:cs="Times New Roman" w:eastAsia="Times New Roman" w:hAnsi="Times New Roman"/>
          <w:sz w:val="20"/>
          <w:szCs w:val="20"/>
          <w:color w:val="auto"/>
        </w:rPr>
        <w:t>590 Madison Avenue</w:t>
      </w:r>
    </w:p>
    <w:p>
      <w:pPr>
        <w:ind w:left="4760"/>
        <w:spacing w:after="0"/>
        <w:rPr>
          <w:sz w:val="20"/>
          <w:szCs w:val="20"/>
          <w:color w:val="auto"/>
        </w:rPr>
      </w:pPr>
      <w:r>
        <w:rPr>
          <w:rFonts w:ascii="Times New Roman" w:cs="Times New Roman" w:eastAsia="Times New Roman" w:hAnsi="Times New Roman"/>
          <w:sz w:val="20"/>
          <w:szCs w:val="20"/>
          <w:color w:val="auto"/>
        </w:rPr>
        <w:t>New York, NY 10022</w:t>
      </w:r>
    </w:p>
    <w:p>
      <w:pPr>
        <w:ind w:left="5060"/>
        <w:spacing w:after="0"/>
        <w:rPr>
          <w:sz w:val="20"/>
          <w:szCs w:val="20"/>
          <w:color w:val="auto"/>
        </w:rPr>
      </w:pPr>
      <w:r>
        <w:rPr>
          <w:rFonts w:ascii="Times New Roman" w:cs="Times New Roman" w:eastAsia="Times New Roman" w:hAnsi="Times New Roman"/>
          <w:sz w:val="20"/>
          <w:szCs w:val="20"/>
          <w:color w:val="auto"/>
        </w:rPr>
        <w:t>(646) 859-8204</w:t>
      </w:r>
    </w:p>
    <w:p>
      <w:pPr>
        <w:spacing w:after="0" w:line="207"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color w:val="auto"/>
        </w:rPr>
        <w:t>Eleazer Klein, Esq.</w:t>
      </w:r>
    </w:p>
    <w:p>
      <w:pPr>
        <w:spacing w:after="0" w:line="2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color w:val="auto"/>
        </w:rPr>
        <w:t>Schulte Roth &amp; Zabel LLP</w:t>
      </w:r>
    </w:p>
    <w:p>
      <w:pPr>
        <w:ind w:left="4960"/>
        <w:spacing w:after="0"/>
        <w:rPr>
          <w:sz w:val="20"/>
          <w:szCs w:val="20"/>
          <w:color w:val="auto"/>
        </w:rPr>
      </w:pPr>
      <w:r>
        <w:rPr>
          <w:rFonts w:ascii="Times New Roman" w:cs="Times New Roman" w:eastAsia="Times New Roman" w:hAnsi="Times New Roman"/>
          <w:sz w:val="20"/>
          <w:szCs w:val="20"/>
          <w:color w:val="auto"/>
        </w:rPr>
        <w:t>919 Third Avenue</w:t>
      </w:r>
    </w:p>
    <w:p>
      <w:pPr>
        <w:ind w:left="4800"/>
        <w:spacing w:after="0"/>
        <w:rPr>
          <w:sz w:val="20"/>
          <w:szCs w:val="20"/>
          <w:color w:val="auto"/>
        </w:rPr>
      </w:pPr>
      <w:r>
        <w:rPr>
          <w:rFonts w:ascii="Times New Roman" w:cs="Times New Roman" w:eastAsia="Times New Roman" w:hAnsi="Times New Roman"/>
          <w:sz w:val="20"/>
          <w:szCs w:val="20"/>
          <w:color w:val="auto"/>
        </w:rPr>
        <w:t>New York, NY 10022</w:t>
      </w:r>
    </w:p>
    <w:p>
      <w:pPr>
        <w:ind w:left="5000"/>
        <w:spacing w:after="0"/>
        <w:rPr>
          <w:sz w:val="20"/>
          <w:szCs w:val="20"/>
          <w:color w:val="auto"/>
        </w:rPr>
      </w:pPr>
      <w:r>
        <w:rPr>
          <w:rFonts w:ascii="Times New Roman" w:cs="Times New Roman" w:eastAsia="Times New Roman" w:hAnsi="Times New Roman"/>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December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ind w:right="100"/>
        <w:spacing w:after="0" w:line="269" w:lineRule="auto"/>
        <w:rPr>
          <w:sz w:val="20"/>
          <w:szCs w:val="20"/>
          <w:color w:val="auto"/>
        </w:rPr>
      </w:pPr>
      <w:r>
        <w:rPr>
          <w:rFonts w:ascii="Times New Roman" w:cs="Times New Roman" w:eastAsia="Times New Roman" w:hAnsi="Times New Roman"/>
          <w:sz w:val="20"/>
          <w:szCs w:val="20"/>
          <w:color w:val="auto"/>
        </w:rPr>
        <w:t>If the filing person has previously filed a statement on Schedule 13G to report the acquisition that is the subject of this Schedule 13D, and is filing this schedule because of Rule 13d-1(e), Rule 13d-1(f) or Rule 13d-1(g), check the following box. [ ]</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1 of 5 Pages)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ind w:right="340" w:firstLine="8"/>
        <w:spacing w:after="0" w:line="246" w:lineRule="auto"/>
        <w:tabs>
          <w:tab w:leader="none" w:pos="1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00"/>
          </w:cols>
          <w:pgMar w:left="320" w:top="463"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6"/>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34385P108</w:t>
            </w:r>
          </w:p>
        </w:tc>
        <w:tc>
          <w:tcPr>
            <w:tcW w:w="6420" w:type="dxa"/>
            <w:vAlign w:val="bottom"/>
          </w:tcPr>
          <w:p>
            <w:pPr>
              <w:ind w:left="2900"/>
              <w:spacing w:after="0"/>
              <w:rPr>
                <w:sz w:val="20"/>
                <w:szCs w:val="20"/>
                <w:color w:val="auto"/>
              </w:rPr>
            </w:pPr>
            <w:r>
              <w:rPr>
                <w:rFonts w:ascii="Times New Roman" w:cs="Times New Roman" w:eastAsia="Times New Roman" w:hAnsi="Times New Roman"/>
                <w:sz w:val="22"/>
                <w:szCs w:val="22"/>
                <w:b w:val="1"/>
                <w:bCs w:val="1"/>
                <w:color w:val="auto"/>
              </w:rPr>
              <w:t>SCHEDULE 13D/A</w:t>
            </w:r>
          </w:p>
        </w:tc>
        <w:tc>
          <w:tcPr>
            <w:tcW w:w="3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8"/>
              </w:rPr>
              <w:t>Page 2 of 5 Pages</w:t>
            </w:r>
          </w:p>
        </w:tc>
        <w:tc>
          <w:tcPr>
            <w:tcW w:w="0" w:type="dxa"/>
            <w:vAlign w:val="bottom"/>
          </w:tcPr>
          <w:p>
            <w:pPr>
              <w:spacing w:after="0"/>
              <w:rPr>
                <w:sz w:val="1"/>
                <w:szCs w:val="1"/>
                <w:color w:val="auto"/>
              </w:rPr>
            </w:pPr>
          </w:p>
        </w:tc>
      </w:tr>
      <w:tr>
        <w:trPr>
          <w:trHeight w:val="339"/>
        </w:trPr>
        <w:tc>
          <w:tcPr>
            <w:tcW w:w="1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2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64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Caligan Partners LP</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420" w:type="dxa"/>
            <w:vAlign w:val="bottom"/>
            <w:vMerge w:val="continue"/>
          </w:tcPr>
          <w:p>
            <w:pPr>
              <w:spacing w:after="0"/>
              <w:rPr>
                <w:sz w:val="6"/>
                <w:szCs w:val="6"/>
                <w:color w:val="auto"/>
              </w:rPr>
            </w:pPr>
          </w:p>
        </w:tc>
        <w:tc>
          <w:tcPr>
            <w:tcW w:w="3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2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2</w:t>
            </w: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00" w:type="dxa"/>
            <w:vAlign w:val="bottom"/>
            <w:vMerge w:val="restart"/>
          </w:tcPr>
          <w:p>
            <w:pPr>
              <w:ind w:left="17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39"/>
        </w:trPr>
        <w:tc>
          <w:tcPr>
            <w:tcW w:w="1820" w:type="dxa"/>
            <w:vAlign w:val="bottom"/>
            <w:vMerge w:val="continue"/>
          </w:tcPr>
          <w:p>
            <w:pPr>
              <w:spacing w:after="0"/>
              <w:rPr>
                <w:sz w:val="12"/>
                <w:szCs w:val="12"/>
                <w:color w:val="auto"/>
              </w:rPr>
            </w:pPr>
          </w:p>
        </w:tc>
        <w:tc>
          <w:tcPr>
            <w:tcW w:w="6420" w:type="dxa"/>
            <w:vAlign w:val="bottom"/>
          </w:tcPr>
          <w:p>
            <w:pPr>
              <w:spacing w:after="0"/>
              <w:rPr>
                <w:sz w:val="12"/>
                <w:szCs w:val="12"/>
                <w:color w:val="auto"/>
              </w:rPr>
            </w:pPr>
          </w:p>
        </w:tc>
        <w:tc>
          <w:tcPr>
            <w:tcW w:w="3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5"/>
        </w:trPr>
        <w:tc>
          <w:tcPr>
            <w:tcW w:w="18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00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-847090</wp:posOffset>
            </wp:positionV>
            <wp:extent cx="7132320" cy="5323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323205"/>
                    </a:xfrm>
                    <a:prstGeom prst="rect">
                      <a:avLst/>
                    </a:prstGeom>
                    <a:noFill/>
                  </pic:spPr>
                </pic:pic>
              </a:graphicData>
            </a:graphic>
          </wp:anchor>
        </w:drawing>
      </w:r>
    </w:p>
    <w:p>
      <w:pPr>
        <w:ind w:left="1920" w:hanging="1079"/>
        <w:spacing w:after="0" w:line="181" w:lineRule="auto"/>
        <w:tabs>
          <w:tab w:leader="none" w:pos="1920" w:val="left"/>
        </w:tabs>
        <w:numPr>
          <w:ilvl w:val="0"/>
          <w:numId w:val="2"/>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AF</w:t>
            </w: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8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80" w:type="dxa"/>
            <w:vAlign w:val="bottom"/>
          </w:tcPr>
          <w:p>
            <w:pPr>
              <w:spacing w:after="0"/>
              <w:rPr>
                <w:sz w:val="8"/>
                <w:szCs w:val="8"/>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8,576,799 shares of Common Stock</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80" w:type="dxa"/>
            <w:vAlign w:val="bottom"/>
          </w:tcPr>
          <w:p>
            <w:pPr>
              <w:spacing w:after="0"/>
              <w:rPr>
                <w:sz w:val="8"/>
                <w:szCs w:val="8"/>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8,576,799 shares of Common Stock</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8,576,799 shares of Common Stock</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9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13</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14</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IA, PN</w:t>
            </w: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34385P108</w:t>
            </w:r>
          </w:p>
        </w:tc>
        <w:tc>
          <w:tcPr>
            <w:tcW w:w="6420" w:type="dxa"/>
            <w:vAlign w:val="bottom"/>
          </w:tcPr>
          <w:p>
            <w:pPr>
              <w:ind w:left="2900"/>
              <w:spacing w:after="0"/>
              <w:rPr>
                <w:sz w:val="20"/>
                <w:szCs w:val="20"/>
                <w:color w:val="auto"/>
              </w:rPr>
            </w:pPr>
            <w:r>
              <w:rPr>
                <w:rFonts w:ascii="Times New Roman" w:cs="Times New Roman" w:eastAsia="Times New Roman" w:hAnsi="Times New Roman"/>
                <w:sz w:val="22"/>
                <w:szCs w:val="22"/>
                <w:b w:val="1"/>
                <w:bCs w:val="1"/>
                <w:color w:val="auto"/>
              </w:rPr>
              <w:t>SCHEDULE 13D/A</w:t>
            </w:r>
          </w:p>
        </w:tc>
        <w:tc>
          <w:tcPr>
            <w:tcW w:w="3000" w:type="dxa"/>
            <w:vAlign w:val="bottom"/>
          </w:tcPr>
          <w:p>
            <w:pPr>
              <w:ind w:left="1680"/>
              <w:spacing w:after="0"/>
              <w:rPr>
                <w:sz w:val="20"/>
                <w:szCs w:val="20"/>
                <w:color w:val="auto"/>
              </w:rPr>
            </w:pPr>
            <w:r>
              <w:rPr>
                <w:rFonts w:ascii="Times New Roman" w:cs="Times New Roman" w:eastAsia="Times New Roman" w:hAnsi="Times New Roman"/>
                <w:sz w:val="18"/>
                <w:szCs w:val="18"/>
                <w:b w:val="1"/>
                <w:bCs w:val="1"/>
                <w:color w:val="auto"/>
                <w:w w:val="98"/>
              </w:rPr>
              <w:t>Page 3 of 5 Pages</w:t>
            </w:r>
          </w:p>
        </w:tc>
        <w:tc>
          <w:tcPr>
            <w:tcW w:w="0" w:type="dxa"/>
            <w:vAlign w:val="bottom"/>
          </w:tcPr>
          <w:p>
            <w:pPr>
              <w:spacing w:after="0"/>
              <w:rPr>
                <w:sz w:val="1"/>
                <w:szCs w:val="1"/>
                <w:color w:val="auto"/>
              </w:rPr>
            </w:pPr>
          </w:p>
        </w:tc>
      </w:tr>
      <w:tr>
        <w:trPr>
          <w:trHeight w:val="649"/>
        </w:trPr>
        <w:tc>
          <w:tcPr>
            <w:tcW w:w="1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20" w:type="dxa"/>
            <w:vAlign w:val="bottom"/>
            <w:vMerge w:val="restart"/>
          </w:tcPr>
          <w:p>
            <w:pPr>
              <w:jc w:val="right"/>
              <w:ind w:right="714"/>
              <w:spacing w:after="0"/>
              <w:rPr>
                <w:sz w:val="20"/>
                <w:szCs w:val="20"/>
                <w:color w:val="auto"/>
              </w:rPr>
            </w:pPr>
            <w:r>
              <w:rPr>
                <w:rFonts w:ascii="Times New Roman" w:cs="Times New Roman" w:eastAsia="Times New Roman" w:hAnsi="Times New Roman"/>
                <w:sz w:val="29"/>
                <w:szCs w:val="29"/>
                <w:b w:val="1"/>
                <w:bCs w:val="1"/>
                <w:color w:val="auto"/>
              </w:rPr>
              <w:t>1</w:t>
            </w: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NAME OF REPORTING PERSON</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vMerge w:val="continue"/>
          </w:tcPr>
          <w:p>
            <w:pPr>
              <w:spacing w:after="0"/>
              <w:rPr>
                <w:sz w:val="15"/>
                <w:szCs w:val="15"/>
                <w:color w:val="auto"/>
              </w:rPr>
            </w:pPr>
          </w:p>
        </w:tc>
        <w:tc>
          <w:tcPr>
            <w:tcW w:w="64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David Johnson</w:t>
            </w:r>
          </w:p>
        </w:tc>
        <w:tc>
          <w:tcPr>
            <w:tcW w:w="3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20" w:type="dxa"/>
            <w:vAlign w:val="bottom"/>
          </w:tcPr>
          <w:p>
            <w:pPr>
              <w:spacing w:after="0"/>
              <w:rPr>
                <w:sz w:val="6"/>
                <w:szCs w:val="6"/>
                <w:color w:val="auto"/>
              </w:rPr>
            </w:pPr>
          </w:p>
        </w:tc>
        <w:tc>
          <w:tcPr>
            <w:tcW w:w="6420" w:type="dxa"/>
            <w:vAlign w:val="bottom"/>
            <w:vMerge w:val="continue"/>
          </w:tcPr>
          <w:p>
            <w:pPr>
              <w:spacing w:after="0"/>
              <w:rPr>
                <w:sz w:val="6"/>
                <w:szCs w:val="6"/>
                <w:color w:val="auto"/>
              </w:rPr>
            </w:pPr>
          </w:p>
        </w:tc>
        <w:tc>
          <w:tcPr>
            <w:tcW w:w="3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20" w:type="dxa"/>
            <w:vAlign w:val="bottom"/>
            <w:tcBorders>
              <w:bottom w:val="single" w:sz="8" w:color="auto"/>
            </w:tcBorders>
          </w:tcPr>
          <w:p>
            <w:pPr>
              <w:spacing w:after="0"/>
              <w:rPr>
                <w:sz w:val="8"/>
                <w:szCs w:val="8"/>
                <w:color w:val="auto"/>
              </w:rPr>
            </w:pPr>
          </w:p>
        </w:tc>
        <w:tc>
          <w:tcPr>
            <w:tcW w:w="642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20" w:type="dxa"/>
            <w:vAlign w:val="bottom"/>
            <w:vMerge w:val="restart"/>
          </w:tcPr>
          <w:p>
            <w:pPr>
              <w:jc w:val="right"/>
              <w:ind w:right="714"/>
              <w:spacing w:after="0" w:line="328" w:lineRule="exact"/>
              <w:rPr>
                <w:sz w:val="20"/>
                <w:szCs w:val="20"/>
                <w:color w:val="auto"/>
              </w:rPr>
            </w:pPr>
            <w:r>
              <w:rPr>
                <w:rFonts w:ascii="Times New Roman" w:cs="Times New Roman" w:eastAsia="Times New Roman" w:hAnsi="Times New Roman"/>
                <w:sz w:val="29"/>
                <w:szCs w:val="29"/>
                <w:b w:val="1"/>
                <w:bCs w:val="1"/>
                <w:color w:val="auto"/>
              </w:rPr>
              <w:t>2</w:t>
            </w:r>
          </w:p>
        </w:tc>
        <w:tc>
          <w:tcPr>
            <w:tcW w:w="64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00" w:type="dxa"/>
            <w:vAlign w:val="bottom"/>
            <w:vMerge w:val="restart"/>
          </w:tcPr>
          <w:p>
            <w:pPr>
              <w:ind w:left="1760"/>
              <w:spacing w:after="0" w:line="322"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5"/>
        </w:trPr>
        <w:tc>
          <w:tcPr>
            <w:tcW w:w="1820" w:type="dxa"/>
            <w:vAlign w:val="bottom"/>
            <w:vMerge w:val="continue"/>
          </w:tcPr>
          <w:p>
            <w:pPr>
              <w:spacing w:after="0"/>
              <w:rPr>
                <w:sz w:val="7"/>
                <w:szCs w:val="7"/>
                <w:color w:val="auto"/>
              </w:rPr>
            </w:pPr>
          </w:p>
        </w:tc>
        <w:tc>
          <w:tcPr>
            <w:tcW w:w="6420" w:type="dxa"/>
            <w:vAlign w:val="bottom"/>
          </w:tcPr>
          <w:p>
            <w:pPr>
              <w:spacing w:after="0"/>
              <w:rPr>
                <w:sz w:val="7"/>
                <w:szCs w:val="7"/>
                <w:color w:val="auto"/>
              </w:rPr>
            </w:pPr>
          </w:p>
        </w:tc>
        <w:tc>
          <w:tcPr>
            <w:tcW w:w="3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5"/>
        </w:trPr>
        <w:tc>
          <w:tcPr>
            <w:tcW w:w="18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3000" w:type="dxa"/>
            <w:vAlign w:val="bottom"/>
          </w:tcPr>
          <w:p>
            <w:pPr>
              <w:ind w:left="1760"/>
              <w:spacing w:after="0"/>
              <w:rPr>
                <w:sz w:val="20"/>
                <w:szCs w:val="20"/>
                <w:color w:val="auto"/>
              </w:rPr>
            </w:pPr>
            <w:r>
              <w:rPr>
                <w:rFonts w:ascii="Times New Roman" w:cs="Times New Roman" w:eastAsia="Times New Roman" w:hAnsi="Times New Roman"/>
                <w:sz w:val="22"/>
                <w:szCs w:val="22"/>
                <w:color w:val="auto"/>
              </w:rPr>
              <w:t xml:space="preserve">(b) </w:t>
            </w:r>
            <w:r>
              <w:rPr>
                <w:rFonts w:ascii="Wingdings" w:cs="Wingdings" w:eastAsia="Wingdings" w:hAnsi="Wingdings"/>
                <w:sz w:val="28"/>
                <w:szCs w:val="28"/>
                <w:b w:val="1"/>
                <w:bCs w:val="1"/>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-812800</wp:posOffset>
            </wp:positionV>
            <wp:extent cx="7132320" cy="5288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288915"/>
                    </a:xfrm>
                    <a:prstGeom prst="rect">
                      <a:avLst/>
                    </a:prstGeom>
                    <a:noFill/>
                  </pic:spPr>
                </pic:pic>
              </a:graphicData>
            </a:graphic>
          </wp:anchor>
        </w:drawing>
      </w:r>
    </w:p>
    <w:p>
      <w:pPr>
        <w:ind w:left="1920" w:hanging="1079"/>
        <w:spacing w:after="0" w:line="181" w:lineRule="auto"/>
        <w:tabs>
          <w:tab w:leader="none" w:pos="1920" w:val="left"/>
        </w:tabs>
        <w:numPr>
          <w:ilvl w:val="0"/>
          <w:numId w:val="3"/>
        </w:numPr>
        <w:rPr>
          <w:rFonts w:ascii="Times New Roman" w:cs="Times New Roman" w:eastAsia="Times New Roman" w:hAnsi="Times New Roman"/>
          <w:sz w:val="29"/>
          <w:szCs w:val="29"/>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SOURCE OF FUNDS</w:t>
            </w:r>
          </w:p>
        </w:tc>
        <w:tc>
          <w:tcPr>
            <w:tcW w:w="6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AF</w:t>
            </w: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5</w:t>
            </w:r>
          </w:p>
        </w:tc>
        <w:tc>
          <w:tcPr>
            <w:tcW w:w="7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DISCLOSURE OF LEGAL PROCEEDING IS REQUIRED PURSUANT TO ITEMS 2(d) or 2(e)</w:t>
            </w:r>
          </w:p>
        </w:tc>
        <w:tc>
          <w:tcPr>
            <w:tcW w:w="1500" w:type="dxa"/>
            <w:vAlign w:val="bottom"/>
          </w:tcPr>
          <w:p>
            <w:pPr>
              <w:ind w:left="2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7940" w:type="dxa"/>
            <w:vAlign w:val="bottom"/>
            <w:tcBorders>
              <w:bottom w:val="single" w:sz="8" w:color="auto"/>
            </w:tcBorders>
            <w:gridSpan w:val="3"/>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8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SOLE VOTING POWER</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8</w:t>
            </w:r>
          </w:p>
        </w:tc>
        <w:tc>
          <w:tcPr>
            <w:tcW w:w="80" w:type="dxa"/>
            <w:vAlign w:val="bottom"/>
          </w:tcPr>
          <w:p>
            <w:pPr>
              <w:spacing w:after="0"/>
              <w:rPr>
                <w:sz w:val="8"/>
                <w:szCs w:val="8"/>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VOTING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8,576,799 shares of Common Stock</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jc w:val="center"/>
              <w:spacing w:after="0" w:line="303" w:lineRule="exact"/>
              <w:rPr>
                <w:sz w:val="20"/>
                <w:szCs w:val="20"/>
                <w:color w:val="auto"/>
              </w:rPr>
            </w:pPr>
            <w:r>
              <w:rPr>
                <w:rFonts w:ascii="Times New Roman" w:cs="Times New Roman" w:eastAsia="Times New Roman" w:hAnsi="Times New Roman"/>
                <w:sz w:val="29"/>
                <w:szCs w:val="29"/>
                <w:b w:val="1"/>
                <w:bCs w:val="1"/>
                <w:color w:val="auto"/>
                <w:w w:val="96"/>
              </w:rPr>
              <w:t>9</w:t>
            </w:r>
          </w:p>
        </w:tc>
        <w:tc>
          <w:tcPr>
            <w:tcW w:w="80" w:type="dxa"/>
            <w:vAlign w:val="bottom"/>
          </w:tcPr>
          <w:p>
            <w:pPr>
              <w:spacing w:after="0"/>
              <w:rPr>
                <w:sz w:val="8"/>
                <w:szCs w:val="8"/>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SOLE DISPOSITIVE POWER</w:t>
            </w: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-0-</w:t>
            </w: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3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80" w:type="dxa"/>
            <w:vAlign w:val="bottom"/>
          </w:tcPr>
          <w:p>
            <w:pPr>
              <w:spacing w:after="0"/>
              <w:rPr>
                <w:sz w:val="9"/>
                <w:szCs w:val="9"/>
                <w:color w:val="auto"/>
              </w:rPr>
            </w:pPr>
          </w:p>
        </w:tc>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80" w:type="dxa"/>
            <w:vAlign w:val="bottom"/>
          </w:tcPr>
          <w:p>
            <w:pPr>
              <w:spacing w:after="0"/>
              <w:rPr>
                <w:sz w:val="10"/>
                <w:szCs w:val="10"/>
                <w:color w:val="auto"/>
              </w:rPr>
            </w:pPr>
          </w:p>
        </w:tc>
        <w:tc>
          <w:tcPr>
            <w:tcW w:w="63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36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auto"/>
              </w:rPr>
              <w:t>8,576,799 shares of Common Stock</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8,576,799 shares of Common Stock</w:t>
            </w: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9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3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12</w:t>
            </w:r>
          </w:p>
        </w:tc>
        <w:tc>
          <w:tcPr>
            <w:tcW w:w="79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IF THE AGGREGATE AMOUNT IN ROW (11) EXCLUDES CERTAIN SHARES</w:t>
            </w:r>
          </w:p>
        </w:tc>
        <w:tc>
          <w:tcPr>
            <w:tcW w:w="1500" w:type="dxa"/>
            <w:vAlign w:val="bottom"/>
          </w:tcPr>
          <w:p>
            <w:pPr>
              <w:ind w:left="36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940" w:type="dxa"/>
            <w:vAlign w:val="bottom"/>
            <w:gridSpan w:val="3"/>
            <w:vMerge w:val="continue"/>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6440" w:type="dxa"/>
            <w:vAlign w:val="bottom"/>
            <w:tcBorders>
              <w:bottom w:val="single" w:sz="8" w:color="auto"/>
            </w:tcBorders>
            <w:gridSpan w:val="2"/>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13</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(11)</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10.8%</w:t>
            </w:r>
          </w:p>
        </w:tc>
        <w:tc>
          <w:tcPr>
            <w:tcW w:w="8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440" w:type="dxa"/>
            <w:vAlign w:val="bottom"/>
            <w:tcBorders>
              <w:bottom w:val="single" w:sz="8" w:color="auto"/>
            </w:tcBorders>
            <w:gridSpan w:val="2"/>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14</w:t>
            </w:r>
          </w:p>
        </w:tc>
        <w:tc>
          <w:tcPr>
            <w:tcW w:w="794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8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w:t>
            </w:r>
          </w:p>
        </w:tc>
        <w:tc>
          <w:tcPr>
            <w:tcW w:w="6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63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3" w:name="page4"/>
    <w:bookmarkEnd w:id="3"/>
    <w:p>
      <w:pPr>
        <w:spacing w:after="0"/>
        <w:tabs>
          <w:tab w:leader="none" w:pos="470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22"/>
          <w:szCs w:val="22"/>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4 of 5 Pages</w:t>
      </w:r>
    </w:p>
    <w:p>
      <w:pPr>
        <w:sectPr>
          <w:pgSz w:w="11900" w:h="16838" w:orient="portrait"/>
          <w:cols w:equalWidth="0" w:num="1">
            <w:col w:w="11240"/>
          </w:cols>
          <w:pgMar w:left="320" w:top="216"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both"/>
        <w:ind w:left="100" w:right="100"/>
        <w:spacing w:after="0" w:line="238" w:lineRule="auto"/>
        <w:rPr>
          <w:sz w:val="20"/>
          <w:szCs w:val="20"/>
          <w:color w:val="auto"/>
        </w:rPr>
      </w:pPr>
      <w:r>
        <w:rPr>
          <w:rFonts w:ascii="Times New Roman" w:cs="Times New Roman" w:eastAsia="Times New Roman" w:hAnsi="Times New Roman"/>
          <w:sz w:val="22"/>
          <w:szCs w:val="22"/>
          <w:color w:val="auto"/>
        </w:rPr>
        <w:t>The following constitutes Amendment No. 5 (this "</w:t>
      </w:r>
      <w:r>
        <w:rPr>
          <w:rFonts w:ascii="Times New Roman" w:cs="Times New Roman" w:eastAsia="Times New Roman" w:hAnsi="Times New Roman"/>
          <w:sz w:val="22"/>
          <w:szCs w:val="22"/>
          <w:u w:val="single" w:color="auto"/>
          <w:color w:val="auto"/>
        </w:rPr>
        <w:t>Amendment No. 5</w:t>
      </w:r>
      <w:r>
        <w:rPr>
          <w:rFonts w:ascii="Times New Roman" w:cs="Times New Roman" w:eastAsia="Times New Roman" w:hAnsi="Times New Roman"/>
          <w:sz w:val="22"/>
          <w:szCs w:val="22"/>
          <w:color w:val="auto"/>
        </w:rPr>
        <w:t>") to the Schedule 13D filed by the undersigned on May 10, 2021 with respect to the Common Stock of the Issuer (the "</w:t>
      </w:r>
      <w:r>
        <w:rPr>
          <w:rFonts w:ascii="Times New Roman" w:cs="Times New Roman" w:eastAsia="Times New Roman" w:hAnsi="Times New Roman"/>
          <w:sz w:val="22"/>
          <w:szCs w:val="22"/>
          <w:u w:val="single" w:color="auto"/>
          <w:color w:val="auto"/>
        </w:rPr>
        <w:t>Original Schedule 13D</w:t>
      </w:r>
      <w:r>
        <w:rPr>
          <w:rFonts w:ascii="Times New Roman" w:cs="Times New Roman" w:eastAsia="Times New Roman" w:hAnsi="Times New Roman"/>
          <w:sz w:val="22"/>
          <w:szCs w:val="22"/>
          <w:color w:val="auto"/>
        </w:rPr>
        <w:t>", as amended from time to time,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This Amendment No. 5 amends the Schedule 13D as specifically set forth herein. Capitalized terms used herein not otherwise defined in this Amendment No. 5 have the meanings set forth in the Schedule 13D. This Amendment No. 5 amends Items 4 and 5(a) – (c) as set forth below.</w:t>
      </w:r>
    </w:p>
    <w:p>
      <w:pPr>
        <w:spacing w:after="0" w:line="200"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PURPOSE OF TRANSACTION</w:t>
      </w: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Item 4 of the Schedule 13D is hereby amended and supplemented by the addition of the following:</w:t>
      </w:r>
    </w:p>
    <w:p>
      <w:pPr>
        <w:spacing w:after="0" w:line="233" w:lineRule="exact"/>
        <w:rPr>
          <w:sz w:val="20"/>
          <w:szCs w:val="20"/>
          <w:color w:val="auto"/>
        </w:rPr>
      </w:pPr>
    </w:p>
    <w:p>
      <w:pPr>
        <w:ind w:left="1340" w:right="300"/>
        <w:spacing w:after="0" w:line="241" w:lineRule="auto"/>
        <w:rPr>
          <w:sz w:val="20"/>
          <w:szCs w:val="20"/>
          <w:color w:val="auto"/>
        </w:rPr>
      </w:pPr>
      <w:r>
        <w:rPr>
          <w:rFonts w:ascii="Times New Roman" w:cs="Times New Roman" w:eastAsia="Times New Roman" w:hAnsi="Times New Roman"/>
          <w:sz w:val="22"/>
          <w:szCs w:val="22"/>
          <w:color w:val="auto"/>
        </w:rPr>
        <w:t>On December 29, 2022, Caligan, on behalf of the Caligan Fund and certain of the Caligan Accounts, effected a pro rata in-kind distribution of an aggregate of 2,868,037 shares of</w:t>
      </w:r>
    </w:p>
    <w:p>
      <w:pPr>
        <w:spacing w:after="0" w:line="2" w:lineRule="exact"/>
        <w:rPr>
          <w:sz w:val="20"/>
          <w:szCs w:val="20"/>
          <w:color w:val="auto"/>
        </w:rPr>
      </w:pPr>
    </w:p>
    <w:p>
      <w:pPr>
        <w:ind w:left="1340" w:right="160"/>
        <w:spacing w:after="0" w:line="233" w:lineRule="auto"/>
        <w:rPr>
          <w:sz w:val="20"/>
          <w:szCs w:val="20"/>
          <w:color w:val="auto"/>
        </w:rPr>
      </w:pPr>
      <w:r>
        <w:rPr>
          <w:rFonts w:ascii="Times New Roman" w:cs="Times New Roman" w:eastAsia="Times New Roman" w:hAnsi="Times New Roman"/>
          <w:sz w:val="22"/>
          <w:szCs w:val="22"/>
          <w:color w:val="auto"/>
        </w:rPr>
        <w:t>Common Stock to certain limited partners and account holders for no consideration in a transaction exempt from the requirements of the Securities Act of 1933 (the "</w:t>
      </w:r>
      <w:r>
        <w:rPr>
          <w:rFonts w:ascii="Times New Roman" w:cs="Times New Roman" w:eastAsia="Times New Roman" w:hAnsi="Times New Roman"/>
          <w:sz w:val="22"/>
          <w:szCs w:val="22"/>
          <w:u w:val="single" w:color="auto"/>
          <w:color w:val="auto"/>
        </w:rPr>
        <w:t>Share Distribution</w:t>
      </w:r>
      <w:r>
        <w:rPr>
          <w:rFonts w:ascii="Times New Roman" w:cs="Times New Roman" w:eastAsia="Times New Roman" w:hAnsi="Times New Roman"/>
          <w:sz w:val="22"/>
          <w:szCs w:val="22"/>
          <w:color w:val="auto"/>
        </w:rPr>
        <w:t>"). The Reporting Persons remain supportive of the management and strategy of the Issuer, believe the Issuer is still undervalued and represents an attractive investment opportunity, and may, depending on various factors, including market conditions, increase their beneficial ownership of the Common Stock in the future.</w:t>
      </w:r>
    </w:p>
    <w:p>
      <w:pPr>
        <w:spacing w:after="0" w:line="202" w:lineRule="exact"/>
        <w:rPr>
          <w:sz w:val="20"/>
          <w:szCs w:val="20"/>
          <w:color w:val="auto"/>
        </w:rPr>
      </w:pPr>
    </w:p>
    <w:p>
      <w:pPr>
        <w:ind w:left="100"/>
        <w:spacing w:after="0"/>
        <w:tabs>
          <w:tab w:leader="none" w:pos="132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Items 5(a) - (c) of the Schedule 13D are hereby amended and restated as follows:</w:t>
      </w:r>
    </w:p>
    <w:p>
      <w:pPr>
        <w:spacing w:after="0" w:line="233" w:lineRule="exact"/>
        <w:rPr>
          <w:sz w:val="20"/>
          <w:szCs w:val="20"/>
          <w:color w:val="auto"/>
        </w:rPr>
      </w:pPr>
    </w:p>
    <w:p>
      <w:pPr>
        <w:jc w:val="both"/>
        <w:ind w:left="1340" w:right="100" w:hanging="1235"/>
        <w:spacing w:after="0" w:line="238" w:lineRule="auto"/>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(11) and (13) of the cover pages to this Schedule 13D for the aggregate number of and percentages of the shares of Common Stock beneficially owned by each Reporting Person. The percentages set forth in this Schedule 13D are based upon 79,296,443 shares of Common Stock outstanding as of October 31, 2022, as reported in the Issuer's Quarterly Report for the quarterly period ended September 30, 2022 on Form 10-Q, filed with the Securities and Exchange Commission on November 9, 2022.</w:t>
      </w:r>
    </w:p>
    <w:p>
      <w:pPr>
        <w:spacing w:after="0" w:line="203" w:lineRule="exact"/>
        <w:rPr>
          <w:rFonts w:ascii="Times New Roman" w:cs="Times New Roman" w:eastAsia="Times New Roman" w:hAnsi="Times New Roman"/>
          <w:sz w:val="22"/>
          <w:szCs w:val="22"/>
          <w:color w:val="auto"/>
        </w:rPr>
      </w:pPr>
    </w:p>
    <w:p>
      <w:pPr>
        <w:jc w:val="both"/>
        <w:ind w:left="1340" w:right="100" w:hanging="1235"/>
        <w:spacing w:after="0" w:line="244" w:lineRule="auto"/>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 which each Reporting Person has the sole or shared power to vote or direct the vote and sole or shared power to dispose or to direct the disposition.</w:t>
      </w:r>
    </w:p>
    <w:p>
      <w:pPr>
        <w:spacing w:after="0" w:line="200" w:lineRule="exact"/>
        <w:rPr>
          <w:rFonts w:ascii="Times New Roman" w:cs="Times New Roman" w:eastAsia="Times New Roman" w:hAnsi="Times New Roman"/>
          <w:sz w:val="22"/>
          <w:szCs w:val="22"/>
          <w:color w:val="auto"/>
        </w:rPr>
      </w:pPr>
    </w:p>
    <w:p>
      <w:pPr>
        <w:ind w:left="1340" w:right="100" w:hanging="1235"/>
        <w:spacing w:after="0" w:line="258" w:lineRule="auto"/>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Share Distribution, there have been no transactions in the shares of Common Stock effected by the Reporting Persons during the past sixty (60) days.</w:t>
      </w:r>
    </w:p>
    <w:p>
      <w:pPr>
        <w:sectPr>
          <w:pgSz w:w="11900" w:h="16838" w:orient="portrait"/>
          <w:cols w:equalWidth="0" w:num="1">
            <w:col w:w="11240"/>
          </w:cols>
          <w:pgMar w:left="320" w:top="216" w:right="339" w:bottom="1440" w:gutter="0" w:footer="0" w:header="0"/>
          <w:type w:val="continuous"/>
        </w:sectPr>
      </w:pPr>
    </w:p>
    <w:bookmarkStart w:id="4" w:name="page5"/>
    <w:bookmarkEnd w:id="4"/>
    <w:p>
      <w:pPr>
        <w:spacing w:after="0"/>
        <w:tabs>
          <w:tab w:leader="none" w:pos="470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34385P108</w:t>
      </w:r>
      <w:r>
        <w:rPr>
          <w:sz w:val="20"/>
          <w:szCs w:val="20"/>
          <w:color w:val="auto"/>
        </w:rPr>
        <w:tab/>
      </w:r>
      <w:r>
        <w:rPr>
          <w:rFonts w:ascii="Times New Roman" w:cs="Times New Roman" w:eastAsia="Times New Roman" w:hAnsi="Times New Roman"/>
          <w:sz w:val="22"/>
          <w:szCs w:val="22"/>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5 of 5 Pages</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640"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December 30, 2022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b w:val="1"/>
          <w:bCs w:val="1"/>
          <w:color w:val="auto"/>
        </w:rPr>
        <w:t>CALIGAN PARTNERS LP</w:t>
      </w:r>
    </w:p>
    <w:p>
      <w:pPr>
        <w:spacing w:after="0" w:line="200" w:lineRule="exact"/>
        <w:rPr>
          <w:sz w:val="20"/>
          <w:szCs w:val="20"/>
          <w:color w:val="auto"/>
        </w:rPr>
      </w:pPr>
    </w:p>
    <w:p>
      <w:pPr>
        <w:spacing w:after="0" w:line="270" w:lineRule="exact"/>
        <w:rPr>
          <w:sz w:val="20"/>
          <w:szCs w:val="20"/>
          <w:color w:val="auto"/>
        </w:rPr>
      </w:pPr>
    </w:p>
    <w:tbl>
      <w:tblPr>
        <w:tblLayout w:type="fixed"/>
        <w:tblInd w:w="6960" w:type="dxa"/>
        <w:tblCellMar>
          <w:top w:w="0" w:type="dxa"/>
          <w:left w:w="0" w:type="dxa"/>
          <w:bottom w:w="0" w:type="dxa"/>
          <w:right w:w="0" w:type="dxa"/>
        </w:tblCellMar>
      </w:tblPr>
      <w:tr>
        <w:trPr>
          <w:trHeight w:val="25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580" w:type="dxa"/>
            <w:vAlign w:val="bottom"/>
            <w:gridSpan w:val="2"/>
          </w:tcPr>
          <w:p>
            <w:pPr>
              <w:ind w:left="120"/>
              <w:spacing w:after="0"/>
              <w:rPr>
                <w:sz w:val="20"/>
                <w:szCs w:val="20"/>
                <w:color w:val="auto"/>
              </w:rPr>
            </w:pPr>
            <w:r>
              <w:rPr>
                <w:rFonts w:ascii="Times New Roman" w:cs="Times New Roman" w:eastAsia="Times New Roman" w:hAnsi="Times New Roman"/>
                <w:sz w:val="22"/>
                <w:szCs w:val="22"/>
                <w:color w:val="auto"/>
              </w:rPr>
              <w:t>/s/ David Johnson</w:t>
            </w:r>
          </w:p>
        </w:tc>
        <w:tc>
          <w:tcPr>
            <w:tcW w:w="0" w:type="dxa"/>
            <w:vAlign w:val="bottom"/>
          </w:tcPr>
          <w:p>
            <w:pPr>
              <w:spacing w:after="0"/>
              <w:rPr>
                <w:sz w:val="1"/>
                <w:szCs w:val="1"/>
                <w:color w:val="auto"/>
              </w:rPr>
            </w:pPr>
          </w:p>
        </w:tc>
      </w:tr>
      <w:tr>
        <w:trPr>
          <w:trHeight w:val="27"/>
        </w:trPr>
        <w:tc>
          <w:tcPr>
            <w:tcW w:w="7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12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David Johnson</w:t>
            </w:r>
          </w:p>
        </w:tc>
        <w:tc>
          <w:tcPr>
            <w:tcW w:w="0" w:type="dxa"/>
            <w:vAlign w:val="bottom"/>
          </w:tcPr>
          <w:p>
            <w:pPr>
              <w:spacing w:after="0"/>
              <w:rPr>
                <w:sz w:val="1"/>
                <w:szCs w:val="1"/>
                <w:color w:val="auto"/>
              </w:rPr>
            </w:pPr>
          </w:p>
        </w:tc>
      </w:tr>
      <w:tr>
        <w:trPr>
          <w:trHeight w:val="282"/>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120" w:type="dxa"/>
            <w:vAlign w:val="bottom"/>
          </w:tcPr>
          <w:p>
            <w:pPr>
              <w:spacing w:after="0"/>
              <w:rPr>
                <w:sz w:val="24"/>
                <w:szCs w:val="24"/>
                <w:color w:val="auto"/>
              </w:rPr>
            </w:pPr>
          </w:p>
        </w:tc>
        <w:tc>
          <w:tcPr>
            <w:tcW w:w="34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color w:val="auto"/>
        </w:rPr>
        <w:t>/s/ David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10795</wp:posOffset>
            </wp:positionV>
            <wp:extent cx="2777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8"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22"/>
          <w:szCs w:val="22"/>
          <w:b w:val="1"/>
          <w:bCs w:val="1"/>
          <w:color w:val="auto"/>
        </w:rPr>
        <w:t>DAVID JOHNSON</w:t>
      </w:r>
    </w:p>
    <w:sectPr>
      <w:pgSz w:w="11900" w:h="16838" w:orient="portrait"/>
      <w:cols w:equalWidth="0" w:num="1">
        <w:col w:w="11240"/>
      </w:cols>
      <w:pgMar w:left="320" w:top="2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3"/>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2022-12-30T16:14:09Z</dcterms:created>
  <dcterms:modified xsi:type="dcterms:W3CDTF">2022-12-30T16:14:09Z</dcterms:modified>
</cp:coreProperties>
</file>