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0867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08672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COLELLA SAMUEL 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58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vMerge w:val="restart"/>
          </w:tcPr>
          <w:p>
            <w:pPr>
              <w:ind w:left="100"/>
              <w:spacing w:after="0"/>
              <w:rPr>
                <w:sz w:val="20"/>
                <w:szCs w:val="20"/>
                <w:color w:val="auto"/>
              </w:rPr>
            </w:pPr>
            <w:r>
              <w:rPr>
                <w:rFonts w:ascii="Arial" w:cs="Arial" w:eastAsia="Arial" w:hAnsi="Arial"/>
                <w:sz w:val="18"/>
                <w:szCs w:val="18"/>
                <w:color w:val="0000FF"/>
                <w:w w:val="99"/>
              </w:rPr>
              <w:t>X</w:t>
            </w:r>
          </w:p>
        </w:tc>
        <w:tc>
          <w:tcPr>
            <w:tcW w:w="1240" w:type="dxa"/>
            <w:vAlign w:val="bottom"/>
            <w:gridSpan w:val="2"/>
            <w:vMerge w:val="restart"/>
          </w:tcPr>
          <w:p>
            <w:pPr>
              <w:ind w:left="200"/>
              <w:spacing w:after="0"/>
              <w:rPr>
                <w:sz w:val="20"/>
                <w:szCs w:val="20"/>
                <w:color w:val="auto"/>
              </w:rPr>
            </w:pPr>
            <w:r>
              <w:rPr>
                <w:rFonts w:ascii="Arial" w:cs="Arial" w:eastAsia="Arial" w:hAnsi="Arial"/>
                <w:sz w:val="14"/>
                <w:szCs w:val="14"/>
                <w:color w:val="auto"/>
              </w:rPr>
              <w:t>Director</w:t>
            </w:r>
          </w:p>
        </w:tc>
        <w:tc>
          <w:tcPr>
            <w:tcW w:w="1780" w:type="dxa"/>
            <w:vAlign w:val="bottom"/>
            <w:gridSpan w:val="3"/>
            <w:vMerge w:val="restart"/>
          </w:tcPr>
          <w:p>
            <w:pPr>
              <w:ind w:left="6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gridSpan w:val="2"/>
            <w:vMerge w:val="restart"/>
          </w:tcPr>
          <w:p>
            <w:pPr>
              <w:ind w:left="200"/>
              <w:spacing w:after="0" w:line="157" w:lineRule="exact"/>
              <w:rPr>
                <w:sz w:val="20"/>
                <w:szCs w:val="20"/>
                <w:color w:val="auto"/>
              </w:rPr>
            </w:pPr>
            <w:r>
              <w:rPr>
                <w:rFonts w:ascii="Arial" w:cs="Arial" w:eastAsia="Arial" w:hAnsi="Arial"/>
                <w:sz w:val="14"/>
                <w:szCs w:val="14"/>
                <w:color w:val="auto"/>
              </w:rPr>
              <w:t>Officer (give title</w:t>
            </w:r>
          </w:p>
        </w:tc>
        <w:tc>
          <w:tcPr>
            <w:tcW w:w="1780" w:type="dxa"/>
            <w:vAlign w:val="bottom"/>
            <w:gridSpan w:val="3"/>
            <w:vMerge w:val="restart"/>
          </w:tcPr>
          <w:p>
            <w:pPr>
              <w:ind w:left="60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7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ind w:left="200"/>
              <w:spacing w:after="0"/>
              <w:rPr>
                <w:sz w:val="20"/>
                <w:szCs w:val="20"/>
                <w:color w:val="auto"/>
              </w:rPr>
            </w:pPr>
            <w:r>
              <w:rPr>
                <w:rFonts w:ascii="Arial" w:cs="Arial" w:eastAsia="Arial" w:hAnsi="Arial"/>
                <w:sz w:val="14"/>
                <w:szCs w:val="14"/>
                <w:color w:val="auto"/>
              </w:rPr>
              <w:t>below)</w:t>
            </w:r>
          </w:p>
        </w:tc>
        <w:tc>
          <w:tcPr>
            <w:tcW w:w="1780" w:type="dxa"/>
            <w:vAlign w:val="bottom"/>
            <w:gridSpan w:val="3"/>
          </w:tcPr>
          <w:p>
            <w:pPr>
              <w:ind w:left="6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gridSpan w:val="5"/>
          </w:tcPr>
          <w:p>
            <w:pPr>
              <w:ind w:left="160"/>
              <w:spacing w:after="0"/>
              <w:rPr>
                <w:sz w:val="20"/>
                <w:szCs w:val="20"/>
                <w:color w:val="auto"/>
              </w:rPr>
            </w:pPr>
            <w:r>
              <w:rPr>
                <w:rFonts w:ascii="Arial" w:cs="Arial" w:eastAsia="Arial" w:hAnsi="Arial"/>
                <w:sz w:val="18"/>
                <w:szCs w:val="18"/>
                <w:color w:val="0000FF"/>
              </w:rPr>
              <w:t>08/08/2017</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40" w:type="dxa"/>
            <w:vAlign w:val="bottom"/>
            <w:gridSpan w:val="5"/>
            <w:vMerge w:val="continue"/>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0" w:type="dxa"/>
            <w:vAlign w:val="bottom"/>
            <w:gridSpan w:val="7"/>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80" w:type="dxa"/>
            <w:vAlign w:val="bottom"/>
            <w:gridSpan w:val="7"/>
          </w:tcPr>
          <w:p>
            <w:pPr>
              <w:spacing w:after="0" w:line="155" w:lineRule="exact"/>
              <w:rPr>
                <w:sz w:val="20"/>
                <w:szCs w:val="20"/>
                <w:color w:val="auto"/>
              </w:rPr>
            </w:pPr>
            <w:r>
              <w:rPr>
                <w:rFonts w:ascii="Arial" w:cs="Arial" w:eastAsia="Arial" w:hAnsi="Arial"/>
                <w:sz w:val="14"/>
                <w:szCs w:val="14"/>
                <w:color w:val="auto"/>
                <w:w w:val="97"/>
              </w:rPr>
              <w:t>4. If Amendment, Date of Original Filed (Month/Day/Year)</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7"/>
          </w:tcPr>
          <w:p>
            <w:pPr>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gridSpan w:val="2"/>
          </w:tcPr>
          <w:p>
            <w:pPr>
              <w:spacing w:after="0"/>
              <w:rPr>
                <w:sz w:val="20"/>
                <w:szCs w:val="20"/>
                <w:color w:val="auto"/>
              </w:rPr>
            </w:pPr>
            <w:r>
              <w:rPr>
                <w:rFonts w:ascii="Arial" w:cs="Arial" w:eastAsia="Arial" w:hAnsi="Arial"/>
                <w:sz w:val="14"/>
                <w:szCs w:val="14"/>
                <w:color w:val="auto"/>
              </w:rPr>
              <w:t>Line)</w:t>
            </w: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87"/>
              </w:rPr>
              <w:t>CA</w:t>
            </w: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94080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60" w:type="dxa"/>
            <w:vAlign w:val="bottom"/>
            <w:gridSpan w:val="6"/>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20" w:type="dxa"/>
            <w:vAlign w:val="bottom"/>
            <w:gridSpan w:val="5"/>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2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2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ind w:left="22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900" w:type="dxa"/>
            <w:vAlign w:val="bottom"/>
            <w:tcBorders>
              <w:bottom w:val="single" w:sz="8" w:color="9A9A9A"/>
            </w:tcBorders>
            <w:gridSpan w:val="2"/>
          </w:tcPr>
          <w:p>
            <w:pPr>
              <w:spacing w:after="0"/>
              <w:rPr>
                <w:sz w:val="4"/>
                <w:szCs w:val="4"/>
                <w:color w:val="auto"/>
              </w:rPr>
            </w:pPr>
          </w:p>
        </w:tc>
        <w:tc>
          <w:tcPr>
            <w:tcW w:w="40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gridSpan w:val="4"/>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18"/>
          </w:tcPr>
          <w:p>
            <w:pPr>
              <w:jc w:val="center"/>
              <w:ind w:right="41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6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7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60" w:type="dxa"/>
            <w:vAlign w:val="bottom"/>
            <w:gridSpan w:val="5"/>
          </w:tcPr>
          <w:p>
            <w:pPr>
              <w:ind w:left="6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5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Exempt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60" w:type="dxa"/>
            <w:vAlign w:val="bottom"/>
            <w:gridSpan w:val="5"/>
            <w:vMerge w:val="restart"/>
          </w:tcPr>
          <w:p>
            <w:pPr>
              <w:ind w:left="720"/>
              <w:spacing w:after="0"/>
              <w:rPr>
                <w:sz w:val="20"/>
                <w:szCs w:val="20"/>
                <w:color w:val="auto"/>
              </w:rPr>
            </w:pPr>
            <w:r>
              <w:rPr>
                <w:rFonts w:ascii="Arial" w:cs="Arial" w:eastAsia="Arial" w:hAnsi="Arial"/>
                <w:sz w:val="18"/>
                <w:szCs w:val="18"/>
                <w:color w:val="0000FF"/>
              </w:rPr>
              <w:t>08/08/2017</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gridSpan w:val="2"/>
            <w:vMerge w:val="restart"/>
          </w:tcPr>
          <w:p>
            <w:pPr>
              <w:jc w:val="center"/>
              <w:ind w:right="380"/>
              <w:spacing w:after="0"/>
              <w:rPr>
                <w:sz w:val="20"/>
                <w:szCs w:val="20"/>
                <w:color w:val="auto"/>
              </w:rPr>
            </w:pPr>
            <w:r>
              <w:rPr>
                <w:rFonts w:ascii="Arial" w:cs="Arial" w:eastAsia="Arial" w:hAnsi="Arial"/>
                <w:sz w:val="14"/>
                <w:szCs w:val="14"/>
                <w:color w:val="0000FF"/>
                <w:w w:val="85"/>
              </w:rPr>
              <w:t>P</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0000FF"/>
              </w:rPr>
              <w:t>35,895</w:t>
            </w:r>
          </w:p>
        </w:tc>
        <w:tc>
          <w:tcPr>
            <w:tcW w:w="500" w:type="dxa"/>
            <w:vAlign w:val="bottom"/>
            <w:vMerge w:val="restart"/>
          </w:tcPr>
          <w:p>
            <w:pPr>
              <w:ind w:left="260"/>
              <w:spacing w:after="0"/>
              <w:rPr>
                <w:sz w:val="20"/>
                <w:szCs w:val="20"/>
                <w:color w:val="auto"/>
              </w:rPr>
            </w:pPr>
            <w:r>
              <w:rPr>
                <w:rFonts w:ascii="Arial" w:cs="Arial" w:eastAsia="Arial" w:hAnsi="Arial"/>
                <w:sz w:val="18"/>
                <w:szCs w:val="18"/>
                <w:color w:val="0000FF"/>
              </w:rPr>
              <w:t>A</w:t>
            </w:r>
          </w:p>
        </w:tc>
        <w:tc>
          <w:tcPr>
            <w:tcW w:w="840" w:type="dxa"/>
            <w:vAlign w:val="bottom"/>
            <w:gridSpan w:val="4"/>
            <w:vMerge w:val="restart"/>
          </w:tcPr>
          <w:p>
            <w:pPr>
              <w:ind w:left="14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2.768</w:t>
            </w:r>
            <w:r>
              <w:rPr>
                <w:rFonts w:ascii="Arial" w:cs="Arial" w:eastAsia="Arial" w:hAnsi="Arial"/>
                <w:sz w:val="22"/>
                <w:szCs w:val="22"/>
                <w:color w:val="008000"/>
                <w:w w:val="93"/>
                <w:vertAlign w:val="superscript"/>
              </w:rPr>
              <w:t>(1)</w:t>
            </w: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7"/>
              </w:rPr>
              <w:t>53,395</w:t>
            </w:r>
          </w:p>
        </w:tc>
        <w:tc>
          <w:tcPr>
            <w:tcW w:w="940" w:type="dxa"/>
            <w:vAlign w:val="bottom"/>
            <w:vMerge w:val="restart"/>
          </w:tcPr>
          <w:p>
            <w:pPr>
              <w:jc w:val="center"/>
              <w:ind w:right="5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8"/>
              </w:rPr>
              <w:t>Deduction</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0000FF"/>
                <w:w w:val="97"/>
              </w:rPr>
              <w:t>9/21/1992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8"/>
                <w:szCs w:val="18"/>
                <w:color w:val="0000FF"/>
                <w:w w:val="87"/>
              </w:rPr>
              <w:t>45,197</w:t>
            </w:r>
          </w:p>
        </w:tc>
        <w:tc>
          <w:tcPr>
            <w:tcW w:w="940" w:type="dxa"/>
            <w:vAlign w:val="bottom"/>
          </w:tcPr>
          <w:p>
            <w:pPr>
              <w:jc w:val="center"/>
              <w:ind w:right="51"/>
              <w:spacing w:after="0"/>
              <w:rPr>
                <w:sz w:val="20"/>
                <w:szCs w:val="20"/>
                <w:color w:val="auto"/>
              </w:rPr>
            </w:pPr>
            <w:r>
              <w:rPr>
                <w:rFonts w:ascii="Arial" w:cs="Arial" w:eastAsia="Arial" w:hAnsi="Arial"/>
                <w:sz w:val="18"/>
                <w:szCs w:val="18"/>
                <w:color w:val="0000FF"/>
              </w:rPr>
              <w:t>D</w:t>
            </w: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vMerge w:val="restart"/>
          </w:tcPr>
          <w:p>
            <w:pPr>
              <w:jc w:val="center"/>
              <w:ind w:right="19"/>
              <w:spacing w:after="0"/>
              <w:rPr>
                <w:sz w:val="20"/>
                <w:szCs w:val="20"/>
                <w:color w:val="auto"/>
              </w:rPr>
            </w:pPr>
            <w:r>
              <w:rPr>
                <w:rFonts w:ascii="Arial" w:cs="Arial" w:eastAsia="Arial" w:hAnsi="Arial"/>
                <w:sz w:val="18"/>
                <w:szCs w:val="18"/>
                <w:color w:val="0000FF"/>
                <w:w w:val="88"/>
              </w:rPr>
              <w:t>5,561</w:t>
            </w:r>
          </w:p>
        </w:tc>
        <w:tc>
          <w:tcPr>
            <w:tcW w:w="940" w:type="dxa"/>
            <w:vAlign w:val="bottom"/>
            <w:vMerge w:val="restart"/>
          </w:tcPr>
          <w:p>
            <w:pPr>
              <w:jc w:val="center"/>
              <w:ind w:right="5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rPr>
              <w:t>Partners,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L.P</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Colella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Family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Non-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Exempt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19"/>
              <w:spacing w:after="0"/>
              <w:rPr>
                <w:sz w:val="20"/>
                <w:szCs w:val="20"/>
                <w:color w:val="auto"/>
              </w:rPr>
            </w:pPr>
            <w:r>
              <w:rPr>
                <w:rFonts w:ascii="Arial" w:cs="Arial" w:eastAsia="Arial" w:hAnsi="Arial"/>
                <w:sz w:val="18"/>
                <w:szCs w:val="18"/>
                <w:color w:val="0000FF"/>
                <w:w w:val="88"/>
              </w:rPr>
              <w:t>3,326</w:t>
            </w:r>
          </w:p>
        </w:tc>
        <w:tc>
          <w:tcPr>
            <w:tcW w:w="940" w:type="dxa"/>
            <w:vAlign w:val="bottom"/>
          </w:tcPr>
          <w:p>
            <w:pPr>
              <w:jc w:val="center"/>
              <w:ind w:right="51"/>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Marital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w w:val="98"/>
              </w:rPr>
              <w:t>Deduction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dated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0000FF"/>
                <w:w w:val="97"/>
              </w:rPr>
              <w:t>9/21/1992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660" w:type="dxa"/>
            <w:vAlign w:val="bottom"/>
            <w:tcBorders>
              <w:bottom w:val="single" w:sz="8" w:color="2C2C2C"/>
            </w:tcBorders>
            <w:gridSpan w:val="4"/>
          </w:tcPr>
          <w:p>
            <w:pPr>
              <w:spacing w:after="0"/>
              <w:rPr>
                <w:sz w:val="8"/>
                <w:szCs w:val="8"/>
                <w:color w:val="auto"/>
              </w:rPr>
            </w:pPr>
          </w:p>
        </w:tc>
        <w:tc>
          <w:tcPr>
            <w:tcW w:w="242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60" w:type="dxa"/>
            <w:vAlign w:val="bottom"/>
            <w:tcBorders>
              <w:top w:val="single" w:sz="8" w:color="2C2C2C"/>
            </w:tcBorders>
            <w:gridSpan w:val="17"/>
          </w:tcPr>
          <w:p>
            <w:pPr>
              <w:jc w:val="center"/>
              <w:ind w:left="1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gridSpan w:val="15"/>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0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purchased. These shares were purchased in multiple transactions at prices ranging from $2.55 to $3.00, inclusive. The reporting person undertakes to provide to the issuer, any security holder of the issuer, or the SEC staff, upon request, full information regarding the number of shares purchased at each separate price within the range set forth herein.</w:t>
      </w:r>
    </w:p>
    <w:p>
      <w:pPr>
        <w:spacing w:after="0" w:line="30" w:lineRule="exact"/>
        <w:rPr>
          <w:rFonts w:ascii="Arial" w:cs="Arial" w:eastAsia="Arial" w:hAnsi="Arial"/>
          <w:sz w:val="14"/>
          <w:szCs w:val="14"/>
          <w:color w:val="008000"/>
        </w:rPr>
      </w:pPr>
    </w:p>
    <w:p>
      <w:pPr>
        <w:ind w:left="40" w:right="80" w:firstLine="9"/>
        <w:spacing w:after="0" w:line="28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shares are held by Colella Family Partners, L.P. ("Colella Partners"). The shares were received in in-kind distributions by Versant Ventures I, LLC, which is the general partner of each of Versant Venture Capital I, L.P., Versant Side Fund I, L.P., Versant Affiliates Fund I-A, L.P. and Versant Affiliates Fund I-B, L.P. (collectively, the "Versant Funds"), on November 4, 2013. The Reporting Person is the General Partner of Colella Partners. The Reporting Person disclaims beneficial ownership of such shares held by Colella Partners, except to the extent of his proportionate pecuniary interest therein, if any.</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Nicholas Khadder, attorney</w:t>
      </w:r>
      <w:r>
        <w:rPr>
          <w:sz w:val="20"/>
          <w:szCs w:val="20"/>
          <w:color w:val="auto"/>
        </w:rPr>
        <w:tab/>
      </w:r>
      <w:r>
        <w:rPr>
          <w:rFonts w:ascii="Arial" w:cs="Arial" w:eastAsia="Arial" w:hAnsi="Arial"/>
          <w:sz w:val="15"/>
          <w:szCs w:val="15"/>
          <w:color w:val="0000FF"/>
        </w:rPr>
        <w:t>08/08/2017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in 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28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1305" cy="8890"/>
                    </a:xfrm>
                    <a:prstGeom prst="rect">
                      <a:avLst/>
                    </a:prstGeom>
                    <a:noFill/>
                  </pic:spPr>
                </pic:pic>
              </a:graphicData>
            </a:graphic>
          </wp:anchor>
        </w:drawing>
      </w:r>
    </w:p>
    <w:p>
      <w:pPr>
        <w:spacing w:after="0" w:line="51"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201580"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2019-12-04T00:39:06Z</dcterms:created>
  <dcterms:modified xsi:type="dcterms:W3CDTF">2019-12-04T00:39:06Z</dcterms:modified>
</cp:coreProperties>
</file>