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spacing w:after="0" w:line="9"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4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South San Francisco, California 94080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480" w:type="dxa"/>
            <w:vAlign w:val="bottom"/>
          </w:tcPr>
          <w:p>
            <w:pPr>
              <w:ind w:left="3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4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4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40" w:type="dxa"/>
            <w:vAlign w:val="bottom"/>
            <w:gridSpan w:val="2"/>
          </w:tcPr>
          <w:p>
            <w:pPr>
              <w:ind w:left="460"/>
              <w:spacing w:after="0"/>
              <w:rPr>
                <w:sz w:val="20"/>
                <w:szCs w:val="20"/>
                <w:color w:val="auto"/>
              </w:rPr>
            </w:pPr>
            <w:r>
              <w:rPr>
                <w:rFonts w:ascii="Arial" w:cs="Arial" w:eastAsia="Arial" w:hAnsi="Arial"/>
                <w:sz w:val="18"/>
                <w:szCs w:val="18"/>
                <w:color w:val="auto"/>
              </w:rPr>
              <w:t>As of March 31, 2011, there were 19,965,466 shares of the Registrant’s common stock outstanding.</w:t>
            </w: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1760" w:type="dxa"/>
            <w:vAlign w:val="bottom"/>
            <w:tcBorders>
              <w:bottom w:val="single" w:sz="8" w:color="auto"/>
            </w:tcBorders>
          </w:tcPr>
          <w:p>
            <w:pPr>
              <w:spacing w:after="0"/>
              <w:rPr>
                <w:sz w:val="14"/>
                <w:szCs w:val="14"/>
                <w:color w:val="auto"/>
              </w:rPr>
            </w:pPr>
          </w:p>
        </w:tc>
        <w:tc>
          <w:tcPr>
            <w:tcW w:w="67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3"/>
            <w:vMerge w:val="restart"/>
          </w:tcPr>
          <w:p>
            <w:pPr>
              <w:spacing w:after="0"/>
              <w:rPr>
                <w:sz w:val="20"/>
                <w:szCs w:val="20"/>
                <w:color w:val="auto"/>
              </w:rPr>
            </w:pPr>
            <w:r>
              <w:rPr>
                <w:rFonts w:ascii="Arial" w:cs="Arial" w:eastAsia="Arial" w:hAnsi="Arial"/>
                <w:sz w:val="18"/>
                <w:szCs w:val="18"/>
                <w:color w:val="auto"/>
              </w:rPr>
              <w:t>PART I.</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0" w:type="dxa"/>
            <w:vAlign w:val="bottom"/>
            <w:gridSpan w:val="6"/>
            <w:vMerge w:val="restart"/>
          </w:tcPr>
          <w:p>
            <w:pPr>
              <w:jc w:val="cente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INFORMATION</w:t>
              </w:r>
            </w:hyperlink>
          </w:p>
        </w:tc>
        <w:tc>
          <w:tcPr>
            <w:tcW w:w="3800" w:type="dxa"/>
            <w:vAlign w:val="bottom"/>
            <w:gridSpan w:val="5"/>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4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0" w:type="dxa"/>
            <w:vAlign w:val="bottom"/>
            <w:tcBorders>
              <w:bottom w:val="single" w:sz="8" w:color="0000EE"/>
            </w:tcBorders>
            <w:gridSpan w:val="6"/>
            <w:vMerge w:val="continue"/>
          </w:tcPr>
          <w:p>
            <w:pPr>
              <w:spacing w:after="0"/>
              <w:rPr>
                <w:sz w:val="14"/>
                <w:szCs w:val="14"/>
                <w:color w:val="auto"/>
              </w:rPr>
            </w:pPr>
          </w:p>
        </w:tc>
        <w:tc>
          <w:tcPr>
            <w:tcW w:w="380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6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958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2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2011 and December 31,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ended March 31, 2011 and 2010</w:t>
              </w:r>
            </w:hyperlink>
          </w:p>
        </w:tc>
        <w:tc>
          <w:tcPr>
            <w:tcW w:w="20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2011 and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0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Management’s Discussion and Analysis of Financial Condition and Results of Operations</w:t>
              </w:r>
            </w:hyperlink>
          </w:p>
        </w:tc>
        <w:tc>
          <w:tcPr>
            <w:tcW w:w="32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46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Quantitative and Qualitative Disclosures About Market Risk</w:t>
              </w:r>
            </w:hyperlink>
          </w:p>
        </w:tc>
        <w:tc>
          <w:tcPr>
            <w:tcW w:w="53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46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460" w:type="dxa"/>
            <w:vAlign w:val="bottom"/>
            <w:gridSpan w:val="3"/>
          </w:tcPr>
          <w:p>
            <w:pPr>
              <w:spacing w:after="0" w:line="196" w:lineRule="exact"/>
              <w:rPr>
                <w:sz w:val="20"/>
                <w:szCs w:val="20"/>
                <w:color w:val="auto"/>
              </w:rPr>
            </w:pPr>
            <w:r>
              <w:rPr>
                <w:rFonts w:ascii="Arial" w:cs="Arial" w:eastAsia="Arial" w:hAnsi="Arial"/>
                <w:sz w:val="18"/>
                <w:szCs w:val="18"/>
                <w:color w:val="auto"/>
              </w:rPr>
              <w:t>PART II.</w:t>
            </w: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Borders>
              <w:bottom w:val="single" w:sz="8" w:color="0000EE"/>
            </w:tcBorders>
            <w:gridSpan w:val="4"/>
          </w:tcPr>
          <w:p>
            <w:pPr>
              <w:jc w:val="cente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OTHER INFORMATION</w:t>
              </w:r>
            </w:hyperlink>
          </w:p>
        </w:tc>
        <w:tc>
          <w:tcPr>
            <w:tcW w:w="398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82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46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Risk Factors</w:t>
              </w:r>
            </w:hyperlink>
          </w:p>
        </w:tc>
        <w:tc>
          <w:tcPr>
            <w:tcW w:w="87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Unregistered Sales of Equity Securities and Use of Proceeds</w:t>
              </w:r>
            </w:hyperlink>
          </w:p>
        </w:tc>
        <w:tc>
          <w:tcPr>
            <w:tcW w:w="53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46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9580" w:type="dxa"/>
            <w:vAlign w:val="bottom"/>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460" w:type="dxa"/>
            <w:vAlign w:val="bottom"/>
            <w:gridSpan w:val="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EXHIBIT LIST</w:t>
              </w:r>
            </w:hyperlink>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600" w:type="dxa"/>
            <w:vAlign w:val="bottom"/>
            <w:gridSpan w:val="12"/>
          </w:tcPr>
          <w:p>
            <w:pPr>
              <w:ind w:left="4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Available-for-sales securities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21,869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allowances of $467 at March 31, 2011 and December 31, 2010)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90,843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Investment, at cost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94,718</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60"/>
              <w:spacing w:after="0"/>
              <w:rPr>
                <w:sz w:val="20"/>
                <w:szCs w:val="20"/>
                <w:color w:val="auto"/>
              </w:rPr>
            </w:pPr>
            <w:r>
              <w:rPr>
                <w:rFonts w:ascii="Arial" w:cs="Arial" w:eastAsia="Arial" w:hAnsi="Arial"/>
                <w:sz w:val="18"/>
                <w:szCs w:val="18"/>
                <w:b w:val="1"/>
                <w:bCs w:val="1"/>
                <w:color w:val="auto"/>
              </w:rPr>
              <w:t>AND STOCKHOLDERS’ EQUITY (DEFICIT)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4,673</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 portion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Long-term debt, current portion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Convertible preferred stock warrants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6,343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29,418</w:t>
            </w:r>
          </w:p>
        </w:tc>
        <w:tc>
          <w:tcPr>
            <w:tcW w:w="0" w:type="dxa"/>
            <w:vAlign w:val="bottom"/>
          </w:tcPr>
          <w:p>
            <w:pPr>
              <w:spacing w:after="0"/>
              <w:rPr>
                <w:sz w:val="1"/>
                <w:szCs w:val="1"/>
                <w:color w:val="auto"/>
              </w:rPr>
            </w:pPr>
          </w:p>
        </w:tc>
      </w:tr>
      <w:tr>
        <w:trPr>
          <w:trHeight w:val="322"/>
        </w:trPr>
        <w:tc>
          <w:tcPr>
            <w:tcW w:w="92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2"/>
              </w:rPr>
              <w:t>Convertible preferred stock issuable in series: $0.001 par value, 10,000 and 11,269 shares authorized at March 31, 2011 and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December 31, 2010, respectively; 0 and 10,296 shares issued and outstanding as of March 31, 2011 and December 31,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 respectively</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184,550</w:t>
            </w:r>
          </w:p>
        </w:tc>
        <w:tc>
          <w:tcPr>
            <w:tcW w:w="0" w:type="dxa"/>
            <w:vAlign w:val="bottom"/>
          </w:tcPr>
          <w:p>
            <w:pPr>
              <w:spacing w:after="0"/>
              <w:rPr>
                <w:sz w:val="1"/>
                <w:szCs w:val="1"/>
                <w:color w:val="auto"/>
              </w:rPr>
            </w:pPr>
          </w:p>
        </w:tc>
      </w:tr>
      <w:tr>
        <w:trPr>
          <w:trHeight w:val="323"/>
        </w:trPr>
        <w:tc>
          <w:tcPr>
            <w:tcW w:w="926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$0.001 par value, 200,000 and 18,327 shares authorized at March 31, 2011 and December 31, 2010,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respectively; 19,965 and 1,937 shares issued and outstanding as of March 31, 2011 and December 31, 2010,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276,198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85"/>
              </w:rPr>
              <w:t>(206,665)</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(199,327)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(189,167)</w:t>
            </w:r>
          </w:p>
        </w:tc>
        <w:tc>
          <w:tcPr>
            <w:tcW w:w="0" w:type="dxa"/>
            <w:vAlign w:val="bottom"/>
          </w:tcPr>
          <w:p>
            <w:pPr>
              <w:spacing w:after="0"/>
              <w:rPr>
                <w:sz w:val="1"/>
                <w:szCs w:val="1"/>
                <w:color w:val="auto"/>
              </w:rPr>
            </w:pP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94,718</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8,412</w:t>
            </w:r>
          </w:p>
        </w:tc>
        <w:tc>
          <w:tcPr>
            <w:tcW w:w="2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Grant revenue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(Loss) gain from changes in the fair value of convertible preferred stock warrants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Gain from expiration of unexercised warrants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(7,290)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(7,338)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related to the change in conversion rate of Series E convertible preferred stock</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attributed to common stockholders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(17,238)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attributed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attributed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(7,338)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Loss (gain) from changes in the fair value of convertible preferred stock warrants,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Gain from expiration of unexercised warrants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Write-off of debt discount upon note repayment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 and issuance cost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(977)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32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32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initial public offering, net of issuance costs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Repayment of note</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Repayment of line of credit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 to common stock upon IPO</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Issuance of convertible preferred stock warrants in connection with note and warrant agreement</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convertible preferred stock warrants upon IPO</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Conversion of convertible preferred stock warrants to common stock warrants</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exercise of convertible preferred stock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Fluidigm Corporation (the Company) was incorporated in the State of California on May 19, 1999, to commercialize microfluidic technology initially developed at the California Institute of Technology. In July 2007, the Company was reincorporated in the State of Delaware. The Company’s headquarters are located in South San Francisco, California. The Company develops, manufactures and markets microfluidic systems in the life science and agricultural biotechnology (Ag-Bio) industries. The Company’s proprietary microfluidic systems consist of instruments and consumables, including chips and reagents. The Company’s microfluidic systems are designed to simplify experimental workflow, increase throughput, reduce costs, and provide quality data. The Company markets systems and consumables to leading pharmaceutical and biotechnology companies, academic institutions, diagnostic laboratories, and Ag-Bio companies.</w:t>
      </w:r>
    </w:p>
    <w:p>
      <w:pPr>
        <w:spacing w:after="0" w:line="220" w:lineRule="exact"/>
        <w:rPr>
          <w:sz w:val="20"/>
          <w:szCs w:val="20"/>
          <w:color w:val="auto"/>
        </w:rPr>
      </w:pPr>
    </w:p>
    <w:p>
      <w:pPr>
        <w:ind w:right="7660" w:firstLine="8"/>
        <w:spacing w:after="0" w:line="347" w:lineRule="auto"/>
        <w:tabs>
          <w:tab w:leader="none" w:pos="44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for interim financial information. These financial statements were prepared following the requirements of the Securities and Exchange Commission (SEC) for interim reporting. As permitted under those rules, certain footnotes or other financial information that are normally required by U.S. GAAP can be condensed or omitted.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three months ended March 31, 2011 are not necessarily indicative of the results to be expected for the year ending December 31, 2011 or for any other interim period or for any other future year. The balance sheet as of December 31, 2010 has been derived from audited consolidated financial statements at that date but does not include all of the information required by U.S. GAAP for complete financial statements.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preparation of these condensed consolidated financial statements requires the Company to make estimates and judgments that affect the reported amounts of assets, liabilities, revenues, expenses, and related disclosures. On an ongoing basis, the Company evaluates its estimates, including critical accounting policies or estimates related to revenue recognition, income tax provisions, stock-based compensation, inventory valuation, and warrants to purchase convertible preferred stock. The Company bases its estimates on historical experience and on various relevant assumptions that the Company believes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2010 included in the Company’s Annual Report on Form 10-K filed with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6"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In February 2011, the Company amended and restated its Certificate of Incorporation. The amendment and restatement increased the total number of shares of stock authorized for issuance from 29,595,999 to 210,000,000, consisting of an increase in the number of shares of common stock authorized for issuance from 18,327,000 to 200,000,000 and a decrease in the number of shares of convertible preferred stock authorized for issuance from 11,268,999 to 10,000,000.</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January 2011, the Company amended and restated its Certificate of Incorporation decreasing the conversion price of the Series E convertible preferred stock from $24.22 to $18.63 per share. As a result, the Company recognized a deemed dividend of $9,900,000 to reflect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February 3, 2011, the Company effected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these condensed consolidated financial statements have been retroactively adjusted to reflect this reverse stock split and par value change for all periods presented.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On February 9, 2011, the Company’s registration statement on Form S-1 relating to an initial public offering (IPO) of its common stock was declared effective by the SEC. Upon the closing of the IPO in February 2011, the Company sold 6,392,083 shares of common stock and received net cash proceeds of approximately $77.0 million. In addition, upon the Company’s IPO, all outstanding shares of convertible preferred stock converted by their terms into approximately 11,480,000 shares of common stock with the related carrying value of approximately $184,550,000 reclassified to common stock and additional paid-in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Attributed to Common Stockholders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Company’s basic net loss per share attributed to common stockholders is calculated by dividing net loss attributed to common stockholders by the weighted-average number of shares of common stock outstanding for the period. The Company’s convertible preferred stock, options to purchase common stock and warrants to purchase convertible preferred stock are considered to be potential common shares but have been excluded from the calculation of diluted net loss per share as their effect is anti-dilutive.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attributed to common stockholders for the interim periods presented because including them would have been anti-dilutive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3"/>
          </w:tcPr>
          <w:p>
            <w:pPr>
              <w:ind w:left="50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5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7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2,164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17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a minority equity investment in a privately-held company that is accounted for under the cost method of accounting. Under the cost method of accounting, investments in equity securities are carried at cost and are adjusted only for other-than-temporary declines in value. No such declines have been identified through March 31,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Arrangements with Multiple Deliverables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2009, the Financial Accounting Standards Board (FASB) ratified authoritative accounting guidance regarding revenue recognition for arrangements with multiple deliverables. The guidance impacts the determination of when the individual deliverables included in a multiple element arrangement may be treated as separate units of accounting. Additionally, the guidance allows the use of management’s best estimate of selling price for individual elements of an arrangement when vendor specific objective evidence or third-party evidence is unavailable. The guidance also requires arrangement consideration to be allocated at the inception of the arrangement to all deliverables using the relative-selling-price method and eliminates the use of the residual method of allocation. This guidance is effective for fiscal years beginning on or after June 15, 2010 and early adoption is permitted. The Company adopted this guidance prospectively on January 1, 2011. The adoption of this standard did not have a material impact on the Company’s condensed consolidated financial statements.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Arrangements with Software Elements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October 2009, the FASB ratified authoritative accounting guidance that modifies the scope of the software revenue recognition guidance to exclude tangible products that contain both software and non-software components that function together to deliver the product’s essential functionality. This guidance is effective for fiscal years beginning on or after June 15, 2010 and early adoption is permitted. This guidance must be adopted in the same period an entity adopts the amended guidance for revenue arrangements with multiple deliverables described in the preceding paragraph. The Company adopted this guidance prospectively on January 1, 2011. The adoption of this standard did not have a material impact on the Company’s condensed consolidated financial statements.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Milestone Method of Revenue Recognition</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March 2010, the FASB ratified the milestone method of revenue recognition. Under this new standard, an entity can recognize contingent consideration earned from the achievement of a substantive milestone in its entirety in the period in which the milestone is achieved. A milestone is defined as an event (i) that can only be achieved based in whole or in part on either the Company’s performance or on the occurrence of a specific outcome resulting from the Company’s performance (ii) for which there is substantive uncertainty at the date the arrangement is entered into that the event will be achieved and (iii) that would result in additional payments being due to the Company. A milestone is substantive if the consideration earned from the achievement of the milestone is consistent with the Company’s performance required to achieve the milestone or the increase in value to the collaboration resulting from the Company’s performance, relates solely to past performance, and is reasonable relative to all of the other deliverables and payments within the arrangement. The milestone method of revenue recognition is effective for new arrangements or existing arrangements which are materially modified for fiscal years beginning on or after June 15, 2010 and early adoption is permitted. The Company adopted this guidance prospectively on January 1, 2011. The adoption of this standard did not have a material impact on the Company’s condensed consolidated financial statements.</w:t>
      </w:r>
    </w:p>
    <w:p>
      <w:pPr>
        <w:spacing w:after="0" w:line="238" w:lineRule="exact"/>
        <w:rPr>
          <w:sz w:val="20"/>
          <w:szCs w:val="20"/>
          <w:color w:val="auto"/>
        </w:rPr>
      </w:pPr>
    </w:p>
    <w:p>
      <w:pPr>
        <w:ind w:right="8120" w:firstLine="8"/>
        <w:spacing w:after="0" w:line="347" w:lineRule="auto"/>
        <w:tabs>
          <w:tab w:leader="none" w:pos="44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and Grant Agreements Collaboration Agreement</w:t>
      </w:r>
    </w:p>
    <w:p>
      <w:pPr>
        <w:spacing w:after="0" w:line="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May 2010, the Company entered into a collaboration agreement to develop a new product and received an up-front payment of $750,000. Under the agreement, the Company is also eligible for milestone payments for the design and development of product prototypes.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2011, the Company entered into an amendment to the collaboration agreement and received an additional $300,000. Under the amendment,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milestones were modified and payment terms associated with satisfaction of the milestones were revised. The $750,000 up-front payment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$300,000 payment received in March 2011 are being recognized on a straight-line basis through September 30, 2011, which is the Company’s estimated period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performance under this agreement.</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collaboration agreement provides for payments to the Company upon the achievement of milestones, such as the design and development of product prototypes. As of March 31, 2011, the collaboration agreement included potential future payments for milestones as defined in the collaboration agreement, as amended, totaling approximately $1.0 million. These product prototypes have not been previously produced by the Company and the achievement of these and future milestones was uncertain at the time the Company entered into the collaboration agreement. The Company considers each of the milestones to be substantive and, accordingly, expects to recognize as revenue future payments received from such milestones as each milestone is achieved. For the three months ended March 31, 2011, the Company did not achieve any milestone. The amount of revenue that would have been recognized under the new milestone method of revenue recognition would not have been different.</w:t>
      </w:r>
    </w:p>
    <w:p>
      <w:pPr>
        <w:spacing w:after="0" w:line="23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2011</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2,479</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1,791</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4,653</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carrying values of the Company’s financial instruments, including accounts receivable and accounts payable, approximated their fair values due to the short period of time to maturity or repayment. As a basis for considering fair value, the Company follows a three-tier value hierarchy, which prioritizes the inputs used in measuring fair value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Company’s cash equivalents are classified as Level I because they are valued using quoted market prices. The Company’s available-for-sale securities are generally classified as Level II because their value is based on other observable inputs. The Company’s convertible preferred stock warrants are valued using Level III inputs, the valuation of which is discussed in Note 9.</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 following table sets forth the Company’s financial instruments that were measured at fair value by level within the fair value hierarchy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March 31, 2011</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I</w:t>
            </w:r>
          </w:p>
        </w:tc>
        <w:tc>
          <w:tcPr>
            <w:tcW w:w="3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II</w:t>
            </w:r>
          </w:p>
        </w:tc>
        <w:tc>
          <w:tcPr>
            <w:tcW w:w="28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Level III</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I</w:t>
            </w:r>
          </w:p>
        </w:tc>
        <w:tc>
          <w:tcPr>
            <w:tcW w:w="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Level II</w:t>
            </w:r>
          </w:p>
        </w:tc>
        <w:tc>
          <w:tcPr>
            <w:tcW w:w="280" w:type="dxa"/>
            <w:vAlign w:val="bottom"/>
          </w:tcPr>
          <w:p>
            <w:pPr>
              <w:spacing w:after="0"/>
              <w:rPr>
                <w:sz w:val="12"/>
                <w:szCs w:val="12"/>
                <w:color w:val="auto"/>
              </w:rPr>
            </w:pP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III</w:t>
            </w:r>
          </w:p>
        </w:tc>
        <w:tc>
          <w:tcPr>
            <w:tcW w:w="10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2,878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66,665</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66,665</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2,878</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66,665</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69,543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1,052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1,052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Changes in the fair value of the Company’s convertible preferred stock warrants during the three months ended March 31, 2011 were as follows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Issuances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Changes in fair value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Expiration of warrants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Conversion to common stock warrants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Following is a summary of the Company’s available-for-sale securities recorded in cash equivalents or available-for-sale securities in the Company’s condensed consolidated balance sheet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4"/>
                <w:szCs w:val="14"/>
                <w:b w:val="1"/>
                <w:bCs w:val="1"/>
                <w:color w:val="auto"/>
                <w:w w:val="88"/>
              </w:rPr>
              <w:t>Gross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3"/>
              </w:rPr>
              <w:t>Gross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6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Unrealized</w:t>
            </w:r>
          </w:p>
        </w:tc>
        <w:tc>
          <w:tcPr>
            <w:tcW w:w="6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6040" w:type="dxa"/>
            <w:vAlign w:val="bottom"/>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Arial" w:cs="Arial" w:eastAsia="Arial" w:hAnsi="Arial"/>
                <w:sz w:val="14"/>
                <w:szCs w:val="14"/>
                <w:b w:val="1"/>
                <w:bCs w:val="1"/>
                <w:color w:val="auto"/>
              </w:rPr>
              <w:t>Gain</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Loss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March 31, 2011:</w:t>
            </w: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Cash equivalents</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$ 44,958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$ 44,961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Short term</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U.S. agency securities</w:t>
            </w: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$ 66,663</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$ 66,665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maturity date of all of the Company’s available-for-sale securities is within one year.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Note and Warrant Purchase Agreement</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January 2011, the Company entered into a Note and Warrant Purchase Agreement (the Note Agreement) with existing stockholders, including certain of the Company’s officers, under which the Company issued subordinated secured promissory notes (the Notes) with an aggregate principal amount of $5,000,000 bearing interest at 8% per year. The Notes matured on the earliest to occur of the closing of the next financing in which the Company issued and sold shares of capital stock of at least $25,000,000, a change of control as defined in the Note Agreement, or January 6, 2012. The Company’s obligations under the Notes were secured by the assets of the Company, excluding intellectual property, and were subordinated to senior indebtedness of the loan agreement entered into in March 2005, as amended (see Note 7) and the Line of Credit (see Note 8). In connection with the Note Agreement, the Company issued warrants to acquire a total of 103,182 shares of Series E-1 convertible preferred stock with an exercise price of $0.02 per share. The fair value of these warrants, based on contemporaneous valuation, was $1,157,000 and was recognized as an original issue discount amortizable over the expected life of the borrowing. In connection with the IPO in February 2011, the warrants were exercised for 103,182 shares of common stock and the Company repaid all principal and interest outstanding under these Notes in February and March 2011. Upon the repayment of the Notes, the unamortized discount of $1,157,000 was immediately recognized as interest expense.</w:t>
      </w:r>
    </w:p>
    <w:p>
      <w:pPr>
        <w:spacing w:after="0" w:line="22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entered into a long-term loan agreement in March 2005 that was subsequently amended in 2006, 2008, 2009, and 2010. In connection with this long-term loan agreement and in conjunction with the various amendments thereto, the Company issued a total of 209,960 warrants to purchase shares of convertible preferred stock to the lender. As of March 31, 2011, the outstanding balance under this long-term loan agreement was $14,338,000 with interest accruing at 13.5% per annum and the loan maturing in February 2013. Commencing in March 2011, the Company began making monthly payments of $612,000 for principal and interest and will make an additional payment of $2,263,000 in March 2012. The additional payment is being accreted as interest expense using the effective interest method through the extended maturity date of February 2013. Upon completion of the IPO in February 2011, all 209,960 warrants to purchase preferred stock that were held by the lender were converted to warrants to purchase shares of common stock. The common stock warrants have an exercise price of $12.11 and expire at various dates though 2017. As of March 31, 2011, the Company was in compliance with all loan covenants under this long-term loan agreement.</w:t>
      </w:r>
    </w:p>
    <w:p>
      <w:pPr>
        <w:spacing w:after="0" w:line="23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December 2010, the Company entered into a bank line of credit agreement (Line of Credit) that is collateralized by the Company’s accounts receivable and provided the Company with the ability to borrow up to $4.0 million, subject to certain covenants and other restrictions. The term of the Line of Credit is two years and it bears interest at the greater of (i) 5.50% or (ii) the prime rate, as defined in the Line of Credit, plus 2.25% per year. As of December 31, 2010, the outstanding balance on the Line of Credit was $3,125,000. In February 2011, the Company repaid all outstanding borrowings under the Line of Credit. In March 2011, the Line of Credit was amended to increase the credit limit to $7.0 million. At March 31, 2011, there was no outstanding balance on the Line of Credit and the Company was in compliance with its loan covenants.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February 10, 2011, the Company had total outstanding warrants to purchase 489,880 shares of convertible preferred stock that had been granted at various times since 2001. Warrants to purchase the Company’s convertible preferred stock were recognized at fair value using the Black-Scholes option-pricing model and classified as liabilities because the warrants may have conditionally obligated the Company to transfer assets at some point in the future. The warrants were subject to re-measurement to fair value at each balance sheet date and any change in fair value was recognized in other income (expense), net, in the condensed consolidated statements of operations. The fair value of these warrants was approximately $3,691,000 at February 10, 2011, which was an increase in fair value of approximately $1,483,000 since December 31, 2010. Upon the closing of the IPO, approximately 103,182 of such warrants were net exercised and the related liability of $1,391,000 was reclassified to additional paid-in capital and 209,960 of such warrants were converted into warrants to purchase common stock and the related liability of $1,535,000 was reclassified to additional paid-in capital. The remaining 176,738 warrants expired unexercised and the related liability of $765,000 was recognized as other income.</w:t>
      </w:r>
    </w:p>
    <w:p>
      <w:pPr>
        <w:spacing w:after="0" w:line="23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three months ended March 31, 2011, the Company granted to certain employees options to purchase 498,000 shares of common stock. Of these options, 438,000 were granted in January 2011 with an exercise price of $8.37 per share and the remainder were granted in March 2011 with exercise prices ranging from $14.31 to $14.90 per share. These options had a total fair value of $2,507,000, of which $488,000 was recognized as compensation expense during the quarter ended March 31, 2011 because 66,500 of such options were fully vested upon grant while the remainder will vest over four years.</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computation of the fair value of stock options and other equity instruments using the Black-Scholes option pricing model requires inputs such as the fair value of the Company’s common stock. For options granted prior to the IPO in February 2011, the Company performed a contemporaneous valuation to determine the fair value of its common stock.</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Company recognized stock-based compensation expense of $790,000 and $429,000 during the three months ended March 31, 2011 and 2010, respectively.</w:t>
      </w:r>
    </w:p>
    <w:p>
      <w:pPr>
        <w:spacing w:after="0" w:line="24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Income tax expense for the three months ended March 31, 2011 and March 31, 2010 was $48,000 and $14,000, respectively and was comprised of state and foreign income taxes. The provision for income taxes for the periods differs from the 34% U.S. Federal statutory rate primarily due to maintaining a valuation allowance for U.S. losses and tax assets which the Company does not consider to be realizable.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December 31, 2010, the Company had a valuation allowance against the full amount of any net deferred tax assets. The Company provides a valuation allowance against deferred tax assets when it is more likely than not that all or some portion of its deferred tax assets, will not be realized. As of March 31, 2011, the Company had a deferred tax asset of approximately $78 million which is fully offset by a valuation allowance. When realized, the asset will be reflected on the Company’s balance sheet and the reversal of the corresponding valuation allowance will result in a tax benefit being recorded in the statement of operations in the respective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balance of gross unrecognized tax benefits was $4,944,000 and $4,796,000 at March 31, 2011 and December 31, 2010, respectively. As of March 31, 2011, the total amount of unrecognized tax benefits that, if recognized would affect the Company’s effective tax rate are not material. The Company does not anticipate any material change in its unrecognized tax benefits over the next twelve months.</w:t>
      </w:r>
    </w:p>
    <w:p>
      <w:pPr>
        <w:spacing w:after="0" w:line="25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about Geographic Areas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a single reporting segment and operating unit structure, which is the development, manufacturing, and commercialization of microfluidic systems for the life science and agricultural biotechnology industries.</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presents the Company’s product revenue by geography based on the billing address of the Company’s customers for each period presented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Asia Pacific</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8,412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6,264</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grant revenue is primarily generated in Singapore and collaboration revenue is primarily generated in the United States.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126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sections entitled “Risk Factors” and this Management’s Discussion and Analysis of Financial Condition and Results of Operations.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 this Form 10-Q, “we,” “us” and “our” refer to Fluidigm Corporation and its subsidiaries. We operate on a fiscal year ending December 31.</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over 300 systems to customers in over 20 countries worldwide.</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total revenue grew from $15.3 million in 2008 to $33.6 million in 2010. We have incurred significant net losses since our inception in 1999 and as of March 31, 2011, our accumulated deficit was $206.7 million.</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distribute our microfluidic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Our facility in Singapore manufactures our instruments and fabricates all of our chips for commercial sale and some chips for our own research and development purposes. Our South San Francisco facility fabricates chips for our own research and development purposes.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Form 10-Q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believe that certain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There have been no material changes in the matters for which we make critical accounting estimates in the preparation of our condensed consolidated financial statements during the three-month period ended March 31, 2011 as compared to those disclosed in our Annual Report on Form 10-K filed with the SEC on March 28, 2011.</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 revenue from sales of our products, collaboration agreements and government grants. Our product revenue consists of sales of instruments and related services, and consumables, including chips and reagents. We also have entered into collaboration agreements, research and development contracts and have received government grants to conduct research and development activities.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4,958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2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18"/>
                <w:szCs w:val="18"/>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8"/>
                <w:szCs w:val="18"/>
                <w:color w:val="auto"/>
              </w:rPr>
              <w:t>Product revenue</w:t>
            </w: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8,412</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6,264</w:t>
            </w:r>
          </w:p>
        </w:tc>
        <w:tc>
          <w:tcPr>
            <w:tcW w:w="100" w:type="dxa"/>
            <w:vAlign w:val="bottom"/>
          </w:tcPr>
          <w:p>
            <w:pPr>
              <w:spacing w:after="0"/>
              <w:rPr>
                <w:sz w:val="19"/>
                <w:szCs w:val="19"/>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Grant revenue</w:t>
            </w:r>
          </w:p>
        </w:tc>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0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88"/>
              </w:rPr>
              <w:t>Three Months Ended March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80" w:type="dxa"/>
            <w:vAlign w:val="bottom"/>
            <w:tcBorders>
              <w:bottom w:val="single" w:sz="8" w:color="auto"/>
            </w:tcBorders>
            <w:gridSpan w:val="3"/>
          </w:tcPr>
          <w:p>
            <w:pPr>
              <w:jc w:val="right"/>
              <w:ind w:right="55"/>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$4,142</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$3,559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Europe</w:t>
            </w:r>
          </w:p>
        </w:tc>
        <w:tc>
          <w:tcPr>
            <w:tcW w:w="4900" w:type="dxa"/>
            <w:vAlign w:val="bottom"/>
            <w:gridSpan w:val="3"/>
          </w:tcPr>
          <w:p>
            <w:pPr>
              <w:jc w:val="right"/>
              <w:ind w:right="20"/>
              <w:spacing w:after="0"/>
              <w:rPr>
                <w:sz w:val="20"/>
                <w:szCs w:val="20"/>
                <w:color w:val="auto"/>
              </w:rPr>
            </w:pPr>
            <w:r>
              <w:rPr>
                <w:rFonts w:ascii="Arial" w:cs="Arial" w:eastAsia="Arial" w:hAnsi="Arial"/>
                <w:sz w:val="18"/>
                <w:szCs w:val="18"/>
                <w:color w:val="auto"/>
              </w:rPr>
              <w:t>2,147</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26%</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1,639</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4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Asia Pacific</w:t>
            </w:r>
          </w:p>
        </w:tc>
        <w:tc>
          <w:tcPr>
            <w:tcW w:w="4900" w:type="dxa"/>
            <w:vAlign w:val="bottom"/>
            <w:gridSpan w:val="3"/>
          </w:tcPr>
          <w:p>
            <w:pPr>
              <w:jc w:val="right"/>
              <w:ind w:right="20"/>
              <w:spacing w:after="0"/>
              <w:rPr>
                <w:sz w:val="20"/>
                <w:szCs w:val="20"/>
                <w:color w:val="auto"/>
              </w:rPr>
            </w:pPr>
            <w:r>
              <w:rPr>
                <w:rFonts w:ascii="Arial" w:cs="Arial" w:eastAsia="Arial" w:hAnsi="Arial"/>
                <w:sz w:val="18"/>
                <w:szCs w:val="18"/>
                <w:color w:val="auto"/>
              </w:rPr>
              <w:t>982</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748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20" w:type="dxa"/>
            <w:vAlign w:val="bottom"/>
            <w:vMerge w:val="continue"/>
          </w:tcPr>
          <w:p>
            <w:pPr>
              <w:spacing w:after="0"/>
              <w:rPr>
                <w:sz w:val="19"/>
                <w:szCs w:val="19"/>
                <w:color w:val="auto"/>
              </w:rPr>
            </w:pPr>
          </w:p>
        </w:tc>
        <w:tc>
          <w:tcPr>
            <w:tcW w:w="43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8,412</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6,264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380" w:type="dxa"/>
            <w:vAlign w:val="bottom"/>
            <w:vMerge w:val="restart"/>
          </w:tcPr>
          <w:p>
            <w:pPr>
              <w:jc w:val="right"/>
              <w:ind w:right="1912"/>
              <w:spacing w:after="0"/>
              <w:rPr>
                <w:sz w:val="20"/>
                <w:szCs w:val="20"/>
                <w:color w:val="auto"/>
              </w:rPr>
            </w:pPr>
            <w:r>
              <w:rPr>
                <w:rFonts w:ascii="Arial" w:cs="Arial" w:eastAsia="Arial" w:hAnsi="Arial"/>
                <w:sz w:val="18"/>
                <w:szCs w:val="18"/>
                <w:color w:val="auto"/>
              </w:rPr>
              <w:t>-14-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2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Grant revenue is primarily generated in Singapore. Collaboration revenue is primarily generated in the United States. As we expand our business internationally, we expect our product revenue from outside of the United States to increase as a percentage of our total product revenue.</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customers include pharmaceutical and biotechnology companies, academic research institutions, diagnostic laboratories and Ag-Bio companies worldwide. Revenue from our five largest customers comprised 20% and 23% of total revenue in the three months ended March 31, 2011 and the three months ended March 31,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2011 and March 31,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Total revenue increased by $2.0 million, or 30%, to $8.7 million for the three months ended March 31, 2011 as compared to $6.7 million for the three months ended March 31, 2010.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Product revenue increased by $2.1 million, or 34%, to $8.4 million for the three months ended March 31, 2011 as compared to $6.3 million for the three months ended March 31, 2010. Consumables revenue increased by $1.3 million, or 61%, resulting from our higher installed base of instruments, and instrument revenue increased by $0.8 million, or 20%. Our instrument unit sales volume increased by 35%, primarily driven by our Access Array instrument, which was launched in the second half of 2009. The average selling price for instruments was lower for the three months ended March 31, 2011 compared to the three months ended March 31, 2010 due to increased sales of our Access Array instrument which has a lower average selling price than our BioMark and EP1 instruments.</w:t>
      </w:r>
    </w:p>
    <w:p>
      <w:pPr>
        <w:spacing w:after="0" w:line="144"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We expect unit sales of both instruments and consumables to continue to increase in future periods as we continue our efforts to grow our customer base and expand our geographic market coverage. However, we expect the average selling prices of our instruments to fluctuate over time based on product mix.</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Collaboration revenue was $0.2 million for the three months ended March 31, 2011, resulting from a fixed-fee research and development agreement that we entered into in May 2010. The arrangement provided for an up-front fee of $750,000 which was being recognized over the term of the agreement, projected to be fifteen months. In March 2011, we amended the collaboration agreement and received an additional $300,000 payment. Under the amendment, certain milestones and the payment terms associated with satisfaction of the milestones were modified. The total up-front and additional payment of $1.05 million is being recognized on a straight-line basis over the estimated performance period, through September 30, 2011. The arrangement also provides for milestone payments, which payments have been and are expected to be recognized as we achieve each milestone. In the three months ended March 31, 2011, we did not achieve any milestones related to this agreement. In the three months ended March 31, 2010, we did not have any research and development arrangements in place.</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Grant revenue consists of incentive grants from Singapore Economic Development Board, or EDB, and California Institute for Regenerative Medicine, or CIRM. Grant revenue decreased $0.3 million, or 74%, to 0.1 million for the three months ended March 31, 2011 compared to $0.5 million for the three months ended March 31, 2010. The decrease relates to a reduction in activity under the EDB grant agreement as we reached certain milestones and approached the end of the grant period. Under our incentive grant agreements with EDB, eligible expenses incurred by us in Singapore were $0.3 million in the three months ended March 31, 2011 and $1.2 million in the three months ended March 31, 2010.</w:t>
      </w:r>
    </w:p>
    <w:p>
      <w:pPr>
        <w:spacing w:after="0" w:line="1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Under our agreements with EDB, we are eligible to receive incentive grant payments from EDB, provided we satisfy certain agreed upon targets. Our agreements with EDB provide for incentive funding eligibility through May 2011. From January 1, 2008 through December 31, 2010, we recognized $4.3 million of grant revenue from EDB. During the three months ended March 31, 2011, we recognized an additional $27,000 of grant revenue from EDB. These agreements further provided EDB with the right to demand repayment of a portion of past grants in the event that we did not meet our obligations under the applicable agreements. Based on correspondence with EDB, we believe that we have satisfied our obligations applicable to our EDB grant revenue through March 31, 2011.</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total grant revenue for 2011 and future periods to decrease significantly compared to 2010 as the first of our EDB grant agreements was completed during 2010 and our second EDB grant agreement will be completed in May 2011. This decrease may be partially offset by new grant revenue from CIRM.</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cost of product revenue and product margin for each period presented (in thousands, other than percentages):</w:t>
      </w:r>
    </w:p>
    <w:p>
      <w:pPr>
        <w:spacing w:after="0" w:line="230"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0</wp:posOffset>
            </wp:positionV>
            <wp:extent cx="15093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7700"/>
        <w:spacing w:after="0"/>
        <w:tabs>
          <w:tab w:leader="none" w:pos="930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p>
      <w:pPr>
        <w:spacing w:after="0" w:line="20" w:lineRule="exact"/>
        <w:rPr>
          <w:sz w:val="20"/>
          <w:szCs w:val="20"/>
          <w:color w:val="auto"/>
        </w:rPr>
      </w:pPr>
    </w:p>
    <w:tbl>
      <w:tblPr>
        <w:tblLayout w:type="fixed"/>
        <w:tblInd w:w="1380" w:type="dxa"/>
        <w:tblCellMar>
          <w:top w:w="0" w:type="dxa"/>
          <w:left w:w="0" w:type="dxa"/>
          <w:bottom w:w="0" w:type="dxa"/>
          <w:right w:w="0" w:type="dxa"/>
        </w:tblCellMar>
      </w:tblPr>
      <w:tr>
        <w:trPr>
          <w:trHeight w:val="20"/>
        </w:trPr>
        <w:tc>
          <w:tcPr>
            <w:tcW w:w="3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0"/>
        </w:trPr>
        <w:tc>
          <w:tcPr>
            <w:tcW w:w="3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Cost of product revenue</w:t>
            </w:r>
          </w:p>
        </w:tc>
        <w:tc>
          <w:tcPr>
            <w:tcW w:w="2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2,913</w:t>
            </w:r>
          </w:p>
        </w:tc>
        <w:tc>
          <w:tcPr>
            <w:tcW w:w="5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   2,645</w:t>
            </w:r>
          </w:p>
        </w:tc>
        <w:tc>
          <w:tcPr>
            <w:tcW w:w="200" w:type="dxa"/>
            <w:vAlign w:val="bottom"/>
            <w:shd w:val="clear" w:color="auto" w:fill="CCEEFF"/>
          </w:tcPr>
          <w:p>
            <w:pPr>
              <w:spacing w:after="0"/>
              <w:rPr>
                <w:sz w:val="16"/>
                <w:szCs w:val="16"/>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Product margin</w:t>
            </w:r>
          </w:p>
        </w:tc>
        <w:tc>
          <w:tcPr>
            <w:tcW w:w="3440" w:type="dxa"/>
            <w:vAlign w:val="bottom"/>
            <w:gridSpan w:val="3"/>
          </w:tcPr>
          <w:p>
            <w:pPr>
              <w:jc w:val="right"/>
              <w:ind w:right="360"/>
              <w:spacing w:after="0"/>
              <w:rPr>
                <w:sz w:val="20"/>
                <w:szCs w:val="20"/>
                <w:color w:val="auto"/>
              </w:rPr>
            </w:pPr>
            <w:r>
              <w:rPr>
                <w:rFonts w:ascii="Arial" w:cs="Arial" w:eastAsia="Arial" w:hAnsi="Arial"/>
                <w:sz w:val="18"/>
                <w:szCs w:val="18"/>
                <w:color w:val="auto"/>
              </w:rPr>
              <w:t>65%</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r>
    </w:tbl>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warranty; service; and packaging and delivery costs. In addition, cost of product revenue includes royalty costs for licensed technologies included in our products, provisions for slow-moving and obsolete inventory and stock-based compensation expense. Costs related to collaboration and grant revenue are included in research and development expense.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Cost of product revenue increased $0.3 million, or 10%, to $2.9 million for the three months ended March 31, 2011 from $2.6 million for the three months ended March 31, 2010 due to increased product sales. Cost of product revenue as a percentage of related revenue decreased to 35% for the three months ended March 31, 2011 compared to 42% for the three months ended March 31, 2010. This decrease was due to a favorable product mix, higher chip capacity utilization, improved chip yields and lower instrument costs.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the tasks required to enhance our technologies and to support development and commercialization of new and existing products and services.</w:t>
      </w:r>
    </w:p>
    <w:p>
      <w:pPr>
        <w:spacing w:after="0" w:line="14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Research and development expense was $3.2 million for each of the three months ended March 31, 2011 and March 31, 2010. During the three months ended March 31, 2011, increases in compensation costs and related expenses of $0.4 million were offset by decreases in equipment related costs and depreciation of $0.3 million and lower consulting and professional fees of $0.1 million, as compared to the three months ended March 31, 2010. We believe that our continued investment in research and development is essential to our long-term competitive position and expect these expenses to increase in future periods.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 increased $1.3 million, or 22%, to $7.4 million for the three months ended March 31, 2011,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$6.1 million for the three months ended March 31, 2010. The increase was primarily due to increased compensation costs and related expenses of $0.7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increased headcount to support our business and revenue growth, increased advertising and promotional costs of $0.4 million to support our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introductions and to increase market awareness, increased legal and professional fees of $0.3 million, partially offset by lower rent expense of</w:t>
      </w:r>
    </w:p>
    <w:p>
      <w:pPr>
        <w:spacing w:after="0" w:line="3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$0.2 million resulting from our new lease on more favorable terms for our headquarters facility in South San Francisco, California. We expect selling, general and administrative expense to increase in future periods as we continue to grow our sales, technical support, marketing and administrative headcount, support increased product sales, broaden our customer base and incur additional costs to support our expanded global footprint and the overall growth in our business. We also expect legal, accounting and compliance costs to increase as a result of our becoming a public company.</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receive interest income from our cash and cash equivalents and available-for-sale securities. Conversely, we incur interest expense from our long-term debt, bank line of credit, promissory notes and the amortization of debt discounts related to these items. Until the completion of the IPO, we also recognized income or expense as a result of changes in the fair value of outstanding warrants to purchase shares of our convertible preferred stock. The following table presents these items for each period presented (in thousands):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Three Months Ended March 31,</w:t>
            </w:r>
          </w:p>
        </w:tc>
      </w:tr>
      <w:tr>
        <w:trPr>
          <w:trHeight w:val="142"/>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3"/>
              </w:rPr>
              <w:t>Gain (loss) from changes in the fair value of convertible preferred stock warrants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 from expiration of unexercised warrants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bl>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Interest expense was $1.8 million for the three months ended March 31, 2011 compared to $0.5 million for the three months ended March 31, 2010. The increase is primarily due to $1.2 million of non-cash interest expense in connection with a $5.0 million note and warrant agreement entered into in January 2011. We repaid all principal and interest outstanding under this note in February 2011 upon the completion of our IPO. There was no similar transaction or recognition of expense in the three months ended March 31, 2010. We expect interest expense to decrease in 2011 as we repay our outstanding debt.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(Loss) gain from changes in the fair value of preferred stock was a loss of $1.5 million for the three months ended March 31, 2011 compared to a</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$0.3 million gain for the three months ended March 31, 2010. The loss in 2011 was due to an increase in the warrant liability fair value through the completion of our IPO on February 10, 2011. Upon completion of our IPO, our outstanding preferred stock warrants were either converted into warrants to purchase common stock or expired unexercised, or were exercised for shares of our common stock. Liabilities related to the expired warrants were reversed and resulted in a gain reflected in other income; liabilities related to the warrants that were converted into warrants to purchase common stock and warrants that were exercised were reclassified to additional paid-in-capital.</w:t>
      </w:r>
    </w:p>
    <w:p>
      <w:pPr>
        <w:spacing w:after="0" w:line="14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Other income (expense) increased $0.2 million, to $0.1 million of income for the three months ended March 31, 2011 compared to a $0.1 million loss for the three months ended March 31, 2010 primarily due to favorable changes in foreign currency exchange gains and losses.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As of March 31, 2011, we had $55.8 million of cash and cash equivalents and $21.9 million of available-for-sale securities. As of March 31, 2011, our working capital totaled $72.3 million. In February 2011, we completed our IPO of common stock which resulted in net proceeds to us of $76.9 million, net of underwriting discounts, commissions and offering expenses. Following the completion of our IPO, we paid the balance on our bank line of credit of $3.125 million, which is collateralized by our accounts receivable and provides us the ability to borrow up to $7.0 million, subject to certain covenants and other restrictions, and paid all principal and interest outstanding of $5.0 million on the note and warrant agreement we entered into in January 2011.</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March 31, 2011, the outstanding balance under our loan and security agreement was $14.3 million. The loan and security agreement has a maturity date of February 2013 and bears interest of 13.5% per annum upon which interest only payments were paid monthly through February 2011. Commencing in March 2011, we began making monthly payments of $0.6 million for principal and interest and will make an additional payment of $2.3 million in March 2012. The additional payment is being accreted as interest expense through the maturity date of February 2013. As of March 31, 2011, we were in compliance with all loan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0"/>
              </w:rPr>
              <w:t>Three Months Ended March 31,</w:t>
            </w:r>
          </w:p>
        </w:tc>
      </w:tr>
      <w:tr>
        <w:trPr>
          <w:trHeight w:val="142"/>
        </w:trPr>
        <w:tc>
          <w:tcPr>
            <w:tcW w:w="4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summary</w:t>
            </w:r>
          </w:p>
        </w:tc>
        <w:tc>
          <w:tcPr>
            <w:tcW w:w="1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(1,229)</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   (2,953)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(22,089)</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73,440</w:t>
            </w:r>
          </w:p>
        </w:tc>
        <w:tc>
          <w:tcPr>
            <w:tcW w:w="3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(455)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50,108</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(3,769)</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derive cash flows from operations primarily from cash collected from the sale of our products, collaboration and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Net cash used in operating activities was $1.2 million during the three months ended March 31, 2011. Net cash used in operating activities primarily consisted of our net loss of $7.3 million, changes in our operating assets and liabilities in the amount of $3.0 million, and non-cash expense items such as stock-based compensation of $0.8 million, depreciation and amortization of our property and equipment of $0.3 million, loss from changes in the fair value of convertible stock warrants of $1.5 million, gain from expiration of unexercised warrants of $0.8 million, and write off of debt discounts upon note repayment of $1.2 million.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Historically, our primary investing activities have consisted of capital expenditures for laboratory, manufacturing and computer equipment and software to support our expanding infrastructure and work force; and purchases, sales and maturities of our available-for-sale securities. We expect to continue to expand our manufacturing capability, primarily in Singapore, and expect to incur additional costs for capital expenditures related to these efforts in future periods.</w:t>
      </w:r>
    </w:p>
    <w:p>
      <w:pPr>
        <w:spacing w:after="0" w:line="10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used $22.1 million of cash in investing activities during the three months ended March 31, 2011 to invest a portion of the net proceeds from our IPO in available-for-sale securities and for purchases of capital equipment to support our infrastructure and manufacturing operations of $0.2 million.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our IPO, we funded our operations principally through issuances of convertible preferred stock and long term debt.</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generated $73.4 million of cash from financing activities during the three months ended March 31, 2011 primarily from net proceeds from our IPO of $76.9 million and $5.0 million from subordinated secured promissory notes with existing stockholders, partially offset by the pay off of our line of credit balance of $3.1 million and repayment of the outstanding principal and interest on the subordinated secured promissory notes of $0.5 million.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jc w:val="both"/>
        <w:ind w:right="140" w:firstLine="456"/>
        <w:spacing w:after="0" w:line="284" w:lineRule="auto"/>
        <w:rPr>
          <w:sz w:val="20"/>
          <w:szCs w:val="20"/>
          <w:color w:val="auto"/>
        </w:rPr>
      </w:pPr>
      <w:r>
        <w:rPr>
          <w:rFonts w:ascii="Arial" w:cs="Arial" w:eastAsia="Arial" w:hAnsi="Arial"/>
          <w:sz w:val="16"/>
          <w:szCs w:val="16"/>
          <w:color w:val="auto"/>
        </w:rPr>
        <w:t>At March 31, 2011, our working capital was $72.3 million, including cash, cash equivalents and available-for-sale securities of $77.7 million. We have a bank line of credit agreement that is collateralized by our accounts receivable and provides us the ability to draw up to $7.0 million, subject to certain covenants and restrictions. In February 2011, we raised approximately $77.0 million from our IPO, net of underwriting discounts, commissions and offering expenses.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2011, our capital expenditures were $0.2 million. We are estimating capital expenditures to be higher in 2011 compared to 2010 primarily for the expansion of our manufacturing capacity, research and development equipment and sales demonstration and product support instruments to service our global customer base.</w:t>
      </w:r>
    </w:p>
    <w:p>
      <w:pPr>
        <w:spacing w:after="0" w:line="14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believe our existing cash and cash equivalents including the net proceeds from our IPO, will be sufficient to meet our working capital and capital expenditure needs for at least the next 18 months. However, we may need to raise additional capital to expand the commercialization of our products, fund our operations and further our research and development activities.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As of March 31, 2011, we did not have any off-balance sheet arrangements as defined in Item 303(a)(4) of Regulation S-K promulgated under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Information with respect to recent accounting pronouncements is included in Note 1 of the notes to our condensed consolidated financial statements included elsewhere in this Form 10-Q.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March 31, 2011 would not have been material. To date, we have not entered into any material foreign currency hedging contracts although we may do so in the future.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had cash and cash equivalents of $55.8 million at March 31, 2011. These amounts were held primarily in cash on deposit with banks, money market funds, and U.S. government agency securities which are short-term. We had $21.9 million in available-for-sale securities at March 31, 2011 held primarily in U.S. government agency securities with maturities of less than twelve months. Cash and cash equivalents and available-for-sale securities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 presented, our interest income would not have been materially affected.</w:t>
      </w:r>
    </w:p>
    <w:p>
      <w:pPr>
        <w:spacing w:after="0" w:line="12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As of March 31, 2011, the principal amount of our long-term debt outstanding was $14.3 million and we had no outstanding balance on our bank line of credit. The interest rates on our long-term debt are fixed. If overall interest rates had increased by 10% during the period presented, our interest expense would not have been materially affected.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2011 that have materially affected, or are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158"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29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expect to continue to incur substantial losses for the foreseeable future.</w:t>
      </w:r>
    </w:p>
    <w:p>
      <w:pPr>
        <w:spacing w:after="0" w:line="17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$7.3 million, $16.9 million, $19.1 million and $29.5 million during the three months ended March 31, 2011, and the years 2010, 2009 and 2008, respectively. As of March 31, 2011, we had an accumulated deficit of $206.7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research and product development and significant expansion of our sales and marketing capabilities. Additionally, we expect that our selling, general and administrative expenses will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most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Historically, a significant part of our sales and marketing efforts have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vary significantly from quarter-to-quarter due to a number of factors, which may lead to volatility in our stock price.</w:t>
      </w:r>
    </w:p>
    <w:p>
      <w:pPr>
        <w:spacing w:after="0" w:line="20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quarter-to-quarter. This variability may lead to volatility in our stock price as research analysts and investors respond to these quarterly fluctuations. These fluctuations are due to numerous factors, including: fluctuations in demand for our products; changes in customer budget cycles and capital spending; seasonal variations in customer operations; tendencies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and fluctuations in foreign currency exchange rates. For example, in 2008 and 2009, we experienced higher sales in the fourth quarter than in the first quarter of the next fiscal year as a result of one or more of the factors described above. The foregoing factors are difficult to forecast, and these,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Our results of operations may not meet the expectations of research analysts or investors, in which case the price of our common stock could decrease significantly.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customer base is primarily composed of pharmaceutical, biotechnology and Ag-Bio companies, academic institutions and life science laboratories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In addition, certain new applications that we are considering developing are not commonly performed with conventional techniques and therefore may require additional sales efforts to create customer awareness of the utility of these applications. Any failure to expand our existing customer base or launch new applications would adversely affect our ability to increase our revenues.</w:t>
      </w:r>
    </w:p>
    <w:p>
      <w:pPr>
        <w:spacing w:after="0" w:line="11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12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 manufacture and market instruments for gene expression analysis, genotyping, PCR, other nucleic acid detection and additional applications using well established laboratory techniques, as well as newer technologies such as bead encoded arrays, microfluidics, nanotechnology, high-throughput DNA sequencing and inkjet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Caliper Life Sciences, Inc., Illumina, Inc., Life Technologies Corporation, Luminex Corporation, Roche Applied Science, NanoString Technologies, Inc., RainDance Technologies, Inc., Sequenom, Inc. and WaferGen Biosystems, Inc. have products that compete in certain segments of the market in which we sell our products, including gene expression analysis, genotyping and sequencing. In addition, a number of other companies and academic groups are in the process of developing novel technologies for life science markets.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we need to expand our direct sales and marketing force or distribution capabilities to adequately address our customers’ needs.</w:t>
      </w:r>
    </w:p>
    <w:p>
      <w:pPr>
        <w:spacing w:after="0" w:line="12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We may not be able to market, sell and distribute our products effectively enough to support our planned growth.</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14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impact our business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May Be Adversely Affected By Recent Events in Japan.</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recent earthquake and tsunami in Japan and their aftermath have created significant economic uncertainty in that country. Sales to customers located in Japan represented approximately 8% of our product revenue in 2010 and 13% in 2009. As a result, our sales in Japan may be adversely affected.</w:t>
      </w:r>
    </w:p>
    <w:p>
      <w:pPr>
        <w:spacing w:after="0" w:line="79"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Our business depends on research and development spending levels of pharmaceutical, Ag-Bio and biotechnology companies and academic, clinical and governmental research institutions and any reduction in such spending could limit our ability to sell our products.</w:t>
      </w:r>
    </w:p>
    <w:p>
      <w:pPr>
        <w:spacing w:after="0" w:line="8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expect that our revenue in the foreseeable future will be derived primarily from sales of our microfluidic systems and chips to academic institutions and biotechnology, Ag-Bio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microfluidic systems and chips. These reductions and delays may result from factors that are not within our control, such as:</w:t>
      </w:r>
    </w:p>
    <w:p>
      <w:pPr>
        <w:spacing w:after="0" w:line="4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as a result of the foregoing or other factors could materially and adversely affect our operations or financial condition.</w:t>
      </w:r>
    </w:p>
    <w:p>
      <w:pPr>
        <w:spacing w:after="0" w:line="126"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We may not be able to develop new systems or enhance the capabilities of our existing microfluidic systems to keep pace with rapidly changing technology and customer requirements.</w:t>
      </w:r>
    </w:p>
    <w:p>
      <w:pPr>
        <w:spacing w:after="0" w:line="12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success depends on our ability to develop new applications for our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single cell analyses,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have planned improvements to our BioMark, EP1 and Access Array systems, we may not be able to successfully implement these improvements. If we fail to keep pace with emerging technologies, demand for our systems will not grow and may decline, and our business, revenue, financial condition and operating results could suffer materially.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market opportunities may not develop as quickly as we expect.</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application of our technologies to molecular diagnostics, single cell analysis, digital PCR and sample preparation for next generation DNA sequencing are emerging market opportunities. We believe these opportunities will take several years to develop or mature and we cannot be certain that these market opportunities will develop as we expect. Although we believe that there will be applications of our technologies in these markets, there can be no certainty of the technical or commercial success our technologies will achieve in such markets. Our success in the emerging markets of molecular diagnostics, single cell analysis, digital PCR and sample preparation for next generation DNA sequencing may depend to a large extent on our ability to successfully market and sell products using our technologies. In addition, in the case of molecular diagnostics, we will need to obtain regulatory approval for such products in the United States and in overseas markets.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product development efforts may not result in commercially viable products within the timeline anticipated, if at all.</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Our technology is new and complex and the behavior of fluids and surrounding compounds in a nanoscale environment is difficult to predict in advance. Though we have developed design rules for the implementation of our technology, these are frequently revised to reflect new insights we have gained about the technology. In addition, we have discovered that biological or chemical reactions sometimes behave differently when implemented on our systems rather than in a standard laboratory environment. As a result, research and development efforts may be required to transfer certain reactions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cycles are lengthy and variable, which makes it difficult for us to forecast revenue and other operating results.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sales cycles for our systems are lengthy, which makes it difficult for us to accurately forecast revenues in a given period, and may cause revenue and operating results to vary significantly from period to period.</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Due in part to the high up-front cost associated with our systems, potential customers for our systems typically need to commit significant time and resources to evaluate our technology and their decision to purchase our instruments may be further limited by budgetary constraints and several layers of internal review and approval, which are beyond our control. In addition, the novelty and complexity of our products often requires us to spend substantial time and effort assisting potential customers in evaluating our instruments, including providing demonstrations and benchmarking our products against other available technologies.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rely on strategic partnerships for research and development and commercialization purposes.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entered into and may continue to enter into strategic partnerships, including collaborations, joint ventures and alliances with other participants in the life science, Ag-Bio and molecular diagnostics industries. For example, in 2010, we entered into a collaboration agreement in molecular diagnostics and a co-marketing agreement in next generation sequencing. If any of our strategic partners were to change their business strategies or development priorities, or encounter research and development obstacles, they may no longer be willing or able to participate in such strategic partnerships which could have a material adverse effect on our business, financial condition and results of operations. In addition, we may not control the strategic partnerships in which we participate. We may also have certain obligations, including some limited funding obligations or take or pay obligations, with regard to our strategic partnerships, joint ventures and alliances. We may be required to relinquish important rights, including intellectual property rights, and control over the development of our product candidates, assume product or other liabilities associated with the use of our products in diagnostic and other applications, agree to restrictions on the use or applications of our products, or otherwise be subject to terms unfavorable to us.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Under our collaboration agreements with Novartis Vaccines &amp; Diagnostics, Inc., or Novartis V&amp;D,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technical feasibility milestones in 2010 and 2011 and may be terminated by Novartis V&amp;D at any time. At Novartis V&amp;D’s option, these agreements can be extended to encompass further research, development and commercialization of our products in the primary and secondary fields described above, which could take several years or more to complete. The agreements provide that if a test is commercialized, we would supply the required systems and chips for performance of such test.</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agreements and efforts with Novartis V&amp;D are in their early stages and are subject to numerous conditions, contingencies, development challenges, milestones, royalty and license fees, indemnification obligations, termination rights, change of control and default provisions and regulatory approvals. There can be no assurance that this collaboration will lead to technology, products or services, that such technology, products or services will receive market acceptance, that we will realize any material revenue or other benefits from this collaboration or that the benefits will exceed our costs.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our facility becomes inoperable, we will be unable to continue manufacturing our products and as a result, our business will be harmed until we are able to secure a new facility.</w:t>
      </w:r>
    </w:p>
    <w:p>
      <w:pPr>
        <w:spacing w:after="0" w:line="1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manufacture and assemble all of our products for commercial sale at our facility in Singapore. No other manufacturing or assembly facilities are currently available to us. Our facility and the equipment we use to manufacture our products would be costly to replace and could require substantial lead time to repair or replace. The facility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our existing cash and cash equivalents, including the funds we raised in our initial public offering, will be sufficient to meet our anticipated cash requirements for at least the next 15 months. However, we may need to raise substantial additional capital to:</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the commercialization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 our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our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01"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12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120"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the current applications of our BioMark system, which represented 44% of our product revenue in 2010, involve real-time polymerase chain reaction, or PCR. Leading suppliers of reagents for PCR reactions include Life Technologies and Roche Applied Science, who are our direct competitors, and their licensees. These PCR reagents are typically sold pursuant to limited licenses or covenants not to sue with respect to patents held by these companies. We do not have any contractual supply agreements for these PCR reagents, and we cannot assure you that these reagents will continue to be available to our customers for use with our systems, or that these patent holders will not seek to enforce their patents against us, our customers, or suppliers.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provide quality technical support, we could lose customers and our operating results could suffer.</w:t>
      </w:r>
    </w:p>
    <w:p>
      <w:pPr>
        <w:spacing w:after="0" w:line="17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9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systems, and the loss of any of these suppliers could harm our business.</w:t>
      </w:r>
    </w:p>
    <w:p>
      <w:pPr>
        <w:spacing w:after="0" w:line="12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reader for our BioMark system requires specialized high resolution camera lenses and other components that are available from a limited number of sources.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these suppliers also subjects us to other risks that could harm our business, including the following:</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increased component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obtain adequate supply in a timely manner or on commercially reasonable terms;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suppliers may make errors in manufacturing components that could negatively affect the efficacy of our systems or cause delays in shipment of our systems;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growth of our revenue or increase our losses.</w:t>
      </w:r>
    </w:p>
    <w:p>
      <w:pPr>
        <w:spacing w:after="0" w:line="20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been manufacturing and assembling our products in significant commercial quantities since 2006, and we may encounter unforeseen situations that would result in delays or shortfalls in our production.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All of our commercial products are manufactured at our facility in Singapore. We began commercial production of our chips in Singapore in October 2006 and have transitioned the commercial production of our microfluidic systems to Singapore as well.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Such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101"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b w:val="1"/>
          <w:bCs w:val="1"/>
          <w:color w:val="auto"/>
        </w:rPr>
        <w:t>Our shipments of products to customers are subject to delays or cancellation due to work stoppages or slowdowns, piracy, damage to shipping facilities caused by weather or terrorism, and congestion due to inadequacy of shipping equipment and other causes.</w:t>
      </w:r>
    </w:p>
    <w:p>
      <w:pPr>
        <w:spacing w:after="0" w:line="8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Because all our products are manufactured at our facility in Singapore, we rely on shipping providers to deliver our products to our customers. To the extent that there are disruptions or delays in shipping our products from Singapore or off-loading our products upon arrival at their destination due to labor disputes, tariff or World Trade Organization-related disputes, piracy, physical damage to shipping facilities or equipment caused by severe weather or terrorist incidents, congestion at shipping facilities, inadequate equipment to load, dock and offload our products or energy-related tie-ups or otherwise, or for other reasons, product shipments to our customers will be delayed. Depending on the severity of such consequences, this may have an adverse effect on our financial condition and results of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recruit and retain key executives and scientists, we may be unable to achieve our goals.</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37"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2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global economy has been experiencing a significant economic downturn, and global credit and capital markets have experienced substantial volatility and disruption.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manage our anticipated growth effectively.</w:t>
      </w:r>
    </w:p>
    <w:p>
      <w:pPr>
        <w:spacing w:after="0" w:line="177"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believe our commercial manufacturing facility located in Singapore is sufficient to meet our short-term manufacturing needs. The current leases for our manufacturing facility in Singapore expire at various times from October 2011 through July 2013. In order to meet the long-term demand for our microfluidic systems, we believe that we will need to add to our existing manufacturing space in Singapore or move all of our manufacturing facilities to a new location in Singapore in 2012.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for our technology could be reduced by legal, social and ethical concerns surrounding the use of genetic information and biological materials.</w:t>
      </w:r>
    </w:p>
    <w:p>
      <w:pPr>
        <w:spacing w:after="0" w:line="21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agricultural crops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products, although not currently subject to regulation by the U.S. Food and Drug Administration or other regulatory agencies as medical devices, could become subject to regulation in the future.</w:t>
      </w:r>
    </w:p>
    <w:p>
      <w:pPr>
        <w:spacing w:after="0" w:line="1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are currently labeled and sold to biotechnology and pharmaceutical companies, academic institutions, and life sciences laboratories for research purposes only, and not diagnostic procedures. As a research only products, they and are not subject to regulation as medical devices by the U.S. Food and Drug Administration, or FDA, or comparable agencies of other countries. However, if we change the labeling of our products in the future to include diagnostic applications, our products or related applications could be subject to the FDA’s pre- and post-market regulations. For example, if we wish to label and market our products for use in performing clinical diagnostics, we would first need to obtain FDA premarket clearance or approval. Obtaining FDA clearance or approval can be expensive and uncertain, generally takes several months to years to obtain, and may require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Further, FDA may expand its jurisdiction over our products or the products of our customers, which could impose restrictions on our ability to market and sell our products. For example, our customers may use our research use only products in their own laboratory developed tests, or LDTs, for clinical diagnostic use.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 If the FDA imposes significant changes to the regulation of LDTs, or modifies its approach to our research use only tests which may be used by our customers for clinical use, it could reduce our revenues or increase our costs and adversely affect our business, prospects, results of operations or financial condition.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Finally, we may be required to proactively achieve compliance with certain FDA regulations as part of our contracts with customers or as part of our collaborations with third parties. In addition, we may voluntarily seek to conform our manufacturing operations to the FDA’s good manufacturing practice regulations for medical devices, known as the Quality System Regulation, or QSR. The QSR is a complex regulatory scheme that governs the methods and documentation covering the design, testing, control, manufacturing, labeling, quality assurance, packaging, storage and shipping of medical device products. The FDA enforces the QSR through periodic unannounced inspections of registered manufacturing facilities.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could have unknown defects or errors, which may give rise to claims against us and adversely affect market adoption of our systems.</w:t>
      </w:r>
    </w:p>
    <w:p>
      <w:pPr>
        <w:spacing w:after="0" w:line="20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While we do not provide express warranties that our microfluidic systems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microfluidic systems. The costs incurred in correcting any defects or errors may be substantial and could adversely affect our operating margins.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products contain defects, we may experience:</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16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During 2010, 2009 and 2008, approximately 45%, 46%, and 48%, respectively, of our product revenue was generated from sales to customers located outside of the United States. We believe that a significant percentage of our future revenue will come from international sources as we expand our overseas operations and develop opportunities in additional international areas. In addition, all of our commercial products are manufactured in Singapore.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3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2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use hazardous chemicals and biological materials in our business. Any claims relating to improper handling, storage or disposal of these materials could be time consuming and costly.</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microfluidic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1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will incur significant increased costs as a result of operating as a public company, and our management will be required to devote substantial time to new compliance initiatives.</w:t>
      </w:r>
    </w:p>
    <w:p>
      <w:pPr>
        <w:spacing w:after="0" w:line="12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first operated as a public company in February 2011. As a public company, we are incurring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are devoting a substantial amount of time to these new compliance initiatives. Moreover, these rules and regulations have increased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112"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2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with respect to our 2011 fiscal year, we must perform system and process evaluation and testing of our internal control over financial reporting to allow management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Securities and Exchange Commission or other regulatory authorities, which would require additional financial and management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of our programs are partially supported by government grants, which may be reduced, withdrawn, delayed or reclaimed.</w:t>
      </w:r>
    </w:p>
    <w:p>
      <w:pPr>
        <w:spacing w:after="0" w:line="177"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have received and may continue to receive funds under research and economic development programs funded by the governments of Singapore and the United States. Funding by these governments may be significantly reduced or eliminated in the future for a number of reasons. For example, some U.S. programs are subject to a yearly appropriations process in Congress. Similarly, our grants from the Singapore government are part of an official policy to develop a life science industry in Singapore; that policy could change or the role of grants in it could be reduced or eliminated at any time. Grant agreements currently in place with the Singaporean government are set to expire in May 2011. In addition, we may not receive funds under existing or future grants because of budgeting constraints of the agency administering the program. A restriction on the government funding available to us would reduce the resources that we would be able to devote to existing and future research and development efforts. Such a reduction could delay the introduction of new products and hurt our competitive position.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agreements with the Singapore Economic Development Board, or EDB, provide that our continued eligibility for incentive grant payments from EDB is subject to our satisfaction of agreed upon targets for increasing levels of research, development and manufacturing activity in Singapore, including the use of local service providers, the hiring of personnel in Singapore, the incurrence of eligible expenses in Singapore, our receipt of new equity investment and our achievement of certain milestones relating to new product development or completion of specific manufacturing process objectives. These agreements further provide EDB with the right to demand repayment of a portion of past grants in the event that we did not meet our obligations under the applicable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general, under Section 382 of the Internal Revenue Code, a corporation that undergoes an “ownership change” is subject to limitations on its ability to utilize its pre-change net operating losses or NOLs to offset future taxable income. Our existing NOLs may be subject to limitations arising from previous ownership changes, including our initial public offering. If we undergo an ownership change,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27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177"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positions of companies in the life science and Ag-Bio industries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39" w:lineRule="exact"/>
        <w:rPr>
          <w:sz w:val="20"/>
          <w:szCs w:val="20"/>
          <w:color w:val="auto"/>
        </w:rPr>
      </w:pPr>
    </w:p>
    <w:p>
      <w:pPr>
        <w:ind w:left="5560" w:right="2900" w:hanging="4985"/>
        <w:spacing w:after="0" w:line="440" w:lineRule="auto"/>
        <w:tabs>
          <w:tab w:leader="none" w:pos="8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 -35-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13" w:lineRule="exact"/>
        <w:rPr>
          <w:rFonts w:ascii="Arial" w:cs="Arial" w:eastAsia="Arial" w:hAnsi="Arial"/>
          <w:sz w:val="16"/>
          <w:szCs w:val="16"/>
          <w:color w:val="auto"/>
        </w:rPr>
      </w:pPr>
    </w:p>
    <w:p>
      <w:pPr>
        <w:ind w:left="900" w:right="100" w:hanging="325"/>
        <w:spacing w:after="0" w:line="357"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apply for patents covering our products and technologies and uses thereof, as we deem appropriate. However, we may fail to apply for patents on important products and technologies in a timely fashion or at all.</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12"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that could require us to spend significant time and money and could prevent us from selling our products or services or impact our stock price.</w:t>
      </w:r>
    </w:p>
    <w:p>
      <w:pPr>
        <w:spacing w:after="0" w:line="10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PCR market and competitors may assert that our products infringe their intellectual property rights as part of a business strategy to impede our successful entry into those markets.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Europe and Canada. The ‘934 patent is owned by Applied Biosystems, LLC. In response to this letter, we filed suit against Applied Biosystems and Applera in federal district court in the Southern District of New York seeking declaratory judgment of non-infringement and invalidity of the ‘934 patent. Applied Biosystems and Applera answered our complaint and asserted a counterclaim against us, alleging infringement of the ‘934 patent. Pursuant to a joint stipulation, the claims and counterclaims were dismissed on January 13, 2009, without prejudice to the parties’ claims, which can be reasserted.</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addition, our competitors and others may have patents or may in the future obtain patents and claim that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Patent infringement suits can be expensive, lengthy and disruptive to business operations. We could incur substantial costs and divert the attention of our management and technical personnel in prosecuting or defending against any claims, and may harm our reputation. There can be no assurance that we will prevail in any suit initiated against us by third parties.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event of a successful claim of infringement against us, we may be required to obtain one or more licenses from third parties, which we may not be able to obtain at a reasonable cost,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engage in discussions regarding possible commercial, licensing and cross-licensing agreements with third parties from time to time. For example, we have engaged in such discussions with Caliper Life Sciences regarding its microfluidic patent portfolio and we have engaged in such discussions with Life Technologies regarding the ‘934 patent and other patents owned by the parties, including patents in the field of digital PCR.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w:t>
      </w:r>
    </w:p>
    <w:p>
      <w:pPr>
        <w:spacing w:after="0" w:line="12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rights to use the technology we license are subject to the validity of the owner’s intellectual property rights. Enforcement of our licensed patents or defense or any claims asserting the invalidity of these patents is often subject to the control or cooperation of our licensors. Legal action could be initiated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6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As of December 2010, all of our commercial products, including microfluidic systems and chips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 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may be subject to damages resulting from claims that we or our employees have wrongfully used or disclosed alleged trade secrets of our employees’ former employers.</w:t>
      </w:r>
    </w:p>
    <w:p>
      <w:pPr>
        <w:spacing w:after="0" w:line="12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27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that our stock price will fluctuate significantly, and holders may have difficulty selling their shares.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Prior to our initial public offering, there had been no public market for shares of our common stock. Our stock is currently traded on the NASDAQ Global Market, but we can provide no assurance that there will be active trading on that market or any other market in the future. If there is not active trading market or if the volume of trading is limited, holders of our common stock may have difficulty selling their shares. In addition, the trading price of our common stock may be highly volatile and could be subject to wide fluctuations in response to various factors, some of which are beyond our control. These factors include:</w:t>
      </w:r>
    </w:p>
    <w:p>
      <w:pPr>
        <w:spacing w:after="0" w:line="3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announcements by us or our competitors of new commercial products, significant contracts, commercial relationships or capital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conditions in the life science, Ag-Bio and molecular diagnostics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or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stock market in general, and market prices for the securities of technology-based companies like ours in particular, have from time to time experienced volatility that often has been unrelated to the operating performance of the underlying companies. A certain degree of stock price volatility can be attributed to being a newly public company.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 trading volume could decline.</w:t>
      </w:r>
    </w:p>
    <w:p>
      <w:pPr>
        <w:spacing w:after="0" w:line="12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could cause our stock price to decline.</w:t>
      </w:r>
    </w:p>
    <w:p>
      <w:pPr>
        <w:spacing w:after="0" w:line="1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If stockholders holding shares of our common stock purchased prior to our public offering sell, or indicate an intention to sell, substantial amounts of their common stock in the public market the trading price of our common stock could decline. As of March 31, 2011 we had outstanding a total of 19,965,466 shares of common stock of which only the 6,392,083 shares of common stock sold in our public offering are currently freely tradable, without restriction, in the public market. Each of our directors and officers, and certain of our stockholders, has entered into lock-up agreements with the underwriter of our initial public offering that restrict their ability to sell or transfer their shares. The lock-up agreements pertaining to our public offering are in effect through August 8, 2011, although they may be extended for up to an additional 34 days under certain circumstances. Our underwriters, however, may, in their sole discretion, permit our officers, directors and other current stockholders who are subject to the contractual lock-up to sell shares prior to the expiration of the lock-up agreements. After the lock-up agreements expire, based on shares outstanding as of March 31, 2011, up to an additional 13,573,383 shares of common stock will be eligible for sale in the public market, 2,354,862 of which are held by directors and executive officers and will be subject to volume limitations under Rule 144 under the Securities Act and various vesting agreements. In addition, 2,103,963 shares of common stock that are issuable upon exercise of outstanding options as of March 31, 2011 will become eligible for sale in the public market to the extent permitted by the provisions of various vesting agreements, the lock-up agreements and Rules 144 and 701 under the Securities Act. If these additional shares are sold, or if it is perceived that they will be sold, in the public market, the trading price of our common stock could decline.</w:t>
      </w:r>
    </w:p>
    <w:p>
      <w:pPr>
        <w:spacing w:after="0" w:line="115"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Our directors and executive officers will continue to have substantial control over and could limit your ability to influence the outcome of key transactions, including changes of control.</w:t>
      </w:r>
    </w:p>
    <w:p>
      <w:pPr>
        <w:spacing w:after="0" w:line="12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March 31, 2011, our current executive officers, directors and their affiliates beneficially owned or controlled approximately 14% of the outstanding shares of our common stock. Accordingly, these executive officers, directors and their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1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3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initial public offering and may not use them effectively.</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broad discretion in the application of the net proceeds from our initial public offering and could spend the proceeds in ways that do not improve our results of operations or enhance the value of our common stock. We intend to use the net proceeds from our initial public offering for sales and marketing activities, including expansion of our sales force to support the ongoing commercialization of our products; for research and product development activities; for facilities improvements and the purchase of manufacturing and other equipment; and for working capital and other general corporate purposes. We may also use a portion of our net proceeds to acquire and invest in complementary products, technologies or businesses; however, we currently have no agreements or commitments to complete any such transaction. We have not allocated these net proceeds for any specific purposes. We might not be able to yield a significant return, if any, on any investment of these net proceeds. Stockholders will not have the opportunity to influence our management’s decisions on how to use the net proceeds, and our failure to apply the funds effectively could have a material adverse effect on our business, delay the development of our product candidates and cause the price of our common stock to decline.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17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Between January 1, 2011 to March 31, 2011, we sold securities in transactions that were not registered under the Securities Act as set forth below.</w:t>
      </w:r>
    </w:p>
    <w:p>
      <w:pPr>
        <w:spacing w:after="0" w:line="19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granted stock options to purchase 437,404 shares of our common stock at an exercise price of $8.3732 per share to certain of our employees, officers and directors under our 2009 Equity Incentive Plan, as amended, or 2009 Plan. In addition, we issued and sold an aggregate of 15,112 shares of our common stock to certain of our employees at prices ranging from $4.0828 to $4.4461 per share for an aggregate of $65,265 pursuant to exercises of options granted under the 2009 Plan. The sales and issuances of securities in these transactions were deemed to be exempt from registration under the Securities Act, in reliance upon Rule 701 promulgated under the Securities Act, as transactions pursuant to compensatory benefit plans and contracts relating to compensation as provided under Rule 701, or Section 4(2) of the Securities Act.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January 2011, we issued and sold subordinated secured promissory notes with an aggregate principal amount of $5.0 million and warrants to purchase an aggregate of 103,182 shares of our preferred stock at an exercise price of $0.02 per share for aggregate consideration of $5.0 million to a total of 49 accredited investors, all of whom were existing investors of the Company and had substantial pre-existing relationships with us. Upon the closing of our IPO in February 2011, we issued an aggregate of 103,182 shares of common stock as the result of the exercise or net exercise of all of these warrants. These transactions did not involve any underwriters, underwriting discounts or commissions, or any public offering, and we believe that each transaction was exempt from the registration requirements of the Securities Act in reliance on Section 4(2) of the Securities Act as transactions by an issuer not involving a public offering.</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9, 2011, our registration statements on Form S-1 (Nos. 333-170965 and 333-172146) relating to our IPO were declared effective by the SEC.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IPO closed on February 15, 2011, and the net proceeds to us after under writing discounts, commissions, and offering expenses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$77.0 million. Through March 31, 2011, the net proceeds have been applied as follows: $5.0 million for the repayment of promissory notes issued in January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$3.1 million for the repayment of our bank line of credit, $1.6 million for research and development expenses, $3.7 million for general corporate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selling, general and administrative expenses, and $0.2 million for capital expenditures.</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has been no material change in the planned use of proceeds from our IPO from that described in the final prospectus filed with the SEC pursuant to Rule 424(b) on February 10,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 by</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Exhibit</w:t>
            </w: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Reference From</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75"/>
        </w:trPr>
        <w:tc>
          <w:tcPr>
            <w:tcW w:w="10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5"/>
                <w:szCs w:val="15"/>
                <w:color w:val="auto"/>
              </w:rPr>
            </w:pPr>
          </w:p>
        </w:tc>
        <w:tc>
          <w:tcPr>
            <w:tcW w:w="652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309"/>
        </w:trPr>
        <w:tc>
          <w:tcPr>
            <w:tcW w:w="100" w:type="dxa"/>
            <w:vAlign w:val="bottom"/>
          </w:tcPr>
          <w:p>
            <w:pPr>
              <w:spacing w:after="0"/>
              <w:rPr>
                <w:sz w:val="24"/>
                <w:szCs w:val="2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4.8A</w:t>
            </w:r>
          </w:p>
        </w:tc>
        <w:tc>
          <w:tcPr>
            <w:tcW w:w="6520" w:type="dxa"/>
            <w:vAlign w:val="bottom"/>
          </w:tcPr>
          <w:p>
            <w:pPr>
              <w:spacing w:after="0"/>
              <w:rPr>
                <w:sz w:val="20"/>
                <w:szCs w:val="20"/>
                <w:color w:val="auto"/>
              </w:rPr>
            </w:pPr>
            <w:r>
              <w:rPr>
                <w:rFonts w:ascii="Arial" w:cs="Arial" w:eastAsia="Arial" w:hAnsi="Arial"/>
                <w:sz w:val="18"/>
                <w:szCs w:val="18"/>
                <w:color w:val="auto"/>
                <w:w w:val="89"/>
              </w:rPr>
              <w:t>Business Financing Modification Agreement dated March 31, 2011, by and between Bridge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4.8A</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April 4, 2011</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Bank, National Association, and the registrant.</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Form 8-K</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18"/>
        </w:trPr>
        <w:tc>
          <w:tcPr>
            <w:tcW w:w="60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10.18</w:t>
            </w:r>
          </w:p>
        </w:tc>
        <w:tc>
          <w:tcPr>
            <w:tcW w:w="38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0"/>
              </w:rPr>
              <w:t>Offer Letter dated May 3, 2010 to Fredric Walder and Addendum thereto dated November</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April 4, 2011</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8, 2010.</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Form 8-K</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18"/>
        </w:trPr>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10.21A(1)</w:t>
            </w:r>
          </w:p>
        </w:tc>
        <w:tc>
          <w:tcPr>
            <w:tcW w:w="6520" w:type="dxa"/>
            <w:vAlign w:val="bottom"/>
          </w:tcPr>
          <w:p>
            <w:pPr>
              <w:spacing w:after="0"/>
              <w:rPr>
                <w:sz w:val="20"/>
                <w:szCs w:val="20"/>
                <w:color w:val="auto"/>
              </w:rPr>
            </w:pPr>
            <w:r>
              <w:rPr>
                <w:rFonts w:ascii="Arial" w:cs="Arial" w:eastAsia="Arial" w:hAnsi="Arial"/>
                <w:sz w:val="18"/>
                <w:szCs w:val="18"/>
                <w:color w:val="auto"/>
                <w:w w:val="93"/>
              </w:rPr>
              <w:t>Amendment #1, executed on March 29, 2011 and effective as of March 15, 2011, to the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8"/>
                <w:szCs w:val="18"/>
                <w:color w:val="auto"/>
              </w:rPr>
              <w:t>10.21A</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April 4, 2011</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7"/>
              </w:rPr>
              <w:t>Collaboration and Option Agreement dated May 17, 2010, by and between Novartis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Vaccines &amp; Diagnostics, Inc. and the registrant.</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Form 8-K</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18"/>
        </w:trPr>
        <w:tc>
          <w:tcPr>
            <w:tcW w:w="60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31.1</w:t>
            </w:r>
          </w:p>
        </w:tc>
        <w:tc>
          <w:tcPr>
            <w:tcW w:w="38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88"/>
              </w:rPr>
              <w:t>Certification Pursuant to 18 U.S.C. Section 1350, as Adopted Pursuant to Section 302 of the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Sarbanes-Oxley Act of 2002 of President and Chief Executive Officer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18"/>
        </w:trPr>
        <w:tc>
          <w:tcPr>
            <w:tcW w:w="60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31.2</w:t>
            </w:r>
          </w:p>
        </w:tc>
        <w:tc>
          <w:tcPr>
            <w:tcW w:w="38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88"/>
              </w:rPr>
              <w:t>Certification Pursuant to 18 U.S.C. Section 1350, as Adopted Pursuant to Section 302 of the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Sarbanes-Oxley Act of 2002 of Chief Financial Officer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18"/>
        </w:trPr>
        <w:tc>
          <w:tcPr>
            <w:tcW w:w="60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32.1(2)</w:t>
            </w:r>
          </w:p>
        </w:tc>
        <w:tc>
          <w:tcPr>
            <w:tcW w:w="38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Sarbanes-Oxley Act of 2002 of President and Chief Executive Officer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Furnished herewith</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18"/>
        </w:trPr>
        <w:tc>
          <w:tcPr>
            <w:tcW w:w="60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32.2(2)</w:t>
            </w:r>
          </w:p>
        </w:tc>
        <w:tc>
          <w:tcPr>
            <w:tcW w:w="38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Sarbanes-Oxley Act of 2002 of Chief Financial Officer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Furnished herewith</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 treatment was requested with respect to certain portions of this exhibit. Omitted portions were filed separately with the SEC.</w:t>
      </w:r>
    </w:p>
    <w:p>
      <w:pPr>
        <w:spacing w:after="0" w:line="15" w:lineRule="exact"/>
        <w:rPr>
          <w:rFonts w:ascii="Arial" w:cs="Arial" w:eastAsia="Arial" w:hAnsi="Arial"/>
          <w:sz w:val="18"/>
          <w:szCs w:val="18"/>
          <w:color w:val="auto"/>
        </w:rPr>
      </w:pPr>
    </w:p>
    <w:p>
      <w:pPr>
        <w:ind w:left="460" w:right="160" w:hanging="452"/>
        <w:spacing w:after="0" w:line="25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spacing w:after="0"/>
        <w:tabs>
          <w:tab w:leader="none" w:pos="6360" w:val="left"/>
          <w:tab w:leader="none" w:pos="7060" w:val="left"/>
        </w:tabs>
        <w:rPr>
          <w:sz w:val="20"/>
          <w:szCs w:val="20"/>
          <w:color w:val="auto"/>
        </w:rPr>
      </w:pPr>
      <w:r>
        <w:rPr>
          <w:rFonts w:ascii="Arial" w:cs="Arial" w:eastAsia="Arial" w:hAnsi="Arial"/>
          <w:sz w:val="18"/>
          <w:szCs w:val="18"/>
          <w:color w:val="auto"/>
        </w:rPr>
        <w:t>Dated: May 11, 2011</w:t>
      </w:r>
      <w:r>
        <w:rPr>
          <w:sz w:val="20"/>
          <w:szCs w:val="20"/>
          <w:color w:val="auto"/>
        </w:rPr>
        <w:tab/>
      </w: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Gajus V. Worthington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6360" w:val="left"/>
          <w:tab w:leader="none" w:pos="7060" w:val="left"/>
        </w:tabs>
        <w:rPr>
          <w:sz w:val="20"/>
          <w:szCs w:val="20"/>
          <w:color w:val="auto"/>
        </w:rPr>
      </w:pPr>
      <w:r>
        <w:rPr>
          <w:rFonts w:ascii="Arial" w:cs="Arial" w:eastAsia="Arial" w:hAnsi="Arial"/>
          <w:sz w:val="18"/>
          <w:szCs w:val="18"/>
          <w:color w:val="auto"/>
        </w:rPr>
        <w:t>Dated: May 11, 2011</w:t>
      </w:r>
      <w:r>
        <w:rPr>
          <w:sz w:val="20"/>
          <w:szCs w:val="20"/>
          <w:color w:val="auto"/>
        </w:rPr>
        <w:tab/>
      </w: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 by</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Exhibit</w:t>
            </w: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Reference From</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75"/>
        </w:trPr>
        <w:tc>
          <w:tcPr>
            <w:tcW w:w="10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5"/>
                <w:szCs w:val="15"/>
                <w:color w:val="auto"/>
              </w:rPr>
            </w:pPr>
          </w:p>
        </w:tc>
        <w:tc>
          <w:tcPr>
            <w:tcW w:w="652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309"/>
        </w:trPr>
        <w:tc>
          <w:tcPr>
            <w:tcW w:w="100" w:type="dxa"/>
            <w:vAlign w:val="bottom"/>
          </w:tcPr>
          <w:p>
            <w:pPr>
              <w:spacing w:after="0"/>
              <w:rPr>
                <w:sz w:val="24"/>
                <w:szCs w:val="2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4.8A</w:t>
            </w:r>
          </w:p>
        </w:tc>
        <w:tc>
          <w:tcPr>
            <w:tcW w:w="6520" w:type="dxa"/>
            <w:vAlign w:val="bottom"/>
          </w:tcPr>
          <w:p>
            <w:pPr>
              <w:spacing w:after="0"/>
              <w:rPr>
                <w:sz w:val="20"/>
                <w:szCs w:val="20"/>
                <w:color w:val="auto"/>
              </w:rPr>
            </w:pPr>
            <w:r>
              <w:rPr>
                <w:rFonts w:ascii="Arial" w:cs="Arial" w:eastAsia="Arial" w:hAnsi="Arial"/>
                <w:sz w:val="18"/>
                <w:szCs w:val="18"/>
                <w:color w:val="auto"/>
                <w:w w:val="89"/>
              </w:rPr>
              <w:t>Business Financing Modification Agreement dated March 31, 2011, by and between Bridge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Bank, National Association, and the registrant.</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Form 8-K</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4.8A</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April 4, 2011</w:t>
            </w:r>
          </w:p>
        </w:tc>
      </w:tr>
      <w:tr>
        <w:trPr>
          <w:trHeight w:val="318"/>
        </w:trPr>
        <w:tc>
          <w:tcPr>
            <w:tcW w:w="60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10.18</w:t>
            </w:r>
          </w:p>
        </w:tc>
        <w:tc>
          <w:tcPr>
            <w:tcW w:w="38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0"/>
              </w:rPr>
              <w:t>Offer Letter dated May 3, 2010 to Fredric Walder and Addendum thereto dated November</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8, 2010.</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Form 8-K</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April 4, 2011</w:t>
            </w:r>
          </w:p>
        </w:tc>
      </w:tr>
      <w:tr>
        <w:trPr>
          <w:trHeight w:val="318"/>
        </w:trPr>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10.21A(1)</w:t>
            </w:r>
          </w:p>
        </w:tc>
        <w:tc>
          <w:tcPr>
            <w:tcW w:w="6520" w:type="dxa"/>
            <w:vAlign w:val="bottom"/>
          </w:tcPr>
          <w:p>
            <w:pPr>
              <w:spacing w:after="0"/>
              <w:rPr>
                <w:sz w:val="20"/>
                <w:szCs w:val="20"/>
                <w:color w:val="auto"/>
              </w:rPr>
            </w:pPr>
            <w:r>
              <w:rPr>
                <w:rFonts w:ascii="Arial" w:cs="Arial" w:eastAsia="Arial" w:hAnsi="Arial"/>
                <w:sz w:val="18"/>
                <w:szCs w:val="18"/>
                <w:color w:val="auto"/>
                <w:w w:val="93"/>
              </w:rPr>
              <w:t>Amendment #1, executed on March 29, 2011 and effective as of March 15, 2011, to the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7"/>
              </w:rPr>
              <w:t>Collaboration and Option Agreement dated May 17, 2010, by and between Novartis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Vaccines &amp; Diagnostics, Inc. and the registrant.</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Form 8-K</w:t>
            </w:r>
          </w:p>
        </w:tc>
        <w:tc>
          <w:tcPr>
            <w:tcW w:w="100" w:type="dxa"/>
            <w:vAlign w:val="bottom"/>
          </w:tcPr>
          <w:p>
            <w:pPr>
              <w:spacing w:after="0"/>
              <w:rPr>
                <w:sz w:val="19"/>
                <w:szCs w:val="19"/>
                <w:color w:val="auto"/>
              </w:rPr>
            </w:pPr>
          </w:p>
        </w:tc>
        <w:tc>
          <w:tcPr>
            <w:tcW w:w="900" w:type="dxa"/>
            <w:vAlign w:val="bottom"/>
          </w:tcPr>
          <w:p>
            <w:pPr>
              <w:ind w:left="200"/>
              <w:spacing w:after="0"/>
              <w:rPr>
                <w:sz w:val="20"/>
                <w:szCs w:val="20"/>
                <w:color w:val="auto"/>
              </w:rPr>
            </w:pPr>
            <w:r>
              <w:rPr>
                <w:rFonts w:ascii="Arial" w:cs="Arial" w:eastAsia="Arial" w:hAnsi="Arial"/>
                <w:sz w:val="18"/>
                <w:szCs w:val="18"/>
                <w:color w:val="auto"/>
              </w:rPr>
              <w:t>10.21A</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April 4, 2011</w:t>
            </w:r>
          </w:p>
        </w:tc>
      </w:tr>
      <w:tr>
        <w:trPr>
          <w:trHeight w:val="318"/>
        </w:trPr>
        <w:tc>
          <w:tcPr>
            <w:tcW w:w="60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31.1</w:t>
            </w:r>
          </w:p>
        </w:tc>
        <w:tc>
          <w:tcPr>
            <w:tcW w:w="38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88"/>
              </w:rPr>
              <w:t>Certification Pursuant to 18 U.S.C. Section 1350, as Adopted Pursuant to Section 302 of the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Sarbanes-Oxley Act of 2002 of President and Chief Executive Officer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18"/>
        </w:trPr>
        <w:tc>
          <w:tcPr>
            <w:tcW w:w="60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31.2</w:t>
            </w:r>
          </w:p>
        </w:tc>
        <w:tc>
          <w:tcPr>
            <w:tcW w:w="38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88"/>
              </w:rPr>
              <w:t>Certification Pursuant to 18 U.S.C. Section 1350, as Adopted Pursuant to Section 302 of the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Sarbanes-Oxley Act of 2002 of Chief Financial Officer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18"/>
        </w:trPr>
        <w:tc>
          <w:tcPr>
            <w:tcW w:w="60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32.1(2)</w:t>
            </w:r>
          </w:p>
        </w:tc>
        <w:tc>
          <w:tcPr>
            <w:tcW w:w="38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Sarbanes-Oxley Act of 2002 of President and Chief Executive Officer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Furnished herewith</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18"/>
        </w:trPr>
        <w:tc>
          <w:tcPr>
            <w:tcW w:w="60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32.2(2)</w:t>
            </w:r>
          </w:p>
        </w:tc>
        <w:tc>
          <w:tcPr>
            <w:tcW w:w="38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Sarbanes-Oxley Act of 2002 of Chief Financial Officer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Furnished herewith</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certain portions of this exhibit. Omitted portions were filed separately with the SEC.</w:t>
      </w:r>
    </w:p>
    <w:p>
      <w:pPr>
        <w:spacing w:after="0" w:line="38" w:lineRule="exact"/>
        <w:rPr>
          <w:rFonts w:ascii="Arial" w:cs="Arial" w:eastAsia="Arial" w:hAnsi="Arial"/>
          <w:sz w:val="16"/>
          <w:szCs w:val="16"/>
          <w:color w:val="auto"/>
        </w:rPr>
      </w:pPr>
    </w:p>
    <w:p>
      <w:pPr>
        <w:ind w:left="460" w:right="160" w:hanging="452"/>
        <w:spacing w:after="0" w:line="25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b w:val="1"/>
          <w:bCs w:val="1"/>
          <w:color w:val="auto"/>
        </w:rPr>
        <w:t>CERTIFICATION OF THE PRESIDENT AND CHIEF EXECUTIVE OFFICER PURSUANT TO SECURITIES EXCHANGE ACT RULES 13a-14(a) AND 15d-14(a), AS ADOPTED PURSUANT TO SECTION 302 OF THE SARBANES-OXLEY ACT OF 2002</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1" w:lineRule="exact"/>
        <w:rPr>
          <w:rFonts w:ascii="Arial" w:cs="Arial" w:eastAsia="Arial" w:hAnsi="Arial"/>
          <w:sz w:val="18"/>
          <w:szCs w:val="18"/>
          <w:color w:val="auto"/>
        </w:rPr>
      </w:pPr>
    </w:p>
    <w:p>
      <w:pPr>
        <w:ind w:right="80" w:firstLine="921"/>
        <w:spacing w:after="0" w:line="259" w:lineRule="auto"/>
        <w:tabs>
          <w:tab w:leader="none" w:pos="107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860" w:firstLine="921"/>
        <w:spacing w:after="0" w:line="332" w:lineRule="auto"/>
        <w:tabs>
          <w:tab w:leader="none" w:pos="1088"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jc w:val="both"/>
        <w:ind w:right="360" w:firstLine="921"/>
        <w:spacing w:after="0" w:line="259" w:lineRule="auto"/>
        <w:tabs>
          <w:tab w:leader="none" w:pos="107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280" w:firstLine="921"/>
        <w:spacing w:after="0" w:line="268" w:lineRule="auto"/>
        <w:tabs>
          <w:tab w:leader="none" w:pos="107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20" w:firstLine="921"/>
        <w:spacing w:after="0" w:line="268" w:lineRule="auto"/>
        <w:tabs>
          <w:tab w:leader="none" w:pos="108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11, 2011</w:t>
      </w:r>
      <w:r>
        <w:rPr>
          <w:sz w:val="20"/>
          <w:szCs w:val="20"/>
          <w:color w:val="auto"/>
        </w:rPr>
        <w:tab/>
      </w:r>
      <w:r>
        <w:rPr>
          <w:rFonts w:ascii="Arial" w:cs="Arial" w:eastAsia="Arial" w:hAnsi="Arial"/>
          <w:sz w:val="16"/>
          <w:szCs w:val="16"/>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Gajus V. Worthington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1" w:lineRule="exact"/>
        <w:rPr>
          <w:rFonts w:ascii="Arial" w:cs="Arial" w:eastAsia="Arial" w:hAnsi="Arial"/>
          <w:sz w:val="18"/>
          <w:szCs w:val="18"/>
          <w:color w:val="auto"/>
        </w:rPr>
      </w:pPr>
    </w:p>
    <w:p>
      <w:pPr>
        <w:ind w:right="80" w:firstLine="921"/>
        <w:spacing w:after="0" w:line="259" w:lineRule="auto"/>
        <w:tabs>
          <w:tab w:leader="none" w:pos="10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860" w:firstLine="921"/>
        <w:spacing w:after="0" w:line="332" w:lineRule="auto"/>
        <w:tabs>
          <w:tab w:leader="none" w:pos="108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jc w:val="both"/>
        <w:ind w:right="360" w:firstLine="921"/>
        <w:spacing w:after="0" w:line="259" w:lineRule="auto"/>
        <w:tabs>
          <w:tab w:leader="none" w:pos="10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280" w:firstLine="921"/>
        <w:spacing w:after="0" w:line="268" w:lineRule="auto"/>
        <w:tabs>
          <w:tab w:leader="none" w:pos="10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20" w:firstLine="921"/>
        <w:spacing w:after="0" w:line="268" w:lineRule="auto"/>
        <w:tabs>
          <w:tab w:leader="none" w:pos="108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11, 2011</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3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132" w:lineRule="exact"/>
        <w:rPr>
          <w:sz w:val="20"/>
          <w:szCs w:val="20"/>
          <w:color w:val="auto"/>
        </w:rPr>
      </w:pPr>
    </w:p>
    <w:p>
      <w:pPr>
        <w:ind w:right="80" w:firstLine="464"/>
        <w:spacing w:after="0" w:line="268" w:lineRule="auto"/>
        <w:tabs>
          <w:tab w:leader="none" w:pos="6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three months ended March 31, 2011 (the “Report”), fully complies with the requirements of section 13(a) or 15(d)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May 11, 2011</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132" w:lineRule="exact"/>
        <w:rPr>
          <w:sz w:val="20"/>
          <w:szCs w:val="20"/>
          <w:color w:val="auto"/>
        </w:rPr>
      </w:pPr>
    </w:p>
    <w:p>
      <w:pPr>
        <w:ind w:right="80" w:firstLine="464"/>
        <w:spacing w:after="0" w:line="268" w:lineRule="auto"/>
        <w:tabs>
          <w:tab w:leader="none" w:pos="6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three months ended March 31, 2011 (the “Report”), fully complies with the requirements of section 13(a) or 15(d)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May 11,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2019-12-10T22:05:40Z</dcterms:created>
  <dcterms:modified xsi:type="dcterms:W3CDTF">2019-12-10T22:05:40Z</dcterms:modified>
</cp:coreProperties>
</file>