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FLUIDIGM CORP.</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Common Stock, $0.001 par value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34385P108</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March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-10160</wp:posOffset>
            </wp:positionV>
            <wp:extent cx="13550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8880" w:hanging="4"/>
        <w:spacing w:after="0" w:line="224" w:lineRule="exact"/>
        <w:tabs>
          <w:tab w:leader="none" w:pos="130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009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 Capital Management, L.P.</w:t>
      </w:r>
    </w:p>
    <w:p>
      <w:pPr>
        <w:spacing w:after="0" w:line="131" w:lineRule="exact"/>
        <w:rPr>
          <w:sz w:val="20"/>
          <w:szCs w:val="20"/>
          <w:color w:val="auto"/>
        </w:rPr>
      </w:pPr>
    </w:p>
    <w:p>
      <w:pPr>
        <w:ind w:left="1200" w:hanging="663"/>
        <w:spacing w:after="0"/>
        <w:tabs>
          <w:tab w:leader="none" w:pos="12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4,651,177</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4,651,177</w:t>
      </w:r>
    </w:p>
    <w:p>
      <w:pPr>
        <w:spacing w:after="0" w:line="131" w:lineRule="exact"/>
        <w:rPr>
          <w:sz w:val="20"/>
          <w:szCs w:val="20"/>
          <w:color w:val="auto"/>
        </w:rPr>
      </w:pPr>
    </w:p>
    <w:p>
      <w:pPr>
        <w:ind w:left="1200" w:hanging="663"/>
        <w:spacing w:after="0"/>
        <w:tabs>
          <w:tab w:leader="none" w:pos="1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4,651,177</w:t>
      </w:r>
    </w:p>
    <w:p>
      <w:pPr>
        <w:spacing w:after="0" w:line="98" w:lineRule="exact"/>
        <w:rPr>
          <w:sz w:val="20"/>
          <w:szCs w:val="20"/>
          <w:color w:val="auto"/>
        </w:rPr>
      </w:pPr>
    </w:p>
    <w:p>
      <w:pPr>
        <w:ind w:left="1200" w:hanging="708"/>
        <w:spacing w:after="0" w:line="207" w:lineRule="exact"/>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009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Peter Kolchinsky</w:t>
      </w:r>
    </w:p>
    <w:p>
      <w:pPr>
        <w:spacing w:after="0" w:line="131" w:lineRule="exact"/>
        <w:rPr>
          <w:sz w:val="20"/>
          <w:szCs w:val="20"/>
          <w:color w:val="auto"/>
        </w:rPr>
      </w:pPr>
    </w:p>
    <w:p>
      <w:pPr>
        <w:ind w:left="1200" w:hanging="663"/>
        <w:spacing w:after="0"/>
        <w:tabs>
          <w:tab w:leader="none" w:pos="12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4,651,177</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4,651,177</w:t>
      </w:r>
    </w:p>
    <w:p>
      <w:pPr>
        <w:spacing w:after="0" w:line="131" w:lineRule="exact"/>
        <w:rPr>
          <w:sz w:val="20"/>
          <w:szCs w:val="20"/>
          <w:color w:val="auto"/>
        </w:rPr>
      </w:pPr>
    </w:p>
    <w:p>
      <w:pPr>
        <w:ind w:left="1200" w:hanging="663"/>
        <w:spacing w:after="0"/>
        <w:tabs>
          <w:tab w:leader="none" w:pos="12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4,651,177</w:t>
      </w:r>
    </w:p>
    <w:p>
      <w:pPr>
        <w:spacing w:after="0" w:line="98" w:lineRule="exact"/>
        <w:rPr>
          <w:sz w:val="20"/>
          <w:szCs w:val="20"/>
          <w:color w:val="auto"/>
        </w:rPr>
      </w:pPr>
    </w:p>
    <w:p>
      <w:pPr>
        <w:ind w:left="1200" w:hanging="708"/>
        <w:spacing w:after="0" w:line="207" w:lineRule="exact"/>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009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Rajeev Shah</w:t>
      </w:r>
    </w:p>
    <w:p>
      <w:pPr>
        <w:spacing w:after="0" w:line="131" w:lineRule="exact"/>
        <w:rPr>
          <w:sz w:val="20"/>
          <w:szCs w:val="20"/>
          <w:color w:val="auto"/>
        </w:rPr>
      </w:pPr>
    </w:p>
    <w:p>
      <w:pPr>
        <w:ind w:left="1200" w:hanging="663"/>
        <w:spacing w:after="0"/>
        <w:tabs>
          <w:tab w:leader="none" w:pos="12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4,651,177</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4,651,177</w:t>
      </w:r>
    </w:p>
    <w:p>
      <w:pPr>
        <w:spacing w:after="0" w:line="131" w:lineRule="exact"/>
        <w:rPr>
          <w:sz w:val="20"/>
          <w:szCs w:val="20"/>
          <w:color w:val="auto"/>
        </w:rPr>
      </w:pPr>
    </w:p>
    <w:p>
      <w:pPr>
        <w:ind w:left="1200" w:hanging="663"/>
        <w:spacing w:after="0"/>
        <w:tabs>
          <w:tab w:leader="none" w:pos="12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4,651,177</w:t>
      </w:r>
    </w:p>
    <w:p>
      <w:pPr>
        <w:spacing w:after="0" w:line="98" w:lineRule="exact"/>
        <w:rPr>
          <w:sz w:val="20"/>
          <w:szCs w:val="20"/>
          <w:color w:val="auto"/>
        </w:rPr>
      </w:pPr>
    </w:p>
    <w:p>
      <w:pPr>
        <w:ind w:left="1200" w:hanging="708"/>
        <w:spacing w:after="0" w:line="207" w:lineRule="exact"/>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009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200" w:hanging="663"/>
        <w:spacing w:after="0"/>
        <w:tabs>
          <w:tab w:leader="none" w:pos="12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RA Capital Healthcare Fund, L.P.</w:t>
      </w:r>
    </w:p>
    <w:p>
      <w:pPr>
        <w:spacing w:after="0" w:line="131" w:lineRule="exact"/>
        <w:rPr>
          <w:sz w:val="20"/>
          <w:szCs w:val="20"/>
          <w:color w:val="auto"/>
        </w:rPr>
      </w:pPr>
    </w:p>
    <w:p>
      <w:pPr>
        <w:ind w:left="1200" w:hanging="663"/>
        <w:spacing w:after="0"/>
        <w:tabs>
          <w:tab w:leader="none" w:pos="12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21" w:lineRule="exact"/>
        <w:rPr>
          <w:sz w:val="20"/>
          <w:szCs w:val="20"/>
          <w:color w:val="auto"/>
        </w:rPr>
      </w:pPr>
    </w:p>
    <w:p>
      <w:pPr>
        <w:ind w:left="1200" w:hanging="663"/>
        <w:spacing w:after="0"/>
        <w:tabs>
          <w:tab w:leader="none" w:pos="12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63" w:lineRule="exact"/>
        <w:rPr>
          <w:sz w:val="20"/>
          <w:szCs w:val="20"/>
          <w:color w:val="auto"/>
        </w:rPr>
      </w:pPr>
    </w:p>
    <w:p>
      <w:pPr>
        <w:ind w:left="1200" w:hanging="663"/>
        <w:spacing w:after="0"/>
        <w:tabs>
          <w:tab w:leader="none" w:pos="12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126" w:lineRule="exact"/>
        <w:rPr>
          <w:rFonts w:ascii="Arial" w:cs="Arial" w:eastAsia="Arial" w:hAnsi="Arial"/>
          <w:sz w:val="18"/>
          <w:szCs w:val="18"/>
          <w:b w:val="1"/>
          <w:bCs w:val="1"/>
          <w:color w:val="auto"/>
        </w:rPr>
      </w:pPr>
    </w:p>
    <w:p>
      <w:pPr>
        <w:ind w:left="2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4,651,177</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4,651,177</w:t>
      </w:r>
    </w:p>
    <w:p>
      <w:pPr>
        <w:spacing w:after="0" w:line="131" w:lineRule="exact"/>
        <w:rPr>
          <w:sz w:val="20"/>
          <w:szCs w:val="20"/>
          <w:color w:val="auto"/>
        </w:rPr>
      </w:pPr>
    </w:p>
    <w:p>
      <w:pPr>
        <w:ind w:left="1200" w:hanging="663"/>
        <w:spacing w:after="0"/>
        <w:tabs>
          <w:tab w:leader="none" w:pos="12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4,651,177</w:t>
      </w:r>
    </w:p>
    <w:p>
      <w:pPr>
        <w:spacing w:after="0" w:line="98" w:lineRule="exact"/>
        <w:rPr>
          <w:sz w:val="20"/>
          <w:szCs w:val="20"/>
          <w:color w:val="auto"/>
        </w:rPr>
      </w:pPr>
    </w:p>
    <w:p>
      <w:pPr>
        <w:ind w:left="1200" w:hanging="708"/>
        <w:spacing w:after="0" w:line="207" w:lineRule="exact"/>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395" w:lineRule="exact"/>
        <w:rPr>
          <w:rFonts w:ascii="Arial" w:cs="Arial" w:eastAsia="Arial" w:hAnsi="Arial"/>
          <w:sz w:val="18"/>
          <w:szCs w:val="18"/>
          <w:b w:val="1"/>
          <w:bCs w:val="1"/>
          <w:color w:val="auto"/>
        </w:rPr>
      </w:pPr>
    </w:p>
    <w:p>
      <w:pPr>
        <w:ind w:left="1200" w:right="5100" w:hanging="703"/>
        <w:spacing w:after="0" w:line="443" w:lineRule="auto"/>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6.0%</w:t>
      </w:r>
    </w:p>
    <w:p>
      <w:pPr>
        <w:spacing w:after="0" w:line="5" w:lineRule="exact"/>
        <w:rPr>
          <w:rFonts w:ascii="Arial" w:cs="Arial" w:eastAsia="Arial" w:hAnsi="Arial"/>
          <w:sz w:val="18"/>
          <w:szCs w:val="18"/>
          <w:b w:val="1"/>
          <w:bCs w:val="1"/>
          <w:color w:val="auto"/>
        </w:rPr>
      </w:pPr>
    </w:p>
    <w:p>
      <w:pPr>
        <w:ind w:left="1200" w:right="5700" w:hanging="708"/>
        <w:spacing w:after="0" w:line="527" w:lineRule="auto"/>
        <w:tabs>
          <w:tab w:leader="none" w:pos="1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Fluidigm Corp.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 Tower Place, Suite 2000, South San Francisco, CA 94080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is a Delaware limited partnership.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34385P108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pages to this Schedule 13G. The ownership percentages reported are based on 77,198,577 total Common Stock shares, as reported in the Issuer’s Prospectus filed with the Securities and Exchange Commission on March 8, 2022.</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Fund directly holds 4,651,177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ind w:left="980" w:right="140"/>
        <w:spacing w:after="0" w:line="268" w:lineRule="auto"/>
        <w:rPr>
          <w:sz w:val="20"/>
          <w:szCs w:val="20"/>
          <w:color w:val="auto"/>
        </w:rPr>
      </w:pPr>
      <w:r>
        <w:rPr>
          <w:rFonts w:ascii="Arial" w:cs="Arial" w:eastAsia="Arial" w:hAnsi="Arial"/>
          <w:sz w:val="17"/>
          <w:szCs w:val="17"/>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portfolios, including the shares of the Issuer’s Common Stock reported herein. Because the Fund has divested itself of voting and investment power over the reported securities they hold and may not revoke that delegation on less than 61 days’ notice, the Fund disclaims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gridSpan w:val="3"/>
          </w:tcPr>
          <w:p>
            <w:pPr>
              <w:ind w:left="20"/>
              <w:spacing w:after="0"/>
              <w:rPr>
                <w:sz w:val="20"/>
                <w:szCs w:val="20"/>
                <w:color w:val="auto"/>
              </w:rPr>
            </w:pPr>
            <w:r>
              <w:rPr>
                <w:rFonts w:ascii="Arial" w:cs="Arial" w:eastAsia="Arial" w:hAnsi="Arial"/>
                <w:sz w:val="18"/>
                <w:szCs w:val="18"/>
                <w:color w:val="auto"/>
              </w:rPr>
              <w:t>/s/ Peter Kolchinsky</w:t>
            </w: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Peter Kolchinsky</w:t>
            </w:r>
          </w:p>
        </w:tc>
      </w:tr>
      <w:tr>
        <w:trPr>
          <w:trHeight w:val="230"/>
        </w:trPr>
        <w:tc>
          <w:tcPr>
            <w:tcW w:w="7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w w:val="90"/>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540" w:type="dxa"/>
            <w:vAlign w:val="bottom"/>
            <w:gridSpan w:val="3"/>
          </w:tcPr>
          <w:p>
            <w:pPr>
              <w:ind w:left="20"/>
              <w:spacing w:after="0"/>
              <w:rPr>
                <w:sz w:val="20"/>
                <w:szCs w:val="20"/>
                <w:color w:val="auto"/>
              </w:rPr>
            </w:pPr>
            <w:r>
              <w:rPr>
                <w:rFonts w:ascii="Arial" w:cs="Arial" w:eastAsia="Arial" w:hAnsi="Arial"/>
                <w:sz w:val="18"/>
                <w:szCs w:val="18"/>
                <w:color w:val="auto"/>
              </w:rPr>
              <w:t>RA Capital Healthcare Fund GP, LLC</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10540" w:type="dxa"/>
            <w:vAlign w:val="bottom"/>
            <w:gridSpan w:val="3"/>
          </w:tcPr>
          <w:p>
            <w:pPr>
              <w:ind w:left="20"/>
              <w:spacing w:after="0"/>
              <w:rPr>
                <w:sz w:val="20"/>
                <w:szCs w:val="20"/>
                <w:color w:val="auto"/>
              </w:rPr>
            </w:pPr>
            <w:r>
              <w:rPr>
                <w:rFonts w:ascii="Arial" w:cs="Arial" w:eastAsia="Arial" w:hAnsi="Arial"/>
                <w:sz w:val="18"/>
                <w:szCs w:val="18"/>
                <w:color w:val="auto"/>
              </w:rPr>
              <w:t>General Partner</w:t>
            </w:r>
          </w:p>
        </w:tc>
      </w:tr>
      <w:tr>
        <w:trPr>
          <w:trHeight w:val="391"/>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540" w:type="dxa"/>
            <w:vAlign w:val="bottom"/>
            <w:gridSpan w:val="3"/>
          </w:tcPr>
          <w:p>
            <w:pPr>
              <w:ind w:left="20"/>
              <w:spacing w:after="0"/>
              <w:rPr>
                <w:sz w:val="20"/>
                <w:szCs w:val="20"/>
                <w:color w:val="auto"/>
              </w:rPr>
            </w:pPr>
            <w:r>
              <w:rPr>
                <w:rFonts w:ascii="Arial" w:cs="Arial" w:eastAsia="Arial" w:hAnsi="Arial"/>
                <w:sz w:val="18"/>
                <w:szCs w:val="18"/>
                <w:color w:val="auto"/>
              </w:rPr>
              <w:t>/s/ Peter Kolchinsky</w:t>
            </w: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9940" w:type="dxa"/>
            <w:vAlign w:val="bottom"/>
            <w:gridSpan w:val="2"/>
          </w:tcPr>
          <w:p>
            <w:pPr>
              <w:ind w:left="120"/>
              <w:spacing w:after="0"/>
              <w:rPr>
                <w:sz w:val="20"/>
                <w:szCs w:val="20"/>
                <w:color w:val="auto"/>
              </w:rPr>
            </w:pPr>
            <w:r>
              <w:rPr>
                <w:rFonts w:ascii="Arial" w:cs="Arial" w:eastAsia="Arial" w:hAnsi="Arial"/>
                <w:sz w:val="18"/>
                <w:szCs w:val="18"/>
                <w:color w:val="auto"/>
              </w:rPr>
              <w:t>Peter Kolchinsky</w:t>
            </w:r>
          </w:p>
        </w:tc>
      </w:tr>
      <w:tr>
        <w:trPr>
          <w:trHeight w:val="230"/>
        </w:trPr>
        <w:tc>
          <w:tcPr>
            <w:tcW w:w="7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9940" w:type="dxa"/>
            <w:vAlign w:val="bottom"/>
            <w:gridSpan w:val="2"/>
          </w:tcPr>
          <w:p>
            <w:pPr>
              <w:ind w:left="120"/>
              <w:spacing w:after="0"/>
              <w:rPr>
                <w:sz w:val="20"/>
                <w:szCs w:val="20"/>
                <w:color w:val="auto"/>
              </w:rPr>
            </w:pPr>
            <w:r>
              <w:rPr>
                <w:rFonts w:ascii="Arial" w:cs="Arial" w:eastAsia="Arial" w:hAnsi="Arial"/>
                <w:sz w:val="18"/>
                <w:szCs w:val="18"/>
                <w:color w:val="auto"/>
              </w:rPr>
              <w:t>Manager</w:t>
            </w:r>
          </w:p>
        </w:tc>
      </w:tr>
      <w:tr>
        <w:trPr>
          <w:trHeight w:val="648"/>
        </w:trPr>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Joint Filing Agreement, dated as of March 24, 2022,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13G and/or 13D with respect to Common Stock $0.001 per share of Fluidigm Corp. beneficially owned by them from time to time.</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260" w:type="dxa"/>
            <w:vAlign w:val="bottom"/>
            <w:gridSpan w:val="3"/>
          </w:tcPr>
          <w:p>
            <w:pPr>
              <w:ind w:left="20"/>
              <w:spacing w:after="0"/>
              <w:rPr>
                <w:sz w:val="20"/>
                <w:szCs w:val="20"/>
                <w:color w:val="auto"/>
              </w:rPr>
            </w:pPr>
            <w:r>
              <w:rPr>
                <w:rFonts w:ascii="Arial" w:cs="Arial" w:eastAsia="Arial" w:hAnsi="Arial"/>
                <w:sz w:val="18"/>
                <w:szCs w:val="18"/>
                <w:color w:val="auto"/>
              </w:rPr>
              <w:t>/s/ Peter Kolchinsky</w:t>
            </w: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Peter Kolchinsky</w:t>
            </w:r>
          </w:p>
        </w:tc>
      </w:tr>
      <w:tr>
        <w:trPr>
          <w:trHeight w:val="230"/>
        </w:trPr>
        <w:tc>
          <w:tcPr>
            <w:tcW w:w="7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w w:val="90"/>
              </w:rPr>
              <w:t>Authorized Signatory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540" w:type="dxa"/>
            <w:vAlign w:val="bottom"/>
            <w:gridSpan w:val="3"/>
          </w:tcPr>
          <w:p>
            <w:pPr>
              <w:ind w:left="20"/>
              <w:spacing w:after="0"/>
              <w:rPr>
                <w:sz w:val="20"/>
                <w:szCs w:val="20"/>
                <w:color w:val="auto"/>
              </w:rPr>
            </w:pPr>
            <w:r>
              <w:rPr>
                <w:rFonts w:ascii="Arial" w:cs="Arial" w:eastAsia="Arial" w:hAnsi="Arial"/>
                <w:sz w:val="18"/>
                <w:szCs w:val="18"/>
                <w:color w:val="auto"/>
              </w:rPr>
              <w:t>RA Capital Healthcare Fund GP, LLC</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10540" w:type="dxa"/>
            <w:vAlign w:val="bottom"/>
            <w:gridSpan w:val="3"/>
          </w:tcPr>
          <w:p>
            <w:pPr>
              <w:ind w:left="20"/>
              <w:spacing w:after="0"/>
              <w:rPr>
                <w:sz w:val="20"/>
                <w:szCs w:val="20"/>
                <w:color w:val="auto"/>
              </w:rPr>
            </w:pPr>
            <w:r>
              <w:rPr>
                <w:rFonts w:ascii="Arial" w:cs="Arial" w:eastAsia="Arial" w:hAnsi="Arial"/>
                <w:sz w:val="18"/>
                <w:szCs w:val="18"/>
                <w:color w:val="auto"/>
              </w:rPr>
              <w:t>General Partner</w:t>
            </w:r>
          </w:p>
        </w:tc>
      </w:tr>
      <w:tr>
        <w:trPr>
          <w:trHeight w:val="391"/>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540" w:type="dxa"/>
            <w:vAlign w:val="bottom"/>
            <w:gridSpan w:val="3"/>
          </w:tcPr>
          <w:p>
            <w:pPr>
              <w:ind w:left="20"/>
              <w:spacing w:after="0"/>
              <w:rPr>
                <w:sz w:val="20"/>
                <w:szCs w:val="20"/>
                <w:color w:val="auto"/>
              </w:rPr>
            </w:pPr>
            <w:r>
              <w:rPr>
                <w:rFonts w:ascii="Arial" w:cs="Arial" w:eastAsia="Arial" w:hAnsi="Arial"/>
                <w:sz w:val="18"/>
                <w:szCs w:val="18"/>
                <w:color w:val="auto"/>
              </w:rPr>
              <w:t>/s/ Peter Kolchinsky</w:t>
            </w:r>
          </w:p>
        </w:tc>
      </w:tr>
      <w:tr>
        <w:trPr>
          <w:trHeight w:val="20"/>
        </w:trPr>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9940" w:type="dxa"/>
            <w:vAlign w:val="bottom"/>
            <w:gridSpan w:val="2"/>
          </w:tcPr>
          <w:p>
            <w:pPr>
              <w:ind w:left="120"/>
              <w:spacing w:after="0"/>
              <w:rPr>
                <w:sz w:val="20"/>
                <w:szCs w:val="20"/>
                <w:color w:val="auto"/>
              </w:rPr>
            </w:pPr>
            <w:r>
              <w:rPr>
                <w:rFonts w:ascii="Arial" w:cs="Arial" w:eastAsia="Arial" w:hAnsi="Arial"/>
                <w:sz w:val="18"/>
                <w:szCs w:val="18"/>
                <w:color w:val="auto"/>
              </w:rPr>
              <w:t>Peter Kolchinsky</w:t>
            </w:r>
          </w:p>
        </w:tc>
      </w:tr>
      <w:tr>
        <w:trPr>
          <w:trHeight w:val="230"/>
        </w:trPr>
        <w:tc>
          <w:tcPr>
            <w:tcW w:w="70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9940" w:type="dxa"/>
            <w:vAlign w:val="bottom"/>
            <w:gridSpan w:val="2"/>
          </w:tcPr>
          <w:p>
            <w:pPr>
              <w:ind w:left="120"/>
              <w:spacing w:after="0"/>
              <w:rPr>
                <w:sz w:val="20"/>
                <w:szCs w:val="20"/>
                <w:color w:val="auto"/>
              </w:rPr>
            </w:pPr>
            <w:r>
              <w:rPr>
                <w:rFonts w:ascii="Arial" w:cs="Arial" w:eastAsia="Arial" w:hAnsi="Arial"/>
                <w:sz w:val="18"/>
                <w:szCs w:val="18"/>
                <w:color w:val="auto"/>
              </w:rPr>
              <w:t>Manager</w:t>
            </w:r>
          </w:p>
        </w:tc>
      </w:tr>
      <w:tr>
        <w:trPr>
          <w:trHeight w:val="648"/>
        </w:trPr>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2022-03-24T15:38:17Z</dcterms:created>
  <dcterms:modified xsi:type="dcterms:W3CDTF">2022-03-24T15:38:17Z</dcterms:modified>
</cp:coreProperties>
</file>