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63284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6328410"/>
                    </a:xfrm>
                    <a:prstGeom prst="rect">
                      <a:avLst/>
                    </a:prstGeom>
                    <a:noFill/>
                  </pic:spPr>
                </pic:pic>
              </a:graphicData>
            </a:graphic>
          </wp:anchor>
        </w:drawing>
      </w:r>
    </w:p>
    <w:p>
      <w:pPr>
        <w:sectPr>
          <w:pgSz w:w="11900" w:h="16863"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Yow Mai Chan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19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02/09/2011</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7000 SHORELINE COURT SUITE 100</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Arial" w:cs="Arial" w:eastAsia="Arial" w:hAnsi="Arial"/>
                <w:sz w:val="14"/>
                <w:szCs w:val="14"/>
                <w:color w:val="auto"/>
              </w:rPr>
              <w:t>(Street)</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98"/>
        </w:trPr>
        <w:tc>
          <w:tcPr>
            <w:tcW w:w="1080" w:type="dxa"/>
            <w:vAlign w:val="bottom"/>
          </w:tcPr>
          <w:p>
            <w:pPr>
              <w:ind w:left="40"/>
              <w:spacing w:after="0"/>
              <w:rPr>
                <w:sz w:val="20"/>
                <w:szCs w:val="20"/>
                <w:color w:val="auto"/>
              </w:rPr>
            </w:pPr>
            <w:r>
              <w:rPr>
                <w:rFonts w:ascii="Arial" w:cs="Arial" w:eastAsia="Arial" w:hAnsi="Arial"/>
                <w:sz w:val="18"/>
                <w:szCs w:val="18"/>
                <w:color w:val="0000FF"/>
                <w:w w:val="97"/>
              </w:rPr>
              <w:t>SOUTH SAN</w:t>
            </w:r>
          </w:p>
        </w:tc>
        <w:tc>
          <w:tcPr>
            <w:tcW w:w="720" w:type="dxa"/>
            <w:vAlign w:val="bottom"/>
          </w:tcPr>
          <w:p>
            <w:pPr>
              <w:ind w:left="60"/>
              <w:spacing w:after="0"/>
              <w:rPr>
                <w:sz w:val="20"/>
                <w:szCs w:val="20"/>
                <w:color w:val="auto"/>
              </w:rPr>
            </w:pPr>
            <w:r>
              <w:rPr>
                <w:rFonts w:ascii="Arial" w:cs="Arial" w:eastAsia="Arial" w:hAnsi="Arial"/>
                <w:sz w:val="18"/>
                <w:szCs w:val="18"/>
                <w:color w:val="0000FF"/>
              </w:rPr>
              <w:t>CA</w:t>
            </w:r>
          </w:p>
        </w:tc>
        <w:tc>
          <w:tcPr>
            <w:tcW w:w="840" w:type="dxa"/>
            <w:vAlign w:val="bottom"/>
          </w:tcPr>
          <w:p>
            <w:pPr>
              <w:jc w:val="right"/>
              <w:spacing w:after="0"/>
              <w:rPr>
                <w:sz w:val="20"/>
                <w:szCs w:val="20"/>
                <w:color w:val="auto"/>
              </w:rPr>
            </w:pPr>
            <w:r>
              <w:rPr>
                <w:rFonts w:ascii="Arial" w:cs="Arial" w:eastAsia="Arial" w:hAnsi="Arial"/>
                <w:sz w:val="18"/>
                <w:szCs w:val="18"/>
                <w:color w:val="0000FF"/>
              </w:rPr>
              <w:t>94080</w:t>
            </w:r>
          </w:p>
        </w:tc>
      </w:tr>
      <w:tr>
        <w:trPr>
          <w:trHeight w:val="222"/>
        </w:trPr>
        <w:tc>
          <w:tcPr>
            <w:tcW w:w="1080" w:type="dxa"/>
            <w:vAlign w:val="bottom"/>
          </w:tcPr>
          <w:p>
            <w:pPr>
              <w:ind w:left="40"/>
              <w:spacing w:after="0"/>
              <w:rPr>
                <w:sz w:val="20"/>
                <w:szCs w:val="20"/>
                <w:color w:val="auto"/>
              </w:rPr>
            </w:pPr>
            <w:r>
              <w:rPr>
                <w:rFonts w:ascii="Arial" w:cs="Arial" w:eastAsia="Arial" w:hAnsi="Arial"/>
                <w:sz w:val="18"/>
                <w:szCs w:val="18"/>
                <w:color w:val="0000FF"/>
                <w:w w:val="96"/>
              </w:rPr>
              <w:t>FRANCISCO</w:t>
            </w: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880" w:type="dxa"/>
            <w:vAlign w:val="bottom"/>
          </w:tcPr>
          <w:p>
            <w:pPr>
              <w:ind w:left="80"/>
              <w:spacing w:after="0"/>
              <w:rPr>
                <w:sz w:val="20"/>
                <w:szCs w:val="20"/>
                <w:color w:val="auto"/>
              </w:rPr>
            </w:pPr>
            <w:r>
              <w:rPr>
                <w:rFonts w:ascii="Arial" w:cs="Arial" w:eastAsia="Arial" w:hAnsi="Arial"/>
                <w:sz w:val="14"/>
                <w:szCs w:val="14"/>
                <w:color w:val="auto"/>
              </w:rPr>
              <w:t>5. If Amendment, Date of Original Filed</w:t>
            </w:r>
          </w:p>
        </w:tc>
        <w:tc>
          <w:tcPr>
            <w:tcW w:w="0" w:type="dxa"/>
            <w:vAlign w:val="bottom"/>
          </w:tcPr>
          <w:p>
            <w:pPr>
              <w:spacing w:after="0"/>
              <w:rPr>
                <w:sz w:val="1"/>
                <w:szCs w:val="1"/>
                <w:color w:val="auto"/>
              </w:rPr>
            </w:pPr>
          </w:p>
        </w:tc>
      </w:tr>
      <w:tr>
        <w:trPr>
          <w:trHeight w:val="162"/>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420" w:type="dxa"/>
            <w:vAlign w:val="bottom"/>
            <w:vMerge w:val="restart"/>
          </w:tcPr>
          <w:p>
            <w:pPr>
              <w:ind w:left="200"/>
              <w:spacing w:after="0"/>
              <w:rPr>
                <w:sz w:val="20"/>
                <w:szCs w:val="20"/>
                <w:color w:val="auto"/>
              </w:rPr>
            </w:pPr>
            <w:r>
              <w:rPr>
                <w:rFonts w:ascii="Arial" w:cs="Arial" w:eastAsia="Arial" w:hAnsi="Arial"/>
                <w:sz w:val="18"/>
                <w:szCs w:val="18"/>
                <w:color w:val="0000FF"/>
              </w:rPr>
              <w:t>X</w:t>
            </w: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Other (specify</w:t>
            </w:r>
          </w:p>
        </w:tc>
        <w:tc>
          <w:tcPr>
            <w:tcW w:w="28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42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2880" w:type="dxa"/>
            <w:vAlign w:val="bottom"/>
            <w:vMerge w:val="restart"/>
          </w:tcPr>
          <w:p>
            <w:pPr>
              <w:ind w:left="80"/>
              <w:spacing w:after="0"/>
              <w:rPr>
                <w:sz w:val="20"/>
                <w:szCs w:val="20"/>
                <w:color w:val="auto"/>
              </w:rPr>
            </w:pPr>
            <w:r>
              <w:rPr>
                <w:rFonts w:ascii="Arial" w:cs="Arial" w:eastAsia="Arial" w:hAnsi="Arial"/>
                <w:sz w:val="14"/>
                <w:szCs w:val="14"/>
                <w:color w:val="auto"/>
              </w:rPr>
              <w:t>6. Individual or Joint/Group Filing (Check</w:t>
            </w:r>
          </w:p>
        </w:tc>
        <w:tc>
          <w:tcPr>
            <w:tcW w:w="0" w:type="dxa"/>
            <w:vAlign w:val="bottom"/>
          </w:tcPr>
          <w:p>
            <w:pPr>
              <w:spacing w:after="0"/>
              <w:rPr>
                <w:sz w:val="1"/>
                <w:szCs w:val="1"/>
                <w:color w:val="auto"/>
              </w:rPr>
            </w:pPr>
          </w:p>
        </w:tc>
      </w:tr>
      <w:tr>
        <w:trPr>
          <w:trHeight w:val="108"/>
        </w:trPr>
        <w:tc>
          <w:tcPr>
            <w:tcW w:w="420" w:type="dxa"/>
            <w:vAlign w:val="bottom"/>
            <w:vMerge w:val="continue"/>
          </w:tcPr>
          <w:p>
            <w:pPr>
              <w:spacing w:after="0"/>
              <w:rPr>
                <w:sz w:val="9"/>
                <w:szCs w:val="9"/>
                <w:color w:val="auto"/>
              </w:rPr>
            </w:pPr>
          </w:p>
        </w:tc>
        <w:tc>
          <w:tcPr>
            <w:tcW w:w="1420" w:type="dxa"/>
            <w:vAlign w:val="bottom"/>
          </w:tcPr>
          <w:p>
            <w:pPr>
              <w:ind w:left="120"/>
              <w:spacing w:after="0" w:line="108" w:lineRule="exact"/>
              <w:rPr>
                <w:sz w:val="20"/>
                <w:szCs w:val="20"/>
                <w:color w:val="auto"/>
              </w:rPr>
            </w:pPr>
            <w:r>
              <w:rPr>
                <w:rFonts w:ascii="Arial" w:cs="Arial" w:eastAsia="Arial" w:hAnsi="Arial"/>
                <w:sz w:val="12"/>
                <w:szCs w:val="12"/>
                <w:color w:val="auto"/>
              </w:rPr>
              <w:t>below)</w:t>
            </w:r>
          </w:p>
        </w:tc>
        <w:tc>
          <w:tcPr>
            <w:tcW w:w="1480" w:type="dxa"/>
            <w:vAlign w:val="bottom"/>
          </w:tcPr>
          <w:p>
            <w:pPr>
              <w:ind w:left="320"/>
              <w:spacing w:after="0" w:line="108" w:lineRule="exact"/>
              <w:rPr>
                <w:sz w:val="20"/>
                <w:szCs w:val="20"/>
                <w:color w:val="auto"/>
              </w:rPr>
            </w:pPr>
            <w:r>
              <w:rPr>
                <w:rFonts w:ascii="Arial" w:cs="Arial" w:eastAsia="Arial" w:hAnsi="Arial"/>
                <w:sz w:val="12"/>
                <w:szCs w:val="12"/>
                <w:color w:val="auto"/>
              </w:rPr>
              <w:t>below)</w:t>
            </w:r>
          </w:p>
        </w:tc>
        <w:tc>
          <w:tcPr>
            <w:tcW w:w="2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4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880" w:type="dxa"/>
            <w:vAlign w:val="bottom"/>
          </w:tcPr>
          <w:p>
            <w:pPr>
              <w:ind w:left="80"/>
              <w:spacing w:after="0" w:line="101" w:lineRule="exact"/>
              <w:rPr>
                <w:sz w:val="20"/>
                <w:szCs w:val="20"/>
                <w:color w:val="auto"/>
              </w:rPr>
            </w:pPr>
            <w:r>
              <w:rPr>
                <w:rFonts w:ascii="Arial" w:cs="Arial" w:eastAsia="Arial" w:hAnsi="Arial"/>
                <w:sz w:val="11"/>
                <w:szCs w:val="11"/>
                <w:color w:val="auto"/>
              </w:rPr>
              <w:t>Applicable Line)</w:t>
            </w: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500" w:type="dxa"/>
        <w:tblCellMar>
          <w:top w:w="0" w:type="dxa"/>
          <w:left w:w="0" w:type="dxa"/>
          <w:bottom w:w="0" w:type="dxa"/>
          <w:right w:w="0" w:type="dxa"/>
        </w:tblCellMar>
      </w:tblPr>
      <w:tr>
        <w:trPr>
          <w:trHeight w:val="222"/>
        </w:trPr>
        <w:tc>
          <w:tcPr>
            <w:tcW w:w="2660" w:type="dxa"/>
            <w:vAlign w:val="bottom"/>
          </w:tcPr>
          <w:p>
            <w:pPr>
              <w:spacing w:after="0"/>
              <w:rPr>
                <w:sz w:val="20"/>
                <w:szCs w:val="20"/>
                <w:color w:val="auto"/>
              </w:rPr>
            </w:pPr>
            <w:r>
              <w:rPr>
                <w:rFonts w:ascii="Arial" w:cs="Arial" w:eastAsia="Arial" w:hAnsi="Arial"/>
                <w:sz w:val="18"/>
                <w:szCs w:val="18"/>
                <w:color w:val="0000FF"/>
              </w:rPr>
              <w:t>VP, WW Mfg &amp; MD-Singapore</w:t>
            </w:r>
          </w:p>
        </w:tc>
        <w:tc>
          <w:tcPr>
            <w:tcW w:w="2880" w:type="dxa"/>
            <w:vAlign w:val="bottom"/>
            <w:vMerge w:val="restart"/>
          </w:tcPr>
          <w:p>
            <w:pPr>
              <w:ind w:left="4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81"/>
        </w:trPr>
        <w:tc>
          <w:tcPr>
            <w:tcW w:w="2660" w:type="dxa"/>
            <w:vAlign w:val="bottom"/>
          </w:tcPr>
          <w:p>
            <w:pPr>
              <w:spacing w:after="0"/>
              <w:rPr>
                <w:sz w:val="7"/>
                <w:szCs w:val="7"/>
                <w:color w:val="auto"/>
              </w:rPr>
            </w:pPr>
          </w:p>
        </w:tc>
        <w:tc>
          <w:tcPr>
            <w:tcW w:w="2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2660" w:type="dxa"/>
            <w:vAlign w:val="bottom"/>
          </w:tcPr>
          <w:p>
            <w:pPr>
              <w:spacing w:after="0"/>
              <w:rPr>
                <w:sz w:val="17"/>
                <w:szCs w:val="17"/>
                <w:color w:val="auto"/>
              </w:rPr>
            </w:pPr>
          </w:p>
        </w:tc>
        <w:tc>
          <w:tcPr>
            <w:tcW w:w="2880" w:type="dxa"/>
            <w:vAlign w:val="bottom"/>
          </w:tcPr>
          <w:p>
            <w:pPr>
              <w:ind w:left="72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62"/>
        </w:trPr>
        <w:tc>
          <w:tcPr>
            <w:tcW w:w="2660" w:type="dxa"/>
            <w:vAlign w:val="bottom"/>
          </w:tcPr>
          <w:p>
            <w:pPr>
              <w:spacing w:after="0"/>
              <w:rPr>
                <w:sz w:val="14"/>
                <w:szCs w:val="14"/>
                <w:color w:val="auto"/>
              </w:rPr>
            </w:pPr>
          </w:p>
        </w:tc>
        <w:tc>
          <w:tcPr>
            <w:tcW w:w="2880" w:type="dxa"/>
            <w:vAlign w:val="bottom"/>
          </w:tcPr>
          <w:p>
            <w:pPr>
              <w:ind w:left="72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bl>
    <w:p>
      <w:pPr>
        <w:spacing w:after="0" w:line="328" w:lineRule="exact"/>
        <w:rPr>
          <w:sz w:val="24"/>
          <w:szCs w:val="24"/>
          <w:color w:val="auto"/>
        </w:rPr>
      </w:pPr>
    </w:p>
    <w:p>
      <w:pPr>
        <w:sectPr>
          <w:pgSz w:w="11900" w:h="16863" w:orient="portrait"/>
          <w:cols w:equalWidth="0" w:num="2">
            <w:col w:w="4720" w:space="480"/>
            <w:col w:w="6220"/>
          </w:cols>
          <w:pgMar w:left="240" w:top="226" w:right="239" w:bottom="0" w:gutter="0" w:footer="0" w:header="0"/>
          <w:type w:val="continuous"/>
        </w:sectPr>
      </w:pPr>
    </w:p>
    <w:p>
      <w:pPr>
        <w:spacing w:after="0" w:line="63"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2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9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840" w:type="dxa"/>
            <w:vAlign w:val="bottom"/>
          </w:tcPr>
          <w:p>
            <w:pPr>
              <w:spacing w:after="0"/>
              <w:rPr>
                <w:sz w:val="12"/>
                <w:szCs w:val="12"/>
                <w:color w:val="auto"/>
              </w:rPr>
            </w:pPr>
          </w:p>
        </w:tc>
        <w:tc>
          <w:tcPr>
            <w:tcW w:w="98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80" w:type="dxa"/>
            <w:vAlign w:val="bottom"/>
          </w:tcPr>
          <w:p>
            <w:pPr>
              <w:ind w:left="280"/>
              <w:spacing w:after="0"/>
              <w:rPr>
                <w:sz w:val="20"/>
                <w:szCs w:val="20"/>
                <w:color w:val="auto"/>
              </w:rPr>
            </w:pPr>
            <w:r>
              <w:rPr>
                <w:rFonts w:ascii="Arial" w:cs="Arial" w:eastAsia="Arial" w:hAnsi="Arial"/>
                <w:sz w:val="14"/>
                <w:szCs w:val="14"/>
                <w:b w:val="1"/>
                <w:bCs w:val="1"/>
                <w:color w:val="auto"/>
              </w:rPr>
              <w:t>of 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(1)</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jc w:val="center"/>
              <w:ind w:left="118"/>
              <w:spacing w:after="0"/>
              <w:rPr>
                <w:sz w:val="20"/>
                <w:szCs w:val="20"/>
                <w:color w:val="auto"/>
              </w:rPr>
            </w:pPr>
            <w:r>
              <w:rPr>
                <w:rFonts w:ascii="Arial" w:cs="Arial" w:eastAsia="Arial" w:hAnsi="Arial"/>
                <w:sz w:val="18"/>
                <w:szCs w:val="18"/>
                <w:color w:val="0000FF"/>
                <w:w w:val="85"/>
              </w:rPr>
              <w:t>5,780</w:t>
            </w:r>
            <w:r>
              <w:rPr>
                <w:rFonts w:ascii="Arial" w:cs="Arial" w:eastAsia="Arial" w:hAnsi="Arial"/>
                <w:sz w:val="22"/>
                <w:szCs w:val="22"/>
                <w:color w:val="008000"/>
                <w:w w:val="85"/>
                <w:vertAlign w:val="superscript"/>
              </w:rPr>
              <w:t>(2)</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4.09</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(3)</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jc w:val="center"/>
              <w:ind w:left="118"/>
              <w:spacing w:after="0"/>
              <w:rPr>
                <w:sz w:val="20"/>
                <w:szCs w:val="20"/>
                <w:color w:val="auto"/>
              </w:rPr>
            </w:pPr>
            <w:r>
              <w:rPr>
                <w:rFonts w:ascii="Arial" w:cs="Arial" w:eastAsia="Arial" w:hAnsi="Arial"/>
                <w:sz w:val="18"/>
                <w:szCs w:val="18"/>
                <w:color w:val="0000FF"/>
                <w:w w:val="85"/>
              </w:rPr>
              <w:t>5,780</w:t>
            </w:r>
            <w:r>
              <w:rPr>
                <w:rFonts w:ascii="Arial" w:cs="Arial" w:eastAsia="Arial" w:hAnsi="Arial"/>
                <w:sz w:val="22"/>
                <w:szCs w:val="22"/>
                <w:color w:val="008000"/>
                <w:w w:val="85"/>
                <w:vertAlign w:val="superscript"/>
              </w:rPr>
              <w:t>(2)</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4.09</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(4)</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jc w:val="center"/>
              <w:ind w:left="118"/>
              <w:spacing w:after="0"/>
              <w:rPr>
                <w:sz w:val="20"/>
                <w:szCs w:val="20"/>
                <w:color w:val="auto"/>
              </w:rPr>
            </w:pPr>
            <w:r>
              <w:rPr>
                <w:rFonts w:ascii="Arial" w:cs="Arial" w:eastAsia="Arial" w:hAnsi="Arial"/>
                <w:sz w:val="18"/>
                <w:szCs w:val="18"/>
                <w:color w:val="0000FF"/>
                <w:w w:val="85"/>
              </w:rPr>
              <w:t>5,780</w:t>
            </w:r>
            <w:r>
              <w:rPr>
                <w:rFonts w:ascii="Arial" w:cs="Arial" w:eastAsia="Arial" w:hAnsi="Arial"/>
                <w:sz w:val="22"/>
                <w:szCs w:val="22"/>
                <w:color w:val="008000"/>
                <w:w w:val="85"/>
                <w:vertAlign w:val="superscript"/>
              </w:rPr>
              <w:t>(2)</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8.38</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(5)</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jc w:val="center"/>
              <w:ind w:left="118"/>
              <w:spacing w:after="0"/>
              <w:rPr>
                <w:sz w:val="20"/>
                <w:szCs w:val="20"/>
                <w:color w:val="auto"/>
              </w:rPr>
            </w:pPr>
            <w:r>
              <w:rPr>
                <w:rFonts w:ascii="Arial" w:cs="Arial" w:eastAsia="Arial" w:hAnsi="Arial"/>
                <w:sz w:val="18"/>
                <w:szCs w:val="18"/>
                <w:color w:val="0000FF"/>
                <w:w w:val="85"/>
              </w:rPr>
              <w:t>5,780</w:t>
            </w:r>
            <w:r>
              <w:rPr>
                <w:rFonts w:ascii="Arial" w:cs="Arial" w:eastAsia="Arial" w:hAnsi="Arial"/>
                <w:sz w:val="22"/>
                <w:szCs w:val="22"/>
                <w:color w:val="008000"/>
                <w:w w:val="85"/>
                <w:vertAlign w:val="superscript"/>
              </w:rPr>
              <w:t>(2)</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8.38</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(6)</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(6)</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jc w:val="center"/>
              <w:ind w:left="118"/>
              <w:spacing w:after="0"/>
              <w:rPr>
                <w:sz w:val="20"/>
                <w:szCs w:val="20"/>
                <w:color w:val="auto"/>
              </w:rPr>
            </w:pPr>
            <w:r>
              <w:rPr>
                <w:rFonts w:ascii="Arial" w:cs="Arial" w:eastAsia="Arial" w:hAnsi="Arial"/>
                <w:sz w:val="18"/>
                <w:szCs w:val="18"/>
                <w:color w:val="0000FF"/>
                <w:w w:val="84"/>
              </w:rPr>
              <w:t>24,772</w:t>
            </w:r>
            <w:r>
              <w:rPr>
                <w:rFonts w:ascii="Arial" w:cs="Arial" w:eastAsia="Arial" w:hAnsi="Arial"/>
                <w:sz w:val="22"/>
                <w:szCs w:val="22"/>
                <w:color w:val="008000"/>
                <w:w w:val="84"/>
                <w:vertAlign w:val="superscript"/>
              </w:rPr>
              <w:t>(2)</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3.4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(7)</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(7)</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jc w:val="center"/>
              <w:ind w:left="118"/>
              <w:spacing w:after="0"/>
              <w:rPr>
                <w:sz w:val="20"/>
                <w:szCs w:val="20"/>
                <w:color w:val="auto"/>
              </w:rPr>
            </w:pPr>
            <w:r>
              <w:rPr>
                <w:rFonts w:ascii="Arial" w:cs="Arial" w:eastAsia="Arial" w:hAnsi="Arial"/>
                <w:sz w:val="18"/>
                <w:szCs w:val="18"/>
                <w:color w:val="0000FF"/>
                <w:w w:val="85"/>
              </w:rPr>
              <w:t>8,257</w:t>
            </w:r>
            <w:r>
              <w:rPr>
                <w:rFonts w:ascii="Arial" w:cs="Arial" w:eastAsia="Arial" w:hAnsi="Arial"/>
                <w:sz w:val="22"/>
                <w:szCs w:val="22"/>
                <w:color w:val="008000"/>
                <w:w w:val="85"/>
                <w:vertAlign w:val="superscript"/>
              </w:rPr>
              <w:t>(2)</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4.45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(8)</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(8)</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jc w:val="center"/>
              <w:ind w:left="118"/>
              <w:spacing w:after="0"/>
              <w:rPr>
                <w:sz w:val="20"/>
                <w:szCs w:val="20"/>
                <w:color w:val="auto"/>
              </w:rPr>
            </w:pPr>
            <w:r>
              <w:rPr>
                <w:rFonts w:ascii="Arial" w:cs="Arial" w:eastAsia="Arial" w:hAnsi="Arial"/>
                <w:sz w:val="18"/>
                <w:szCs w:val="18"/>
                <w:color w:val="0000FF"/>
                <w:w w:val="84"/>
              </w:rPr>
              <w:t>32,865</w:t>
            </w:r>
            <w:r>
              <w:rPr>
                <w:rFonts w:ascii="Arial" w:cs="Arial" w:eastAsia="Arial" w:hAnsi="Arial"/>
                <w:sz w:val="22"/>
                <w:szCs w:val="22"/>
                <w:color w:val="008000"/>
                <w:w w:val="84"/>
                <w:vertAlign w:val="superscript"/>
              </w:rPr>
              <w:t>(2)</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4.45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(9)</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jc w:val="center"/>
              <w:ind w:left="118"/>
              <w:spacing w:after="0"/>
              <w:rPr>
                <w:sz w:val="20"/>
                <w:szCs w:val="20"/>
                <w:color w:val="auto"/>
              </w:rPr>
            </w:pPr>
            <w:r>
              <w:rPr>
                <w:rFonts w:ascii="Arial" w:cs="Arial" w:eastAsia="Arial" w:hAnsi="Arial"/>
                <w:sz w:val="18"/>
                <w:szCs w:val="18"/>
                <w:color w:val="0000FF"/>
                <w:w w:val="85"/>
              </w:rPr>
              <w:t>8,257</w:t>
            </w:r>
            <w:r>
              <w:rPr>
                <w:rFonts w:ascii="Arial" w:cs="Arial" w:eastAsia="Arial" w:hAnsi="Arial"/>
                <w:sz w:val="22"/>
                <w:szCs w:val="22"/>
                <w:color w:val="008000"/>
                <w:w w:val="85"/>
                <w:vertAlign w:val="superscript"/>
              </w:rPr>
              <w:t>(2)</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4.45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(10)</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(10)</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jc w:val="center"/>
              <w:ind w:left="118"/>
              <w:spacing w:after="0"/>
              <w:rPr>
                <w:sz w:val="20"/>
                <w:szCs w:val="20"/>
                <w:color w:val="auto"/>
              </w:rPr>
            </w:pPr>
            <w:r>
              <w:rPr>
                <w:rFonts w:ascii="Arial" w:cs="Arial" w:eastAsia="Arial" w:hAnsi="Arial"/>
                <w:sz w:val="18"/>
                <w:szCs w:val="18"/>
                <w:color w:val="0000FF"/>
                <w:w w:val="85"/>
              </w:rPr>
              <w:t>8,257</w:t>
            </w:r>
            <w:r>
              <w:rPr>
                <w:rFonts w:ascii="Arial" w:cs="Arial" w:eastAsia="Arial" w:hAnsi="Arial"/>
                <w:sz w:val="22"/>
                <w:szCs w:val="22"/>
                <w:color w:val="008000"/>
                <w:w w:val="85"/>
                <w:vertAlign w:val="superscript"/>
              </w:rPr>
              <w:t>(2)</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4.45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(11)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91"/>
              </w:rPr>
              <w:t>(11)</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jc w:val="center"/>
              <w:ind w:left="118"/>
              <w:spacing w:after="0"/>
              <w:rPr>
                <w:sz w:val="20"/>
                <w:szCs w:val="20"/>
                <w:color w:val="auto"/>
              </w:rPr>
            </w:pPr>
            <w:r>
              <w:rPr>
                <w:rFonts w:ascii="Arial" w:cs="Arial" w:eastAsia="Arial" w:hAnsi="Arial"/>
                <w:sz w:val="18"/>
                <w:szCs w:val="18"/>
                <w:color w:val="0000FF"/>
                <w:w w:val="84"/>
              </w:rPr>
              <w:t>11,560</w:t>
            </w:r>
            <w:r>
              <w:rPr>
                <w:rFonts w:ascii="Arial" w:cs="Arial" w:eastAsia="Arial" w:hAnsi="Arial"/>
                <w:sz w:val="22"/>
                <w:szCs w:val="22"/>
                <w:color w:val="008000"/>
                <w:w w:val="84"/>
                <w:vertAlign w:val="superscript"/>
              </w:rPr>
              <w:t>(2)</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4.45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(12)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(12)</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jc w:val="center"/>
              <w:ind w:left="118"/>
              <w:spacing w:after="0"/>
              <w:rPr>
                <w:sz w:val="20"/>
                <w:szCs w:val="20"/>
                <w:color w:val="auto"/>
              </w:rPr>
            </w:pPr>
            <w:r>
              <w:rPr>
                <w:rFonts w:ascii="Arial" w:cs="Arial" w:eastAsia="Arial" w:hAnsi="Arial"/>
                <w:sz w:val="18"/>
                <w:szCs w:val="18"/>
                <w:color w:val="0000FF"/>
                <w:w w:val="85"/>
              </w:rPr>
              <w:t>6,605</w:t>
            </w:r>
            <w:r>
              <w:rPr>
                <w:rFonts w:ascii="Arial" w:cs="Arial" w:eastAsia="Arial" w:hAnsi="Arial"/>
                <w:sz w:val="22"/>
                <w:szCs w:val="22"/>
                <w:color w:val="008000"/>
                <w:w w:val="85"/>
                <w:vertAlign w:val="superscript"/>
              </w:rPr>
              <w:t>(2)</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4.45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a 1-for-1.73 reverse stock split of the Issuer's outstanding shares effected February 3, 2011.</w:t>
      </w:r>
    </w:p>
    <w:p>
      <w:pPr>
        <w:spacing w:after="0" w:line="41" w:lineRule="exact"/>
        <w:rPr>
          <w:rFonts w:ascii="Arial" w:cs="Arial" w:eastAsia="Arial" w:hAnsi="Arial"/>
          <w:sz w:val="14"/>
          <w:szCs w:val="14"/>
          <w:color w:val="008000"/>
        </w:rPr>
      </w:pPr>
    </w:p>
    <w:p>
      <w:pPr>
        <w:ind w:left="40" w:right="22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100% of the shares subject to the Option will vest on December 31, 2012; provided that a percentage of the Option equal to the percentage of the reporting person's departmental goals that are achieved would become fully vested effective as of December 31, 2009. The compensation committee determined that the reporting person met 60% of the performance criteria for 2009, resulting in the vesting of the Option as to 3,468 shares on December 31, 2009and the remaining shares vest on December 31, 2012. The Option shall expire on November 17, 2019.</w:t>
      </w:r>
    </w:p>
    <w:p>
      <w:pPr>
        <w:spacing w:after="0" w:line="2" w:lineRule="exact"/>
        <w:rPr>
          <w:rFonts w:ascii="Arial" w:cs="Arial" w:eastAsia="Arial" w:hAnsi="Arial"/>
          <w:sz w:val="12"/>
          <w:szCs w:val="12"/>
          <w:color w:val="008000"/>
        </w:rPr>
      </w:pPr>
    </w:p>
    <w:p>
      <w:pPr>
        <w:ind w:left="40" w:right="1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compensation committee determined that 70% of the Issuer's corporate goals for 2009 had been achieved. This resulted in 70% of the shares subject to the Option vesting on December 31, 2009, 25% of the remaining 30% of the shares subject to the Option vested on April 1, 2010 and 1/48th of the remaining unvested shares subject to the Option shall vest each month thereafter such that all shares subject to the Option shall be fully vested on April 1, 2013. The Option shall expire on November 17, 2019.</w:t>
      </w:r>
    </w:p>
    <w:p>
      <w:pPr>
        <w:spacing w:after="0" w:line="30" w:lineRule="exact"/>
        <w:rPr>
          <w:rFonts w:ascii="Arial" w:cs="Arial" w:eastAsia="Arial" w:hAnsi="Arial"/>
          <w:sz w:val="14"/>
          <w:szCs w:val="14"/>
          <w:color w:val="008000"/>
        </w:rPr>
      </w:pPr>
    </w:p>
    <w:p>
      <w:pPr>
        <w:ind w:left="40" w:right="80" w:firstLine="9"/>
        <w:spacing w:after="0" w:line="228"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25% of the shares subject to the Option shall vest on the one year anniversary of April 1, 2010 (the "Vesting Commencement Date"), and thereafter 1/48th of the shares subject to the Option shall vest on each monthly anniversary of the Vesting Commencement Date such that the Option will be fully vested on April 1, 2014; provided that vesting for a percentage of the Option equal to the Company's percentage achievement of its 2010 corporate goals shall be accelerated to December 31, 2010 . The compensation committee has not yet made a determination regarding the achievement of 2010 corporate goals. The percentage of the Option not accelerated shall vest over 4 years as described above. Vesting is subject to the reporting person continuing to be a service provider on such dates. The Option shall expire on January 4, 2021.</w:t>
      </w:r>
    </w:p>
    <w:p>
      <w:pPr>
        <w:spacing w:after="0" w:line="32"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100% of the shares subject to the Option shall vest on April 1, 2014; provided that vesting for a percentage of the shares subject to the Option equal to the reporting person's percentage achievement of his 2010 departmental goals shall be accelerated to December 31, 2010. The shares, if any, not subject to such accelerated vesting shall vest on April 1, 2014. Vesting is subject to the reporting person continuing to be a service provider on such dates. The Option shall expire on January 4, 2021.</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fully vested on June 8, 2009 and shall expire on August 2, 2015.</w:t>
      </w:r>
    </w:p>
    <w:p>
      <w:pPr>
        <w:spacing w:after="0" w:line="41"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was originally granted on September 27, 2006 and was re-granted on December 23, 2009 as part of the Issuer's option repricing. The Option fully vested on December 27, 2010 and shall expire on September 26, 2016.</w:t>
      </w:r>
    </w:p>
    <w:p>
      <w:pPr>
        <w:spacing w:after="0" w:line="30"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was originally granted on May 8, 2007 and was re-granted on December 23, 2009 as part of the Issuer's option repricing. The Option fully vested on May 1, 2010 and shall expire on May 7, 2017.</w:t>
      </w:r>
    </w:p>
    <w:p>
      <w:pPr>
        <w:spacing w:after="0" w:line="30" w:lineRule="exact"/>
        <w:rPr>
          <w:rFonts w:ascii="Arial" w:cs="Arial" w:eastAsia="Arial" w:hAnsi="Arial"/>
          <w:sz w:val="14"/>
          <w:szCs w:val="14"/>
          <w:color w:val="008000"/>
        </w:rPr>
      </w:pPr>
    </w:p>
    <w:p>
      <w:pPr>
        <w:ind w:left="40" w:right="16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Option was originally granted on April 23, 2008 and was re-granted on December 23, 2009 as part of the Issuer's option repricing. 6,089 shares subject to the Option were vested as of the re-grant date, an additional 1,651 shares will vest on December 31, 2011 and 172 shares will vest monthly thereafter. The Option will fully vest on March 31, 2012 and shall expire on April 23, 2018.</w:t>
      </w:r>
    </w:p>
    <w:p>
      <w:pPr>
        <w:ind w:left="40" w:right="120" w:firstLine="9"/>
        <w:spacing w:after="0" w:line="305" w:lineRule="auto"/>
        <w:tabs>
          <w:tab w:leader="none" w:pos="24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Option was originally granted on April 23, 2008 and was re-granted on December 23, 2009 as part of the Issuer's option repricing. 5,215 shares subject to the Option were vested as of the re-grant date and thereafter 97 shares vested monthly until January 1, 2010 and thereafter 171 shares will vest monthly. The Option will fully vest on May 1, 2012 and shall expire on April 23, 2018.</w:t>
      </w:r>
    </w:p>
    <w:p>
      <w:pPr>
        <w:ind w:left="240" w:hanging="191"/>
        <w:spacing w:after="0"/>
        <w:tabs>
          <w:tab w:leader="none" w:pos="2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Option was originally granted on April 23, 2008 and was re-granted on December 23, 2009 as part of the Issuer's option repricing. 10,837 shares subject to the Option will vest as of December 31, 2011</w:t>
      </w:r>
    </w:p>
    <w:p>
      <w:pPr>
        <w:sectPr>
          <w:pgSz w:w="11900" w:h="16863"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008000"/>
        </w:rPr>
        <w:t>and 241 shares will vest monthly thereafter. The Option will fully vest on March 31, 2012 and shall expire on April 23, 2018.</w:t>
      </w:r>
    </w:p>
    <w:p>
      <w:pPr>
        <w:spacing w:after="0" w:line="42" w:lineRule="exact"/>
        <w:rPr>
          <w:sz w:val="20"/>
          <w:szCs w:val="20"/>
          <w:color w:val="auto"/>
        </w:rPr>
      </w:pPr>
    </w:p>
    <w:p>
      <w:pPr>
        <w:ind w:firstLine="9"/>
        <w:spacing w:after="0" w:line="298" w:lineRule="auto"/>
        <w:tabs>
          <w:tab w:leader="none" w:pos="20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Option was originally granted on April 24, 2008 and was re-granted on December 23, 2009 as part of the Issuer's option repricing. The Option fully vested on March 22, 2010 and shall expire on April 23, 2018.</w:t>
      </w: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008000"/>
        </w:rPr>
        <w:t>Exhibit List --------------- Exhibit 24 - Power of Attorney</w:t>
      </w:r>
    </w:p>
    <w:p>
      <w:pPr>
        <w:spacing w:after="0" w:line="48"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Gajus V. Worthington,</w:t>
            </w:r>
          </w:p>
        </w:tc>
        <w:tc>
          <w:tcPr>
            <w:tcW w:w="320" w:type="dxa"/>
            <w:vAlign w:val="bottom"/>
          </w:tcPr>
          <w:p>
            <w:pPr>
              <w:spacing w:after="0"/>
              <w:rPr>
                <w:sz w:val="17"/>
                <w:szCs w:val="17"/>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02/09/2011</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346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260"/>
          </w:cols>
          <w:pgMar w:left="280" w:top="129" w:right="359" w:bottom="1440" w:gutter="0" w:footer="0" w:header="0"/>
        </w:sectPr>
      </w:pPr>
    </w:p>
    <w:bookmarkStart w:id="2" w:name="page3"/>
    <w:bookmarkEnd w:id="2"/>
    <w:p>
      <w:pPr>
        <w:jc w:val="center"/>
        <w:ind w:right="165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undersigned, as a Section 16 reporting person of Fluidigm Corporation (the "Company"), hereby constitutes and appoints the officers of the Company and the responsible attorneys and paralegals of Wilson Sonsini Goodrich &amp; Rosati, P.C., and each of them, the undersigned's true and lawful attorney-in-fact to:</w:t>
      </w:r>
    </w:p>
    <w:p>
      <w:pPr>
        <w:spacing w:after="0" w:line="207" w:lineRule="exact"/>
        <w:rPr>
          <w:sz w:val="20"/>
          <w:szCs w:val="20"/>
          <w:color w:val="auto"/>
        </w:rPr>
      </w:pPr>
    </w:p>
    <w:p>
      <w:pPr>
        <w:ind w:left="1060" w:right="1999" w:hanging="525"/>
        <w:spacing w:after="0" w:line="271" w:lineRule="auto"/>
        <w:tabs>
          <w:tab w:leader="none" w:pos="10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complete and execute Forms ID, 3,4 and 5 and other forms and all amendments thereto as such attorney-in-fact shall in his or her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187" w:lineRule="exact"/>
        <w:rPr>
          <w:rFonts w:ascii="Courier New" w:cs="Courier New" w:eastAsia="Courier New" w:hAnsi="Courier New"/>
          <w:sz w:val="16"/>
          <w:szCs w:val="16"/>
          <w:color w:val="auto"/>
        </w:rPr>
      </w:pPr>
    </w:p>
    <w:p>
      <w:pPr>
        <w:ind w:left="1060" w:right="1879" w:hanging="525"/>
        <w:spacing w:after="0" w:line="237"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all acts necessary in order to file such forms with the Securities and Exchange Commission, any securities exchange or national association, the Company and such other person or agency as the attorney-in-fact shall deem appropriate.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undersigned hereby ratifies and confirms all that said attorney-in-fact and agents shall do or cause to be done by virtue hereof. The undersigned acknowledges that the foregoing attorney-in-fact, in serving in such capacity at the request of the undersigned, are not assuming, nor is the Company assuming, any of the undersigned's responsibilities to comply with Section 16 of the Securities Exchange Act of 1934 (as amended).</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ID, 3, 4 and 5 with respect to the undersigned's holdings of and transactions in securities issued by the Company, unless earlier revoked by the undersigned in a signed writing delivered to the Company and the foregoing attorney-in-fact.</w:t>
      </w: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7th day of February, 2011.</w:t>
      </w: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Signature: /s/ Grace Yow</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Grace Yow</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12"/>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35767" TargetMode="External"/><Relationship Id="rId12"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2019-12-17T14:32:56Z</dcterms:created>
  <dcterms:modified xsi:type="dcterms:W3CDTF">2019-12-17T14:32:56Z</dcterms:modified>
</cp:coreProperties>
</file>