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149860</wp:posOffset>
            </wp:positionV>
            <wp:extent cx="23717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168275</wp:posOffset>
            </wp:positionV>
            <wp:extent cx="23717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173990</wp:posOffset>
            </wp:positionV>
            <wp:extent cx="2371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Standard BioTools Inc.</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171450</wp:posOffset>
            </wp:positionV>
            <wp:extent cx="2371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p>
      <w:pPr>
        <w:spacing w:after="0" w:line="200" w:lineRule="exact"/>
        <w:rPr>
          <w:sz w:val="24"/>
          <w:szCs w:val="24"/>
          <w:color w:val="auto"/>
        </w:rPr>
      </w:pPr>
    </w:p>
    <w:p>
      <w:pPr>
        <w:spacing w:after="0" w:line="29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001-34180</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77-0513190</w:t>
      </w:r>
    </w:p>
    <w:p>
      <w:pPr>
        <w:spacing w:after="0" w:line="3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0" w:lineRule="exact"/>
        <w:rPr>
          <w:sz w:val="24"/>
          <w:szCs w:val="24"/>
          <w:color w:val="auto"/>
        </w:rPr>
      </w:pPr>
    </w:p>
    <w:p>
      <w:pPr>
        <w:sectPr>
          <w:pgSz w:w="11900" w:h="16838" w:orient="portrait"/>
          <w:cols w:equalWidth="0" w:num="3">
            <w:col w:w="3920" w:space="720"/>
            <w:col w:w="2560" w:space="720"/>
            <w:col w:w="3320"/>
          </w:cols>
          <w:pgMar w:left="320" w:top="1110" w:right="33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 Tower Place, Suite 2000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 and zip code)</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178435</wp:posOffset>
            </wp:positionV>
            <wp:extent cx="2371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type w:val="continuous"/>
        </w:sectPr>
      </w:pPr>
    </w:p>
    <w:p>
      <w:pPr>
        <w:spacing w:after="0" w:line="200" w:lineRule="exact"/>
        <w:rPr>
          <w:sz w:val="24"/>
          <w:szCs w:val="24"/>
          <w:color w:val="auto"/>
        </w:rPr>
      </w:pPr>
    </w:p>
    <w:p>
      <w:pPr>
        <w:spacing w:after="0" w:line="252" w:lineRule="exact"/>
        <w:rPr>
          <w:sz w:val="24"/>
          <w:szCs w:val="24"/>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6" w:lineRule="exact"/>
        <w:rPr>
          <w:sz w:val="24"/>
          <w:szCs w:val="24"/>
          <w:color w:val="auto"/>
        </w:rPr>
      </w:pPr>
    </w:p>
    <w:p>
      <w:pPr>
        <w:ind w:left="720" w:hanging="456"/>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4" w:lineRule="exact"/>
        <w:rPr>
          <w:rFonts w:ascii="MS PGothic" w:cs="MS PGothic" w:eastAsia="MS PGothic" w:hAnsi="MS PGothic"/>
          <w:sz w:val="18"/>
          <w:szCs w:val="18"/>
          <w:color w:val="auto"/>
        </w:rPr>
      </w:pPr>
    </w:p>
    <w:p>
      <w:pPr>
        <w:ind w:left="700" w:hanging="43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700" w:hanging="43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700" w:hanging="43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1"/>
                <w:szCs w:val="21"/>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00" w:type="dxa"/>
            <w:vAlign w:val="bottom"/>
          </w:tcPr>
          <w:p>
            <w:pPr>
              <w:spacing w:after="0"/>
              <w:rPr>
                <w:sz w:val="21"/>
                <w:szCs w:val="21"/>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LAB</w:t>
            </w:r>
          </w:p>
        </w:tc>
        <w:tc>
          <w:tcPr>
            <w:tcW w:w="10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220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603250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121" w:lineRule="exact"/>
        <w:rPr>
          <w:sz w:val="20"/>
          <w:szCs w:val="20"/>
          <w:color w:val="auto"/>
        </w:rPr>
      </w:pPr>
    </w:p>
    <w:p>
      <w:pPr>
        <w:ind w:right="480" w:firstLine="449"/>
        <w:spacing w:after="0" w:line="281" w:lineRule="auto"/>
        <w:rPr>
          <w:sz w:val="20"/>
          <w:szCs w:val="20"/>
          <w:color w:val="auto"/>
        </w:rPr>
      </w:pPr>
      <w:r>
        <w:rPr>
          <w:rFonts w:ascii="Times New Roman" w:cs="Times New Roman" w:eastAsia="Times New Roman" w:hAnsi="Times New Roman"/>
          <w:sz w:val="18"/>
          <w:szCs w:val="18"/>
          <w:color w:val="auto"/>
        </w:rPr>
        <w:t>On May 8, 2024, Standard BioTools Inc. issued a press release which included information with respect to certain financial results for the three months ended March 31, 2024. The press release is attached hereto as Exhibit 99.1.</w:t>
      </w:r>
    </w:p>
    <w:p>
      <w:pPr>
        <w:spacing w:after="0" w:line="163" w:lineRule="exact"/>
        <w:rPr>
          <w:sz w:val="20"/>
          <w:szCs w:val="20"/>
          <w:color w:val="auto"/>
        </w:rPr>
      </w:pPr>
    </w:p>
    <w:p>
      <w:pPr>
        <w:ind w:right="320" w:firstLine="449"/>
        <w:spacing w:after="0" w:line="265" w:lineRule="auto"/>
        <w:rPr>
          <w:sz w:val="20"/>
          <w:szCs w:val="20"/>
          <w:color w:val="auto"/>
        </w:rPr>
      </w:pPr>
      <w:r>
        <w:rPr>
          <w:rFonts w:ascii="Times New Roman" w:cs="Times New Roman" w:eastAsia="Times New Roman" w:hAnsi="Times New Roman"/>
          <w:sz w:val="18"/>
          <w:szCs w:val="18"/>
          <w:color w:val="auto"/>
        </w:rPr>
        <w:t>The information set forth in the press release, except for the information set forth under the heading “Outlook for 2024” and under the heading “About Standard BioTools Inc.,” together with the forward-looking statement disclaimer, is incorporated by reference into this Item 2.02 of this Current Report on Form 8-K.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96" w:lineRule="exact"/>
        <w:rPr>
          <w:sz w:val="20"/>
          <w:szCs w:val="20"/>
          <w:color w:val="auto"/>
        </w:rPr>
      </w:pPr>
    </w:p>
    <w:p>
      <w:pPr>
        <w:ind w:right="220" w:firstLine="449"/>
        <w:spacing w:after="0" w:line="281" w:lineRule="auto"/>
        <w:rPr>
          <w:sz w:val="20"/>
          <w:szCs w:val="20"/>
          <w:color w:val="auto"/>
        </w:rPr>
      </w:pPr>
      <w:r>
        <w:rPr>
          <w:rFonts w:ascii="Times New Roman" w:cs="Times New Roman" w:eastAsia="Times New Roman" w:hAnsi="Times New Roman"/>
          <w:sz w:val="18"/>
          <w:szCs w:val="18"/>
          <w:color w:val="auto"/>
        </w:rPr>
        <w:t>The information set forth under the heading “Outlook for 2024” and under the heading “About Standard BioTools Inc.,” together with the forward-looking statement disclaimer, is incorporated by reference into this Item 7.01 of this Current Report on Form 8-K.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 Exhibits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980" w:type="dxa"/>
            <w:vAlign w:val="bottom"/>
            <w:tcBorders>
              <w:bottom w:val="single" w:sz="8" w:color="auto"/>
            </w:tcBorders>
            <w:gridSpan w:val="2"/>
          </w:tcPr>
          <w:p>
            <w:pPr>
              <w:ind w:left="4560"/>
              <w:spacing w:after="0"/>
              <w:rPr>
                <w:sz w:val="20"/>
                <w:szCs w:val="20"/>
                <w:color w:val="auto"/>
              </w:rPr>
            </w:pPr>
            <w:r>
              <w:rPr>
                <w:rFonts w:ascii="Times New Roman" w:cs="Times New Roman" w:eastAsia="Times New Roman" w:hAnsi="Times New Roman"/>
                <w:sz w:val="18"/>
                <w:szCs w:val="18"/>
                <w:color w:val="auto"/>
              </w:rPr>
              <w:t>Description</w:t>
            </w:r>
          </w:p>
        </w:tc>
      </w:tr>
      <w:tr>
        <w:trPr>
          <w:trHeight w:val="202"/>
        </w:trPr>
        <w:tc>
          <w:tcPr>
            <w:tcW w:w="1140" w:type="dxa"/>
            <w:vAlign w:val="bottom"/>
          </w:tcPr>
          <w:p>
            <w:pPr>
              <w:jc w:val="right"/>
              <w:ind w:right="69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Press release issued by Standard BioTools Inc., dated May 8, 2024</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0" w:type="dxa"/>
            <w:vAlign w:val="bottom"/>
            <w:tcBorders>
              <w:right w:val="single" w:sz="8" w:color="0000EE"/>
            </w:tcBorders>
            <w:shd w:val="clear" w:color="auto" w:fill="0000FF"/>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77"/>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54" w:lineRule="exact"/>
        <w:rPr>
          <w:sz w:val="20"/>
          <w:szCs w:val="20"/>
          <w:color w:val="auto"/>
        </w:rPr>
      </w:pPr>
    </w:p>
    <w:p>
      <w:pPr>
        <w:ind w:right="140" w:firstLine="449"/>
        <w:spacing w:after="0" w:line="260" w:lineRule="auto"/>
        <w:rPr>
          <w:sz w:val="20"/>
          <w:szCs w:val="20"/>
          <w:color w:val="auto"/>
        </w:rPr>
      </w:pPr>
      <w:r>
        <w:rPr>
          <w:rFonts w:ascii="Times New Roman" w:cs="Times New Roman" w:eastAsia="Times New Roman" w:hAnsi="Times New Roman"/>
          <w:sz w:val="18"/>
          <w:szCs w:val="18"/>
          <w:color w:val="auto"/>
        </w:rPr>
        <w:t>The information in Item 2.02 and Item 7.01 of this Current Report on Form 8-K, including Exhibit 99.1 attached hereto, is being furnished and shall not be deemed “filed” for the purposes of Section 18 of the Securities Exchange Act of 1934, as amended (“Exchange Act”), or otherwise subject to the liabilities of that Section and shall not be incorporated by reference into any registration statement or other document pursuant to the Securities Act of 1933, as amended, or the Exchange Act, except as otherwise expressly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885190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ind w:left="6420"/>
              <w:spacing w:after="0"/>
              <w:rPr>
                <w:sz w:val="20"/>
                <w:szCs w:val="20"/>
                <w:color w:val="auto"/>
              </w:rPr>
            </w:pPr>
            <w:r>
              <w:rPr>
                <w:rFonts w:ascii="Times New Roman" w:cs="Times New Roman" w:eastAsia="Times New Roman" w:hAnsi="Times New Roman"/>
                <w:sz w:val="18"/>
                <w:szCs w:val="18"/>
                <w:color w:val="auto"/>
              </w:rPr>
              <w:t>Date:</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8, 2024</w:t>
            </w:r>
          </w:p>
        </w:tc>
      </w:tr>
      <w:tr>
        <w:trPr>
          <w:trHeight w:val="688"/>
        </w:trPr>
        <w:tc>
          <w:tcPr>
            <w:tcW w:w="11240" w:type="dxa"/>
            <w:vAlign w:val="bottom"/>
            <w:gridSpan w:val="2"/>
          </w:tcPr>
          <w:p>
            <w:pPr>
              <w:ind w:left="6440"/>
              <w:spacing w:after="0"/>
              <w:rPr>
                <w:sz w:val="20"/>
                <w:szCs w:val="20"/>
                <w:color w:val="auto"/>
              </w:rPr>
            </w:pPr>
            <w:r>
              <w:rPr>
                <w:rFonts w:ascii="Times New Roman" w:cs="Times New Roman" w:eastAsia="Times New Roman" w:hAnsi="Times New Roman"/>
                <w:sz w:val="18"/>
                <w:szCs w:val="18"/>
                <w:b w:val="1"/>
                <w:bCs w:val="1"/>
                <w:color w:val="auto"/>
              </w:rPr>
              <w:t>STANDARD BIOTOOLS INC.</w:t>
            </w:r>
          </w:p>
        </w:tc>
      </w:tr>
      <w:tr>
        <w:trPr>
          <w:trHeight w:val="465"/>
        </w:trPr>
        <w:tc>
          <w:tcPr>
            <w:tcW w:w="7200" w:type="dxa"/>
            <w:vAlign w:val="bottom"/>
          </w:tcPr>
          <w:p>
            <w:pPr>
              <w:ind w:left="644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Jeffrey Black</w:t>
            </w:r>
          </w:p>
        </w:tc>
      </w:tr>
      <w:tr>
        <w:trPr>
          <w:trHeight w:val="211"/>
        </w:trPr>
        <w:tc>
          <w:tcPr>
            <w:tcW w:w="7200" w:type="dxa"/>
            <w:vAlign w:val="bottom"/>
          </w:tcPr>
          <w:p>
            <w:pPr>
              <w:ind w:left="6440"/>
              <w:spacing w:after="0"/>
              <w:rPr>
                <w:sz w:val="20"/>
                <w:szCs w:val="20"/>
                <w:color w:val="auto"/>
              </w:rPr>
            </w:pPr>
            <w:r>
              <w:rPr>
                <w:rFonts w:ascii="Times New Roman" w:cs="Times New Roman" w:eastAsia="Times New Roman" w:hAnsi="Times New Roman"/>
                <w:sz w:val="18"/>
                <w:szCs w:val="18"/>
                <w:color w:val="auto"/>
              </w:rPr>
              <w:t>Name:</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Jeffrey Black</w:t>
            </w:r>
          </w:p>
        </w:tc>
      </w:tr>
      <w:tr>
        <w:trPr>
          <w:trHeight w:val="234"/>
        </w:trPr>
        <w:tc>
          <w:tcPr>
            <w:tcW w:w="7200" w:type="dxa"/>
            <w:vAlign w:val="bottom"/>
          </w:tcPr>
          <w:p>
            <w:pPr>
              <w:ind w:left="6440"/>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92"/>
        </w:trPr>
        <w:tc>
          <w:tcPr>
            <w:tcW w:w="720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 w:name="page4"/>
    <w:bookmarkEnd w:id="3"/>
    <w:p>
      <w:pPr>
        <w:ind w:left="10100"/>
        <w:spacing w:after="0"/>
        <w:rPr>
          <w:sz w:val="20"/>
          <w:szCs w:val="20"/>
          <w:color w:val="auto"/>
        </w:rPr>
      </w:pPr>
      <w:r>
        <w:rPr>
          <w:rFonts w:ascii="Calibri" w:cs="Calibri" w:eastAsia="Calibri" w:hAnsi="Calibri"/>
          <w:sz w:val="18"/>
          <w:szCs w:val="18"/>
          <w:b w:val="1"/>
          <w:bCs w:val="1"/>
          <w:color w:val="auto"/>
        </w:rPr>
        <w:t>Exhibit 99.1</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Standard BioTools Reports First Quarter 2024 Financial Results</w:t>
      </w:r>
    </w:p>
    <w:p>
      <w:pPr>
        <w:spacing w:after="0" w:line="107" w:lineRule="exact"/>
        <w:rPr>
          <w:sz w:val="20"/>
          <w:szCs w:val="20"/>
          <w:color w:val="auto"/>
        </w:rPr>
      </w:pPr>
    </w:p>
    <w:p>
      <w:pPr>
        <w:ind w:left="1020" w:hanging="504"/>
        <w:spacing w:after="0"/>
        <w:tabs>
          <w:tab w:leader="none" w:pos="102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Ahead of plan on operating expense synergies; $50 million of $80 million target to be achieved by year-end 2024 with remaining</w:t>
      </w:r>
    </w:p>
    <w:p>
      <w:pPr>
        <w:spacing w:after="0" w:line="36" w:lineRule="exact"/>
        <w:rPr>
          <w:rFonts w:ascii="Times New Roman" w:cs="Times New Roman" w:eastAsia="Times New Roman" w:hAnsi="Times New Roman"/>
          <w:sz w:val="19"/>
          <w:szCs w:val="19"/>
          <w:color w:val="auto"/>
        </w:rPr>
      </w:pPr>
    </w:p>
    <w:p>
      <w:pPr>
        <w:ind w:left="5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i w:val="1"/>
          <w:iCs w:val="1"/>
          <w:color w:val="auto"/>
        </w:rPr>
        <w:t>balance in FY2025</w:t>
      </w:r>
    </w:p>
    <w:p>
      <w:pPr>
        <w:spacing w:after="0" w:line="81" w:lineRule="exact"/>
        <w:rPr>
          <w:rFonts w:ascii="Times New Roman" w:cs="Times New Roman" w:eastAsia="Times New Roman" w:hAnsi="Times New Roman"/>
          <w:sz w:val="19"/>
          <w:szCs w:val="19"/>
          <w:color w:val="auto"/>
        </w:rPr>
      </w:pPr>
    </w:p>
    <w:p>
      <w:pPr>
        <w:ind w:left="1280" w:right="140" w:hanging="764"/>
        <w:spacing w:after="0" w:line="299" w:lineRule="auto"/>
        <w:tabs>
          <w:tab w:leader="none" w:pos="1123"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Delivered pro forma combined revenue of $46.2 million, gross margin of 49.2%, non-GAAP gross margin of 56.3%, operating expense reduction of approximately $21 million, and non-GAAP operating expense reduction of approximately $17 million</w:t>
      </w:r>
    </w:p>
    <w:p>
      <w:pPr>
        <w:spacing w:after="0" w:line="21" w:lineRule="exact"/>
        <w:rPr>
          <w:rFonts w:ascii="Times New Roman" w:cs="Times New Roman" w:eastAsia="Times New Roman" w:hAnsi="Times New Roman"/>
          <w:sz w:val="19"/>
          <w:szCs w:val="19"/>
          <w:color w:val="auto"/>
        </w:rPr>
      </w:pPr>
    </w:p>
    <w:p>
      <w:pPr>
        <w:ind w:left="1200" w:hanging="684"/>
        <w:spacing w:after="0"/>
        <w:tabs>
          <w:tab w:leader="none" w:pos="12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On track to cash flow positive in full-year 2026 with current balance sheet of $464 million cash, cash equivalents, restricted</w:t>
      </w:r>
    </w:p>
    <w:p>
      <w:pPr>
        <w:spacing w:after="0" w:line="25" w:lineRule="exact"/>
        <w:rPr>
          <w:rFonts w:ascii="Times New Roman" w:cs="Times New Roman" w:eastAsia="Times New Roman" w:hAnsi="Times New Roman"/>
          <w:sz w:val="20"/>
          <w:szCs w:val="20"/>
          <w:color w:val="auto"/>
        </w:rPr>
      </w:pPr>
    </w:p>
    <w:p>
      <w:pPr>
        <w:ind w:left="48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cash and short-term investments</w:t>
      </w:r>
    </w:p>
    <w:p>
      <w:pPr>
        <w:spacing w:after="0" w:line="20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SOUTH SAN FRANCISCO, Calif., May 8, 2024 — Standard BioTools Inc. (“Standard BioTools” or the “Company”) (Nasdaq: LAB) today announced financial results for the first quarter ended March 31, 2024 and recent business updates.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Standard BioTools First Quarter Financial Results</w:t>
      </w:r>
    </w:p>
    <w:p>
      <w:pPr>
        <w:spacing w:after="0" w:line="294" w:lineRule="exact"/>
        <w:rPr>
          <w:sz w:val="20"/>
          <w:szCs w:val="20"/>
          <w:color w:val="auto"/>
        </w:rPr>
      </w:pPr>
    </w:p>
    <w:tbl>
      <w:tblPr>
        <w:tblLayout w:type="fixed"/>
        <w:tblInd w:w="154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rPr>
              <w:t>As Reported</w:t>
            </w:r>
          </w:p>
        </w:tc>
        <w:tc>
          <w:tcPr>
            <w:tcW w:w="220" w:type="dxa"/>
            <w:vAlign w:val="bottom"/>
          </w:tcPr>
          <w:p>
            <w:pPr>
              <w:spacing w:after="0"/>
              <w:rPr>
                <w:sz w:val="14"/>
                <w:szCs w:val="14"/>
                <w:color w:val="auto"/>
              </w:rPr>
            </w:pPr>
          </w:p>
        </w:tc>
        <w:tc>
          <w:tcPr>
            <w:tcW w:w="2040" w:type="dxa"/>
            <w:vAlign w:val="bottom"/>
            <w:gridSpan w:val="6"/>
          </w:tcPr>
          <w:p>
            <w:pPr>
              <w:jc w:val="center"/>
              <w:ind w:right="360"/>
              <w:spacing w:after="0"/>
              <w:rPr>
                <w:sz w:val="20"/>
                <w:szCs w:val="20"/>
                <w:color w:val="auto"/>
              </w:rPr>
            </w:pPr>
            <w:r>
              <w:rPr>
                <w:rFonts w:ascii="Calibri" w:cs="Calibri" w:eastAsia="Calibri" w:hAnsi="Calibri"/>
                <w:sz w:val="14"/>
                <w:szCs w:val="14"/>
                <w:b w:val="1"/>
                <w:bCs w:val="1"/>
                <w:color w:val="auto"/>
              </w:rPr>
              <w:t>Pro Forma Combined (a)</w:t>
            </w:r>
          </w:p>
        </w:tc>
      </w:tr>
      <w:tr>
        <w:trPr>
          <w:trHeight w:val="33"/>
        </w:trPr>
        <w:tc>
          <w:tcPr>
            <w:tcW w:w="478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63"/>
        </w:trPr>
        <w:tc>
          <w:tcPr>
            <w:tcW w:w="4780" w:type="dxa"/>
            <w:vAlign w:val="bottom"/>
          </w:tcPr>
          <w:p>
            <w:pPr>
              <w:spacing w:after="0"/>
              <w:rPr>
                <w:sz w:val="14"/>
                <w:szCs w:val="14"/>
                <w:color w:val="auto"/>
              </w:rPr>
            </w:pPr>
          </w:p>
        </w:tc>
        <w:tc>
          <w:tcPr>
            <w:tcW w:w="1000" w:type="dxa"/>
            <w:vAlign w:val="bottom"/>
            <w:tcBorders>
              <w:top w:val="single" w:sz="8" w:color="auto"/>
            </w:tcBorders>
            <w:gridSpan w:val="2"/>
          </w:tcPr>
          <w:p>
            <w:pPr>
              <w:jc w:val="center"/>
              <w:spacing w:after="0" w:line="164" w:lineRule="exact"/>
              <w:rPr>
                <w:sz w:val="20"/>
                <w:szCs w:val="20"/>
                <w:color w:val="auto"/>
              </w:rPr>
            </w:pPr>
            <w:r>
              <w:rPr>
                <w:rFonts w:ascii="Calibri" w:cs="Calibri" w:eastAsia="Calibri" w:hAnsi="Calibri"/>
                <w:sz w:val="14"/>
                <w:szCs w:val="14"/>
                <w:b w:val="1"/>
                <w:bCs w:val="1"/>
                <w:color w:val="auto"/>
              </w:rPr>
              <w:t>Quarter Ended</w:t>
            </w: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jc w:val="center"/>
              <w:ind w:left="194"/>
              <w:spacing w:after="0" w:line="164" w:lineRule="exact"/>
              <w:rPr>
                <w:sz w:val="20"/>
                <w:szCs w:val="20"/>
                <w:color w:val="auto"/>
              </w:rPr>
            </w:pPr>
            <w:r>
              <w:rPr>
                <w:rFonts w:ascii="Calibri" w:cs="Calibri" w:eastAsia="Calibri" w:hAnsi="Calibri"/>
                <w:sz w:val="14"/>
                <w:szCs w:val="14"/>
                <w:b w:val="1"/>
                <w:bCs w:val="1"/>
                <w:color w:val="auto"/>
              </w:rPr>
              <w:t>Quarter Ended</w:t>
            </w: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4780" w:type="dxa"/>
            <w:vAlign w:val="bottom"/>
          </w:tcPr>
          <w:p>
            <w:pPr>
              <w:spacing w:after="0"/>
              <w:rPr>
                <w:sz w:val="20"/>
                <w:szCs w:val="20"/>
                <w:color w:val="auto"/>
              </w:rPr>
            </w:pPr>
            <w:r>
              <w:rPr>
                <w:rFonts w:ascii="Calibri" w:cs="Calibri" w:eastAsia="Calibri" w:hAnsi="Calibri"/>
                <w:sz w:val="14"/>
                <w:szCs w:val="14"/>
                <w:b w:val="1"/>
                <w:bCs w:val="1"/>
                <w:i w:val="1"/>
                <w:iCs w:val="1"/>
                <w:color w:val="auto"/>
              </w:rPr>
              <w:t>(Unaudited, in millions, except percentages)</w:t>
            </w:r>
          </w:p>
        </w:tc>
        <w:tc>
          <w:tcPr>
            <w:tcW w:w="1200" w:type="dxa"/>
            <w:vAlign w:val="bottom"/>
            <w:gridSpan w:val="3"/>
          </w:tcPr>
          <w:p>
            <w:pPr>
              <w:jc w:val="center"/>
              <w:ind w:right="220"/>
              <w:spacing w:after="0"/>
              <w:rPr>
                <w:sz w:val="20"/>
                <w:szCs w:val="20"/>
                <w:color w:val="auto"/>
              </w:rPr>
            </w:pPr>
            <w:r>
              <w:rPr>
                <w:rFonts w:ascii="Calibri" w:cs="Calibri" w:eastAsia="Calibri" w:hAnsi="Calibri"/>
                <w:sz w:val="14"/>
                <w:szCs w:val="14"/>
                <w:b w:val="1"/>
                <w:bCs w:val="1"/>
                <w:color w:val="auto"/>
              </w:rPr>
              <w:t>March 31, 2024</w:t>
            </w:r>
          </w:p>
        </w:tc>
        <w:tc>
          <w:tcPr>
            <w:tcW w:w="116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March 31, 2024</w:t>
            </w:r>
          </w:p>
        </w:tc>
        <w:tc>
          <w:tcPr>
            <w:tcW w:w="1100" w:type="dxa"/>
            <w:vAlign w:val="bottom"/>
            <w:gridSpan w:val="4"/>
          </w:tcPr>
          <w:p>
            <w:pPr>
              <w:ind w:left="20"/>
              <w:spacing w:after="0"/>
              <w:rPr>
                <w:sz w:val="20"/>
                <w:szCs w:val="20"/>
                <w:color w:val="auto"/>
              </w:rPr>
            </w:pPr>
            <w:r>
              <w:rPr>
                <w:rFonts w:ascii="Calibri" w:cs="Calibri" w:eastAsia="Calibri" w:hAnsi="Calibri"/>
                <w:sz w:val="14"/>
                <w:szCs w:val="14"/>
                <w:b w:val="1"/>
                <w:bCs w:val="1"/>
                <w:color w:val="auto"/>
              </w:rPr>
              <w:t>March 31, 2023</w:t>
            </w:r>
          </w:p>
        </w:tc>
      </w:tr>
      <w:tr>
        <w:trPr>
          <w:trHeight w:val="223"/>
        </w:trPr>
        <w:tc>
          <w:tcPr>
            <w:tcW w:w="478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Revenue</w:t>
            </w:r>
          </w:p>
        </w:tc>
        <w:tc>
          <w:tcPr>
            <w:tcW w:w="120" w:type="dxa"/>
            <w:vAlign w:val="bottom"/>
            <w:tcBorders>
              <w:top w:val="single" w:sz="8" w:color="auto"/>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tcBorders>
              <w:top w:val="single" w:sz="8" w:color="auto"/>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45.5</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Borders>
              <w:top w:val="single" w:sz="8" w:color="auto"/>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46.2</w:t>
            </w:r>
          </w:p>
        </w:tc>
        <w:tc>
          <w:tcPr>
            <w:tcW w:w="2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Borders>
              <w:top w:val="single" w:sz="8" w:color="auto"/>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45.5</w:t>
            </w: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15"/>
        </w:trPr>
        <w:tc>
          <w:tcPr>
            <w:tcW w:w="4780" w:type="dxa"/>
            <w:vAlign w:val="bottom"/>
          </w:tcPr>
          <w:p>
            <w:pPr>
              <w:spacing w:after="0" w:line="215" w:lineRule="exact"/>
              <w:rPr>
                <w:sz w:val="20"/>
                <w:szCs w:val="20"/>
                <w:color w:val="auto"/>
              </w:rPr>
            </w:pPr>
            <w:r>
              <w:rPr>
                <w:rFonts w:ascii="Calibri" w:cs="Calibri" w:eastAsia="Calibri" w:hAnsi="Calibri"/>
                <w:sz w:val="18"/>
                <w:szCs w:val="18"/>
                <w:color w:val="auto"/>
              </w:rPr>
              <w:t>Gross margin</w:t>
            </w:r>
          </w:p>
        </w:tc>
        <w:tc>
          <w:tcPr>
            <w:tcW w:w="120" w:type="dxa"/>
            <w:vAlign w:val="bottom"/>
          </w:tcPr>
          <w:p>
            <w:pPr>
              <w:spacing w:after="0"/>
              <w:rPr>
                <w:sz w:val="18"/>
                <w:szCs w:val="18"/>
                <w:color w:val="auto"/>
              </w:rPr>
            </w:pPr>
          </w:p>
        </w:tc>
        <w:tc>
          <w:tcPr>
            <w:tcW w:w="108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53.1 %</w:t>
            </w:r>
          </w:p>
        </w:tc>
        <w:tc>
          <w:tcPr>
            <w:tcW w:w="220" w:type="dxa"/>
            <w:vAlign w:val="bottom"/>
          </w:tcPr>
          <w:p>
            <w:pPr>
              <w:spacing w:after="0"/>
              <w:rPr>
                <w:sz w:val="18"/>
                <w:szCs w:val="18"/>
                <w:color w:val="auto"/>
              </w:rPr>
            </w:pPr>
          </w:p>
        </w:tc>
        <w:tc>
          <w:tcPr>
            <w:tcW w:w="9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49.2 %</w:t>
            </w:r>
          </w:p>
        </w:tc>
        <w:tc>
          <w:tcPr>
            <w:tcW w:w="460" w:type="dxa"/>
            <w:vAlign w:val="bottom"/>
          </w:tcPr>
          <w:p>
            <w:pPr>
              <w:spacing w:after="0"/>
              <w:rPr>
                <w:sz w:val="18"/>
                <w:szCs w:val="18"/>
                <w:color w:val="auto"/>
              </w:rPr>
            </w:pPr>
          </w:p>
        </w:tc>
        <w:tc>
          <w:tcPr>
            <w:tcW w:w="64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46.5 %</w:t>
            </w:r>
          </w:p>
        </w:tc>
      </w:tr>
      <w:tr>
        <w:trPr>
          <w:trHeight w:val="234"/>
        </w:trPr>
        <w:tc>
          <w:tcPr>
            <w:tcW w:w="4780" w:type="dxa"/>
            <w:vAlign w:val="bottom"/>
          </w:tcPr>
          <w:p>
            <w:pPr>
              <w:spacing w:after="0"/>
              <w:rPr>
                <w:sz w:val="20"/>
                <w:szCs w:val="20"/>
                <w:color w:val="auto"/>
              </w:rPr>
            </w:pPr>
            <w:r>
              <w:rPr>
                <w:rFonts w:ascii="Calibri" w:cs="Calibri" w:eastAsia="Calibri" w:hAnsi="Calibri"/>
                <w:sz w:val="18"/>
                <w:szCs w:val="18"/>
                <w:color w:val="auto"/>
              </w:rPr>
              <w:t>Non-GAAP gross margin</w:t>
            </w: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Calibri" w:cs="Calibri" w:eastAsia="Calibri" w:hAnsi="Calibri"/>
                <w:sz w:val="18"/>
                <w:szCs w:val="18"/>
                <w:color w:val="auto"/>
              </w:rPr>
              <w:t>56.2 %</w:t>
            </w:r>
          </w:p>
        </w:tc>
        <w:tc>
          <w:tcPr>
            <w:tcW w:w="2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Calibri" w:cs="Calibri" w:eastAsia="Calibri" w:hAnsi="Calibri"/>
                <w:sz w:val="18"/>
                <w:szCs w:val="18"/>
                <w:color w:val="auto"/>
              </w:rPr>
              <w:t>56.3 %</w:t>
            </w:r>
          </w:p>
        </w:tc>
        <w:tc>
          <w:tcPr>
            <w:tcW w:w="46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Calibri" w:cs="Calibri" w:eastAsia="Calibri" w:hAnsi="Calibri"/>
                <w:sz w:val="18"/>
                <w:szCs w:val="18"/>
                <w:color w:val="auto"/>
              </w:rPr>
              <w:t>53.3 %</w:t>
            </w:r>
          </w:p>
        </w:tc>
      </w:tr>
      <w:tr>
        <w:trPr>
          <w:trHeight w:val="243"/>
        </w:trPr>
        <w:tc>
          <w:tcPr>
            <w:tcW w:w="4780" w:type="dxa"/>
            <w:vAlign w:val="bottom"/>
          </w:tcPr>
          <w:p>
            <w:pPr>
              <w:spacing w:after="0"/>
              <w:rPr>
                <w:sz w:val="20"/>
                <w:szCs w:val="20"/>
                <w:color w:val="auto"/>
              </w:rPr>
            </w:pPr>
            <w:r>
              <w:rPr>
                <w:rFonts w:ascii="Calibri" w:cs="Calibri" w:eastAsia="Calibri" w:hAnsi="Calibri"/>
                <w:sz w:val="18"/>
                <w:szCs w:val="18"/>
                <w:color w:val="auto"/>
              </w:rPr>
              <w:t>Operatng expenses</w:t>
            </w:r>
          </w:p>
        </w:tc>
        <w:tc>
          <w:tcPr>
            <w:tcW w:w="12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880" w:type="dxa"/>
            <w:vAlign w:val="bottom"/>
          </w:tcPr>
          <w:p>
            <w:pPr>
              <w:jc w:val="right"/>
              <w:spacing w:after="0"/>
              <w:rPr>
                <w:sz w:val="20"/>
                <w:szCs w:val="20"/>
                <w:color w:val="auto"/>
              </w:rPr>
            </w:pPr>
            <w:r>
              <w:rPr>
                <w:rFonts w:ascii="Calibri" w:cs="Calibri" w:eastAsia="Calibri" w:hAnsi="Calibri"/>
                <w:sz w:val="18"/>
                <w:szCs w:val="18"/>
                <w:color w:val="auto"/>
              </w:rPr>
              <w:t>84.4</w:t>
            </w:r>
          </w:p>
        </w:tc>
        <w:tc>
          <w:tcPr>
            <w:tcW w:w="20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Calibri" w:cs="Calibri" w:eastAsia="Calibri" w:hAnsi="Calibri"/>
                <w:sz w:val="18"/>
                <w:szCs w:val="18"/>
                <w:color w:val="auto"/>
              </w:rPr>
              <w:t>$</w:t>
            </w:r>
          </w:p>
        </w:tc>
        <w:tc>
          <w:tcPr>
            <w:tcW w:w="740" w:type="dxa"/>
            <w:vAlign w:val="bottom"/>
          </w:tcPr>
          <w:p>
            <w:pPr>
              <w:jc w:val="right"/>
              <w:spacing w:after="0"/>
              <w:rPr>
                <w:sz w:val="20"/>
                <w:szCs w:val="20"/>
                <w:color w:val="auto"/>
              </w:rPr>
            </w:pPr>
            <w:r>
              <w:rPr>
                <w:rFonts w:ascii="Calibri" w:cs="Calibri" w:eastAsia="Calibri" w:hAnsi="Calibri"/>
                <w:sz w:val="18"/>
                <w:szCs w:val="18"/>
                <w:color w:val="auto"/>
              </w:rPr>
              <w:t>75.8</w:t>
            </w:r>
          </w:p>
        </w:tc>
        <w:tc>
          <w:tcPr>
            <w:tcW w:w="200" w:type="dxa"/>
            <w:vAlign w:val="bottom"/>
          </w:tcPr>
          <w:p>
            <w:pPr>
              <w:spacing w:after="0"/>
              <w:rPr>
                <w:sz w:val="21"/>
                <w:szCs w:val="21"/>
                <w:color w:val="auto"/>
              </w:rPr>
            </w:pPr>
          </w:p>
        </w:tc>
        <w:tc>
          <w:tcPr>
            <w:tcW w:w="460" w:type="dxa"/>
            <w:vAlign w:val="bottom"/>
          </w:tcPr>
          <w:p>
            <w:pPr>
              <w:spacing w:after="0"/>
              <w:rPr>
                <w:sz w:val="20"/>
                <w:szCs w:val="20"/>
                <w:color w:val="auto"/>
              </w:rPr>
            </w:pPr>
            <w:r>
              <w:rPr>
                <w:rFonts w:ascii="Calibri" w:cs="Calibri" w:eastAsia="Calibri" w:hAnsi="Calibri"/>
                <w:sz w:val="18"/>
                <w:szCs w:val="18"/>
                <w:color w:val="auto"/>
              </w:rPr>
              <w:t>$</w:t>
            </w:r>
          </w:p>
        </w:tc>
        <w:tc>
          <w:tcPr>
            <w:tcW w:w="500" w:type="dxa"/>
            <w:vAlign w:val="bottom"/>
          </w:tcPr>
          <w:p>
            <w:pPr>
              <w:jc w:val="right"/>
              <w:spacing w:after="0"/>
              <w:rPr>
                <w:sz w:val="20"/>
                <w:szCs w:val="20"/>
                <w:color w:val="auto"/>
              </w:rPr>
            </w:pPr>
            <w:r>
              <w:rPr>
                <w:rFonts w:ascii="Calibri" w:cs="Calibri" w:eastAsia="Calibri" w:hAnsi="Calibri"/>
                <w:sz w:val="18"/>
                <w:szCs w:val="18"/>
                <w:color w:val="auto"/>
              </w:rPr>
              <w:t>97.1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7"/>
        </w:trPr>
        <w:tc>
          <w:tcPr>
            <w:tcW w:w="4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23"/>
        </w:trPr>
        <w:tc>
          <w:tcPr>
            <w:tcW w:w="478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Non-GAAP operatng expenses</w:t>
            </w:r>
          </w:p>
        </w:tc>
        <w:tc>
          <w:tcPr>
            <w:tcW w:w="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49.3</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49.1</w:t>
            </w:r>
          </w:p>
        </w:tc>
        <w:tc>
          <w:tcPr>
            <w:tcW w:w="2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65.9</w:t>
            </w: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15"/>
        </w:trPr>
        <w:tc>
          <w:tcPr>
            <w:tcW w:w="4780" w:type="dxa"/>
            <w:vAlign w:val="bottom"/>
          </w:tcPr>
          <w:p>
            <w:pPr>
              <w:spacing w:after="0" w:line="215" w:lineRule="exact"/>
              <w:rPr>
                <w:sz w:val="20"/>
                <w:szCs w:val="20"/>
                <w:color w:val="auto"/>
              </w:rPr>
            </w:pPr>
            <w:r>
              <w:rPr>
                <w:rFonts w:ascii="Calibri" w:cs="Calibri" w:eastAsia="Calibri" w:hAnsi="Calibri"/>
                <w:sz w:val="18"/>
                <w:szCs w:val="18"/>
                <w:color w:val="auto"/>
              </w:rPr>
              <w:t>Operatng loss</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(60.2 )</w:t>
            </w:r>
          </w:p>
        </w:tc>
        <w:tc>
          <w:tcPr>
            <w:tcW w:w="220" w:type="dxa"/>
            <w:vAlign w:val="bottom"/>
          </w:tcPr>
          <w:p>
            <w:pPr>
              <w:spacing w:after="0" w:line="215" w:lineRule="exact"/>
              <w:rPr>
                <w:sz w:val="20"/>
                <w:szCs w:val="20"/>
                <w:color w:val="auto"/>
              </w:rPr>
            </w:pPr>
            <w:r>
              <w:rPr>
                <w:rFonts w:ascii="Calibri" w:cs="Calibri" w:eastAsia="Calibri" w:hAnsi="Calibri"/>
                <w:sz w:val="18"/>
                <w:szCs w:val="18"/>
                <w:color w:val="auto"/>
              </w:rPr>
              <w:t>$</w:t>
            </w:r>
          </w:p>
        </w:tc>
        <w:tc>
          <w:tcPr>
            <w:tcW w:w="9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(53.0 )</w:t>
            </w:r>
          </w:p>
        </w:tc>
        <w:tc>
          <w:tcPr>
            <w:tcW w:w="460" w:type="dxa"/>
            <w:vAlign w:val="bottom"/>
          </w:tcPr>
          <w:p>
            <w:pPr>
              <w:spacing w:after="0" w:line="215" w:lineRule="exact"/>
              <w:rPr>
                <w:sz w:val="20"/>
                <w:szCs w:val="20"/>
                <w:color w:val="auto"/>
              </w:rPr>
            </w:pPr>
            <w:r>
              <w:rPr>
                <w:rFonts w:ascii="Calibri" w:cs="Calibri" w:eastAsia="Calibri" w:hAnsi="Calibri"/>
                <w:sz w:val="18"/>
                <w:szCs w:val="18"/>
                <w:color w:val="auto"/>
              </w:rPr>
              <w:t>$</w:t>
            </w:r>
          </w:p>
        </w:tc>
        <w:tc>
          <w:tcPr>
            <w:tcW w:w="5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(76.0 )</w:t>
            </w:r>
          </w:p>
        </w:tc>
        <w:tc>
          <w:tcPr>
            <w:tcW w:w="60" w:type="dxa"/>
            <w:vAlign w:val="bottom"/>
          </w:tcPr>
          <w:p>
            <w:pPr>
              <w:spacing w:after="0"/>
              <w:rPr>
                <w:sz w:val="18"/>
                <w:szCs w:val="18"/>
                <w:color w:val="auto"/>
              </w:rPr>
            </w:pPr>
          </w:p>
        </w:tc>
      </w:tr>
      <w:tr>
        <w:trPr>
          <w:trHeight w:val="28"/>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478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Net loss</w:t>
            </w:r>
          </w:p>
        </w:tc>
        <w:tc>
          <w:tcPr>
            <w:tcW w:w="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(32.2 )</w:t>
            </w:r>
          </w:p>
        </w:tc>
        <w:tc>
          <w:tcPr>
            <w:tcW w:w="2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(50.0 )</w:t>
            </w:r>
          </w:p>
        </w:tc>
        <w:tc>
          <w:tcPr>
            <w:tcW w:w="46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w:t>
            </w:r>
          </w:p>
        </w:tc>
        <w:tc>
          <w:tcPr>
            <w:tcW w:w="5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(45.1 )</w:t>
            </w:r>
          </w:p>
        </w:tc>
        <w:tc>
          <w:tcPr>
            <w:tcW w:w="60" w:type="dxa"/>
            <w:vAlign w:val="bottom"/>
          </w:tcPr>
          <w:p>
            <w:pPr>
              <w:spacing w:after="0"/>
              <w:rPr>
                <w:sz w:val="19"/>
                <w:szCs w:val="19"/>
                <w:color w:val="auto"/>
              </w:rPr>
            </w:pPr>
          </w:p>
        </w:tc>
      </w:tr>
      <w:tr>
        <w:trPr>
          <w:trHeight w:val="215"/>
        </w:trPr>
        <w:tc>
          <w:tcPr>
            <w:tcW w:w="4780" w:type="dxa"/>
            <w:vAlign w:val="bottom"/>
          </w:tcPr>
          <w:p>
            <w:pPr>
              <w:spacing w:after="0" w:line="215" w:lineRule="exact"/>
              <w:rPr>
                <w:sz w:val="20"/>
                <w:szCs w:val="20"/>
                <w:color w:val="auto"/>
              </w:rPr>
            </w:pPr>
            <w:r>
              <w:rPr>
                <w:rFonts w:ascii="Calibri" w:cs="Calibri" w:eastAsia="Calibri" w:hAnsi="Calibri"/>
                <w:sz w:val="18"/>
                <w:szCs w:val="18"/>
                <w:color w:val="auto"/>
              </w:rPr>
              <w:t>Adjusted EBITDA</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(23.7 )</w:t>
            </w:r>
          </w:p>
        </w:tc>
        <w:tc>
          <w:tcPr>
            <w:tcW w:w="220" w:type="dxa"/>
            <w:vAlign w:val="bottom"/>
          </w:tcPr>
          <w:p>
            <w:pPr>
              <w:spacing w:after="0" w:line="215" w:lineRule="exact"/>
              <w:rPr>
                <w:sz w:val="20"/>
                <w:szCs w:val="20"/>
                <w:color w:val="auto"/>
              </w:rPr>
            </w:pPr>
            <w:r>
              <w:rPr>
                <w:rFonts w:ascii="Calibri" w:cs="Calibri" w:eastAsia="Calibri" w:hAnsi="Calibri"/>
                <w:sz w:val="18"/>
                <w:szCs w:val="18"/>
                <w:color w:val="auto"/>
              </w:rPr>
              <w:t>$</w:t>
            </w:r>
          </w:p>
        </w:tc>
        <w:tc>
          <w:tcPr>
            <w:tcW w:w="9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(23.1 )</w:t>
            </w:r>
          </w:p>
        </w:tc>
        <w:tc>
          <w:tcPr>
            <w:tcW w:w="460" w:type="dxa"/>
            <w:vAlign w:val="bottom"/>
          </w:tcPr>
          <w:p>
            <w:pPr>
              <w:spacing w:after="0" w:line="215" w:lineRule="exact"/>
              <w:rPr>
                <w:sz w:val="20"/>
                <w:szCs w:val="20"/>
                <w:color w:val="auto"/>
              </w:rPr>
            </w:pPr>
            <w:r>
              <w:rPr>
                <w:rFonts w:ascii="Calibri" w:cs="Calibri" w:eastAsia="Calibri" w:hAnsi="Calibri"/>
                <w:sz w:val="18"/>
                <w:szCs w:val="18"/>
                <w:color w:val="auto"/>
              </w:rPr>
              <w:t>$</w:t>
            </w:r>
          </w:p>
        </w:tc>
        <w:tc>
          <w:tcPr>
            <w:tcW w:w="5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(41.7 )</w:t>
            </w:r>
          </w:p>
        </w:tc>
        <w:tc>
          <w:tcPr>
            <w:tcW w:w="60" w:type="dxa"/>
            <w:vAlign w:val="bottom"/>
          </w:tcPr>
          <w:p>
            <w:pPr>
              <w:spacing w:after="0"/>
              <w:rPr>
                <w:sz w:val="18"/>
                <w:szCs w:val="18"/>
                <w:color w:val="auto"/>
              </w:rPr>
            </w:pPr>
          </w:p>
        </w:tc>
      </w:tr>
      <w:tr>
        <w:trPr>
          <w:trHeight w:val="28"/>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7"/>
        </w:trPr>
        <w:tc>
          <w:tcPr>
            <w:tcW w:w="4780" w:type="dxa"/>
            <w:vAlign w:val="bottom"/>
            <w:shd w:val="clear" w:color="auto" w:fill="CFF0FC"/>
          </w:tcPr>
          <w:p>
            <w:pPr>
              <w:spacing w:after="0" w:line="206" w:lineRule="exact"/>
              <w:rPr>
                <w:sz w:val="20"/>
                <w:szCs w:val="20"/>
                <w:color w:val="auto"/>
              </w:rPr>
            </w:pPr>
            <w:r>
              <w:rPr>
                <w:rFonts w:ascii="Calibri" w:cs="Calibri" w:eastAsia="Calibri" w:hAnsi="Calibri"/>
                <w:sz w:val="18"/>
                <w:szCs w:val="18"/>
                <w:color w:val="auto"/>
              </w:rPr>
              <w:t>Cash, cash equivalents, restricted cash,</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15"/>
        </w:trPr>
        <w:tc>
          <w:tcPr>
            <w:tcW w:w="4780" w:type="dxa"/>
            <w:vAlign w:val="bottom"/>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and short-term investments</w:t>
            </w:r>
          </w:p>
        </w:tc>
        <w:tc>
          <w:tcPr>
            <w:tcW w:w="1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463.6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37"/>
        </w:trPr>
        <w:tc>
          <w:tcPr>
            <w:tcW w:w="478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74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460" w:type="dxa"/>
            <w:vAlign w:val="bottom"/>
            <w:shd w:val="clear" w:color="auto" w:fill="CFF0FC"/>
          </w:tcPr>
          <w:p>
            <w:pPr>
              <w:spacing w:after="0"/>
              <w:rPr>
                <w:sz w:val="3"/>
                <w:szCs w:val="3"/>
                <w:color w:val="auto"/>
              </w:rPr>
            </w:pPr>
          </w:p>
        </w:tc>
        <w:tc>
          <w:tcPr>
            <w:tcW w:w="50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6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972820</wp:posOffset>
            </wp:positionH>
            <wp:positionV relativeFrom="paragraph">
              <wp:posOffset>-1215390</wp:posOffset>
            </wp:positionV>
            <wp:extent cx="520573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05730" cy="154305"/>
                    </a:xfrm>
                    <a:prstGeom prst="rect">
                      <a:avLst/>
                    </a:prstGeom>
                    <a:noFill/>
                  </pic:spPr>
                </pic:pic>
              </a:graphicData>
            </a:graphic>
          </wp:anchor>
        </w:drawing>
      </w:r>
    </w:p>
    <w:p>
      <w:pPr>
        <w:spacing w:after="0" w:line="173" w:lineRule="exact"/>
        <w:rPr>
          <w:sz w:val="20"/>
          <w:szCs w:val="20"/>
          <w:color w:val="auto"/>
        </w:rPr>
      </w:pPr>
    </w:p>
    <w:p>
      <w:pPr>
        <w:jc w:val="both"/>
        <w:ind w:left="760" w:hanging="3"/>
        <w:spacing w:after="0" w:line="239" w:lineRule="auto"/>
        <w:tabs>
          <w:tab w:leader="none" w:pos="97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Unaudited pro forma information combines the historical financial information of Standard BioTools and SomaLogic, Inc. (“SomaLogic”) from fiscal year 2023, after giving effect to the merger with SomaLogic (the “Merger”), which closed on January 5, 2024 (the “Closing Date”). See “Unaudited Pro Forma Results” below for discussion of the pro forma financial information for the three months ended March 31, 2023 and March 31, 2024.</w:t>
      </w:r>
    </w:p>
    <w:p>
      <w:pPr>
        <w:spacing w:after="0" w:line="11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“Our integration is well underway and we are ahead of plan, with more than 60% of the targeted $80 million cost synergies now firmly identified. This gives us increased confidence in our operating targets, while supporting long term growth initiatives.” Said Michael Egholm, PhD, President and Chief Executive Officer of Standard BioTools.</w:t>
      </w:r>
    </w:p>
    <w:p>
      <w:pPr>
        <w:spacing w:after="0" w:line="190"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20"/>
          <w:szCs w:val="20"/>
          <w:color w:val="auto"/>
        </w:rPr>
        <w:t>“Consistently, the first full quarter results showed operational, technological, and financial leverage as anticipated when we embarked on joining SomaScan and the Somalogic team to the Standard BioTools Family.”</w:t>
      </w:r>
    </w:p>
    <w:p>
      <w:pPr>
        <w:spacing w:after="0" w:line="174" w:lineRule="exact"/>
        <w:rPr>
          <w:sz w:val="20"/>
          <w:szCs w:val="20"/>
          <w:color w:val="auto"/>
        </w:rPr>
      </w:pPr>
    </w:p>
    <w:p>
      <w:pPr>
        <w:jc w:val="both"/>
        <w:ind w:right="160"/>
        <w:spacing w:after="0" w:line="253" w:lineRule="auto"/>
        <w:rPr>
          <w:sz w:val="20"/>
          <w:szCs w:val="20"/>
          <w:color w:val="auto"/>
        </w:rPr>
      </w:pPr>
      <w:r>
        <w:rPr>
          <w:rFonts w:ascii="Times New Roman" w:cs="Times New Roman" w:eastAsia="Times New Roman" w:hAnsi="Times New Roman"/>
          <w:sz w:val="20"/>
          <w:szCs w:val="20"/>
          <w:color w:val="auto"/>
        </w:rPr>
        <w:t>“With a more diversified revenue mix that adds flexible services to our instruments and consumables, and those businesses spread across an expanded customer base and shared operating structure, the business navigated a challenging macro market for capital equipment purchases adeptly.</w:t>
      </w:r>
    </w:p>
    <w:p>
      <w:pPr>
        <w:spacing w:after="0" w:line="190"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9"/>
          <w:szCs w:val="19"/>
          <w:color w:val="auto"/>
        </w:rPr>
        <w:t>“The Standard BioTools strategy of increasing scale, expanding product portfolio, and growing services through strategic M&amp;A is delivering and will continue to as we establish this company as an emerging differentiated leader in the life sciences industry, ” added Egholm.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799465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Financial Highlights for the Quarter Ended March 31, 2024</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As-Reported Financial Results</w:t>
      </w:r>
    </w:p>
    <w:p>
      <w:pPr>
        <w:spacing w:after="0" w:line="111" w:lineRule="exact"/>
        <w:rPr>
          <w:sz w:val="20"/>
          <w:szCs w:val="20"/>
          <w:color w:val="auto"/>
        </w:rPr>
      </w:pPr>
    </w:p>
    <w:p>
      <w:pPr>
        <w:ind w:left="1020" w:hanging="504"/>
        <w:spacing w:after="0" w:line="268" w:lineRule="auto"/>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was $46 million, up 81% year-over-year, with impact of SomaScan assay services, kits and related revenue in 2024; and</w:t>
      </w:r>
    </w:p>
    <w:p>
      <w:pPr>
        <w:spacing w:after="0" w:line="52" w:lineRule="exact"/>
        <w:rPr>
          <w:rFonts w:ascii="Times New Roman" w:cs="Times New Roman" w:eastAsia="Times New Roman" w:hAnsi="Times New Roman"/>
          <w:sz w:val="20"/>
          <w:szCs w:val="20"/>
          <w:color w:val="auto"/>
        </w:rPr>
      </w:pPr>
    </w:p>
    <w:p>
      <w:pPr>
        <w:jc w:val="both"/>
        <w:ind w:left="1020" w:hanging="504"/>
        <w:spacing w:after="0" w:line="253" w:lineRule="auto"/>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Ended the quarter with cash, cash equivalents, restricted cash and short-term investments of $464 million, after accounting for $71 million cash payments for merger-related expenses, settlement of year-end operating accruals, debt retirement and completed stock buybacks.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 Forma Combined Financial Results</w:t>
      </w:r>
    </w:p>
    <w:p>
      <w:pPr>
        <w:spacing w:after="0" w:line="111" w:lineRule="exact"/>
        <w:rPr>
          <w:sz w:val="20"/>
          <w:szCs w:val="20"/>
          <w:color w:val="auto"/>
        </w:rPr>
      </w:pPr>
    </w:p>
    <w:p>
      <w:pPr>
        <w:ind w:left="1020" w:hanging="504"/>
        <w:spacing w:after="0"/>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of $46 million grew 2% year-over-year;</w:t>
      </w:r>
    </w:p>
    <w:p>
      <w:pPr>
        <w:spacing w:after="0" w:line="107" w:lineRule="exact"/>
        <w:rPr>
          <w:rFonts w:ascii="Times New Roman" w:cs="Times New Roman" w:eastAsia="Times New Roman" w:hAnsi="Times New Roman"/>
          <w:sz w:val="20"/>
          <w:szCs w:val="20"/>
          <w:color w:val="auto"/>
        </w:rPr>
      </w:pPr>
    </w:p>
    <w:p>
      <w:pPr>
        <w:ind w:left="1020" w:right="700" w:hanging="504"/>
        <w:spacing w:after="0" w:line="268"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mix consisted of approximately $22 million in services, $19 million in consumables and kits, and $5 million in instruments;</w:t>
      </w:r>
    </w:p>
    <w:p>
      <w:pPr>
        <w:spacing w:after="0" w:line="52" w:lineRule="exact"/>
        <w:rPr>
          <w:rFonts w:ascii="Times New Roman" w:cs="Times New Roman" w:eastAsia="Times New Roman" w:hAnsi="Times New Roman"/>
          <w:sz w:val="20"/>
          <w:szCs w:val="20"/>
          <w:color w:val="auto"/>
        </w:rPr>
      </w:pPr>
    </w:p>
    <w:p>
      <w:pPr>
        <w:ind w:left="1020" w:right="140" w:hanging="504"/>
        <w:spacing w:after="0" w:line="268"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SomaScan assay services, expansion of authorized sites, and early traction with Illumina early access program contributed over $24 million, an increase of 21% year-over-year;</w:t>
      </w:r>
    </w:p>
    <w:p>
      <w:pPr>
        <w:spacing w:after="0" w:line="52" w:lineRule="exact"/>
        <w:rPr>
          <w:rFonts w:ascii="Times New Roman" w:cs="Times New Roman" w:eastAsia="Times New Roman" w:hAnsi="Times New Roman"/>
          <w:sz w:val="20"/>
          <w:szCs w:val="20"/>
          <w:color w:val="auto"/>
        </w:rPr>
      </w:pPr>
    </w:p>
    <w:p>
      <w:pPr>
        <w:ind w:left="1020" w:right="300" w:hanging="504"/>
        <w:spacing w:after="0" w:line="268"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Standard BioTools instruments, consumables and instrument support services revenues contributed $22 million, a decrease of 12% year-over-year, due primarily to lingering economic headwinds for CAPEX instrument purchasing cycles;</w:t>
      </w:r>
    </w:p>
    <w:p>
      <w:pPr>
        <w:spacing w:after="0" w:line="52"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margins expanded 276 bps to 49.2% and Non-GAAP gross margin expanded 300 bps to 56%;</w:t>
      </w:r>
    </w:p>
    <w:p>
      <w:pPr>
        <w:spacing w:after="0" w:line="107" w:lineRule="exact"/>
        <w:rPr>
          <w:rFonts w:ascii="Times New Roman" w:cs="Times New Roman" w:eastAsia="Times New Roman" w:hAnsi="Times New Roman"/>
          <w:sz w:val="20"/>
          <w:szCs w:val="20"/>
          <w:color w:val="auto"/>
        </w:rPr>
      </w:pPr>
    </w:p>
    <w:p>
      <w:pPr>
        <w:ind w:left="1020" w:right="280" w:hanging="504"/>
        <w:spacing w:after="0" w:line="295" w:lineRule="auto"/>
        <w:tabs>
          <w:tab w:leader="none" w:pos="10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Operating expenses declined $21 million, or 22%, to $76 million and Non-GAAP operating expenses, which exclude merger-related costs, stock-based compensation, and restructuring charges, declined nearly $17 million, or 26%, to $49 million; and</w:t>
      </w:r>
    </w:p>
    <w:p>
      <w:pPr>
        <w:spacing w:after="0" w:line="29" w:lineRule="exact"/>
        <w:rPr>
          <w:rFonts w:ascii="Times New Roman" w:cs="Times New Roman" w:eastAsia="Times New Roman" w:hAnsi="Times New Roman"/>
          <w:sz w:val="19"/>
          <w:szCs w:val="19"/>
          <w:color w:val="auto"/>
        </w:rPr>
      </w:pPr>
    </w:p>
    <w:p>
      <w:pPr>
        <w:ind w:left="1020" w:right="160" w:hanging="504"/>
        <w:spacing w:after="0" w:line="268"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increased by $5 million, or 11%, to a loss of $50 million, and adjusted EBITDA improved nearly $19 million, or 45%, to a loss of $23 million.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Financial Highlights</w:t>
      </w:r>
    </w:p>
    <w:p>
      <w:pPr>
        <w:spacing w:after="0" w:line="111" w:lineRule="exact"/>
        <w:rPr>
          <w:sz w:val="20"/>
          <w:szCs w:val="20"/>
          <w:color w:val="auto"/>
        </w:rPr>
      </w:pPr>
    </w:p>
    <w:p>
      <w:pPr>
        <w:ind w:left="1020" w:right="100" w:hanging="504"/>
        <w:spacing w:after="0" w:line="253" w:lineRule="auto"/>
        <w:tabs>
          <w:tab w:leader="none" w:pos="10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Repurchased approximately 4.1 million shares of common stock during the first quarter of 2024 for an aggregate purchase price of $11 million at an average price of $2.68 per share under the Company’s previously announced common stockbuy-back program; and</w:t>
      </w:r>
    </w:p>
    <w:p>
      <w:pPr>
        <w:spacing w:after="0" w:line="68" w:lineRule="exact"/>
        <w:rPr>
          <w:rFonts w:ascii="Times New Roman" w:cs="Times New Roman" w:eastAsia="Times New Roman" w:hAnsi="Times New Roman"/>
          <w:sz w:val="20"/>
          <w:szCs w:val="20"/>
          <w:color w:val="auto"/>
        </w:rPr>
      </w:pPr>
    </w:p>
    <w:p>
      <w:pPr>
        <w:ind w:left="1020" w:hanging="504"/>
        <w:spacing w:after="0" w:line="268" w:lineRule="auto"/>
        <w:tabs>
          <w:tab w:leader="none" w:pos="10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Exchanged all outstanding shares of the Company’s Series B-1 and Series B-2 Convertible Preferred Stock for common stock, resulting in the elimination of Series B-1 and Series B-2 Preferred senior rights.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Outlook for 2024</w:t>
      </w:r>
    </w:p>
    <w:p>
      <w:pPr>
        <w:spacing w:after="0" w:line="23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For fiscal year 2024, the Company reaffirmed full year revenue guidance, which is expected to be in the range of $200 million to $205 million.</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Information</w:t>
      </w:r>
    </w:p>
    <w:p>
      <w:pPr>
        <w:spacing w:after="0" w:line="232"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20"/>
          <w:szCs w:val="20"/>
          <w:color w:val="auto"/>
        </w:rPr>
        <w:t>Standard BioTools will host a conference call and webcast today at 1:30 p.m. PT, 4:30 p.m. ET, to discuss its first quarter 2024 financial results and operational progress as well as to provide additional color on its strategic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5" w:name="page6"/>
    <w:bookmarkEnd w:id="5"/>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Company today is providing an Investor Relations presentation with additional information on its business and operations, including an appendix with Supplemental Financial Information which is available, concurrent with this news release, on the Investor Relations page of the Company's website at Events &amp; Presentations.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Live audio of the webcast will be available online along with an archived version of the webcast under the Events &amp; Presentations page of the Company’s website.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participate in the conference call by phone, may do so using one of the following dial-in numbers below:</w:t>
      </w:r>
    </w:p>
    <w:p>
      <w:pPr>
        <w:spacing w:after="0" w:line="107" w:lineRule="exact"/>
        <w:rPr>
          <w:sz w:val="20"/>
          <w:szCs w:val="20"/>
          <w:color w:val="auto"/>
        </w:rPr>
      </w:pPr>
    </w:p>
    <w:p>
      <w:pPr>
        <w:ind w:left="1020" w:hanging="504"/>
        <w:spacing w:after="0"/>
        <w:tabs>
          <w:tab w:leader="none" w:pos="10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domestic callers: 1-888-346-3970</w:t>
      </w:r>
    </w:p>
    <w:p>
      <w:pPr>
        <w:spacing w:after="0" w:line="107"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Outside US callers: 1-412-902-4297</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Non-GAAP Financial Information</w:t>
      </w:r>
    </w:p>
    <w:p>
      <w:pPr>
        <w:spacing w:after="0" w:line="23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Standard BioTools has presented certain financial information in accordance with U.S. GAAP and also on a non-GAAP basis. The non-GAAP financial measures included in this press release are non-GAAP gross margin, non-GAAP operating expenses, and adjusted EBITDA. Management uses these non-GAAP financial measures, in addition to GAAP financial measures, as a measure of operating performance because the non-GAAP financial measures do not include the impact of items that management does not consider indicative of the Company’s core operating performance.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Standard BioTools encourages investors to carefully consider its results under GAAP, as well as its supplemental non-GAAP information and the reconciliations between these presentations, to more fully understand its business. Reconciliations between GAAP and non-GAAP operating results are presented in the accompanying tables of this release.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Unaudited Pro Forma Results</w:t>
      </w:r>
    </w:p>
    <w:p>
      <w:pPr>
        <w:spacing w:after="0" w:line="2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unaudited pro forma financial information for the three months ended March 31, 2024 combines the Company's financial results for the three months ended March 31, 2024 and the historical results of SomaLogic for the 5-day period ended on the Closing Date. The unaudited pro forma financial information for the three months ended March 31, 2023 combines the historical results of the Company and SomaLogic for their respective three-month period ended March 31, 2023. The pro forma financial information for the three months ended March 31, 2023 has been adjusted to include certain nonrecurring impacts associated with the merger, including the bargain purchase gain and transaction costs. These same impacts have been eliminated from the pro forma financial information for the three months ended March 31, 2024.</w:t>
      </w:r>
    </w:p>
    <w:p>
      <w:pPr>
        <w:spacing w:after="0" w:line="19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unaudited pro forma financial information for all periods presented includes the business combination accounting effects resulting from the merger, mainly including adjustments to reflect additional amortization expense from acquired intangible assets, adjustments to stock-based compensation expense, and additional depreciation expense from the acquired property and equipment. The unaudited pro forma financial information is for informational purposes only and is not necessarily indicative of the results of operations that would have been achieved if the acquisitions had taken place on January 1, 2023. The results of SomaLogic have been consolidated with the Company's results since the Closing 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A0A0A"/>
        </w:rPr>
        <w:t>Forward-Looking Statements</w:t>
      </w:r>
    </w:p>
    <w:p>
      <w:pPr>
        <w:spacing w:after="0" w:line="2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Private Securities Litigation Reform Act of 1995, including, among others, statements regarding future financial and business performance; expectations, operational and strategic plans; deployment of capital; market and growth opportunity and potential; and the potential to realize the expected benefits of the Company’s operational restructuring plan, including the potential for it to drive long-term profitable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688975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6" w:name="page7"/>
    <w:bookmarkEnd w:id="6"/>
    <w:p>
      <w:pPr>
        <w:jc w:val="both"/>
        <w:spacing w:after="0"/>
        <w:rPr>
          <w:sz w:val="20"/>
          <w:szCs w:val="20"/>
          <w:color w:val="auto"/>
        </w:rPr>
      </w:pPr>
      <w:r>
        <w:rPr>
          <w:rFonts w:ascii="Times New Roman" w:cs="Times New Roman" w:eastAsia="Times New Roman" w:hAnsi="Times New Roman"/>
          <w:sz w:val="20"/>
          <w:szCs w:val="20"/>
          <w:color w:val="auto"/>
        </w:rPr>
        <w:t>growth. Forward-looking statements are subject to numerous risks and uncertainties that could cause actual results to differ materially from currently anticipated results, including, but not limited to, risks that the anticipated benefits of the operational restructuring plan, including the potential for it to drive long-term profitable growth, may not be fully realized or may take longer to realize than expected; risks that the Company may not realize expected cost savings from its restructuring, including the anticipated decrease in operational expenses, at the levels it expects; possible restructuring and transition-related disruption, including through the loss of customers, suppliers, and employees and adverse impacts on the Company’s development activities and results of operation; restructuring activities, including the Company’s subleasing plans, customer and employee relations, management distraction, and reduced operating performance; risks that internal and external costs required for ongoing and planned activities may be higher than expected, which may cause the Company to use cash more quickly than it expects or change or curtail some of the Company’s plans, or both; risks that the Company’s expectations as to expenses, cash usage, and cash needs may prove not to be correct for other reasons such as changes in plans or actual events being different than our assumptions; changes in the Company’s business or external market conditions; challenges inherent in developing, manufacturing, launching, marketing, and selling new products; interruptions or delays in the supply of components or materials for, or manufacturing of, the Company’s products; reliance on sales of capital equipment for a significant proportion of revenues in each quarter; seasonal variations in customer operations; unanticipated increases in costs or expenses; continued or sustained budgetary, inflationary, or recessionary pressures; uncertainties in contractual relationships; reductions in research and development spending or changes in budget priorities by customers; uncertainties relating to the Company’s research and development activities, and distribution plans and capabilities; potential product performance and quality issues; risks associated with international operations; intellectual property risks; and competition. For information regarding other related risks, see the “Risk Factors” section of the Company’s annual report on Form 10-K filed with the SEC on March 1, 2024, and in the Company’s other filings with the SEC. These forward-looking statements speak only as of the date hereof. The Company disclaims any obligation to update these forward-looking statements except as may be required by law.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Standard BioTools Inc.</w:t>
      </w:r>
    </w:p>
    <w:p>
      <w:pPr>
        <w:spacing w:after="0" w:line="2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Standard BioTools Inc. (Nasdaq:LAB), the parent company of SomaLogic Inc. and previously known as Fluidigm Corporation has an established portfolio of essential, standardized next-generation technologies that help biomedical researchers develop medicines faster and better. As a leading solutions provider, the company provides reliable and repeatable insights in health and disease using its proprietary mass cytometry and microfluidics technologies, which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 Learn more at standardbio.com or connect with us on X, Facebook®, LinkedIn, and YouTube™.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Research Use Only. Not for use in diagnostic procedures.</w:t>
      </w: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Limited Use Label License and other terms may apply: www.standardbio.com/legal/salesterms. Patent and License Information: www.standardbio.com/legal/notices. Trademarks: www.standardbio.com/legal/trademarks. Any other trademarks are the sole property of their respective owners. ©2024 Standard BioTools Inc. (f.k.a. Fluidigm Corporation). All rights reserved.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Standard BioTools uses its website (standardbio.com), investor site (investors.standardbio.com), corporate Twitter account (@Standard_BioT), Facebook page (facebook.com/StandardBioT), and LinkedIn page (linkedin.com/company/standard-biotools) as channels of distribution of information about its products, its planned financial and other announcements, its attendance at upcoming investor and industry conferences, and other matters. Such information may be deemed material information, and Standard BioTools may use these channels to comply with its disclosure obligations under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7" w:name="page8"/>
    <w:bookmarkEnd w:id="7"/>
    <w:p>
      <w:pPr>
        <w:spacing w:after="0" w:line="268" w:lineRule="auto"/>
        <w:rPr>
          <w:sz w:val="20"/>
          <w:szCs w:val="20"/>
          <w:color w:val="auto"/>
        </w:rPr>
      </w:pPr>
      <w:r>
        <w:rPr>
          <w:rFonts w:ascii="Times New Roman" w:cs="Times New Roman" w:eastAsia="Times New Roman" w:hAnsi="Times New Roman"/>
          <w:sz w:val="20"/>
          <w:szCs w:val="20"/>
          <w:color w:val="auto"/>
        </w:rPr>
        <w:t>FD. Therefore, investors should monitor Standard BioTools’ website and its social media accounts in addition to following its press releases, SEC filings, public conference calls, and webcasts.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David Holmes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Gilmartin Group LLC</w:t>
      </w:r>
    </w:p>
    <w:p>
      <w:pPr>
        <w:ind w:right="9620" w:firstLine="8"/>
        <w:spacing w:after="0" w:line="271" w:lineRule="auto"/>
        <w:tabs>
          <w:tab w:leader="none" w:pos="478"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330-1031 ir@standardbio.com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676275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2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00"/>
              <w:spacing w:after="0"/>
              <w:rPr>
                <w:sz w:val="20"/>
                <w:szCs w:val="20"/>
                <w:color w:val="auto"/>
              </w:rPr>
            </w:pPr>
            <w:r>
              <w:rPr>
                <w:rFonts w:ascii="Arial" w:cs="Arial" w:eastAsia="Arial" w:hAnsi="Arial"/>
                <w:sz w:val="18"/>
                <w:szCs w:val="18"/>
                <w:color w:val="auto"/>
              </w:rPr>
              <w:t>Product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23,592</w:t>
            </w:r>
          </w:p>
        </w:tc>
        <w:tc>
          <w:tcPr>
            <w:tcW w:w="2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Services revenue</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21,027</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00"/>
              <w:spacing w:after="0"/>
              <w:rPr>
                <w:sz w:val="20"/>
                <w:szCs w:val="20"/>
                <w:color w:val="auto"/>
              </w:rPr>
            </w:pPr>
            <w:r>
              <w:rPr>
                <w:rFonts w:ascii="Arial" w:cs="Arial" w:eastAsia="Arial" w:hAnsi="Arial"/>
                <w:sz w:val="18"/>
                <w:szCs w:val="18"/>
                <w:color w:val="auto"/>
              </w:rPr>
              <w:t>Service and other revenue</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45,540</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25,119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product revenue</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12,781</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00"/>
              <w:spacing w:after="0"/>
              <w:rPr>
                <w:sz w:val="20"/>
                <w:szCs w:val="20"/>
                <w:color w:val="auto"/>
              </w:rPr>
            </w:pPr>
            <w:r>
              <w:rPr>
                <w:rFonts w:ascii="Arial" w:cs="Arial" w:eastAsia="Arial" w:hAnsi="Arial"/>
                <w:sz w:val="18"/>
                <w:szCs w:val="18"/>
                <w:color w:val="auto"/>
              </w:rPr>
              <w:t>Cost of services revenue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8,509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Cost of collaboration and other revenue</w:t>
            </w: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21,352</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24,188</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46,943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Restructuring and related charges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4,284</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00"/>
              <w:spacing w:after="0"/>
              <w:rPr>
                <w:sz w:val="20"/>
                <w:szCs w:val="20"/>
                <w:color w:val="auto"/>
              </w:rPr>
            </w:pPr>
            <w:r>
              <w:rPr>
                <w:rFonts w:ascii="Arial" w:cs="Arial" w:eastAsia="Arial" w:hAnsi="Arial"/>
                <w:sz w:val="18"/>
                <w:szCs w:val="18"/>
                <w:color w:val="auto"/>
              </w:rPr>
              <w:t>Transaction and integration expenses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17,163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84,370</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28,874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(60,182 )</w:t>
            </w: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(16,593 )</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Bargain purchase gain</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25,213</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5,174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(2,234 )</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(32,029 )</w:t>
            </w: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(16,580 )</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(128 )</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(263 )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(32,157 )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(16,843 )</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Induced conversion of redeemable preferred stock</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(46,014 )</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(78,171 )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(16,843 )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(0.27 )</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(0.21 )</w:t>
            </w:r>
          </w:p>
        </w:tc>
        <w:tc>
          <w:tcPr>
            <w:tcW w:w="0" w:type="dxa"/>
            <w:vAlign w:val="bottom"/>
          </w:tcPr>
          <w:p>
            <w:pPr>
              <w:spacing w:after="0"/>
              <w:rPr>
                <w:sz w:val="1"/>
                <w:szCs w:val="1"/>
                <w:color w:val="auto"/>
              </w:rPr>
            </w:pPr>
          </w:p>
        </w:tc>
      </w:tr>
      <w:tr>
        <w:trPr>
          <w:trHeight w:val="177"/>
        </w:trPr>
        <w:tc>
          <w:tcPr>
            <w:tcW w:w="7720" w:type="dxa"/>
            <w:vAlign w:val="bottom"/>
            <w:tcBorders>
              <w:top w:val="single" w:sz="8" w:color="CFF0FC"/>
            </w:tcBorders>
          </w:tcPr>
          <w:p>
            <w:pPr>
              <w:ind w:left="20"/>
              <w:spacing w:after="0" w:line="177" w:lineRule="exact"/>
              <w:rPr>
                <w:sz w:val="20"/>
                <w:szCs w:val="20"/>
                <w:color w:val="auto"/>
              </w:rPr>
            </w:pPr>
            <w:r>
              <w:rPr>
                <w:rFonts w:ascii="Arial" w:cs="Arial" w:eastAsia="Arial" w:hAnsi="Arial"/>
                <w:sz w:val="18"/>
                <w:szCs w:val="18"/>
                <w:color w:val="auto"/>
              </w:rPr>
              <w:t>Shares used in computing net loss per share attributable to common stockholders, basic and</w:t>
            </w:r>
          </w:p>
        </w:tc>
        <w:tc>
          <w:tcPr>
            <w:tcW w:w="2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294,125</w:t>
            </w:r>
          </w:p>
        </w:tc>
        <w:tc>
          <w:tcPr>
            <w:tcW w:w="28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79,080</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720" w:type="dxa"/>
            <w:vAlign w:val="bottom"/>
          </w:tcPr>
          <w:p>
            <w:pPr>
              <w:ind w:left="20"/>
              <w:spacing w:after="0" w:line="195"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2"/>
        </w:trPr>
        <w:tc>
          <w:tcPr>
            <w:tcW w:w="7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-4460240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-4460240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-3869690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-3869690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-2679700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-2679700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-2088515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-2088515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-1788795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-1788795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-1489075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-1489075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-1163955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-1146810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-1163955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-1146810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December 31,</w:t>
            </w:r>
          </w:p>
        </w:tc>
      </w:tr>
      <w:tr>
        <w:trPr>
          <w:trHeight w:val="235"/>
        </w:trPr>
        <w:tc>
          <w:tcPr>
            <w:tcW w:w="7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r>
      <w:tr>
        <w:trPr>
          <w:trHeight w:val="223"/>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287,057</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51,704</w:t>
            </w:r>
          </w:p>
        </w:tc>
        <w:tc>
          <w:tcPr>
            <w:tcW w:w="100" w:type="dxa"/>
            <w:vAlign w:val="bottom"/>
            <w:shd w:val="clear" w:color="auto" w:fill="CFF0FC"/>
          </w:tcPr>
          <w:p>
            <w:pPr>
              <w:spacing w:after="0"/>
              <w:rPr>
                <w:sz w:val="19"/>
                <w:szCs w:val="19"/>
                <w:color w:val="auto"/>
              </w:rPr>
            </w:pPr>
          </w:p>
        </w:tc>
      </w:tr>
      <w:tr>
        <w:trPr>
          <w:trHeight w:val="229"/>
        </w:trPr>
        <w:tc>
          <w:tcPr>
            <w:tcW w:w="780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175,225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63,191</w:t>
            </w:r>
          </w:p>
        </w:tc>
        <w:tc>
          <w:tcPr>
            <w:tcW w:w="100" w:type="dxa"/>
            <w:vAlign w:val="bottom"/>
          </w:tcPr>
          <w:p>
            <w:pPr>
              <w:spacing w:after="0"/>
              <w:rPr>
                <w:sz w:val="19"/>
                <w:szCs w:val="19"/>
                <w:color w:val="auto"/>
              </w:rPr>
            </w:pPr>
          </w:p>
        </w:tc>
      </w:tr>
      <w:tr>
        <w:trPr>
          <w:trHeight w:val="229"/>
        </w:trPr>
        <w:tc>
          <w:tcPr>
            <w:tcW w:w="7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36,012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19,660</w:t>
            </w:r>
          </w:p>
        </w:tc>
        <w:tc>
          <w:tcPr>
            <w:tcW w:w="100" w:type="dxa"/>
            <w:vAlign w:val="bottom"/>
            <w:shd w:val="clear" w:color="auto" w:fill="CFF0FC"/>
          </w:tcPr>
          <w:p>
            <w:pPr>
              <w:spacing w:after="0"/>
              <w:rPr>
                <w:sz w:val="19"/>
                <w:szCs w:val="19"/>
                <w:color w:val="auto"/>
              </w:rPr>
            </w:pPr>
          </w:p>
        </w:tc>
      </w:tr>
      <w:tr>
        <w:trPr>
          <w:trHeight w:val="229"/>
        </w:trPr>
        <w:tc>
          <w:tcPr>
            <w:tcW w:w="7800" w:type="dxa"/>
            <w:vAlign w:val="bottom"/>
          </w:tcPr>
          <w:p>
            <w:pPr>
              <w:ind w:left="200"/>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40,359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20,533</w:t>
            </w:r>
          </w:p>
        </w:tc>
        <w:tc>
          <w:tcPr>
            <w:tcW w:w="100" w:type="dxa"/>
            <w:vAlign w:val="bottom"/>
          </w:tcPr>
          <w:p>
            <w:pPr>
              <w:spacing w:after="0"/>
              <w:rPr>
                <w:sz w:val="19"/>
                <w:szCs w:val="19"/>
                <w:color w:val="auto"/>
              </w:rPr>
            </w:pPr>
          </w:p>
        </w:tc>
      </w:tr>
      <w:tr>
        <w:trPr>
          <w:trHeight w:val="229"/>
        </w:trPr>
        <w:tc>
          <w:tcPr>
            <w:tcW w:w="7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8,912</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547,565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158,215</w:t>
            </w:r>
          </w:p>
        </w:tc>
        <w:tc>
          <w:tcPr>
            <w:tcW w:w="100" w:type="dxa"/>
            <w:vAlign w:val="bottom"/>
          </w:tcPr>
          <w:p>
            <w:pPr>
              <w:spacing w:after="0"/>
              <w:rPr>
                <w:sz w:val="19"/>
                <w:szCs w:val="19"/>
                <w:color w:val="auto"/>
              </w:rPr>
            </w:pPr>
          </w:p>
        </w:tc>
      </w:tr>
      <w:tr>
        <w:trPr>
          <w:trHeight w:val="229"/>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Inventory, non-current</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Royalty receivable, non-current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4,352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44,786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24,187</w:t>
            </w:r>
          </w:p>
        </w:tc>
        <w:tc>
          <w:tcPr>
            <w:tcW w:w="100" w:type="dxa"/>
            <w:vAlign w:val="bottom"/>
            <w:shd w:val="clear" w:color="auto" w:fill="CFF0FC"/>
          </w:tcPr>
          <w:p>
            <w:pPr>
              <w:spacing w:after="0"/>
              <w:rPr>
                <w:sz w:val="19"/>
                <w:szCs w:val="19"/>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Operating lease right-of-use asset, net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32,966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30,663</w:t>
            </w:r>
          </w:p>
        </w:tc>
        <w:tc>
          <w:tcPr>
            <w:tcW w:w="100" w:type="dxa"/>
            <w:vAlign w:val="bottom"/>
          </w:tcPr>
          <w:p>
            <w:pPr>
              <w:spacing w:after="0"/>
              <w:rPr>
                <w:sz w:val="19"/>
                <w:szCs w:val="19"/>
                <w:color w:val="auto"/>
              </w:rPr>
            </w:pPr>
          </w:p>
        </w:tc>
      </w:tr>
      <w:tr>
        <w:trPr>
          <w:trHeight w:val="229"/>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2,285</w:t>
            </w:r>
          </w:p>
        </w:tc>
        <w:tc>
          <w:tcPr>
            <w:tcW w:w="100" w:type="dxa"/>
            <w:vAlign w:val="bottom"/>
            <w:shd w:val="clear" w:color="auto" w:fill="CFF0FC"/>
          </w:tcPr>
          <w:p>
            <w:pPr>
              <w:spacing w:after="0"/>
              <w:rPr>
                <w:sz w:val="19"/>
                <w:szCs w:val="19"/>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Acquired intangible assets, net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24,794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9"/>
                <w:szCs w:val="19"/>
                <w:color w:val="auto"/>
              </w:rPr>
            </w:pPr>
          </w:p>
        </w:tc>
      </w:tr>
      <w:tr>
        <w:trPr>
          <w:trHeight w:val="229"/>
        </w:trPr>
        <w:tc>
          <w:tcPr>
            <w:tcW w:w="7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106,269</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106,317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777,667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323,067</w:t>
            </w:r>
          </w:p>
        </w:tc>
        <w:tc>
          <w:tcPr>
            <w:tcW w:w="100" w:type="dxa"/>
            <w:vAlign w:val="bottom"/>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MEZZANINE EQUITY AND STOCKHOLDERS’ EQUITY (DEFICIT)</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9,236</w:t>
            </w:r>
          </w:p>
        </w:tc>
        <w:tc>
          <w:tcPr>
            <w:tcW w:w="100" w:type="dxa"/>
            <w:vAlign w:val="bottom"/>
            <w:shd w:val="clear" w:color="auto" w:fill="CFF0FC"/>
          </w:tcPr>
          <w:p>
            <w:pPr>
              <w:spacing w:after="0"/>
              <w:rPr>
                <w:sz w:val="19"/>
                <w:szCs w:val="19"/>
                <w:color w:val="auto"/>
              </w:rPr>
            </w:pPr>
          </w:p>
        </w:tc>
      </w:tr>
      <w:tr>
        <w:trPr>
          <w:trHeight w:val="229"/>
        </w:trPr>
        <w:tc>
          <w:tcPr>
            <w:tcW w:w="780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30,430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21,019</w:t>
            </w:r>
          </w:p>
        </w:tc>
        <w:tc>
          <w:tcPr>
            <w:tcW w:w="100" w:type="dxa"/>
            <w:vAlign w:val="bottom"/>
          </w:tcPr>
          <w:p>
            <w:pPr>
              <w:spacing w:after="0"/>
              <w:rPr>
                <w:sz w:val="19"/>
                <w:szCs w:val="19"/>
                <w:color w:val="auto"/>
              </w:rPr>
            </w:pPr>
          </w:p>
        </w:tc>
      </w:tr>
      <w:tr>
        <w:trPr>
          <w:trHeight w:val="229"/>
        </w:trPr>
        <w:tc>
          <w:tcPr>
            <w:tcW w:w="7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 current</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4,323</w:t>
            </w:r>
          </w:p>
        </w:tc>
        <w:tc>
          <w:tcPr>
            <w:tcW w:w="100" w:type="dxa"/>
            <w:vAlign w:val="bottom"/>
            <w:shd w:val="clear" w:color="auto" w:fill="CFF0FC"/>
          </w:tcPr>
          <w:p>
            <w:pPr>
              <w:spacing w:after="0"/>
              <w:rPr>
                <w:sz w:val="19"/>
                <w:szCs w:val="19"/>
                <w:color w:val="auto"/>
              </w:rPr>
            </w:pPr>
          </w:p>
        </w:tc>
      </w:tr>
      <w:tr>
        <w:trPr>
          <w:trHeight w:val="229"/>
        </w:trPr>
        <w:tc>
          <w:tcPr>
            <w:tcW w:w="7800" w:type="dxa"/>
            <w:vAlign w:val="bottom"/>
          </w:tcPr>
          <w:p>
            <w:pPr>
              <w:ind w:left="200"/>
              <w:spacing w:after="0"/>
              <w:rPr>
                <w:sz w:val="20"/>
                <w:szCs w:val="20"/>
                <w:color w:val="auto"/>
              </w:rPr>
            </w:pPr>
            <w:r>
              <w:rPr>
                <w:rFonts w:ascii="Arial" w:cs="Arial" w:eastAsia="Arial" w:hAnsi="Arial"/>
                <w:sz w:val="18"/>
                <w:szCs w:val="18"/>
                <w:color w:val="auto"/>
              </w:rPr>
              <w:t>Deferred revenue, current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13,906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11,607</w:t>
            </w:r>
          </w:p>
        </w:tc>
        <w:tc>
          <w:tcPr>
            <w:tcW w:w="100" w:type="dxa"/>
            <w:vAlign w:val="bottom"/>
          </w:tcPr>
          <w:p>
            <w:pPr>
              <w:spacing w:after="0"/>
              <w:rPr>
                <w:sz w:val="19"/>
                <w:szCs w:val="19"/>
                <w:color w:val="auto"/>
              </w:rPr>
            </w:pPr>
          </w:p>
        </w:tc>
      </w:tr>
      <w:tr>
        <w:trPr>
          <w:trHeight w:val="229"/>
        </w:trPr>
        <w:tc>
          <w:tcPr>
            <w:tcW w:w="7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grant income, current</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3,612</w:t>
            </w:r>
          </w:p>
        </w:tc>
        <w:tc>
          <w:tcPr>
            <w:tcW w:w="100" w:type="dxa"/>
            <w:vAlign w:val="bottom"/>
            <w:shd w:val="clear" w:color="auto" w:fill="CFF0FC"/>
          </w:tcPr>
          <w:p>
            <w:pPr>
              <w:spacing w:after="0"/>
              <w:rPr>
                <w:sz w:val="19"/>
                <w:szCs w:val="19"/>
                <w:color w:val="auto"/>
              </w:rPr>
            </w:pPr>
          </w:p>
        </w:tc>
      </w:tr>
      <w:tr>
        <w:trPr>
          <w:trHeight w:val="229"/>
        </w:trPr>
        <w:tc>
          <w:tcPr>
            <w:tcW w:w="7800" w:type="dxa"/>
            <w:vAlign w:val="bottom"/>
          </w:tcPr>
          <w:p>
            <w:pPr>
              <w:ind w:left="200"/>
              <w:spacing w:after="0"/>
              <w:rPr>
                <w:sz w:val="20"/>
                <w:szCs w:val="20"/>
                <w:color w:val="auto"/>
              </w:rPr>
            </w:pPr>
            <w:r>
              <w:rPr>
                <w:rFonts w:ascii="Arial" w:cs="Arial" w:eastAsia="Arial" w:hAnsi="Arial"/>
                <w:sz w:val="18"/>
                <w:szCs w:val="18"/>
                <w:color w:val="auto"/>
              </w:rPr>
              <w:t>Term loan, current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r>
      <w:tr>
        <w:trPr>
          <w:trHeight w:val="229"/>
        </w:trPr>
        <w:tc>
          <w:tcPr>
            <w:tcW w:w="7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Convertible notes, current</w:t>
            </w: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54,656</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54,530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121,554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109,327</w:t>
            </w:r>
          </w:p>
        </w:tc>
        <w:tc>
          <w:tcPr>
            <w:tcW w:w="100" w:type="dxa"/>
            <w:vAlign w:val="bottom"/>
          </w:tcPr>
          <w:p>
            <w:pPr>
              <w:spacing w:after="0"/>
              <w:rPr>
                <w:sz w:val="19"/>
                <w:szCs w:val="19"/>
                <w:color w:val="auto"/>
              </w:rPr>
            </w:pPr>
          </w:p>
        </w:tc>
      </w:tr>
      <w:tr>
        <w:trPr>
          <w:trHeight w:val="229"/>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 non-current</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FF0FC"/>
          </w:tcPr>
          <w:p>
            <w:pPr>
              <w:spacing w:after="0"/>
              <w:rPr>
                <w:sz w:val="19"/>
                <w:szCs w:val="19"/>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Term loan, non-current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3,414</w:t>
            </w:r>
          </w:p>
        </w:tc>
        <w:tc>
          <w:tcPr>
            <w:tcW w:w="100" w:type="dxa"/>
            <w:vAlign w:val="bottom"/>
          </w:tcPr>
          <w:p>
            <w:pPr>
              <w:spacing w:after="0"/>
              <w:rPr>
                <w:sz w:val="19"/>
                <w:szCs w:val="19"/>
                <w:color w:val="auto"/>
              </w:rPr>
            </w:pPr>
          </w:p>
        </w:tc>
      </w:tr>
      <w:tr>
        <w:trPr>
          <w:trHeight w:val="229"/>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liability</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FF0FC"/>
          </w:tcPr>
          <w:p>
            <w:pPr>
              <w:spacing w:after="0"/>
              <w:rPr>
                <w:sz w:val="19"/>
                <w:szCs w:val="19"/>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31,108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30,374</w:t>
            </w:r>
          </w:p>
        </w:tc>
        <w:tc>
          <w:tcPr>
            <w:tcW w:w="100" w:type="dxa"/>
            <w:vAlign w:val="bottom"/>
          </w:tcPr>
          <w:p>
            <w:pPr>
              <w:spacing w:after="0"/>
              <w:rPr>
                <w:sz w:val="19"/>
                <w:szCs w:val="19"/>
                <w:color w:val="auto"/>
              </w:rPr>
            </w:pPr>
          </w:p>
        </w:tc>
      </w:tr>
      <w:tr>
        <w:trPr>
          <w:trHeight w:val="229"/>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 non-current</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33,854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3,520</w:t>
            </w:r>
          </w:p>
        </w:tc>
        <w:tc>
          <w:tcPr>
            <w:tcW w:w="100" w:type="dxa"/>
            <w:vAlign w:val="bottom"/>
            <w:shd w:val="clear" w:color="auto" w:fill="CFF0FC"/>
          </w:tcPr>
          <w:p>
            <w:pPr>
              <w:spacing w:after="0"/>
              <w:rPr>
                <w:sz w:val="19"/>
                <w:szCs w:val="19"/>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Deferred grant income, non-current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9,875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10,755</w:t>
            </w:r>
          </w:p>
        </w:tc>
        <w:tc>
          <w:tcPr>
            <w:tcW w:w="100" w:type="dxa"/>
            <w:vAlign w:val="bottom"/>
          </w:tcPr>
          <w:p>
            <w:pPr>
              <w:spacing w:after="0"/>
              <w:rPr>
                <w:sz w:val="19"/>
                <w:szCs w:val="19"/>
                <w:color w:val="auto"/>
              </w:rPr>
            </w:pPr>
          </w:p>
        </w:tc>
      </w:tr>
      <w:tr>
        <w:trPr>
          <w:trHeight w:val="229"/>
        </w:trPr>
        <w:tc>
          <w:tcPr>
            <w:tcW w:w="7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2,820</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200,351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159,865</w:t>
            </w:r>
          </w:p>
        </w:tc>
        <w:tc>
          <w:tcPr>
            <w:tcW w:w="100" w:type="dxa"/>
            <w:vAlign w:val="bottom"/>
          </w:tcPr>
          <w:p>
            <w:pPr>
              <w:spacing w:after="0"/>
              <w:rPr>
                <w:sz w:val="19"/>
                <w:szCs w:val="19"/>
                <w:color w:val="auto"/>
              </w:rPr>
            </w:pPr>
          </w:p>
        </w:tc>
      </w:tr>
      <w:tr>
        <w:trPr>
          <w:trHeight w:val="229"/>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Mezzanine equity:</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800" w:type="dxa"/>
            <w:vAlign w:val="bottom"/>
          </w:tcPr>
          <w:p>
            <w:pPr>
              <w:ind w:left="200"/>
              <w:spacing w:after="0"/>
              <w:rPr>
                <w:sz w:val="20"/>
                <w:szCs w:val="20"/>
                <w:color w:val="auto"/>
              </w:rPr>
            </w:pPr>
            <w:r>
              <w:rPr>
                <w:rFonts w:ascii="Arial" w:cs="Arial" w:eastAsia="Arial" w:hAnsi="Arial"/>
                <w:sz w:val="18"/>
                <w:szCs w:val="18"/>
                <w:color w:val="auto"/>
              </w:rPr>
              <w:t>Redeemable preferred stock</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311,253</w:t>
            </w:r>
          </w:p>
        </w:tc>
        <w:tc>
          <w:tcPr>
            <w:tcW w:w="100" w:type="dxa"/>
            <w:vAlign w:val="bottom"/>
          </w:tcPr>
          <w:p>
            <w:pPr>
              <w:spacing w:after="0"/>
              <w:rPr>
                <w:sz w:val="19"/>
                <w:szCs w:val="19"/>
                <w:color w:val="auto"/>
              </w:rPr>
            </w:pPr>
          </w:p>
        </w:tc>
      </w:tr>
      <w:tr>
        <w:trPr>
          <w:trHeight w:val="229"/>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577,316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(148,051 )</w:t>
            </w:r>
          </w:p>
        </w:tc>
      </w:tr>
      <w:tr>
        <w:trPr>
          <w:trHeight w:val="223"/>
        </w:trPr>
        <w:tc>
          <w:tcPr>
            <w:tcW w:w="78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liabilities, mezzanine equity and stockholders’ equity (deficit)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777,667</w:t>
            </w:r>
          </w:p>
        </w:tc>
        <w:tc>
          <w:tcPr>
            <w:tcW w:w="28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323,067</w:t>
            </w:r>
          </w:p>
        </w:tc>
        <w:tc>
          <w:tcPr>
            <w:tcW w:w="100" w:type="dxa"/>
            <w:vAlign w:val="bottom"/>
            <w:tcBorders>
              <w:top w:val="single" w:sz="8" w:color="CFF0FC"/>
            </w:tcBorders>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22"/>
        </w:trPr>
        <w:tc>
          <w:tcPr>
            <w:tcW w:w="7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5930265</wp:posOffset>
            </wp:positionH>
            <wp:positionV relativeFrom="paragraph">
              <wp:posOffset>-5616575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-5616575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-4443095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-4443095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-2807970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-2807970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-1634490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-1634490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-1043940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-1043940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7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2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(32,157 )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(16,843 )</w:t>
            </w: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Bargain purchase gain</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(25,213 )</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11,611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3,148</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3,088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Accretion of discount on short-term investments, net</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(2,660 )</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(165 )</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Non-cash lease expense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1,446</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excess and obsolete inventory</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Change in fair value of warrants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non-cash items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Changes in assets and liabilities, net</w:t>
            </w:r>
          </w:p>
        </w:tc>
        <w:tc>
          <w:tcPr>
            <w:tcW w:w="24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(22,498 )</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(62,476 )</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(8,485 )</w:t>
            </w:r>
          </w:p>
        </w:tc>
      </w:tr>
      <w:tr>
        <w:trPr>
          <w:trHeight w:val="452"/>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restricted cash acquired in merger</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280,033</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Purchases of short-term investments</w:t>
            </w:r>
          </w:p>
        </w:tc>
        <w:tc>
          <w:tcPr>
            <w:tcW w:w="24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(73,177 )</w:t>
            </w: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(6,836 )</w:t>
            </w: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sales and maturities of investments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112,000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51,000</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(781 )</w:t>
            </w: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(1,010 )</w:t>
            </w:r>
          </w:p>
        </w:tc>
      </w:tr>
      <w:tr>
        <w:trPr>
          <w:trHeight w:val="22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318,075</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43,154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452"/>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Repayment of term loan and convertible notes</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(8,192 )</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Payment of term loan fee</w:t>
            </w:r>
          </w:p>
        </w:tc>
        <w:tc>
          <w:tcPr>
            <w:tcW w:w="24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(545 )</w:t>
            </w:r>
          </w:p>
        </w:tc>
        <w:tc>
          <w:tcPr>
            <w:tcW w:w="3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Repurchase of common stock</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(11,051 )</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(2,466 )</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Payments for taxes related to net share settlement of equity awards and other</w:t>
            </w:r>
          </w:p>
        </w:tc>
        <w:tc>
          <w:tcPr>
            <w:tcW w:w="24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(17 )</w:t>
            </w: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(92 )</w:t>
            </w:r>
          </w:p>
        </w:tc>
      </w:tr>
      <w:tr>
        <w:trPr>
          <w:trHeight w:val="22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(19,733 )</w:t>
            </w: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(2,558 )</w:t>
            </w:r>
          </w:p>
        </w:tc>
      </w:tr>
      <w:tr>
        <w:trPr>
          <w:trHeight w:val="20"/>
        </w:trPr>
        <w:tc>
          <w:tcPr>
            <w:tcW w:w="7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(21 )</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235,845</w:t>
            </w:r>
          </w:p>
        </w:tc>
        <w:tc>
          <w:tcPr>
            <w:tcW w:w="28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32,134</w:t>
            </w:r>
          </w:p>
        </w:tc>
        <w:tc>
          <w:tcPr>
            <w:tcW w:w="100" w:type="dxa"/>
            <w:vAlign w:val="bottom"/>
            <w:tcBorders>
              <w:top w:val="single" w:sz="8" w:color="CFF0FC"/>
            </w:tcBorders>
          </w:tcPr>
          <w:p>
            <w:pPr>
              <w:spacing w:after="0"/>
              <w:rPr>
                <w:sz w:val="19"/>
                <w:szCs w:val="19"/>
                <w:color w:val="auto"/>
              </w:rPr>
            </w:pPr>
          </w:p>
        </w:tc>
      </w:tr>
      <w:tr>
        <w:trPr>
          <w:trHeight w:val="22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52,499</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82,324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288,344</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114,458</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consists of:</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287,057</w:t>
            </w:r>
          </w:p>
        </w:tc>
        <w:tc>
          <w:tcPr>
            <w:tcW w:w="2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113,663</w:t>
            </w:r>
          </w:p>
        </w:tc>
        <w:tc>
          <w:tcPr>
            <w:tcW w:w="100" w:type="dxa"/>
            <w:vAlign w:val="bottom"/>
          </w:tcPr>
          <w:p>
            <w:pPr>
              <w:spacing w:after="0"/>
              <w:rPr>
                <w:sz w:val="19"/>
                <w:szCs w:val="19"/>
                <w:color w:val="auto"/>
              </w:rPr>
            </w:pPr>
          </w:p>
        </w:tc>
      </w:tr>
      <w:tr>
        <w:trPr>
          <w:trHeight w:val="22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288,344</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114,458</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09"/>
        </w:trPr>
        <w:tc>
          <w:tcPr>
            <w:tcW w:w="7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-4469130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-4469130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-3432810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-3432810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-2405380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-2405380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-2097405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-2097405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-1797685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-1797685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-1035685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-1035685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1" w:name="page12"/>
    <w:bookmarkEnd w:id="11"/>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INFORMATION</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ITEMIZED RECONCILIATION OF GAAP TO NON-GAAP GROSS PROFIT AND MARGIN PERCENTAGE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jc w:val="right"/>
              <w:ind w:right="1160"/>
              <w:spacing w:after="0"/>
              <w:rPr>
                <w:sz w:val="20"/>
                <w:szCs w:val="20"/>
                <w:color w:val="auto"/>
              </w:rPr>
            </w:pPr>
            <w:r>
              <w:rPr>
                <w:rFonts w:ascii="Arial" w:cs="Arial" w:eastAsia="Arial" w:hAnsi="Arial"/>
                <w:sz w:val="18"/>
                <w:szCs w:val="18"/>
                <w:b w:val="1"/>
                <w:bCs w:val="1"/>
                <w:color w:val="auto"/>
              </w:rPr>
              <w:t>As Reported</w:t>
            </w:r>
          </w:p>
        </w:tc>
        <w:tc>
          <w:tcPr>
            <w:tcW w:w="3060" w:type="dxa"/>
            <w:vAlign w:val="bottom"/>
            <w:gridSpan w:val="7"/>
          </w:tcPr>
          <w:p>
            <w:pPr>
              <w:ind w:left="20"/>
              <w:spacing w:after="0"/>
              <w:rPr>
                <w:sz w:val="20"/>
                <w:szCs w:val="20"/>
                <w:color w:val="auto"/>
              </w:rPr>
            </w:pPr>
            <w:r>
              <w:rPr>
                <w:rFonts w:ascii="Arial" w:cs="Arial" w:eastAsia="Arial" w:hAnsi="Arial"/>
                <w:sz w:val="18"/>
                <w:szCs w:val="18"/>
                <w:b w:val="1"/>
                <w:bCs w:val="1"/>
                <w:color w:val="auto"/>
              </w:rPr>
              <w:t>Non-GAAP Pro Forma Combined</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720" w:type="dxa"/>
            <w:vAlign w:val="bottom"/>
            <w:tcBorders>
              <w:top w:val="single" w:sz="8" w:color="auto"/>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680" w:type="dxa"/>
            <w:vAlign w:val="bottom"/>
            <w:tcBorders>
              <w:top w:val="single" w:sz="8" w:color="auto"/>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right"/>
              <w:ind w:right="520"/>
              <w:spacing w:after="0" w:line="190" w:lineRule="exact"/>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6"/>
                <w:szCs w:val="16"/>
                <w:color w:val="auto"/>
              </w:rPr>
            </w:pPr>
          </w:p>
        </w:tc>
        <w:tc>
          <w:tcPr>
            <w:tcW w:w="1140" w:type="dxa"/>
            <w:vAlign w:val="bottom"/>
          </w:tcPr>
          <w:p>
            <w:pPr>
              <w:jc w:val="right"/>
              <w:ind w:right="150"/>
              <w:spacing w:after="0" w:line="190"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00"/>
              <w:spacing w:after="0" w:line="190" w:lineRule="exact"/>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6"/>
                <w:szCs w:val="16"/>
                <w:color w:val="auto"/>
              </w:rPr>
            </w:pPr>
          </w:p>
        </w:tc>
        <w:tc>
          <w:tcPr>
            <w:tcW w:w="1120" w:type="dxa"/>
            <w:vAlign w:val="bottom"/>
          </w:tcPr>
          <w:p>
            <w:pPr>
              <w:jc w:val="right"/>
              <w:ind w:right="150"/>
              <w:spacing w:after="0" w:line="190"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12,281</w:t>
            </w:r>
          </w:p>
        </w:tc>
        <w:tc>
          <w:tcPr>
            <w:tcW w:w="10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21,142</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120"/>
              <w:spacing w:after="0"/>
              <w:rPr>
                <w:sz w:val="20"/>
                <w:szCs w:val="20"/>
                <w:color w:val="auto"/>
              </w:rPr>
            </w:pPr>
            <w:r>
              <w:rPr>
                <w:rFonts w:ascii="Arial" w:cs="Arial" w:eastAsia="Arial" w:hAnsi="Arial"/>
                <w:sz w:val="18"/>
                <w:szCs w:val="18"/>
                <w:color w:val="auto"/>
              </w:rPr>
              <w:t>Amortization of acquired intangible assets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Restructuring and related charges</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120"/>
              <w:spacing w:after="0"/>
              <w:rPr>
                <w:sz w:val="20"/>
                <w:szCs w:val="20"/>
                <w:color w:val="auto"/>
              </w:rPr>
            </w:pPr>
            <w:r>
              <w:rPr>
                <w:rFonts w:ascii="Arial" w:cs="Arial" w:eastAsia="Arial" w:hAnsi="Arial"/>
                <w:sz w:val="18"/>
                <w:szCs w:val="18"/>
                <w:color w:val="auto"/>
              </w:rPr>
              <w:t>Cost of sales adjustment</w:t>
            </w: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(1,812 )</w:t>
            </w: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(1,337 )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Non-GAAP gross profit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25,595</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15,757</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25,991</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24,235</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5140" w:type="dxa"/>
            <w:vAlign w:val="bottom"/>
          </w:tcPr>
          <w:p>
            <w:pPr>
              <w:ind w:left="20"/>
              <w:spacing w:after="0"/>
              <w:rPr>
                <w:sz w:val="20"/>
                <w:szCs w:val="20"/>
                <w:color w:val="auto"/>
              </w:rPr>
            </w:pPr>
            <w:r>
              <w:rPr>
                <w:rFonts w:ascii="Arial" w:cs="Arial" w:eastAsia="Arial" w:hAnsi="Arial"/>
                <w:sz w:val="18"/>
                <w:szCs w:val="18"/>
                <w:color w:val="auto"/>
              </w:rPr>
              <w:t>Gross margin percentage</w:t>
            </w:r>
          </w:p>
        </w:tc>
        <w:tc>
          <w:tcPr>
            <w:tcW w:w="180" w:type="dxa"/>
            <w:vAlign w:val="bottom"/>
          </w:tcPr>
          <w:p>
            <w:pPr>
              <w:spacing w:after="0"/>
              <w:rPr>
                <w:sz w:val="24"/>
                <w:szCs w:val="24"/>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53.1 %</w:t>
            </w:r>
          </w:p>
        </w:tc>
        <w:tc>
          <w:tcPr>
            <w:tcW w:w="160" w:type="dxa"/>
            <w:vAlign w:val="bottom"/>
          </w:tcPr>
          <w:p>
            <w:pPr>
              <w:spacing w:after="0"/>
              <w:rPr>
                <w:sz w:val="24"/>
                <w:szCs w:val="24"/>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48.9 %</w:t>
            </w:r>
          </w:p>
        </w:tc>
        <w:tc>
          <w:tcPr>
            <w:tcW w:w="180" w:type="dxa"/>
            <w:vAlign w:val="bottom"/>
          </w:tcPr>
          <w:p>
            <w:pPr>
              <w:spacing w:after="0"/>
              <w:rPr>
                <w:sz w:val="24"/>
                <w:szCs w:val="2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49.2 %</w:t>
            </w: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46.5 %</w:t>
            </w:r>
          </w:p>
        </w:tc>
        <w:tc>
          <w:tcPr>
            <w:tcW w:w="0" w:type="dxa"/>
            <w:vAlign w:val="bottom"/>
          </w:tcPr>
          <w:p>
            <w:pPr>
              <w:spacing w:after="0"/>
              <w:rPr>
                <w:sz w:val="1"/>
                <w:szCs w:val="1"/>
                <w:color w:val="auto"/>
              </w:rPr>
            </w:pPr>
          </w:p>
        </w:tc>
      </w:tr>
      <w:tr>
        <w:trPr>
          <w:trHeight w:val="229"/>
        </w:trPr>
        <w:tc>
          <w:tcPr>
            <w:tcW w:w="5140" w:type="dxa"/>
            <w:vAlign w:val="bottom"/>
          </w:tcPr>
          <w:p>
            <w:pPr>
              <w:ind w:left="120"/>
              <w:spacing w:after="0"/>
              <w:rPr>
                <w:sz w:val="20"/>
                <w:szCs w:val="20"/>
                <w:color w:val="auto"/>
              </w:rPr>
            </w:pPr>
            <w:r>
              <w:rPr>
                <w:rFonts w:ascii="Arial" w:cs="Arial" w:eastAsia="Arial" w:hAnsi="Arial"/>
                <w:sz w:val="18"/>
                <w:szCs w:val="18"/>
                <w:color w:val="auto"/>
              </w:rPr>
              <w:t>Amortization of acquired intangible assets</w:t>
            </w:r>
          </w:p>
        </w:tc>
        <w:tc>
          <w:tcPr>
            <w:tcW w:w="18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4.3 %</w:t>
            </w:r>
          </w:p>
        </w:tc>
        <w:tc>
          <w:tcPr>
            <w:tcW w:w="160" w:type="dxa"/>
            <w:vAlign w:val="bottom"/>
          </w:tcPr>
          <w:p>
            <w:pPr>
              <w:spacing w:after="0"/>
              <w:rPr>
                <w:sz w:val="19"/>
                <w:szCs w:val="19"/>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11.1 %</w:t>
            </w:r>
          </w:p>
        </w:tc>
        <w:tc>
          <w:tcPr>
            <w:tcW w:w="1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4.3 %</w:t>
            </w:r>
          </w:p>
        </w:tc>
        <w:tc>
          <w:tcPr>
            <w:tcW w:w="18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29"/>
        </w:trPr>
        <w:tc>
          <w:tcPr>
            <w:tcW w:w="51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2.2 %</w:t>
            </w:r>
          </w:p>
        </w:tc>
        <w:tc>
          <w:tcPr>
            <w:tcW w:w="160" w:type="dxa"/>
            <w:vAlign w:val="bottom"/>
          </w:tcPr>
          <w:p>
            <w:pPr>
              <w:spacing w:after="0"/>
              <w:rPr>
                <w:sz w:val="19"/>
                <w:szCs w:val="19"/>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1.3 %</w:t>
            </w:r>
          </w:p>
        </w:tc>
        <w:tc>
          <w:tcPr>
            <w:tcW w:w="1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2.3 %</w:t>
            </w:r>
          </w:p>
        </w:tc>
        <w:tc>
          <w:tcPr>
            <w:tcW w:w="18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9"/>
        </w:trPr>
        <w:tc>
          <w:tcPr>
            <w:tcW w:w="514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0.5 %</w:t>
            </w:r>
          </w:p>
        </w:tc>
        <w:tc>
          <w:tcPr>
            <w:tcW w:w="160" w:type="dxa"/>
            <w:vAlign w:val="bottom"/>
          </w:tcPr>
          <w:p>
            <w:pPr>
              <w:spacing w:after="0"/>
              <w:rPr>
                <w:sz w:val="19"/>
                <w:szCs w:val="19"/>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1.4 %</w:t>
            </w:r>
          </w:p>
        </w:tc>
        <w:tc>
          <w:tcPr>
            <w:tcW w:w="1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0.5 %</w:t>
            </w:r>
          </w:p>
        </w:tc>
        <w:tc>
          <w:tcPr>
            <w:tcW w:w="18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29"/>
        </w:trPr>
        <w:tc>
          <w:tcPr>
            <w:tcW w:w="5140" w:type="dxa"/>
            <w:vAlign w:val="bottom"/>
          </w:tcPr>
          <w:p>
            <w:pPr>
              <w:ind w:left="120"/>
              <w:spacing w:after="0"/>
              <w:rPr>
                <w:sz w:val="20"/>
                <w:szCs w:val="20"/>
                <w:color w:val="auto"/>
              </w:rPr>
            </w:pPr>
            <w:r>
              <w:rPr>
                <w:rFonts w:ascii="Arial" w:cs="Arial" w:eastAsia="Arial" w:hAnsi="Arial"/>
                <w:sz w:val="18"/>
                <w:szCs w:val="18"/>
                <w:color w:val="auto"/>
              </w:rPr>
              <w:t>Restructuring and related charges</w:t>
            </w:r>
          </w:p>
        </w:tc>
        <w:tc>
          <w:tcPr>
            <w:tcW w:w="18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0.0 %</w:t>
            </w:r>
          </w:p>
        </w:tc>
        <w:tc>
          <w:tcPr>
            <w:tcW w:w="160" w:type="dxa"/>
            <w:vAlign w:val="bottom"/>
          </w:tcPr>
          <w:p>
            <w:pPr>
              <w:spacing w:after="0"/>
              <w:rPr>
                <w:sz w:val="19"/>
                <w:szCs w:val="19"/>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0.0 %</w:t>
            </w:r>
          </w:p>
        </w:tc>
        <w:tc>
          <w:tcPr>
            <w:tcW w:w="1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0.0 %</w:t>
            </w:r>
          </w:p>
        </w:tc>
        <w:tc>
          <w:tcPr>
            <w:tcW w:w="18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29"/>
        </w:trPr>
        <w:tc>
          <w:tcPr>
            <w:tcW w:w="5140" w:type="dxa"/>
            <w:vAlign w:val="bottom"/>
          </w:tcPr>
          <w:p>
            <w:pPr>
              <w:ind w:left="120"/>
              <w:spacing w:after="0"/>
              <w:rPr>
                <w:sz w:val="20"/>
                <w:szCs w:val="20"/>
                <w:color w:val="auto"/>
              </w:rPr>
            </w:pPr>
            <w:r>
              <w:rPr>
                <w:rFonts w:ascii="Arial" w:cs="Arial" w:eastAsia="Arial" w:hAnsi="Arial"/>
                <w:sz w:val="18"/>
                <w:szCs w:val="18"/>
                <w:color w:val="auto"/>
              </w:rPr>
              <w:t>Cost of sales adjustment</w:t>
            </w:r>
          </w:p>
        </w:tc>
        <w:tc>
          <w:tcPr>
            <w:tcW w:w="18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(4.0 )%</w:t>
            </w:r>
          </w:p>
        </w:tc>
        <w:tc>
          <w:tcPr>
            <w:tcW w:w="160" w:type="dxa"/>
            <w:vAlign w:val="bottom"/>
          </w:tcPr>
          <w:p>
            <w:pPr>
              <w:spacing w:after="0"/>
              <w:rPr>
                <w:sz w:val="19"/>
                <w:szCs w:val="19"/>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0.0 %</w:t>
            </w:r>
          </w:p>
        </w:tc>
        <w:tc>
          <w:tcPr>
            <w:tcW w:w="1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0.0 %</w:t>
            </w:r>
          </w:p>
        </w:tc>
        <w:tc>
          <w:tcPr>
            <w:tcW w:w="18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20"/>
              <w:spacing w:after="0"/>
              <w:rPr>
                <w:sz w:val="20"/>
                <w:szCs w:val="20"/>
                <w:color w:val="auto"/>
              </w:rPr>
            </w:pPr>
            <w:r>
              <w:rPr>
                <w:rFonts w:ascii="Arial" w:cs="Arial" w:eastAsia="Arial" w:hAnsi="Arial"/>
                <w:sz w:val="18"/>
                <w:szCs w:val="18"/>
                <w:color w:val="auto"/>
              </w:rPr>
              <w:t>Non-GAAP gross margin percentage</w:t>
            </w: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56.2 %</w:t>
            </w:r>
          </w:p>
        </w:tc>
        <w:tc>
          <w:tcPr>
            <w:tcW w:w="160" w:type="dxa"/>
            <w:vAlign w:val="bottom"/>
          </w:tcPr>
          <w:p>
            <w:pPr>
              <w:spacing w:after="0"/>
              <w:rPr>
                <w:sz w:val="19"/>
                <w:szCs w:val="19"/>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62.7 %</w:t>
            </w:r>
          </w:p>
        </w:tc>
        <w:tc>
          <w:tcPr>
            <w:tcW w:w="1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56.3 %</w:t>
            </w:r>
          </w:p>
        </w:tc>
        <w:tc>
          <w:tcPr>
            <w:tcW w:w="18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53.3 %</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9"/>
        </w:trPr>
        <w:tc>
          <w:tcPr>
            <w:tcW w:w="5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4106545</wp:posOffset>
            </wp:positionH>
            <wp:positionV relativeFrom="paragraph">
              <wp:posOffset>-2080260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4106545</wp:posOffset>
            </wp:positionH>
            <wp:positionV relativeFrom="paragraph">
              <wp:posOffset>-2063115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-2080260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-2063115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-2080260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-2063115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-2080260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-2063115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-1763395</wp:posOffset>
            </wp:positionV>
            <wp:extent cx="713232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-1471930</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-1181100</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128"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ITEMIZED RECONCILIATION OF GAAP TO NON-GAAP OPERATING EXPENSES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Non-GAAP Pro Forma</w:t>
            </w:r>
          </w:p>
        </w:tc>
      </w:tr>
      <w:tr>
        <w:trPr>
          <w:trHeight w:val="235"/>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Combined</w:t>
            </w:r>
          </w:p>
        </w:tc>
      </w:tr>
      <w:tr>
        <w:trPr>
          <w:trHeight w:val="223"/>
        </w:trPr>
        <w:tc>
          <w:tcPr>
            <w:tcW w:w="58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420" w:type="dxa"/>
            <w:vAlign w:val="bottom"/>
            <w:tcBorders>
              <w:top w:val="single" w:sz="8" w:color="auto"/>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380" w:type="dxa"/>
            <w:vAlign w:val="bottom"/>
            <w:tcBorders>
              <w:top w:val="single" w:sz="8" w:color="auto"/>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9"/>
                <w:szCs w:val="19"/>
                <w:color w:val="auto"/>
              </w:rPr>
            </w:pPr>
          </w:p>
        </w:tc>
      </w:tr>
      <w:tr>
        <w:trPr>
          <w:trHeight w:val="190"/>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420"/>
              <w:spacing w:after="0" w:line="190" w:lineRule="exact"/>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16"/>
                <w:szCs w:val="16"/>
                <w:color w:val="auto"/>
              </w:rPr>
            </w:pPr>
          </w:p>
        </w:tc>
        <w:tc>
          <w:tcPr>
            <w:tcW w:w="1000" w:type="dxa"/>
            <w:vAlign w:val="bottom"/>
          </w:tcPr>
          <w:p>
            <w:pPr>
              <w:jc w:val="right"/>
              <w:ind w:right="70"/>
              <w:spacing w:after="0" w:line="190" w:lineRule="exact"/>
              <w:rPr>
                <w:sz w:val="20"/>
                <w:szCs w:val="20"/>
                <w:color w:val="auto"/>
              </w:rPr>
            </w:pPr>
            <w:r>
              <w:rPr>
                <w:rFonts w:ascii="Arial" w:cs="Arial" w:eastAsia="Arial" w:hAnsi="Arial"/>
                <w:sz w:val="18"/>
                <w:szCs w:val="18"/>
                <w:b w:val="1"/>
                <w:bCs w:val="1"/>
                <w:color w:val="auto"/>
                <w:w w:val="98"/>
              </w:rPr>
              <w:t>March 31,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400"/>
              <w:spacing w:after="0" w:line="190" w:lineRule="exact"/>
              <w:rPr>
                <w:sz w:val="20"/>
                <w:szCs w:val="20"/>
                <w:color w:val="auto"/>
              </w:rPr>
            </w:pPr>
            <w:r>
              <w:rPr>
                <w:rFonts w:ascii="Arial" w:cs="Arial" w:eastAsia="Arial" w:hAnsi="Arial"/>
                <w:sz w:val="18"/>
                <w:szCs w:val="18"/>
                <w:b w:val="1"/>
                <w:bCs w:val="1"/>
                <w:color w:val="auto"/>
                <w:w w:val="98"/>
              </w:rPr>
              <w:t>March 31,</w:t>
            </w:r>
          </w:p>
        </w:tc>
        <w:tc>
          <w:tcPr>
            <w:tcW w:w="140" w:type="dxa"/>
            <w:vAlign w:val="bottom"/>
          </w:tcPr>
          <w:p>
            <w:pPr>
              <w:spacing w:after="0"/>
              <w:rPr>
                <w:sz w:val="16"/>
                <w:szCs w:val="16"/>
                <w:color w:val="auto"/>
              </w:rPr>
            </w:pPr>
          </w:p>
        </w:tc>
        <w:tc>
          <w:tcPr>
            <w:tcW w:w="1000" w:type="dxa"/>
            <w:vAlign w:val="bottom"/>
          </w:tcPr>
          <w:p>
            <w:pPr>
              <w:jc w:val="right"/>
              <w:ind w:right="70"/>
              <w:spacing w:after="0" w:line="190" w:lineRule="exact"/>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6"/>
                <w:szCs w:val="16"/>
                <w:color w:val="auto"/>
              </w:rPr>
            </w:pPr>
          </w:p>
        </w:tc>
      </w:tr>
      <w:tr>
        <w:trPr>
          <w:trHeight w:val="235"/>
        </w:trPr>
        <w:tc>
          <w:tcPr>
            <w:tcW w:w="5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84,370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28,874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75,760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97,149</w:t>
            </w:r>
          </w:p>
        </w:tc>
        <w:tc>
          <w:tcPr>
            <w:tcW w:w="100" w:type="dxa"/>
            <w:vAlign w:val="bottom"/>
            <w:shd w:val="clear" w:color="auto" w:fill="CFF0FC"/>
          </w:tcPr>
          <w:p>
            <w:pPr>
              <w:spacing w:after="0"/>
              <w:rPr>
                <w:sz w:val="19"/>
                <w:szCs w:val="19"/>
                <w:color w:val="auto"/>
              </w:rPr>
            </w:pPr>
          </w:p>
        </w:tc>
      </w:tr>
      <w:tr>
        <w:trPr>
          <w:trHeight w:val="229"/>
        </w:trPr>
        <w:tc>
          <w:tcPr>
            <w:tcW w:w="5820" w:type="dxa"/>
            <w:vAlign w:val="bottom"/>
          </w:tcPr>
          <w:p>
            <w:pPr>
              <w:ind w:left="120"/>
              <w:spacing w:after="0"/>
              <w:rPr>
                <w:sz w:val="20"/>
                <w:szCs w:val="20"/>
                <w:color w:val="auto"/>
              </w:rPr>
            </w:pPr>
            <w:r>
              <w:rPr>
                <w:rFonts w:ascii="Arial" w:cs="Arial" w:eastAsia="Arial" w:hAnsi="Arial"/>
                <w:sz w:val="18"/>
                <w:szCs w:val="18"/>
                <w:color w:val="auto"/>
              </w:rPr>
              <w:t>Restructuring and related charges</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(4,284 )</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(1,150 )</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(4,284 )</w:t>
            </w: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(1,150 )</w:t>
            </w:r>
          </w:p>
        </w:tc>
      </w:tr>
      <w:tr>
        <w:trPr>
          <w:trHeight w:val="229"/>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Transaction and integration expenses</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(17,163 )</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(14,733 )</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(17,587 )</w:t>
            </w:r>
          </w:p>
        </w:tc>
      </w:tr>
      <w:tr>
        <w:trPr>
          <w:trHeight w:val="229"/>
        </w:trPr>
        <w:tc>
          <w:tcPr>
            <w:tcW w:w="582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(11,372 )</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(2,795 )</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(5,276 )</w:t>
            </w: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(10,452 )</w:t>
            </w:r>
          </w:p>
        </w:tc>
      </w:tr>
      <w:tr>
        <w:trPr>
          <w:trHeight w:val="229"/>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 of acquired intangible assets</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(150 )</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(150 )</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(150 )</w:t>
            </w:r>
          </w:p>
        </w:tc>
      </w:tr>
      <w:tr>
        <w:trPr>
          <w:trHeight w:val="229"/>
        </w:trPr>
        <w:tc>
          <w:tcPr>
            <w:tcW w:w="58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(2,065 )</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(539 )</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(2,199 )</w:t>
            </w: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(1,878 )</w:t>
            </w:r>
          </w:p>
        </w:tc>
      </w:tr>
      <w:tr>
        <w:trPr>
          <w:trHeight w:val="229"/>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Gain/loss on disposal of property and equipment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(14 )</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(14 )</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(16 )</w:t>
            </w:r>
          </w:p>
        </w:tc>
      </w:tr>
      <w:tr>
        <w:trPr>
          <w:trHeight w:val="223"/>
        </w:trPr>
        <w:tc>
          <w:tcPr>
            <w:tcW w:w="58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Non-GAAP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49,322</w:t>
            </w:r>
          </w:p>
        </w:tc>
        <w:tc>
          <w:tcPr>
            <w:tcW w:w="26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24,390</w:t>
            </w: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49,104</w:t>
            </w: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65,916</w:t>
            </w:r>
          </w:p>
        </w:tc>
        <w:tc>
          <w:tcPr>
            <w:tcW w:w="100" w:type="dxa"/>
            <w:vAlign w:val="bottom"/>
            <w:tcBorders>
              <w:top w:val="single" w:sz="8" w:color="CFF0FC"/>
            </w:tcBorders>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R&amp;D operating expenses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20,573</w:t>
            </w:r>
          </w:p>
        </w:tc>
        <w:tc>
          <w:tcPr>
            <w:tcW w:w="100" w:type="dxa"/>
            <w:vAlign w:val="bottom"/>
            <w:shd w:val="clear" w:color="auto" w:fill="CFF0FC"/>
          </w:tcPr>
          <w:p>
            <w:pPr>
              <w:spacing w:after="0"/>
              <w:rPr>
                <w:sz w:val="19"/>
                <w:szCs w:val="19"/>
                <w:color w:val="auto"/>
              </w:rPr>
            </w:pPr>
          </w:p>
        </w:tc>
      </w:tr>
      <w:tr>
        <w:trPr>
          <w:trHeight w:val="229"/>
        </w:trPr>
        <w:tc>
          <w:tcPr>
            <w:tcW w:w="582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(1,328 )</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(416 )</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(1,328 )</w:t>
            </w: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(2,192 )</w:t>
            </w:r>
          </w:p>
        </w:tc>
      </w:tr>
      <w:tr>
        <w:trPr>
          <w:trHeight w:val="229"/>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(871 )</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(150 )</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(884 )</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(631 )</w:t>
            </w:r>
          </w:p>
        </w:tc>
      </w:tr>
      <w:tr>
        <w:trPr>
          <w:trHeight w:val="223"/>
        </w:trPr>
        <w:tc>
          <w:tcPr>
            <w:tcW w:w="58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Non-GAAP R&amp;D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13,781</w:t>
            </w:r>
          </w:p>
        </w:tc>
        <w:tc>
          <w:tcPr>
            <w:tcW w:w="26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5,863</w:t>
            </w: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14,420</w:t>
            </w: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17,750</w:t>
            </w:r>
          </w:p>
        </w:tc>
        <w:tc>
          <w:tcPr>
            <w:tcW w:w="100" w:type="dxa"/>
            <w:vAlign w:val="bottom"/>
            <w:tcBorders>
              <w:top w:val="single" w:sz="8" w:color="CFF0FC"/>
            </w:tcBorders>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SG&amp;A operating expenses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46,943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40,112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57,689</w:t>
            </w:r>
          </w:p>
        </w:tc>
        <w:tc>
          <w:tcPr>
            <w:tcW w:w="100" w:type="dxa"/>
            <w:vAlign w:val="bottom"/>
            <w:shd w:val="clear" w:color="auto" w:fill="CFF0FC"/>
          </w:tcPr>
          <w:p>
            <w:pPr>
              <w:spacing w:after="0"/>
              <w:rPr>
                <w:sz w:val="19"/>
                <w:szCs w:val="19"/>
                <w:color w:val="auto"/>
              </w:rPr>
            </w:pPr>
          </w:p>
        </w:tc>
      </w:tr>
      <w:tr>
        <w:trPr>
          <w:trHeight w:val="229"/>
        </w:trPr>
        <w:tc>
          <w:tcPr>
            <w:tcW w:w="582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(10,044 )</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(2,379 )</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(3,948 )</w:t>
            </w: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(8,261 )</w:t>
            </w:r>
          </w:p>
        </w:tc>
      </w:tr>
      <w:tr>
        <w:trPr>
          <w:trHeight w:val="229"/>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 of acquired intangible assets</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(150 )</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(150 )</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(1,194 )</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(389 )</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(1,315 )</w:t>
            </w: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(1,247 )</w:t>
            </w:r>
          </w:p>
        </w:tc>
      </w:tr>
      <w:tr>
        <w:trPr>
          <w:trHeight w:val="229"/>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Gain/loss on disposal of property and equipment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(14 )</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(14 )</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(16 )</w:t>
            </w:r>
          </w:p>
        </w:tc>
      </w:tr>
      <w:tr>
        <w:trPr>
          <w:trHeight w:val="223"/>
        </w:trPr>
        <w:tc>
          <w:tcPr>
            <w:tcW w:w="58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Non-GAAP SG&amp;A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35,541</w:t>
            </w:r>
          </w:p>
        </w:tc>
        <w:tc>
          <w:tcPr>
            <w:tcW w:w="26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18,527</w:t>
            </w: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34,685</w:t>
            </w: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48,165</w:t>
            </w:r>
          </w:p>
        </w:tc>
        <w:tc>
          <w:tcPr>
            <w:tcW w:w="100" w:type="dxa"/>
            <w:vAlign w:val="bottom"/>
            <w:tcBorders>
              <w:top w:val="single" w:sz="8" w:color="CFF0FC"/>
            </w:tcBorders>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09"/>
        </w:trPr>
        <w:tc>
          <w:tcPr>
            <w:tcW w:w="5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-2850515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-2850515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-2850515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-2850515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-2088515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-2088515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-2088515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-2088515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-1035685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-1035685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-1035685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-1035685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ITEMIZED RECONCILIATION OF GAAP NET LOSS TO NON-GAAP ADJUSTED EBITDA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Non-GAAP Pro Forma</w:t>
            </w:r>
          </w:p>
        </w:tc>
      </w:tr>
      <w:tr>
        <w:trPr>
          <w:trHeight w:val="235"/>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Combined</w:t>
            </w:r>
          </w:p>
        </w:tc>
      </w:tr>
      <w:tr>
        <w:trPr>
          <w:trHeight w:val="223"/>
        </w:trPr>
        <w:tc>
          <w:tcPr>
            <w:tcW w:w="58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420" w:type="dxa"/>
            <w:vAlign w:val="bottom"/>
            <w:tcBorders>
              <w:top w:val="single" w:sz="8" w:color="auto"/>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380" w:type="dxa"/>
            <w:vAlign w:val="bottom"/>
            <w:tcBorders>
              <w:top w:val="single" w:sz="8" w:color="auto"/>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9"/>
                <w:szCs w:val="19"/>
                <w:color w:val="auto"/>
              </w:rPr>
            </w:pPr>
          </w:p>
        </w:tc>
      </w:tr>
      <w:tr>
        <w:trPr>
          <w:trHeight w:val="190"/>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420"/>
              <w:spacing w:after="0" w:line="190" w:lineRule="exact"/>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16"/>
                <w:szCs w:val="16"/>
                <w:color w:val="auto"/>
              </w:rPr>
            </w:pPr>
          </w:p>
        </w:tc>
        <w:tc>
          <w:tcPr>
            <w:tcW w:w="1000" w:type="dxa"/>
            <w:vAlign w:val="bottom"/>
          </w:tcPr>
          <w:p>
            <w:pPr>
              <w:jc w:val="right"/>
              <w:ind w:right="70"/>
              <w:spacing w:after="0" w:line="190" w:lineRule="exact"/>
              <w:rPr>
                <w:sz w:val="20"/>
                <w:szCs w:val="20"/>
                <w:color w:val="auto"/>
              </w:rPr>
            </w:pPr>
            <w:r>
              <w:rPr>
                <w:rFonts w:ascii="Arial" w:cs="Arial" w:eastAsia="Arial" w:hAnsi="Arial"/>
                <w:sz w:val="18"/>
                <w:szCs w:val="18"/>
                <w:b w:val="1"/>
                <w:bCs w:val="1"/>
                <w:color w:val="auto"/>
                <w:w w:val="98"/>
              </w:rPr>
              <w:t>March 31,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400"/>
              <w:spacing w:after="0" w:line="190" w:lineRule="exact"/>
              <w:rPr>
                <w:sz w:val="20"/>
                <w:szCs w:val="20"/>
                <w:color w:val="auto"/>
              </w:rPr>
            </w:pPr>
            <w:r>
              <w:rPr>
                <w:rFonts w:ascii="Arial" w:cs="Arial" w:eastAsia="Arial" w:hAnsi="Arial"/>
                <w:sz w:val="18"/>
                <w:szCs w:val="18"/>
                <w:b w:val="1"/>
                <w:bCs w:val="1"/>
                <w:color w:val="auto"/>
                <w:w w:val="98"/>
              </w:rPr>
              <w:t>March 31,</w:t>
            </w:r>
          </w:p>
        </w:tc>
        <w:tc>
          <w:tcPr>
            <w:tcW w:w="140" w:type="dxa"/>
            <w:vAlign w:val="bottom"/>
          </w:tcPr>
          <w:p>
            <w:pPr>
              <w:spacing w:after="0"/>
              <w:rPr>
                <w:sz w:val="16"/>
                <w:szCs w:val="16"/>
                <w:color w:val="auto"/>
              </w:rPr>
            </w:pPr>
          </w:p>
        </w:tc>
        <w:tc>
          <w:tcPr>
            <w:tcW w:w="1000" w:type="dxa"/>
            <w:vAlign w:val="bottom"/>
          </w:tcPr>
          <w:p>
            <w:pPr>
              <w:jc w:val="right"/>
              <w:ind w:right="70"/>
              <w:spacing w:after="0" w:line="190" w:lineRule="exact"/>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6"/>
                <w:szCs w:val="16"/>
                <w:color w:val="auto"/>
              </w:rPr>
            </w:pPr>
          </w:p>
        </w:tc>
      </w:tr>
      <w:tr>
        <w:trPr>
          <w:trHeight w:val="235"/>
        </w:trPr>
        <w:tc>
          <w:tcPr>
            <w:tcW w:w="5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(32,157 )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(16,843 )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(50,019 )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(45,053 )</w:t>
            </w:r>
          </w:p>
        </w:tc>
      </w:tr>
      <w:tr>
        <w:trPr>
          <w:trHeight w:val="229"/>
        </w:trPr>
        <w:tc>
          <w:tcPr>
            <w:tcW w:w="582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income, net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(5,174 )</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(72 )</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(5,253 )</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(5,741 )</w:t>
            </w:r>
          </w:p>
        </w:tc>
      </w:tr>
      <w:tr>
        <w:trPr>
          <w:trHeight w:val="229"/>
        </w:trPr>
        <w:tc>
          <w:tcPr>
            <w:tcW w:w="5820" w:type="dxa"/>
            <w:vAlign w:val="bottom"/>
          </w:tcPr>
          <w:p>
            <w:pPr>
              <w:ind w:left="120"/>
              <w:spacing w:after="0"/>
              <w:rPr>
                <w:sz w:val="20"/>
                <w:szCs w:val="20"/>
                <w:color w:val="auto"/>
              </w:rPr>
            </w:pPr>
            <w:r>
              <w:rPr>
                <w:rFonts w:ascii="Arial" w:cs="Arial" w:eastAsia="Arial" w:hAnsi="Arial"/>
                <w:sz w:val="18"/>
                <w:szCs w:val="18"/>
                <w:color w:val="auto"/>
              </w:rPr>
              <w:t>Amortization of acquired intangible assets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3,506</w:t>
            </w:r>
          </w:p>
        </w:tc>
        <w:tc>
          <w:tcPr>
            <w:tcW w:w="100" w:type="dxa"/>
            <w:vAlign w:val="bottom"/>
          </w:tcPr>
          <w:p>
            <w:pPr>
              <w:spacing w:after="0"/>
              <w:rPr>
                <w:sz w:val="19"/>
                <w:szCs w:val="19"/>
                <w:color w:val="auto"/>
              </w:rPr>
            </w:pPr>
          </w:p>
        </w:tc>
      </w:tr>
      <w:tr>
        <w:trPr>
          <w:trHeight w:val="229"/>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2,555</w:t>
            </w:r>
          </w:p>
        </w:tc>
        <w:tc>
          <w:tcPr>
            <w:tcW w:w="100" w:type="dxa"/>
            <w:vAlign w:val="bottom"/>
            <w:shd w:val="clear" w:color="auto" w:fill="CFF0FC"/>
          </w:tcPr>
          <w:p>
            <w:pPr>
              <w:spacing w:after="0"/>
              <w:rPr>
                <w:sz w:val="19"/>
                <w:szCs w:val="19"/>
                <w:color w:val="auto"/>
              </w:rPr>
            </w:pPr>
          </w:p>
        </w:tc>
      </w:tr>
      <w:tr>
        <w:trPr>
          <w:trHeight w:val="229"/>
        </w:trPr>
        <w:tc>
          <w:tcPr>
            <w:tcW w:w="5820" w:type="dxa"/>
            <w:vAlign w:val="bottom"/>
          </w:tcPr>
          <w:p>
            <w:pPr>
              <w:ind w:left="120"/>
              <w:spacing w:after="0"/>
              <w:rPr>
                <w:sz w:val="20"/>
                <w:szCs w:val="20"/>
                <w:color w:val="auto"/>
              </w:rPr>
            </w:pPr>
            <w:r>
              <w:rPr>
                <w:rFonts w:ascii="Arial" w:cs="Arial" w:eastAsia="Arial" w:hAnsi="Arial"/>
                <w:sz w:val="18"/>
                <w:szCs w:val="18"/>
                <w:color w:val="auto"/>
              </w:rPr>
              <w:t>Bargain purchase gain</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(25,213 )</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(25,213 )</w:t>
            </w:r>
          </w:p>
        </w:tc>
      </w:tr>
      <w:tr>
        <w:trPr>
          <w:trHeight w:val="229"/>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Restructuring and related charges</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FF0FC"/>
          </w:tcPr>
          <w:p>
            <w:pPr>
              <w:spacing w:after="0"/>
              <w:rPr>
                <w:sz w:val="19"/>
                <w:szCs w:val="19"/>
                <w:color w:val="auto"/>
              </w:rPr>
            </w:pPr>
          </w:p>
        </w:tc>
      </w:tr>
      <w:tr>
        <w:trPr>
          <w:trHeight w:val="229"/>
        </w:trPr>
        <w:tc>
          <w:tcPr>
            <w:tcW w:w="5820" w:type="dxa"/>
            <w:vAlign w:val="bottom"/>
          </w:tcPr>
          <w:p>
            <w:pPr>
              <w:ind w:left="120"/>
              <w:spacing w:after="0"/>
              <w:rPr>
                <w:sz w:val="20"/>
                <w:szCs w:val="20"/>
                <w:color w:val="auto"/>
              </w:rPr>
            </w:pPr>
            <w:r>
              <w:rPr>
                <w:rFonts w:ascii="Arial" w:cs="Arial" w:eastAsia="Arial" w:hAnsi="Arial"/>
                <w:sz w:val="18"/>
                <w:szCs w:val="18"/>
                <w:color w:val="auto"/>
              </w:rPr>
              <w:t>Transaction and integration expenses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17,163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14,733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17,587</w:t>
            </w:r>
          </w:p>
        </w:tc>
        <w:tc>
          <w:tcPr>
            <w:tcW w:w="100" w:type="dxa"/>
            <w:vAlign w:val="bottom"/>
          </w:tcPr>
          <w:p>
            <w:pPr>
              <w:spacing w:after="0"/>
              <w:rPr>
                <w:sz w:val="19"/>
                <w:szCs w:val="19"/>
                <w:color w:val="auto"/>
              </w:rPr>
            </w:pPr>
          </w:p>
        </w:tc>
      </w:tr>
      <w:tr>
        <w:trPr>
          <w:trHeight w:val="229"/>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10,848</w:t>
            </w:r>
          </w:p>
        </w:tc>
        <w:tc>
          <w:tcPr>
            <w:tcW w:w="100" w:type="dxa"/>
            <w:vAlign w:val="bottom"/>
            <w:shd w:val="clear" w:color="auto" w:fill="CFF0FC"/>
          </w:tcPr>
          <w:p>
            <w:pPr>
              <w:spacing w:after="0"/>
              <w:rPr>
                <w:sz w:val="19"/>
                <w:szCs w:val="19"/>
                <w:color w:val="auto"/>
              </w:rPr>
            </w:pPr>
          </w:p>
        </w:tc>
      </w:tr>
      <w:tr>
        <w:trPr>
          <w:trHeight w:val="229"/>
        </w:trPr>
        <w:tc>
          <w:tcPr>
            <w:tcW w:w="5820" w:type="dxa"/>
            <w:vAlign w:val="bottom"/>
          </w:tcPr>
          <w:p>
            <w:pPr>
              <w:ind w:left="120"/>
              <w:spacing w:after="0"/>
              <w:rPr>
                <w:sz w:val="20"/>
                <w:szCs w:val="20"/>
                <w:color w:val="auto"/>
              </w:rPr>
            </w:pPr>
            <w:r>
              <w:rPr>
                <w:rFonts w:ascii="Arial" w:cs="Arial" w:eastAsia="Arial" w:hAnsi="Arial"/>
                <w:sz w:val="18"/>
                <w:szCs w:val="18"/>
                <w:color w:val="auto"/>
              </w:rPr>
              <w:t>Cost of sales adjustment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(1,812 )</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(1,337 )</w:t>
            </w:r>
          </w:p>
        </w:tc>
      </w:tr>
      <w:tr>
        <w:trPr>
          <w:trHeight w:val="229"/>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Gain/loss on disposal of property and equipment</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r>
      <w:tr>
        <w:trPr>
          <w:trHeight w:val="229"/>
        </w:trPr>
        <w:tc>
          <w:tcPr>
            <w:tcW w:w="5820" w:type="dxa"/>
            <w:vAlign w:val="bottom"/>
          </w:tcPr>
          <w:p>
            <w:pPr>
              <w:ind w:left="120"/>
              <w:spacing w:after="0"/>
              <w:rPr>
                <w:sz w:val="20"/>
                <w:szCs w:val="20"/>
                <w:color w:val="auto"/>
              </w:rPr>
            </w:pPr>
            <w:r>
              <w:rPr>
                <w:rFonts w:ascii="Arial" w:cs="Arial" w:eastAsia="Arial" w:hAnsi="Arial"/>
                <w:sz w:val="18"/>
                <w:szCs w:val="18"/>
                <w:color w:val="auto"/>
              </w:rPr>
              <w:t>Other non-operating expense</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(23,728 )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(8,633 )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(23,113 )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(41,682 )</w:t>
            </w:r>
          </w:p>
        </w:tc>
      </w:tr>
      <w:tr>
        <w:trPr>
          <w:trHeight w:val="1309"/>
        </w:trPr>
        <w:tc>
          <w:tcPr>
            <w:tcW w:w="582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26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-881380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-864235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-881380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-864235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-881380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-864235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-881380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3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2024-05-08T16:15:47Z</dcterms:created>
  <dcterms:modified xsi:type="dcterms:W3CDTF">2024-05-08T16:15:47Z</dcterms:modified>
</cp:coreProperties>
</file>