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PURSUANT TO RULES 13d-</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1(b),(c) AND (d) AND AMENDMENTS THERETO FILED PURSUANT TO 13d-2</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No. 1)</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Standard BioTools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Common stock, $0.001 par value per share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34385P108</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December 31, 2022</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7"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7"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3"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09" w:lineRule="exact"/>
        <w:rPr>
          <w:rFonts w:ascii="MS PGothic" w:cs="MS PGothic" w:eastAsia="MS PGothic" w:hAnsi="MS PGothic"/>
          <w:sz w:val="22"/>
          <w:szCs w:val="22"/>
          <w:color w:val="auto"/>
        </w:rPr>
      </w:pPr>
    </w:p>
    <w:p>
      <w:pPr>
        <w:jc w:val="both"/>
        <w:spacing w:after="0" w:line="244" w:lineRule="auto"/>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86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Page 2 of 21 Pages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76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rPr>
              <w:t>Viking Global Investors LP</w:t>
            </w: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7680" w:type="dxa"/>
            <w:vAlign w:val="bottom"/>
            <w:gridSpan w:val="7"/>
            <w:vMerge w:val="continue"/>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380" w:type="dxa"/>
            <w:vAlign w:val="bottom"/>
            <w:tcBorders>
              <w:right w:val="single" w:sz="8" w:color="BFBFBF"/>
            </w:tcBorders>
            <w:shd w:val="clear" w:color="auto" w:fill="BFBFBF"/>
          </w:tcPr>
          <w:p>
            <w:pPr>
              <w:spacing w:after="0"/>
              <w:rPr>
                <w:sz w:val="20"/>
                <w:szCs w:val="20"/>
                <w:color w:val="auto"/>
              </w:rPr>
            </w:pPr>
          </w:p>
        </w:tc>
        <w:tc>
          <w:tcPr>
            <w:tcW w:w="1120" w:type="dxa"/>
            <w:vAlign w:val="bottom"/>
            <w:tcBorders>
              <w:right w:val="single" w:sz="8" w:color="BFBFBF"/>
            </w:tcBorders>
            <w:shd w:val="clear" w:color="auto" w:fill="BFBFBF"/>
          </w:tcPr>
          <w:p>
            <w:pPr>
              <w:spacing w:after="0"/>
              <w:rPr>
                <w:sz w:val="20"/>
                <w:szCs w:val="20"/>
                <w:color w:val="auto"/>
              </w:rPr>
            </w:pPr>
          </w:p>
        </w:tc>
        <w:tc>
          <w:tcPr>
            <w:tcW w:w="2860" w:type="dxa"/>
            <w:vAlign w:val="bottom"/>
            <w:shd w:val="clear" w:color="auto" w:fill="BFBFBF"/>
          </w:tcPr>
          <w:p>
            <w:pPr>
              <w:spacing w:after="0"/>
              <w:rPr>
                <w:sz w:val="20"/>
                <w:szCs w:val="20"/>
                <w:color w:val="auto"/>
              </w:rPr>
            </w:pPr>
          </w:p>
        </w:tc>
        <w:tc>
          <w:tcPr>
            <w:tcW w:w="2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4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2380" w:type="dxa"/>
            <w:vAlign w:val="bottom"/>
            <w:tcBorders>
              <w:right w:val="single" w:sz="8" w:color="BFBFBF"/>
            </w:tcBorders>
            <w:shd w:val="clear" w:color="auto" w:fill="BFBFBF"/>
          </w:tcPr>
          <w:p>
            <w:pPr>
              <w:spacing w:after="0"/>
              <w:rPr>
                <w:sz w:val="23"/>
                <w:szCs w:val="23"/>
                <w:color w:val="auto"/>
              </w:rPr>
            </w:pPr>
          </w:p>
        </w:tc>
        <w:tc>
          <w:tcPr>
            <w:tcW w:w="1120" w:type="dxa"/>
            <w:vAlign w:val="bottom"/>
            <w:tcBorders>
              <w:right w:val="single" w:sz="8" w:color="BFBFBF"/>
            </w:tcBorders>
            <w:shd w:val="clear" w:color="auto" w:fill="BFBFBF"/>
          </w:tcPr>
          <w:p>
            <w:pPr>
              <w:spacing w:after="0"/>
              <w:rPr>
                <w:sz w:val="23"/>
                <w:szCs w:val="23"/>
                <w:color w:val="auto"/>
              </w:rPr>
            </w:pPr>
          </w:p>
        </w:tc>
        <w:tc>
          <w:tcPr>
            <w:tcW w:w="2860" w:type="dxa"/>
            <w:vAlign w:val="bottom"/>
            <w:shd w:val="clear" w:color="auto" w:fill="BFBFBF"/>
          </w:tcPr>
          <w:p>
            <w:pPr>
              <w:spacing w:after="0"/>
              <w:rPr>
                <w:sz w:val="23"/>
                <w:szCs w:val="23"/>
                <w:color w:val="auto"/>
              </w:rPr>
            </w:pPr>
          </w:p>
        </w:tc>
        <w:tc>
          <w:tcPr>
            <w:tcW w:w="220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380" w:type="dxa"/>
            <w:vAlign w:val="bottom"/>
            <w:tcBorders>
              <w:bottom w:val="single" w:sz="8" w:color="auto"/>
            </w:tcBorders>
            <w:gridSpan w:val="4"/>
            <w:shd w:val="clear" w:color="auto" w:fill="BFBFBF"/>
          </w:tcPr>
          <w:p>
            <w:pPr>
              <w:spacing w:after="0"/>
              <w:rPr>
                <w:sz w:val="24"/>
                <w:szCs w:val="24"/>
                <w:color w:val="auto"/>
              </w:rPr>
            </w:pPr>
          </w:p>
        </w:tc>
        <w:tc>
          <w:tcPr>
            <w:tcW w:w="220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8,323,821*</w:t>
            </w:r>
          </w:p>
        </w:tc>
        <w:tc>
          <w:tcPr>
            <w:tcW w:w="1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8,323,821*</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8,323,821*</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8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Borders>
              <w:right w:val="single" w:sz="8" w:color="auto"/>
            </w:tcBorders>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86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Page 3 of 21 Pages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76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rPr>
              <w:t>Viking Global Opportunities Parent GP LLC</w:t>
            </w: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7680" w:type="dxa"/>
            <w:vAlign w:val="bottom"/>
            <w:gridSpan w:val="7"/>
            <w:vMerge w:val="continue"/>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380" w:type="dxa"/>
            <w:vAlign w:val="bottom"/>
            <w:tcBorders>
              <w:right w:val="single" w:sz="8" w:color="BFBFBF"/>
            </w:tcBorders>
            <w:shd w:val="clear" w:color="auto" w:fill="BFBFBF"/>
          </w:tcPr>
          <w:p>
            <w:pPr>
              <w:spacing w:after="0"/>
              <w:rPr>
                <w:sz w:val="20"/>
                <w:szCs w:val="20"/>
                <w:color w:val="auto"/>
              </w:rPr>
            </w:pPr>
          </w:p>
        </w:tc>
        <w:tc>
          <w:tcPr>
            <w:tcW w:w="1120" w:type="dxa"/>
            <w:vAlign w:val="bottom"/>
            <w:tcBorders>
              <w:right w:val="single" w:sz="8" w:color="BFBFBF"/>
            </w:tcBorders>
            <w:shd w:val="clear" w:color="auto" w:fill="BFBFBF"/>
          </w:tcPr>
          <w:p>
            <w:pPr>
              <w:spacing w:after="0"/>
              <w:rPr>
                <w:sz w:val="20"/>
                <w:szCs w:val="20"/>
                <w:color w:val="auto"/>
              </w:rPr>
            </w:pPr>
          </w:p>
        </w:tc>
        <w:tc>
          <w:tcPr>
            <w:tcW w:w="2860" w:type="dxa"/>
            <w:vAlign w:val="bottom"/>
            <w:shd w:val="clear" w:color="auto" w:fill="BFBFBF"/>
          </w:tcPr>
          <w:p>
            <w:pPr>
              <w:spacing w:after="0"/>
              <w:rPr>
                <w:sz w:val="20"/>
                <w:szCs w:val="20"/>
                <w:color w:val="auto"/>
              </w:rPr>
            </w:pPr>
          </w:p>
        </w:tc>
        <w:tc>
          <w:tcPr>
            <w:tcW w:w="2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4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2380" w:type="dxa"/>
            <w:vAlign w:val="bottom"/>
            <w:tcBorders>
              <w:right w:val="single" w:sz="8" w:color="BFBFBF"/>
            </w:tcBorders>
            <w:shd w:val="clear" w:color="auto" w:fill="BFBFBF"/>
          </w:tcPr>
          <w:p>
            <w:pPr>
              <w:spacing w:after="0"/>
              <w:rPr>
                <w:sz w:val="23"/>
                <w:szCs w:val="23"/>
                <w:color w:val="auto"/>
              </w:rPr>
            </w:pPr>
          </w:p>
        </w:tc>
        <w:tc>
          <w:tcPr>
            <w:tcW w:w="1120" w:type="dxa"/>
            <w:vAlign w:val="bottom"/>
            <w:tcBorders>
              <w:right w:val="single" w:sz="8" w:color="BFBFBF"/>
            </w:tcBorders>
            <w:shd w:val="clear" w:color="auto" w:fill="BFBFBF"/>
          </w:tcPr>
          <w:p>
            <w:pPr>
              <w:spacing w:after="0"/>
              <w:rPr>
                <w:sz w:val="23"/>
                <w:szCs w:val="23"/>
                <w:color w:val="auto"/>
              </w:rPr>
            </w:pPr>
          </w:p>
        </w:tc>
        <w:tc>
          <w:tcPr>
            <w:tcW w:w="2860" w:type="dxa"/>
            <w:vAlign w:val="bottom"/>
            <w:shd w:val="clear" w:color="auto" w:fill="BFBFBF"/>
          </w:tcPr>
          <w:p>
            <w:pPr>
              <w:spacing w:after="0"/>
              <w:rPr>
                <w:sz w:val="23"/>
                <w:szCs w:val="23"/>
                <w:color w:val="auto"/>
              </w:rPr>
            </w:pPr>
          </w:p>
        </w:tc>
        <w:tc>
          <w:tcPr>
            <w:tcW w:w="220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380" w:type="dxa"/>
            <w:vAlign w:val="bottom"/>
            <w:tcBorders>
              <w:bottom w:val="single" w:sz="8" w:color="auto"/>
            </w:tcBorders>
            <w:gridSpan w:val="4"/>
            <w:shd w:val="clear" w:color="auto" w:fill="BFBFBF"/>
          </w:tcPr>
          <w:p>
            <w:pPr>
              <w:spacing w:after="0"/>
              <w:rPr>
                <w:sz w:val="24"/>
                <w:szCs w:val="24"/>
                <w:color w:val="auto"/>
              </w:rPr>
            </w:pPr>
          </w:p>
        </w:tc>
        <w:tc>
          <w:tcPr>
            <w:tcW w:w="220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8,323,821*</w:t>
            </w:r>
          </w:p>
        </w:tc>
        <w:tc>
          <w:tcPr>
            <w:tcW w:w="1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8,323,821*</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8,323,821*</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8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Borders>
              <w:right w:val="single" w:sz="8" w:color="auto"/>
            </w:tcBorders>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86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Page 4 of 21 Pages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76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rPr>
              <w:t>Viking Global Opportunities GP LLC</w:t>
            </w: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7680" w:type="dxa"/>
            <w:vAlign w:val="bottom"/>
            <w:gridSpan w:val="7"/>
            <w:vMerge w:val="continue"/>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380" w:type="dxa"/>
            <w:vAlign w:val="bottom"/>
            <w:tcBorders>
              <w:right w:val="single" w:sz="8" w:color="BFBFBF"/>
            </w:tcBorders>
            <w:shd w:val="clear" w:color="auto" w:fill="BFBFBF"/>
          </w:tcPr>
          <w:p>
            <w:pPr>
              <w:spacing w:after="0"/>
              <w:rPr>
                <w:sz w:val="20"/>
                <w:szCs w:val="20"/>
                <w:color w:val="auto"/>
              </w:rPr>
            </w:pPr>
          </w:p>
        </w:tc>
        <w:tc>
          <w:tcPr>
            <w:tcW w:w="1120" w:type="dxa"/>
            <w:vAlign w:val="bottom"/>
            <w:tcBorders>
              <w:right w:val="single" w:sz="8" w:color="BFBFBF"/>
            </w:tcBorders>
            <w:shd w:val="clear" w:color="auto" w:fill="BFBFBF"/>
          </w:tcPr>
          <w:p>
            <w:pPr>
              <w:spacing w:after="0"/>
              <w:rPr>
                <w:sz w:val="20"/>
                <w:szCs w:val="20"/>
                <w:color w:val="auto"/>
              </w:rPr>
            </w:pPr>
          </w:p>
        </w:tc>
        <w:tc>
          <w:tcPr>
            <w:tcW w:w="2860" w:type="dxa"/>
            <w:vAlign w:val="bottom"/>
            <w:shd w:val="clear" w:color="auto" w:fill="BFBFBF"/>
          </w:tcPr>
          <w:p>
            <w:pPr>
              <w:spacing w:after="0"/>
              <w:rPr>
                <w:sz w:val="20"/>
                <w:szCs w:val="20"/>
                <w:color w:val="auto"/>
              </w:rPr>
            </w:pPr>
          </w:p>
        </w:tc>
        <w:tc>
          <w:tcPr>
            <w:tcW w:w="2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4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2380" w:type="dxa"/>
            <w:vAlign w:val="bottom"/>
            <w:tcBorders>
              <w:right w:val="single" w:sz="8" w:color="BFBFBF"/>
            </w:tcBorders>
            <w:shd w:val="clear" w:color="auto" w:fill="BFBFBF"/>
          </w:tcPr>
          <w:p>
            <w:pPr>
              <w:spacing w:after="0"/>
              <w:rPr>
                <w:sz w:val="23"/>
                <w:szCs w:val="23"/>
                <w:color w:val="auto"/>
              </w:rPr>
            </w:pPr>
          </w:p>
        </w:tc>
        <w:tc>
          <w:tcPr>
            <w:tcW w:w="1120" w:type="dxa"/>
            <w:vAlign w:val="bottom"/>
            <w:tcBorders>
              <w:right w:val="single" w:sz="8" w:color="BFBFBF"/>
            </w:tcBorders>
            <w:shd w:val="clear" w:color="auto" w:fill="BFBFBF"/>
          </w:tcPr>
          <w:p>
            <w:pPr>
              <w:spacing w:after="0"/>
              <w:rPr>
                <w:sz w:val="23"/>
                <w:szCs w:val="23"/>
                <w:color w:val="auto"/>
              </w:rPr>
            </w:pPr>
          </w:p>
        </w:tc>
        <w:tc>
          <w:tcPr>
            <w:tcW w:w="2860" w:type="dxa"/>
            <w:vAlign w:val="bottom"/>
            <w:shd w:val="clear" w:color="auto" w:fill="BFBFBF"/>
          </w:tcPr>
          <w:p>
            <w:pPr>
              <w:spacing w:after="0"/>
              <w:rPr>
                <w:sz w:val="23"/>
                <w:szCs w:val="23"/>
                <w:color w:val="auto"/>
              </w:rPr>
            </w:pPr>
          </w:p>
        </w:tc>
        <w:tc>
          <w:tcPr>
            <w:tcW w:w="220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380" w:type="dxa"/>
            <w:vAlign w:val="bottom"/>
            <w:tcBorders>
              <w:bottom w:val="single" w:sz="8" w:color="auto"/>
            </w:tcBorders>
            <w:gridSpan w:val="4"/>
            <w:shd w:val="clear" w:color="auto" w:fill="BFBFBF"/>
          </w:tcPr>
          <w:p>
            <w:pPr>
              <w:spacing w:after="0"/>
              <w:rPr>
                <w:sz w:val="24"/>
                <w:szCs w:val="24"/>
                <w:color w:val="auto"/>
              </w:rPr>
            </w:pPr>
          </w:p>
        </w:tc>
        <w:tc>
          <w:tcPr>
            <w:tcW w:w="220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5,577,057*</w:t>
            </w:r>
          </w:p>
        </w:tc>
        <w:tc>
          <w:tcPr>
            <w:tcW w:w="1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5,577,057*</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5,577,057*</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8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Borders>
              <w:right w:val="single" w:sz="8" w:color="auto"/>
            </w:tcBorders>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86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Page 5 of 21 Pages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76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rPr>
              <w:t>Viking Global Opportunities Portfolio GP LLC</w:t>
            </w: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7680" w:type="dxa"/>
            <w:vAlign w:val="bottom"/>
            <w:gridSpan w:val="7"/>
            <w:vMerge w:val="continue"/>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380" w:type="dxa"/>
            <w:vAlign w:val="bottom"/>
            <w:tcBorders>
              <w:right w:val="single" w:sz="8" w:color="BFBFBF"/>
            </w:tcBorders>
            <w:shd w:val="clear" w:color="auto" w:fill="BFBFBF"/>
          </w:tcPr>
          <w:p>
            <w:pPr>
              <w:spacing w:after="0"/>
              <w:rPr>
                <w:sz w:val="20"/>
                <w:szCs w:val="20"/>
                <w:color w:val="auto"/>
              </w:rPr>
            </w:pPr>
          </w:p>
        </w:tc>
        <w:tc>
          <w:tcPr>
            <w:tcW w:w="1120" w:type="dxa"/>
            <w:vAlign w:val="bottom"/>
            <w:tcBorders>
              <w:right w:val="single" w:sz="8" w:color="BFBFBF"/>
            </w:tcBorders>
            <w:shd w:val="clear" w:color="auto" w:fill="BFBFBF"/>
          </w:tcPr>
          <w:p>
            <w:pPr>
              <w:spacing w:after="0"/>
              <w:rPr>
                <w:sz w:val="20"/>
                <w:szCs w:val="20"/>
                <w:color w:val="auto"/>
              </w:rPr>
            </w:pPr>
          </w:p>
        </w:tc>
        <w:tc>
          <w:tcPr>
            <w:tcW w:w="2860" w:type="dxa"/>
            <w:vAlign w:val="bottom"/>
            <w:shd w:val="clear" w:color="auto" w:fill="BFBFBF"/>
          </w:tcPr>
          <w:p>
            <w:pPr>
              <w:spacing w:after="0"/>
              <w:rPr>
                <w:sz w:val="20"/>
                <w:szCs w:val="20"/>
                <w:color w:val="auto"/>
              </w:rPr>
            </w:pPr>
          </w:p>
        </w:tc>
        <w:tc>
          <w:tcPr>
            <w:tcW w:w="2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4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2380" w:type="dxa"/>
            <w:vAlign w:val="bottom"/>
            <w:tcBorders>
              <w:right w:val="single" w:sz="8" w:color="BFBFBF"/>
            </w:tcBorders>
            <w:shd w:val="clear" w:color="auto" w:fill="BFBFBF"/>
          </w:tcPr>
          <w:p>
            <w:pPr>
              <w:spacing w:after="0"/>
              <w:rPr>
                <w:sz w:val="23"/>
                <w:szCs w:val="23"/>
                <w:color w:val="auto"/>
              </w:rPr>
            </w:pPr>
          </w:p>
        </w:tc>
        <w:tc>
          <w:tcPr>
            <w:tcW w:w="1120" w:type="dxa"/>
            <w:vAlign w:val="bottom"/>
            <w:tcBorders>
              <w:right w:val="single" w:sz="8" w:color="BFBFBF"/>
            </w:tcBorders>
            <w:shd w:val="clear" w:color="auto" w:fill="BFBFBF"/>
          </w:tcPr>
          <w:p>
            <w:pPr>
              <w:spacing w:after="0"/>
              <w:rPr>
                <w:sz w:val="23"/>
                <w:szCs w:val="23"/>
                <w:color w:val="auto"/>
              </w:rPr>
            </w:pPr>
          </w:p>
        </w:tc>
        <w:tc>
          <w:tcPr>
            <w:tcW w:w="2860" w:type="dxa"/>
            <w:vAlign w:val="bottom"/>
            <w:shd w:val="clear" w:color="auto" w:fill="BFBFBF"/>
          </w:tcPr>
          <w:p>
            <w:pPr>
              <w:spacing w:after="0"/>
              <w:rPr>
                <w:sz w:val="23"/>
                <w:szCs w:val="23"/>
                <w:color w:val="auto"/>
              </w:rPr>
            </w:pPr>
          </w:p>
        </w:tc>
        <w:tc>
          <w:tcPr>
            <w:tcW w:w="220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380" w:type="dxa"/>
            <w:vAlign w:val="bottom"/>
            <w:tcBorders>
              <w:bottom w:val="single" w:sz="8" w:color="auto"/>
            </w:tcBorders>
            <w:gridSpan w:val="4"/>
            <w:shd w:val="clear" w:color="auto" w:fill="BFBFBF"/>
          </w:tcPr>
          <w:p>
            <w:pPr>
              <w:spacing w:after="0"/>
              <w:rPr>
                <w:sz w:val="24"/>
                <w:szCs w:val="24"/>
                <w:color w:val="auto"/>
              </w:rPr>
            </w:pPr>
          </w:p>
        </w:tc>
        <w:tc>
          <w:tcPr>
            <w:tcW w:w="220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5,577,057*</w:t>
            </w:r>
          </w:p>
        </w:tc>
        <w:tc>
          <w:tcPr>
            <w:tcW w:w="1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5,577,057*</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5,577,057*</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8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Borders>
              <w:right w:val="single" w:sz="8" w:color="auto"/>
            </w:tcBorders>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86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Page 6 of 21 Pages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76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rPr>
              <w:t>Viking Global Opportunities Illiquid Investments Sub-Master LP</w:t>
            </w: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7680" w:type="dxa"/>
            <w:vAlign w:val="bottom"/>
            <w:gridSpan w:val="7"/>
            <w:vMerge w:val="continue"/>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380" w:type="dxa"/>
            <w:vAlign w:val="bottom"/>
            <w:tcBorders>
              <w:right w:val="single" w:sz="8" w:color="BFBFBF"/>
            </w:tcBorders>
            <w:shd w:val="clear" w:color="auto" w:fill="BFBFBF"/>
          </w:tcPr>
          <w:p>
            <w:pPr>
              <w:spacing w:after="0"/>
              <w:rPr>
                <w:sz w:val="20"/>
                <w:szCs w:val="20"/>
                <w:color w:val="auto"/>
              </w:rPr>
            </w:pPr>
          </w:p>
        </w:tc>
        <w:tc>
          <w:tcPr>
            <w:tcW w:w="1120" w:type="dxa"/>
            <w:vAlign w:val="bottom"/>
            <w:tcBorders>
              <w:right w:val="single" w:sz="8" w:color="BFBFBF"/>
            </w:tcBorders>
            <w:shd w:val="clear" w:color="auto" w:fill="BFBFBF"/>
          </w:tcPr>
          <w:p>
            <w:pPr>
              <w:spacing w:after="0"/>
              <w:rPr>
                <w:sz w:val="20"/>
                <w:szCs w:val="20"/>
                <w:color w:val="auto"/>
              </w:rPr>
            </w:pPr>
          </w:p>
        </w:tc>
        <w:tc>
          <w:tcPr>
            <w:tcW w:w="2860" w:type="dxa"/>
            <w:vAlign w:val="bottom"/>
            <w:shd w:val="clear" w:color="auto" w:fill="BFBFBF"/>
          </w:tcPr>
          <w:p>
            <w:pPr>
              <w:spacing w:after="0"/>
              <w:rPr>
                <w:sz w:val="20"/>
                <w:szCs w:val="20"/>
                <w:color w:val="auto"/>
              </w:rPr>
            </w:pPr>
          </w:p>
        </w:tc>
        <w:tc>
          <w:tcPr>
            <w:tcW w:w="2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4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2380" w:type="dxa"/>
            <w:vAlign w:val="bottom"/>
            <w:tcBorders>
              <w:right w:val="single" w:sz="8" w:color="BFBFBF"/>
            </w:tcBorders>
            <w:shd w:val="clear" w:color="auto" w:fill="BFBFBF"/>
          </w:tcPr>
          <w:p>
            <w:pPr>
              <w:spacing w:after="0"/>
              <w:rPr>
                <w:sz w:val="23"/>
                <w:szCs w:val="23"/>
                <w:color w:val="auto"/>
              </w:rPr>
            </w:pPr>
          </w:p>
        </w:tc>
        <w:tc>
          <w:tcPr>
            <w:tcW w:w="1120" w:type="dxa"/>
            <w:vAlign w:val="bottom"/>
            <w:tcBorders>
              <w:right w:val="single" w:sz="8" w:color="BFBFBF"/>
            </w:tcBorders>
            <w:shd w:val="clear" w:color="auto" w:fill="BFBFBF"/>
          </w:tcPr>
          <w:p>
            <w:pPr>
              <w:spacing w:after="0"/>
              <w:rPr>
                <w:sz w:val="23"/>
                <w:szCs w:val="23"/>
                <w:color w:val="auto"/>
              </w:rPr>
            </w:pPr>
          </w:p>
        </w:tc>
        <w:tc>
          <w:tcPr>
            <w:tcW w:w="2860" w:type="dxa"/>
            <w:vAlign w:val="bottom"/>
            <w:shd w:val="clear" w:color="auto" w:fill="BFBFBF"/>
          </w:tcPr>
          <w:p>
            <w:pPr>
              <w:spacing w:after="0"/>
              <w:rPr>
                <w:sz w:val="23"/>
                <w:szCs w:val="23"/>
                <w:color w:val="auto"/>
              </w:rPr>
            </w:pPr>
          </w:p>
        </w:tc>
        <w:tc>
          <w:tcPr>
            <w:tcW w:w="220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380" w:type="dxa"/>
            <w:vAlign w:val="bottom"/>
            <w:tcBorders>
              <w:bottom w:val="single" w:sz="8" w:color="auto"/>
            </w:tcBorders>
            <w:gridSpan w:val="4"/>
            <w:shd w:val="clear" w:color="auto" w:fill="BFBFBF"/>
          </w:tcPr>
          <w:p>
            <w:pPr>
              <w:spacing w:after="0"/>
              <w:rPr>
                <w:sz w:val="24"/>
                <w:szCs w:val="24"/>
                <w:color w:val="auto"/>
              </w:rPr>
            </w:pPr>
          </w:p>
        </w:tc>
        <w:tc>
          <w:tcPr>
            <w:tcW w:w="220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5,577,057*</w:t>
            </w:r>
          </w:p>
        </w:tc>
        <w:tc>
          <w:tcPr>
            <w:tcW w:w="1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5,577,057*</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5,577,057*</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8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Borders>
              <w:right w:val="single" w:sz="8" w:color="auto"/>
            </w:tcBorders>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86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Page 7 of 21 Pages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76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rPr>
              <w:t>Viking Global Opportunities Drawdown GP LLC</w:t>
            </w: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7680" w:type="dxa"/>
            <w:vAlign w:val="bottom"/>
            <w:gridSpan w:val="7"/>
            <w:vMerge w:val="continue"/>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380" w:type="dxa"/>
            <w:vAlign w:val="bottom"/>
            <w:tcBorders>
              <w:right w:val="single" w:sz="8" w:color="BFBFBF"/>
            </w:tcBorders>
            <w:shd w:val="clear" w:color="auto" w:fill="BFBFBF"/>
          </w:tcPr>
          <w:p>
            <w:pPr>
              <w:spacing w:after="0"/>
              <w:rPr>
                <w:sz w:val="20"/>
                <w:szCs w:val="20"/>
                <w:color w:val="auto"/>
              </w:rPr>
            </w:pPr>
          </w:p>
        </w:tc>
        <w:tc>
          <w:tcPr>
            <w:tcW w:w="1120" w:type="dxa"/>
            <w:vAlign w:val="bottom"/>
            <w:tcBorders>
              <w:right w:val="single" w:sz="8" w:color="BFBFBF"/>
            </w:tcBorders>
            <w:shd w:val="clear" w:color="auto" w:fill="BFBFBF"/>
          </w:tcPr>
          <w:p>
            <w:pPr>
              <w:spacing w:after="0"/>
              <w:rPr>
                <w:sz w:val="20"/>
                <w:szCs w:val="20"/>
                <w:color w:val="auto"/>
              </w:rPr>
            </w:pPr>
          </w:p>
        </w:tc>
        <w:tc>
          <w:tcPr>
            <w:tcW w:w="2860" w:type="dxa"/>
            <w:vAlign w:val="bottom"/>
            <w:shd w:val="clear" w:color="auto" w:fill="BFBFBF"/>
          </w:tcPr>
          <w:p>
            <w:pPr>
              <w:spacing w:after="0"/>
              <w:rPr>
                <w:sz w:val="20"/>
                <w:szCs w:val="20"/>
                <w:color w:val="auto"/>
              </w:rPr>
            </w:pPr>
          </w:p>
        </w:tc>
        <w:tc>
          <w:tcPr>
            <w:tcW w:w="2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4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2380" w:type="dxa"/>
            <w:vAlign w:val="bottom"/>
            <w:tcBorders>
              <w:right w:val="single" w:sz="8" w:color="BFBFBF"/>
            </w:tcBorders>
            <w:shd w:val="clear" w:color="auto" w:fill="BFBFBF"/>
          </w:tcPr>
          <w:p>
            <w:pPr>
              <w:spacing w:after="0"/>
              <w:rPr>
                <w:sz w:val="23"/>
                <w:szCs w:val="23"/>
                <w:color w:val="auto"/>
              </w:rPr>
            </w:pPr>
          </w:p>
        </w:tc>
        <w:tc>
          <w:tcPr>
            <w:tcW w:w="1120" w:type="dxa"/>
            <w:vAlign w:val="bottom"/>
            <w:tcBorders>
              <w:right w:val="single" w:sz="8" w:color="BFBFBF"/>
            </w:tcBorders>
            <w:shd w:val="clear" w:color="auto" w:fill="BFBFBF"/>
          </w:tcPr>
          <w:p>
            <w:pPr>
              <w:spacing w:after="0"/>
              <w:rPr>
                <w:sz w:val="23"/>
                <w:szCs w:val="23"/>
                <w:color w:val="auto"/>
              </w:rPr>
            </w:pPr>
          </w:p>
        </w:tc>
        <w:tc>
          <w:tcPr>
            <w:tcW w:w="2860" w:type="dxa"/>
            <w:vAlign w:val="bottom"/>
            <w:shd w:val="clear" w:color="auto" w:fill="BFBFBF"/>
          </w:tcPr>
          <w:p>
            <w:pPr>
              <w:spacing w:after="0"/>
              <w:rPr>
                <w:sz w:val="23"/>
                <w:szCs w:val="23"/>
                <w:color w:val="auto"/>
              </w:rPr>
            </w:pPr>
          </w:p>
        </w:tc>
        <w:tc>
          <w:tcPr>
            <w:tcW w:w="220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380" w:type="dxa"/>
            <w:vAlign w:val="bottom"/>
            <w:tcBorders>
              <w:bottom w:val="single" w:sz="8" w:color="auto"/>
            </w:tcBorders>
            <w:gridSpan w:val="4"/>
            <w:shd w:val="clear" w:color="auto" w:fill="BFBFBF"/>
          </w:tcPr>
          <w:p>
            <w:pPr>
              <w:spacing w:after="0"/>
              <w:rPr>
                <w:sz w:val="24"/>
                <w:szCs w:val="24"/>
                <w:color w:val="auto"/>
              </w:rPr>
            </w:pPr>
          </w:p>
        </w:tc>
        <w:tc>
          <w:tcPr>
            <w:tcW w:w="220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2,746,764*</w:t>
            </w:r>
          </w:p>
        </w:tc>
        <w:tc>
          <w:tcPr>
            <w:tcW w:w="1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2,746,764*</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2,746,764*</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8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Borders>
              <w:right w:val="single" w:sz="8" w:color="auto"/>
            </w:tcBorders>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86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Page 8 of 21 Pages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76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rPr>
              <w:t>Viking Global Opportunities Drawdown Portfolio GP LLC</w:t>
            </w: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7680" w:type="dxa"/>
            <w:vAlign w:val="bottom"/>
            <w:gridSpan w:val="7"/>
            <w:vMerge w:val="continue"/>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380" w:type="dxa"/>
            <w:vAlign w:val="bottom"/>
            <w:tcBorders>
              <w:right w:val="single" w:sz="8" w:color="BFBFBF"/>
            </w:tcBorders>
            <w:shd w:val="clear" w:color="auto" w:fill="BFBFBF"/>
          </w:tcPr>
          <w:p>
            <w:pPr>
              <w:spacing w:after="0"/>
              <w:rPr>
                <w:sz w:val="20"/>
                <w:szCs w:val="20"/>
                <w:color w:val="auto"/>
              </w:rPr>
            </w:pPr>
          </w:p>
        </w:tc>
        <w:tc>
          <w:tcPr>
            <w:tcW w:w="1120" w:type="dxa"/>
            <w:vAlign w:val="bottom"/>
            <w:tcBorders>
              <w:right w:val="single" w:sz="8" w:color="BFBFBF"/>
            </w:tcBorders>
            <w:shd w:val="clear" w:color="auto" w:fill="BFBFBF"/>
          </w:tcPr>
          <w:p>
            <w:pPr>
              <w:spacing w:after="0"/>
              <w:rPr>
                <w:sz w:val="20"/>
                <w:szCs w:val="20"/>
                <w:color w:val="auto"/>
              </w:rPr>
            </w:pPr>
          </w:p>
        </w:tc>
        <w:tc>
          <w:tcPr>
            <w:tcW w:w="2860" w:type="dxa"/>
            <w:vAlign w:val="bottom"/>
            <w:shd w:val="clear" w:color="auto" w:fill="BFBFBF"/>
          </w:tcPr>
          <w:p>
            <w:pPr>
              <w:spacing w:after="0"/>
              <w:rPr>
                <w:sz w:val="20"/>
                <w:szCs w:val="20"/>
                <w:color w:val="auto"/>
              </w:rPr>
            </w:pPr>
          </w:p>
        </w:tc>
        <w:tc>
          <w:tcPr>
            <w:tcW w:w="2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4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2380" w:type="dxa"/>
            <w:vAlign w:val="bottom"/>
            <w:tcBorders>
              <w:right w:val="single" w:sz="8" w:color="BFBFBF"/>
            </w:tcBorders>
            <w:shd w:val="clear" w:color="auto" w:fill="BFBFBF"/>
          </w:tcPr>
          <w:p>
            <w:pPr>
              <w:spacing w:after="0"/>
              <w:rPr>
                <w:sz w:val="23"/>
                <w:szCs w:val="23"/>
                <w:color w:val="auto"/>
              </w:rPr>
            </w:pPr>
          </w:p>
        </w:tc>
        <w:tc>
          <w:tcPr>
            <w:tcW w:w="1120" w:type="dxa"/>
            <w:vAlign w:val="bottom"/>
            <w:tcBorders>
              <w:right w:val="single" w:sz="8" w:color="BFBFBF"/>
            </w:tcBorders>
            <w:shd w:val="clear" w:color="auto" w:fill="BFBFBF"/>
          </w:tcPr>
          <w:p>
            <w:pPr>
              <w:spacing w:after="0"/>
              <w:rPr>
                <w:sz w:val="23"/>
                <w:szCs w:val="23"/>
                <w:color w:val="auto"/>
              </w:rPr>
            </w:pPr>
          </w:p>
        </w:tc>
        <w:tc>
          <w:tcPr>
            <w:tcW w:w="2860" w:type="dxa"/>
            <w:vAlign w:val="bottom"/>
            <w:shd w:val="clear" w:color="auto" w:fill="BFBFBF"/>
          </w:tcPr>
          <w:p>
            <w:pPr>
              <w:spacing w:after="0"/>
              <w:rPr>
                <w:sz w:val="23"/>
                <w:szCs w:val="23"/>
                <w:color w:val="auto"/>
              </w:rPr>
            </w:pPr>
          </w:p>
        </w:tc>
        <w:tc>
          <w:tcPr>
            <w:tcW w:w="220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380" w:type="dxa"/>
            <w:vAlign w:val="bottom"/>
            <w:tcBorders>
              <w:bottom w:val="single" w:sz="8" w:color="auto"/>
            </w:tcBorders>
            <w:gridSpan w:val="4"/>
            <w:shd w:val="clear" w:color="auto" w:fill="BFBFBF"/>
          </w:tcPr>
          <w:p>
            <w:pPr>
              <w:spacing w:after="0"/>
              <w:rPr>
                <w:sz w:val="24"/>
                <w:szCs w:val="24"/>
                <w:color w:val="auto"/>
              </w:rPr>
            </w:pPr>
          </w:p>
        </w:tc>
        <w:tc>
          <w:tcPr>
            <w:tcW w:w="220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2,746,764*</w:t>
            </w:r>
          </w:p>
        </w:tc>
        <w:tc>
          <w:tcPr>
            <w:tcW w:w="1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2,746,764*</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2,746,764*</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8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Borders>
              <w:right w:val="single" w:sz="8" w:color="auto"/>
            </w:tcBorders>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86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Page 9 of 21 Pages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gridSpan w:val="7"/>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76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rPr>
              <w:t>Viking Global Opportunities Drawdown (Aggregator) LP</w:t>
            </w: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7680" w:type="dxa"/>
            <w:vAlign w:val="bottom"/>
            <w:gridSpan w:val="7"/>
            <w:vMerge w:val="continue"/>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7680" w:type="dxa"/>
            <w:vAlign w:val="bottom"/>
            <w:tcBorders>
              <w:bottom w:val="single" w:sz="8" w:color="auto"/>
            </w:tcBorders>
            <w:gridSpan w:val="7"/>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380" w:type="dxa"/>
            <w:vAlign w:val="bottom"/>
            <w:tcBorders>
              <w:right w:val="single" w:sz="8" w:color="BFBFBF"/>
            </w:tcBorders>
            <w:shd w:val="clear" w:color="auto" w:fill="BFBFBF"/>
          </w:tcPr>
          <w:p>
            <w:pPr>
              <w:spacing w:after="0"/>
              <w:rPr>
                <w:sz w:val="20"/>
                <w:szCs w:val="20"/>
                <w:color w:val="auto"/>
              </w:rPr>
            </w:pPr>
          </w:p>
        </w:tc>
        <w:tc>
          <w:tcPr>
            <w:tcW w:w="1120" w:type="dxa"/>
            <w:vAlign w:val="bottom"/>
            <w:tcBorders>
              <w:right w:val="single" w:sz="8" w:color="BFBFBF"/>
            </w:tcBorders>
            <w:shd w:val="clear" w:color="auto" w:fill="BFBFBF"/>
          </w:tcPr>
          <w:p>
            <w:pPr>
              <w:spacing w:after="0"/>
              <w:rPr>
                <w:sz w:val="20"/>
                <w:szCs w:val="20"/>
                <w:color w:val="auto"/>
              </w:rPr>
            </w:pPr>
          </w:p>
        </w:tc>
        <w:tc>
          <w:tcPr>
            <w:tcW w:w="2860" w:type="dxa"/>
            <w:vAlign w:val="bottom"/>
            <w:shd w:val="clear" w:color="auto" w:fill="BFBFBF"/>
          </w:tcPr>
          <w:p>
            <w:pPr>
              <w:spacing w:after="0"/>
              <w:rPr>
                <w:sz w:val="20"/>
                <w:szCs w:val="20"/>
                <w:color w:val="auto"/>
              </w:rPr>
            </w:pPr>
          </w:p>
        </w:tc>
        <w:tc>
          <w:tcPr>
            <w:tcW w:w="22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4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2380" w:type="dxa"/>
            <w:vAlign w:val="bottom"/>
            <w:tcBorders>
              <w:right w:val="single" w:sz="8" w:color="BFBFBF"/>
            </w:tcBorders>
            <w:shd w:val="clear" w:color="auto" w:fill="BFBFBF"/>
          </w:tcPr>
          <w:p>
            <w:pPr>
              <w:spacing w:after="0"/>
              <w:rPr>
                <w:sz w:val="23"/>
                <w:szCs w:val="23"/>
                <w:color w:val="auto"/>
              </w:rPr>
            </w:pPr>
          </w:p>
        </w:tc>
        <w:tc>
          <w:tcPr>
            <w:tcW w:w="1120" w:type="dxa"/>
            <w:vAlign w:val="bottom"/>
            <w:tcBorders>
              <w:right w:val="single" w:sz="8" w:color="BFBFBF"/>
            </w:tcBorders>
            <w:shd w:val="clear" w:color="auto" w:fill="BFBFBF"/>
          </w:tcPr>
          <w:p>
            <w:pPr>
              <w:spacing w:after="0"/>
              <w:rPr>
                <w:sz w:val="23"/>
                <w:szCs w:val="23"/>
                <w:color w:val="auto"/>
              </w:rPr>
            </w:pPr>
          </w:p>
        </w:tc>
        <w:tc>
          <w:tcPr>
            <w:tcW w:w="2860" w:type="dxa"/>
            <w:vAlign w:val="bottom"/>
            <w:shd w:val="clear" w:color="auto" w:fill="BFBFBF"/>
          </w:tcPr>
          <w:p>
            <w:pPr>
              <w:spacing w:after="0"/>
              <w:rPr>
                <w:sz w:val="23"/>
                <w:szCs w:val="23"/>
                <w:color w:val="auto"/>
              </w:rPr>
            </w:pPr>
          </w:p>
        </w:tc>
        <w:tc>
          <w:tcPr>
            <w:tcW w:w="220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380" w:type="dxa"/>
            <w:vAlign w:val="bottom"/>
            <w:tcBorders>
              <w:bottom w:val="single" w:sz="8" w:color="auto"/>
            </w:tcBorders>
            <w:gridSpan w:val="4"/>
            <w:shd w:val="clear" w:color="auto" w:fill="BFBFBF"/>
          </w:tcPr>
          <w:p>
            <w:pPr>
              <w:spacing w:after="0"/>
              <w:rPr>
                <w:sz w:val="24"/>
                <w:szCs w:val="24"/>
                <w:color w:val="auto"/>
              </w:rPr>
            </w:pPr>
          </w:p>
        </w:tc>
        <w:tc>
          <w:tcPr>
            <w:tcW w:w="220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2,746,764*</w:t>
            </w:r>
          </w:p>
        </w:tc>
        <w:tc>
          <w:tcPr>
            <w:tcW w:w="1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6360" w:type="dxa"/>
            <w:vAlign w:val="bottom"/>
            <w:gridSpan w:val="3"/>
            <w:vMerge w:val="continue"/>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gridSpan w:val="3"/>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2,746,764*</w:t>
            </w: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2,746,764*</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8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Borders>
              <w:right w:val="single" w:sz="8" w:color="auto"/>
            </w:tcBorders>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80" w:type="dxa"/>
            <w:vAlign w:val="bottom"/>
            <w:tcBorders>
              <w:bottom w:val="single" w:sz="8" w:color="auto"/>
            </w:tcBorders>
            <w:gridSpan w:val="4"/>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80" w:type="dxa"/>
            <w:vAlign w:val="bottom"/>
            <w:tcBorders>
              <w:bottom w:val="single" w:sz="8" w:color="auto"/>
            </w:tcBorders>
            <w:gridSpan w:val="4"/>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82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Page 10 of 21 Pages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7640" w:type="dxa"/>
            <w:vAlign w:val="bottom"/>
            <w:tcBorders>
              <w:bottom w:val="single" w:sz="8" w:color="auto"/>
            </w:tcBorders>
            <w:gridSpan w:val="7"/>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764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rPr>
              <w:t>O. Andreas Halvorsen</w:t>
            </w: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7640" w:type="dxa"/>
            <w:vAlign w:val="bottom"/>
            <w:gridSpan w:val="7"/>
            <w:vMerge w:val="continue"/>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7640" w:type="dxa"/>
            <w:vAlign w:val="bottom"/>
            <w:tcBorders>
              <w:bottom w:val="single" w:sz="8" w:color="auto"/>
            </w:tcBorders>
            <w:gridSpan w:val="7"/>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380" w:type="dxa"/>
            <w:vAlign w:val="bottom"/>
            <w:tcBorders>
              <w:right w:val="single" w:sz="8" w:color="BFBFBF"/>
            </w:tcBorders>
            <w:shd w:val="clear" w:color="auto" w:fill="BFBFBF"/>
          </w:tcPr>
          <w:p>
            <w:pPr>
              <w:spacing w:after="0"/>
              <w:rPr>
                <w:sz w:val="20"/>
                <w:szCs w:val="20"/>
                <w:color w:val="auto"/>
              </w:rPr>
            </w:pPr>
          </w:p>
        </w:tc>
        <w:tc>
          <w:tcPr>
            <w:tcW w:w="1120" w:type="dxa"/>
            <w:vAlign w:val="bottom"/>
            <w:tcBorders>
              <w:right w:val="single" w:sz="8" w:color="BFBFBF"/>
            </w:tcBorders>
            <w:shd w:val="clear" w:color="auto" w:fill="BFBFBF"/>
          </w:tcPr>
          <w:p>
            <w:pPr>
              <w:spacing w:after="0"/>
              <w:rPr>
                <w:sz w:val="20"/>
                <w:szCs w:val="20"/>
                <w:color w:val="auto"/>
              </w:rPr>
            </w:pPr>
          </w:p>
        </w:tc>
        <w:tc>
          <w:tcPr>
            <w:tcW w:w="2820" w:type="dxa"/>
            <w:vAlign w:val="bottom"/>
            <w:shd w:val="clear" w:color="auto" w:fill="BFBFBF"/>
          </w:tcPr>
          <w:p>
            <w:pPr>
              <w:spacing w:after="0"/>
              <w:rPr>
                <w:sz w:val="20"/>
                <w:szCs w:val="20"/>
                <w:color w:val="auto"/>
              </w:rPr>
            </w:pPr>
          </w:p>
        </w:tc>
        <w:tc>
          <w:tcPr>
            <w:tcW w:w="2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4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2380" w:type="dxa"/>
            <w:vAlign w:val="bottom"/>
            <w:tcBorders>
              <w:right w:val="single" w:sz="8" w:color="BFBFBF"/>
            </w:tcBorders>
            <w:shd w:val="clear" w:color="auto" w:fill="BFBFBF"/>
          </w:tcPr>
          <w:p>
            <w:pPr>
              <w:spacing w:after="0"/>
              <w:rPr>
                <w:sz w:val="23"/>
                <w:szCs w:val="23"/>
                <w:color w:val="auto"/>
              </w:rPr>
            </w:pPr>
          </w:p>
        </w:tc>
        <w:tc>
          <w:tcPr>
            <w:tcW w:w="1120" w:type="dxa"/>
            <w:vAlign w:val="bottom"/>
            <w:tcBorders>
              <w:right w:val="single" w:sz="8" w:color="BFBFBF"/>
            </w:tcBorders>
            <w:shd w:val="clear" w:color="auto" w:fill="BFBFBF"/>
          </w:tcPr>
          <w:p>
            <w:pPr>
              <w:spacing w:after="0"/>
              <w:rPr>
                <w:sz w:val="23"/>
                <w:szCs w:val="23"/>
                <w:color w:val="auto"/>
              </w:rPr>
            </w:pPr>
          </w:p>
        </w:tc>
        <w:tc>
          <w:tcPr>
            <w:tcW w:w="2820" w:type="dxa"/>
            <w:vAlign w:val="bottom"/>
            <w:shd w:val="clear" w:color="auto" w:fill="BFBFBF"/>
          </w:tcPr>
          <w:p>
            <w:pPr>
              <w:spacing w:after="0"/>
              <w:rPr>
                <w:sz w:val="23"/>
                <w:szCs w:val="23"/>
                <w:color w:val="auto"/>
              </w:rPr>
            </w:pPr>
          </w:p>
        </w:tc>
        <w:tc>
          <w:tcPr>
            <w:tcW w:w="224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340" w:type="dxa"/>
            <w:vAlign w:val="bottom"/>
            <w:tcBorders>
              <w:bottom w:val="single" w:sz="8" w:color="auto"/>
            </w:tcBorders>
            <w:gridSpan w:val="4"/>
            <w:shd w:val="clear" w:color="auto" w:fill="BFBFBF"/>
          </w:tcPr>
          <w:p>
            <w:pPr>
              <w:spacing w:after="0"/>
              <w:rPr>
                <w:sz w:val="24"/>
                <w:szCs w:val="24"/>
                <w:color w:val="auto"/>
              </w:rPr>
            </w:pPr>
          </w:p>
        </w:tc>
        <w:tc>
          <w:tcPr>
            <w:tcW w:w="224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8,323,821*</w:t>
            </w:r>
          </w:p>
        </w:tc>
        <w:tc>
          <w:tcPr>
            <w:tcW w:w="1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6320" w:type="dxa"/>
            <w:vAlign w:val="bottom"/>
            <w:gridSpan w:val="3"/>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8,323,821*</w:t>
            </w: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8,323,821*</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8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Borders>
              <w:right w:val="single" w:sz="8" w:color="auto"/>
            </w:tcBorders>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40" w:type="dxa"/>
            <w:vAlign w:val="bottom"/>
            <w:tcBorders>
              <w:bottom w:val="single" w:sz="8" w:color="auto"/>
            </w:tcBorders>
            <w:gridSpan w:val="4"/>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82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Page 11 of 21 Pages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7640" w:type="dxa"/>
            <w:vAlign w:val="bottom"/>
            <w:tcBorders>
              <w:bottom w:val="single" w:sz="8" w:color="auto"/>
            </w:tcBorders>
            <w:gridSpan w:val="7"/>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David C. Ott</w:t>
            </w: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7640" w:type="dxa"/>
            <w:vAlign w:val="bottom"/>
            <w:tcBorders>
              <w:bottom w:val="single" w:sz="8" w:color="auto"/>
            </w:tcBorders>
            <w:gridSpan w:val="7"/>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380" w:type="dxa"/>
            <w:vAlign w:val="bottom"/>
            <w:tcBorders>
              <w:right w:val="single" w:sz="8" w:color="BFBFBF"/>
            </w:tcBorders>
            <w:shd w:val="clear" w:color="auto" w:fill="BFBFBF"/>
          </w:tcPr>
          <w:p>
            <w:pPr>
              <w:spacing w:after="0"/>
              <w:rPr>
                <w:sz w:val="20"/>
                <w:szCs w:val="20"/>
                <w:color w:val="auto"/>
              </w:rPr>
            </w:pPr>
          </w:p>
        </w:tc>
        <w:tc>
          <w:tcPr>
            <w:tcW w:w="1120" w:type="dxa"/>
            <w:vAlign w:val="bottom"/>
            <w:tcBorders>
              <w:right w:val="single" w:sz="8" w:color="BFBFBF"/>
            </w:tcBorders>
            <w:shd w:val="clear" w:color="auto" w:fill="BFBFBF"/>
          </w:tcPr>
          <w:p>
            <w:pPr>
              <w:spacing w:after="0"/>
              <w:rPr>
                <w:sz w:val="20"/>
                <w:szCs w:val="20"/>
                <w:color w:val="auto"/>
              </w:rPr>
            </w:pPr>
          </w:p>
        </w:tc>
        <w:tc>
          <w:tcPr>
            <w:tcW w:w="2820" w:type="dxa"/>
            <w:vAlign w:val="bottom"/>
            <w:shd w:val="clear" w:color="auto" w:fill="BFBFBF"/>
          </w:tcPr>
          <w:p>
            <w:pPr>
              <w:spacing w:after="0"/>
              <w:rPr>
                <w:sz w:val="20"/>
                <w:szCs w:val="20"/>
                <w:color w:val="auto"/>
              </w:rPr>
            </w:pPr>
          </w:p>
        </w:tc>
        <w:tc>
          <w:tcPr>
            <w:tcW w:w="2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4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2380" w:type="dxa"/>
            <w:vAlign w:val="bottom"/>
            <w:tcBorders>
              <w:right w:val="single" w:sz="8" w:color="BFBFBF"/>
            </w:tcBorders>
            <w:shd w:val="clear" w:color="auto" w:fill="BFBFBF"/>
          </w:tcPr>
          <w:p>
            <w:pPr>
              <w:spacing w:after="0"/>
              <w:rPr>
                <w:sz w:val="23"/>
                <w:szCs w:val="23"/>
                <w:color w:val="auto"/>
              </w:rPr>
            </w:pPr>
          </w:p>
        </w:tc>
        <w:tc>
          <w:tcPr>
            <w:tcW w:w="1120" w:type="dxa"/>
            <w:vAlign w:val="bottom"/>
            <w:tcBorders>
              <w:right w:val="single" w:sz="8" w:color="BFBFBF"/>
            </w:tcBorders>
            <w:shd w:val="clear" w:color="auto" w:fill="BFBFBF"/>
          </w:tcPr>
          <w:p>
            <w:pPr>
              <w:spacing w:after="0"/>
              <w:rPr>
                <w:sz w:val="23"/>
                <w:szCs w:val="23"/>
                <w:color w:val="auto"/>
              </w:rPr>
            </w:pPr>
          </w:p>
        </w:tc>
        <w:tc>
          <w:tcPr>
            <w:tcW w:w="2820" w:type="dxa"/>
            <w:vAlign w:val="bottom"/>
            <w:shd w:val="clear" w:color="auto" w:fill="BFBFBF"/>
          </w:tcPr>
          <w:p>
            <w:pPr>
              <w:spacing w:after="0"/>
              <w:rPr>
                <w:sz w:val="23"/>
                <w:szCs w:val="23"/>
                <w:color w:val="auto"/>
              </w:rPr>
            </w:pPr>
          </w:p>
        </w:tc>
        <w:tc>
          <w:tcPr>
            <w:tcW w:w="224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340" w:type="dxa"/>
            <w:vAlign w:val="bottom"/>
            <w:tcBorders>
              <w:bottom w:val="single" w:sz="8" w:color="auto"/>
            </w:tcBorders>
            <w:gridSpan w:val="4"/>
            <w:shd w:val="clear" w:color="auto" w:fill="BFBFBF"/>
          </w:tcPr>
          <w:p>
            <w:pPr>
              <w:spacing w:after="0"/>
              <w:rPr>
                <w:sz w:val="24"/>
                <w:szCs w:val="24"/>
                <w:color w:val="auto"/>
              </w:rPr>
            </w:pPr>
          </w:p>
        </w:tc>
        <w:tc>
          <w:tcPr>
            <w:tcW w:w="224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8,323,821*</w:t>
            </w:r>
          </w:p>
        </w:tc>
        <w:tc>
          <w:tcPr>
            <w:tcW w:w="1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6320" w:type="dxa"/>
            <w:vAlign w:val="bottom"/>
            <w:gridSpan w:val="3"/>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8,323,821*</w:t>
            </w: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8,323,821*</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8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Borders>
              <w:right w:val="single" w:sz="8" w:color="auto"/>
            </w:tcBorders>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40" w:type="dxa"/>
            <w:vAlign w:val="bottom"/>
            <w:tcBorders>
              <w:bottom w:val="single" w:sz="8" w:color="auto"/>
            </w:tcBorders>
            <w:gridSpan w:val="4"/>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224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82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Page 12 of 21 Pages</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7640" w:type="dxa"/>
            <w:vAlign w:val="bottom"/>
            <w:tcBorders>
              <w:bottom w:val="single" w:sz="8" w:color="auto"/>
            </w:tcBorders>
            <w:gridSpan w:val="7"/>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Rose S. Shabet</w:t>
            </w: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7640" w:type="dxa"/>
            <w:vAlign w:val="bottom"/>
            <w:tcBorders>
              <w:bottom w:val="single" w:sz="8" w:color="auto"/>
            </w:tcBorders>
            <w:gridSpan w:val="7"/>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2380" w:type="dxa"/>
            <w:vAlign w:val="bottom"/>
            <w:tcBorders>
              <w:right w:val="single" w:sz="8" w:color="BFBFBF"/>
            </w:tcBorders>
            <w:shd w:val="clear" w:color="auto" w:fill="BFBFBF"/>
          </w:tcPr>
          <w:p>
            <w:pPr>
              <w:spacing w:after="0"/>
              <w:rPr>
                <w:sz w:val="20"/>
                <w:szCs w:val="20"/>
                <w:color w:val="auto"/>
              </w:rPr>
            </w:pPr>
          </w:p>
        </w:tc>
        <w:tc>
          <w:tcPr>
            <w:tcW w:w="1120" w:type="dxa"/>
            <w:vAlign w:val="bottom"/>
            <w:tcBorders>
              <w:right w:val="single" w:sz="8" w:color="BFBFBF"/>
            </w:tcBorders>
            <w:shd w:val="clear" w:color="auto" w:fill="BFBFBF"/>
          </w:tcPr>
          <w:p>
            <w:pPr>
              <w:spacing w:after="0"/>
              <w:rPr>
                <w:sz w:val="20"/>
                <w:szCs w:val="20"/>
                <w:color w:val="auto"/>
              </w:rPr>
            </w:pPr>
          </w:p>
        </w:tc>
        <w:tc>
          <w:tcPr>
            <w:tcW w:w="2820" w:type="dxa"/>
            <w:vAlign w:val="bottom"/>
            <w:shd w:val="clear" w:color="auto" w:fill="BFBFBF"/>
          </w:tcPr>
          <w:p>
            <w:pPr>
              <w:spacing w:after="0"/>
              <w:rPr>
                <w:sz w:val="20"/>
                <w:szCs w:val="20"/>
                <w:color w:val="auto"/>
              </w:rPr>
            </w:pPr>
          </w:p>
        </w:tc>
        <w:tc>
          <w:tcPr>
            <w:tcW w:w="2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4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2380" w:type="dxa"/>
            <w:vAlign w:val="bottom"/>
            <w:tcBorders>
              <w:right w:val="single" w:sz="8" w:color="BFBFBF"/>
            </w:tcBorders>
            <w:shd w:val="clear" w:color="auto" w:fill="BFBFBF"/>
          </w:tcPr>
          <w:p>
            <w:pPr>
              <w:spacing w:after="0"/>
              <w:rPr>
                <w:sz w:val="23"/>
                <w:szCs w:val="23"/>
                <w:color w:val="auto"/>
              </w:rPr>
            </w:pPr>
          </w:p>
        </w:tc>
        <w:tc>
          <w:tcPr>
            <w:tcW w:w="1120" w:type="dxa"/>
            <w:vAlign w:val="bottom"/>
            <w:tcBorders>
              <w:right w:val="single" w:sz="8" w:color="BFBFBF"/>
            </w:tcBorders>
            <w:shd w:val="clear" w:color="auto" w:fill="BFBFBF"/>
          </w:tcPr>
          <w:p>
            <w:pPr>
              <w:spacing w:after="0"/>
              <w:rPr>
                <w:sz w:val="23"/>
                <w:szCs w:val="23"/>
                <w:color w:val="auto"/>
              </w:rPr>
            </w:pPr>
          </w:p>
        </w:tc>
        <w:tc>
          <w:tcPr>
            <w:tcW w:w="2820" w:type="dxa"/>
            <w:vAlign w:val="bottom"/>
            <w:shd w:val="clear" w:color="auto" w:fill="BFBFBF"/>
          </w:tcPr>
          <w:p>
            <w:pPr>
              <w:spacing w:after="0"/>
              <w:rPr>
                <w:sz w:val="23"/>
                <w:szCs w:val="23"/>
                <w:color w:val="auto"/>
              </w:rPr>
            </w:pPr>
          </w:p>
        </w:tc>
        <w:tc>
          <w:tcPr>
            <w:tcW w:w="224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340" w:type="dxa"/>
            <w:vAlign w:val="bottom"/>
            <w:tcBorders>
              <w:bottom w:val="single" w:sz="8" w:color="auto"/>
            </w:tcBorders>
            <w:gridSpan w:val="4"/>
            <w:shd w:val="clear" w:color="auto" w:fill="BFBFBF"/>
          </w:tcPr>
          <w:p>
            <w:pPr>
              <w:spacing w:after="0"/>
              <w:rPr>
                <w:sz w:val="24"/>
                <w:szCs w:val="24"/>
                <w:color w:val="auto"/>
              </w:rPr>
            </w:pPr>
          </w:p>
        </w:tc>
        <w:tc>
          <w:tcPr>
            <w:tcW w:w="224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8,323,821*</w:t>
            </w:r>
          </w:p>
        </w:tc>
        <w:tc>
          <w:tcPr>
            <w:tcW w:w="1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6320" w:type="dxa"/>
            <w:vAlign w:val="bottom"/>
            <w:gridSpan w:val="3"/>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3"/>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8,323,821*</w:t>
            </w: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8,323,821*</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8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8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Borders>
              <w:right w:val="single" w:sz="8" w:color="auto"/>
            </w:tcBorders>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340" w:type="dxa"/>
            <w:vAlign w:val="bottom"/>
            <w:tcBorders>
              <w:bottom w:val="single" w:sz="8" w:color="auto"/>
            </w:tcBorders>
            <w:gridSpan w:val="4"/>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340" w:type="dxa"/>
            <w:vAlign w:val="bottom"/>
            <w:tcBorders>
              <w:bottom w:val="single" w:sz="8" w:color="auto"/>
            </w:tcBorders>
            <w:gridSpan w:val="4"/>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76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ind w:left="40"/>
        <w:spacing w:after="0"/>
        <w:tabs>
          <w:tab w:leader="none" w:pos="5460" w:val="left"/>
          <w:tab w:leader="none" w:pos="97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34385P108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13 of 21 Pages</w:t>
      </w:r>
    </w:p>
    <w:p>
      <w:pPr>
        <w:sectPr>
          <w:pgSz w:w="11900" w:h="16838" w:orient="portrait"/>
          <w:cols w:equalWidth="0" w:num="1">
            <w:col w:w="11240"/>
          </w:cols>
          <w:pgMar w:left="320" w:top="144" w:right="33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0"/>
              </w:rPr>
              <w:t>Item 1(a).</w:t>
            </w:r>
          </w:p>
        </w:tc>
        <w:tc>
          <w:tcPr>
            <w:tcW w:w="620" w:type="dxa"/>
            <w:vAlign w:val="bottom"/>
          </w:tcPr>
          <w:p>
            <w:pPr>
              <w:spacing w:after="0"/>
              <w:rPr>
                <w:sz w:val="17"/>
                <w:szCs w:val="17"/>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of Issuer:</w:t>
            </w: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518"/>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Standard BioTools Inc.</w:t>
            </w:r>
          </w:p>
        </w:tc>
      </w:tr>
      <w:tr>
        <w:trPr>
          <w:trHeight w:val="40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518"/>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Tower Place, Suite 2000, South San Francisco, CA 94080</w:t>
            </w:r>
          </w:p>
        </w:tc>
      </w:tr>
      <w:tr>
        <w:trPr>
          <w:trHeight w:val="4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2(a).</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79"/>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Viking Global Investors LP (“VGI”),</w:t>
            </w: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Parent GP LLC (“Opportunities Parent”),</w:t>
            </w: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GP LLC (“Opportunities GP”),</w:t>
            </w: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Portfolio GP LLC (“Opportunities Portfolio GP”),</w:t>
            </w: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Illiquid Investments Sub-Master LP (“VGOP”),</w:t>
            </w: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Drawdown GP LLC (“VGOD GP”),</w:t>
            </w: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Drawdown Portfolio GP LLC (“VGOD Portfolio GP”),</w:t>
            </w:r>
          </w:p>
        </w:tc>
      </w:tr>
      <w:tr>
        <w:trPr>
          <w:trHeight w:val="243"/>
        </w:trPr>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Viking Global Opportunities Drawdown (Aggregator) LP (“VGOD”),</w:t>
            </w:r>
          </w:p>
        </w:tc>
      </w:tr>
      <w:tr>
        <w:trPr>
          <w:trHeight w:val="282"/>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O. Andreas Halvorsen, David C. Ott and Rose S. Shabet (collectively, the “Reporting Persons”).</w:t>
            </w:r>
          </w:p>
        </w:tc>
      </w:tr>
      <w:tr>
        <w:trPr>
          <w:trHeight w:val="4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2(b).</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60" w:type="dxa"/>
            <w:vAlign w:val="bottom"/>
            <w:gridSpan w:val="4"/>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518"/>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7"/>
              </w:rPr>
              <w:t>The business address of each of the Reporting Persons is: 55 Railroad Avenue, Greenwich, Connecticut 06830.</w:t>
            </w:r>
          </w:p>
        </w:tc>
      </w:tr>
      <w:tr>
        <w:trPr>
          <w:trHeight w:val="4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2(c).</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w:t>
            </w:r>
          </w:p>
        </w:tc>
      </w:tr>
      <w:tr>
        <w:trPr>
          <w:trHeight w:val="20"/>
        </w:trPr>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pacing w:after="0" w:line="243" w:lineRule="exact"/>
        <w:rPr>
          <w:sz w:val="20"/>
          <w:szCs w:val="20"/>
          <w:color w:val="auto"/>
        </w:rPr>
      </w:pPr>
    </w:p>
    <w:p>
      <w:pPr>
        <w:ind w:right="80" w:firstLine="1296"/>
        <w:spacing w:after="0" w:line="239" w:lineRule="auto"/>
        <w:rPr>
          <w:sz w:val="20"/>
          <w:szCs w:val="20"/>
          <w:color w:val="auto"/>
        </w:rPr>
      </w:pPr>
      <w:r>
        <w:rPr>
          <w:rFonts w:ascii="Times New Roman" w:cs="Times New Roman" w:eastAsia="Times New Roman" w:hAnsi="Times New Roman"/>
          <w:sz w:val="22"/>
          <w:szCs w:val="22"/>
          <w:color w:val="auto"/>
        </w:rPr>
        <w:t>VGI is a Delaware limited partnership; Opportunities Parent, Opportunities GP, Opportunities Portfolio GP, VGOD GP, and VGOD Portfolio GP are Delaware limited liability companies; VGOP and VGOD are Cayman Islands exempted limited partnerships; O. Andreas Halvorsen is a citizen of Norway; and David C. Ott and Rose S. Shabet are citizens of the United States.</w:t>
      </w:r>
    </w:p>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Titles of Classes of Securities</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Common stock, $0.001 par value per share (“Common Stock”)</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CUSIP NUMBER</w:t>
      </w:r>
      <w:r>
        <w:rPr>
          <w:rFonts w:ascii="Times New Roman" w:cs="Times New Roman" w:eastAsia="Times New Roman" w:hAnsi="Times New Roman"/>
          <w:sz w:val="17"/>
          <w:szCs w:val="17"/>
          <w:color w:val="auto"/>
        </w:rPr>
        <w:t>: 34385P108</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If This Statement is Filed Pursuant to Rule 13d-1(b), or 13d-2(b) or (c), Check Whether the Person Filing is 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920" w:hanging="562"/>
        <w:spacing w:after="0" w:line="207" w:lineRule="exact"/>
        <w:tabs>
          <w:tab w:leader="none" w:pos="19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57" w:lineRule="exact"/>
        <w:rPr>
          <w:rFonts w:ascii="Times New Roman" w:cs="Times New Roman" w:eastAsia="Times New Roman" w:hAnsi="Times New Roman"/>
          <w:sz w:val="18"/>
          <w:szCs w:val="18"/>
          <w:color w:val="auto"/>
        </w:rPr>
      </w:pPr>
    </w:p>
    <w:p>
      <w:pPr>
        <w:ind w:left="1920" w:hanging="562"/>
        <w:spacing w:after="0" w:line="207" w:lineRule="exact"/>
        <w:tabs>
          <w:tab w:leader="none" w:pos="19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9" w:lineRule="exact"/>
        <w:rPr>
          <w:rFonts w:ascii="Times New Roman" w:cs="Times New Roman" w:eastAsia="Times New Roman" w:hAnsi="Times New Roman"/>
          <w:sz w:val="18"/>
          <w:szCs w:val="18"/>
          <w:color w:val="auto"/>
        </w:rPr>
      </w:pPr>
    </w:p>
    <w:p>
      <w:pPr>
        <w:ind w:left="1920" w:hanging="562"/>
        <w:spacing w:after="0" w:line="207" w:lineRule="exact"/>
        <w:tabs>
          <w:tab w:leader="none" w:pos="19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9" w:lineRule="exact"/>
        <w:rPr>
          <w:rFonts w:ascii="Times New Roman" w:cs="Times New Roman" w:eastAsia="Times New Roman" w:hAnsi="Times New Roman"/>
          <w:sz w:val="18"/>
          <w:szCs w:val="18"/>
          <w:color w:val="auto"/>
        </w:rPr>
      </w:pPr>
    </w:p>
    <w:p>
      <w:pPr>
        <w:ind w:left="1920" w:hanging="562"/>
        <w:spacing w:after="0" w:line="207" w:lineRule="exact"/>
        <w:tabs>
          <w:tab w:leader="none" w:pos="19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9" w:lineRule="exact"/>
        <w:rPr>
          <w:rFonts w:ascii="Times New Roman" w:cs="Times New Roman" w:eastAsia="Times New Roman" w:hAnsi="Times New Roman"/>
          <w:sz w:val="18"/>
          <w:szCs w:val="18"/>
          <w:color w:val="auto"/>
        </w:rPr>
      </w:pPr>
    </w:p>
    <w:p>
      <w:pPr>
        <w:ind w:left="1920" w:hanging="562"/>
        <w:spacing w:after="0" w:line="207" w:lineRule="exact"/>
        <w:tabs>
          <w:tab w:leader="none" w:pos="19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registered under Section 203 of the Investment Advisers Act of 1940: see Rule 13d-1(b)(1)(ii)(E)</w:t>
      </w:r>
    </w:p>
    <w:p>
      <w:pPr>
        <w:spacing w:after="0" w:line="9" w:lineRule="exact"/>
        <w:rPr>
          <w:rFonts w:ascii="Times New Roman" w:cs="Times New Roman" w:eastAsia="Times New Roman" w:hAnsi="Times New Roman"/>
          <w:sz w:val="18"/>
          <w:szCs w:val="18"/>
          <w:color w:val="auto"/>
        </w:rPr>
      </w:pPr>
    </w:p>
    <w:p>
      <w:pPr>
        <w:ind w:left="1920" w:hanging="562"/>
        <w:spacing w:after="0" w:line="215" w:lineRule="exact"/>
        <w:tabs>
          <w:tab w:leader="none" w:pos="19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Pension Fund which is subject to the provisions of the Employee Retirement Income Security Act of 1974 or Endowment Fund; see Rule 13d-1(b)(1)(ii)(F)</w:t>
      </w:r>
    </w:p>
    <w:p>
      <w:pPr>
        <w:ind w:left="1920" w:hanging="562"/>
        <w:spacing w:after="0" w:line="207" w:lineRule="exact"/>
        <w:tabs>
          <w:tab w:leader="none" w:pos="19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in accordance with Rule 13d-1(b)(1)(ii)(G).</w:t>
      </w:r>
    </w:p>
    <w:p>
      <w:pPr>
        <w:spacing w:after="0" w:line="10" w:lineRule="exact"/>
        <w:rPr>
          <w:rFonts w:ascii="Times New Roman" w:cs="Times New Roman" w:eastAsia="Times New Roman" w:hAnsi="Times New Roman"/>
          <w:sz w:val="18"/>
          <w:szCs w:val="18"/>
          <w:color w:val="auto"/>
        </w:rPr>
      </w:pPr>
    </w:p>
    <w:p>
      <w:pPr>
        <w:ind w:left="1920" w:hanging="562"/>
        <w:spacing w:after="0" w:line="207" w:lineRule="exact"/>
        <w:tabs>
          <w:tab w:leader="none" w:pos="19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w:t>
      </w:r>
    </w:p>
    <w:p>
      <w:pPr>
        <w:spacing w:after="0" w:line="9" w:lineRule="exact"/>
        <w:rPr>
          <w:rFonts w:ascii="Times New Roman" w:cs="Times New Roman" w:eastAsia="Times New Roman" w:hAnsi="Times New Roman"/>
          <w:sz w:val="18"/>
          <w:szCs w:val="18"/>
          <w:color w:val="auto"/>
        </w:rPr>
      </w:pPr>
    </w:p>
    <w:p>
      <w:pPr>
        <w:ind w:left="1920" w:hanging="562"/>
        <w:spacing w:after="0" w:line="215" w:lineRule="exact"/>
        <w:tabs>
          <w:tab w:leader="none" w:pos="19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w:t>
      </w:r>
    </w:p>
    <w:p>
      <w:pPr>
        <w:ind w:left="1920" w:hanging="562"/>
        <w:spacing w:after="0" w:line="207" w:lineRule="exact"/>
        <w:tabs>
          <w:tab w:leader="none" w:pos="19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Rule 240.13d-1(b)(1)(ii)(J). If filing as a non-U.S. institution in accordance with Rule</w:t>
      </w:r>
    </w:p>
    <w:p>
      <w:pPr>
        <w:spacing w:after="0" w:line="10"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240.13d-1(b)(1)(ii)(J), please specify the type of institution:</w:t>
      </w:r>
    </w:p>
    <w:p>
      <w:pPr>
        <w:spacing w:after="0" w:line="7" w:lineRule="exact"/>
        <w:rPr>
          <w:rFonts w:ascii="Times New Roman" w:cs="Times New Roman" w:eastAsia="Times New Roman" w:hAnsi="Times New Roman"/>
          <w:sz w:val="18"/>
          <w:szCs w:val="18"/>
          <w:color w:val="auto"/>
        </w:rPr>
      </w:pPr>
    </w:p>
    <w:p>
      <w:pPr>
        <w:ind w:left="1920" w:hanging="562"/>
        <w:spacing w:after="0" w:line="207" w:lineRule="exact"/>
        <w:tabs>
          <w:tab w:leader="none" w:pos="19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 w:name="page14"/>
    <w:bookmarkEnd w:id="13"/>
    <w:p>
      <w:pPr>
        <w:ind w:left="40"/>
        <w:spacing w:after="0"/>
        <w:tabs>
          <w:tab w:leader="none" w:pos="5460" w:val="left"/>
          <w:tab w:leader="none" w:pos="97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34385P108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14 of 21 Pages</w:t>
      </w:r>
    </w:p>
    <w:p>
      <w:pPr>
        <w:sectPr>
          <w:pgSz w:w="11900" w:h="16838" w:orient="portrait"/>
          <w:cols w:equalWidth="0" w:num="1">
            <w:col w:w="11240"/>
          </w:cols>
          <w:pgMar w:left="320" w:top="144" w:right="339" w:bottom="1440" w:gutter="0" w:footer="0" w:header="0"/>
        </w:sectPr>
      </w:pPr>
    </w:p>
    <w:p>
      <w:pPr>
        <w:spacing w:after="0" w:line="2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4.</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1"/>
          <w:szCs w:val="21"/>
          <w:color w:val="auto"/>
        </w:rPr>
        <w:t>This Statement on Schedule 13G relates to shares of Common Stock that the Reporting Persons have the right to acquire upon conversion of shares of Series B-2 Preferred Stock (“Series B-2 Preferred Stock”) held directly by VGOP and VGOD. VGOP owns 85,612 shares of Series B-2 Preferred Stock and VGOD owns 42,167 shares of Series B-2 Preferred Stock, and the Series B-2 Preferred Stock has an initial conversion rate of 294.1176 shares of Common Stock per share of Series B-2 Preferred Stock. However, the Certificate of Designation for the Series B-2 Preferred Stock provides that none of VGOP, VGOD, nor their affiliates shall be entitled to convert shares of Series B-2 Preferred Stock unless such conversion would not result in VGOP and VGOD, together with their affiliates, beneficially owning more than 9.5% of the total number of shares of Common Stock outstanding (the “Blocker”). Accordingly, the amount of shares of Common Stock reported as beneficially owned by the Reporting Persons set forth herein excludes shares of Common Stock that the Reporting Persons do not currently have the right to acquire upon conversion of the Series B-2 Preferred Stock held directly by VGOP and VGOD due to the Blocker (and applies the Blocker pro rata across VGOP and VGOD). Without giving effect to the 9.5% Blocker, the Series B-2 Preferred Stock held by VGOP would be convertible into 25,179,995 shares of Common Stock and the Series B-2 Preferred Stock held by VGOD would be convertible into 12,402,056 shares of Common Stock, for an aggregate of 37,582,051 shares of Common Stock.</w:t>
      </w:r>
    </w:p>
    <w:p>
      <w:pPr>
        <w:spacing w:after="0" w:line="210" w:lineRule="exact"/>
        <w:rPr>
          <w:sz w:val="20"/>
          <w:szCs w:val="20"/>
          <w:color w:val="auto"/>
        </w:rPr>
      </w:pPr>
    </w:p>
    <w:p>
      <w:pPr>
        <w:jc w:val="both"/>
        <w:ind w:right="40" w:firstLine="1296"/>
        <w:spacing w:after="0" w:line="239" w:lineRule="auto"/>
        <w:rPr>
          <w:sz w:val="20"/>
          <w:szCs w:val="20"/>
          <w:color w:val="auto"/>
        </w:rPr>
      </w:pPr>
      <w:r>
        <w:rPr>
          <w:rFonts w:ascii="Times New Roman" w:cs="Times New Roman" w:eastAsia="Times New Roman" w:hAnsi="Times New Roman"/>
          <w:sz w:val="22"/>
          <w:szCs w:val="22"/>
          <w:color w:val="auto"/>
        </w:rPr>
        <w:t>The percentages set forth herein are calculated based on (i) 79,296,443 shares of Common Stock outstanding as of October 31, 2022, as reported in the Company’s Form 10-Q filed with the Commission on November 9, 2022, and (ii) 8,323,821 shares of Common Stock that the Reporting Persons currently have the right to acquire upon conversion of the Series B Preferred Stock, subject to the Blocker.</w:t>
      </w:r>
    </w:p>
    <w:p>
      <w:pPr>
        <w:spacing w:after="0" w:line="216" w:lineRule="exact"/>
        <w:rPr>
          <w:sz w:val="20"/>
          <w:szCs w:val="20"/>
          <w:color w:val="auto"/>
        </w:rPr>
      </w:pPr>
    </w:p>
    <w:p>
      <w:pPr>
        <w:ind w:left="1800" w:hanging="496"/>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VGI</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8,323,821</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9.5%</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8,323,821</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8,323,821</w:t>
      </w:r>
    </w:p>
    <w:p>
      <w:pPr>
        <w:spacing w:after="0" w:line="243" w:lineRule="exact"/>
        <w:rPr>
          <w:sz w:val="20"/>
          <w:szCs w:val="20"/>
          <w:color w:val="auto"/>
        </w:rPr>
      </w:pPr>
    </w:p>
    <w:p>
      <w:pPr>
        <w:ind w:left="1300"/>
        <w:spacing w:after="0" w:line="244" w:lineRule="auto"/>
        <w:rPr>
          <w:sz w:val="20"/>
          <w:szCs w:val="20"/>
          <w:color w:val="auto"/>
        </w:rPr>
      </w:pPr>
      <w:r>
        <w:rPr>
          <w:rFonts w:ascii="Times New Roman" w:cs="Times New Roman" w:eastAsia="Times New Roman" w:hAnsi="Times New Roman"/>
          <w:sz w:val="22"/>
          <w:szCs w:val="22"/>
          <w:color w:val="auto"/>
        </w:rPr>
        <w:t>VGI provides managerial services to VGOP and VGOD. VGI has the authority to dispose of and vote the shares of Common Stock that VGOP and VGOD have the right to acquire upon conversion of the Series B-2 Preferred Stock. VGI does not directly own any shares of Common Stock or Series B-2 Preferred Stock.</w:t>
      </w:r>
    </w:p>
    <w:p>
      <w:pPr>
        <w:spacing w:after="0" w:line="200" w:lineRule="exact"/>
        <w:rPr>
          <w:sz w:val="20"/>
          <w:szCs w:val="20"/>
          <w:color w:val="auto"/>
        </w:rPr>
      </w:pPr>
    </w:p>
    <w:p>
      <w:pPr>
        <w:ind w:left="1300"/>
        <w:spacing w:after="0" w:line="244" w:lineRule="auto"/>
        <w:rPr>
          <w:sz w:val="20"/>
          <w:szCs w:val="20"/>
          <w:color w:val="auto"/>
        </w:rPr>
      </w:pPr>
      <w:r>
        <w:rPr>
          <w:rFonts w:ascii="Times New Roman" w:cs="Times New Roman" w:eastAsia="Times New Roman" w:hAnsi="Times New Roman"/>
          <w:sz w:val="22"/>
          <w:szCs w:val="22"/>
          <w:color w:val="auto"/>
        </w:rPr>
        <w:t>Based on Rule 13d-3 of the Securities Exchange Act of 1934, as amended (the “Act”), VGI may be deemed to beneficially own the shares of Common Stock that VGOP and VGOD have the right to acquire upon conversion of the Series B-2 Preferred Stock.</w:t>
      </w:r>
    </w:p>
    <w:p>
      <w:pPr>
        <w:spacing w:after="0" w:line="200" w:lineRule="exact"/>
        <w:rPr>
          <w:sz w:val="20"/>
          <w:szCs w:val="20"/>
          <w:color w:val="auto"/>
        </w:rPr>
      </w:pPr>
    </w:p>
    <w:p>
      <w:pPr>
        <w:ind w:left="1300" w:right="40"/>
        <w:spacing w:after="0" w:line="255" w:lineRule="auto"/>
        <w:rPr>
          <w:sz w:val="20"/>
          <w:szCs w:val="20"/>
          <w:color w:val="auto"/>
        </w:rPr>
      </w:pPr>
      <w:r>
        <w:rPr>
          <w:rFonts w:ascii="Times New Roman" w:cs="Times New Roman" w:eastAsia="Times New Roman" w:hAnsi="Times New Roman"/>
          <w:sz w:val="21"/>
          <w:szCs w:val="21"/>
          <w:color w:val="auto"/>
        </w:rPr>
        <w:t>VGI beneficially owns 8,323,821 shares of Common Stock consisting of (i) 5,577,057 shares of Common Stock beneficially owned by VGOP, which VGOP has the right to acquire upon conversion of 18,962 shares of Series B-2 Preferred Stock, and (ii) 2,746,764 shares of Common Stock beneficially owned by VGOD, which VGOD has the right to acquire upon conversion of 9,339 shares of Series B-2 Preferred Stock, each subject to the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5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5040" w:type="dxa"/>
            <w:vAlign w:val="bottom"/>
            <w:tcBorders>
              <w:top w:val="single" w:sz="8" w:color="auto"/>
              <w:bottom w:val="single" w:sz="8" w:color="auto"/>
              <w:right w:val="single" w:sz="8" w:color="auto"/>
            </w:tcBorders>
          </w:tcPr>
          <w:p>
            <w:pPr>
              <w:ind w:left="3520"/>
              <w:spacing w:after="0"/>
              <w:rPr>
                <w:sz w:val="20"/>
                <w:szCs w:val="20"/>
                <w:color w:val="auto"/>
              </w:rPr>
            </w:pPr>
            <w:r>
              <w:rPr>
                <w:rFonts w:ascii="Times New Roman" w:cs="Times New Roman" w:eastAsia="Times New Roman" w:hAnsi="Times New Roman"/>
                <w:sz w:val="18"/>
                <w:szCs w:val="18"/>
                <w:b w:val="1"/>
                <w:bCs w:val="1"/>
                <w:color w:val="auto"/>
                <w:w w:val="98"/>
              </w:rPr>
              <w:t>Page 15 of 21 Pages</w:t>
            </w:r>
          </w:p>
        </w:tc>
      </w:tr>
    </w:tbl>
    <w:p>
      <w:pPr>
        <w:spacing w:after="0" w:line="225" w:lineRule="exact"/>
        <w:rPr>
          <w:sz w:val="20"/>
          <w:szCs w:val="20"/>
          <w:color w:val="auto"/>
        </w:rPr>
      </w:pPr>
    </w:p>
    <w:p>
      <w:pPr>
        <w:ind w:left="1800" w:hanging="496"/>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Parent</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8,323,821</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9.5%</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8,323,821</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8,323,821</w:t>
      </w:r>
    </w:p>
    <w:p>
      <w:pPr>
        <w:spacing w:after="0" w:line="243" w:lineRule="exact"/>
        <w:rPr>
          <w:sz w:val="20"/>
          <w:szCs w:val="20"/>
          <w:color w:val="auto"/>
        </w:rPr>
      </w:pPr>
    </w:p>
    <w:p>
      <w:pPr>
        <w:ind w:left="1300" w:right="100"/>
        <w:spacing w:after="0" w:line="235" w:lineRule="auto"/>
        <w:rPr>
          <w:sz w:val="20"/>
          <w:szCs w:val="20"/>
          <w:color w:val="auto"/>
        </w:rPr>
      </w:pPr>
      <w:r>
        <w:rPr>
          <w:rFonts w:ascii="Times New Roman" w:cs="Times New Roman" w:eastAsia="Times New Roman" w:hAnsi="Times New Roman"/>
          <w:sz w:val="22"/>
          <w:szCs w:val="22"/>
          <w:color w:val="auto"/>
        </w:rPr>
        <w:t>Opportunities Parent is the general partner of Opportunities GP, which has the authority to dispose of and vote the shares of Common Stock controlled by Opportunities Portfolio GP (which consists of the shares of Common Stock that VGOP has the right to acquire upon conversion of the Series B-2 Preferred Stock) and is the general partner of VGOD GP, which has the authority to dispose of and vote the shares of Common Stock controlled by VGOD Portfolio GP (which consists of the shares of Common Stock that VGOD has the right to acquire upon conversion of the Series B-2 Preferred Stock). Opportunities Parent does not directly own any shares of Common Stock or Series B-2 Preferred Stock.</w:t>
      </w:r>
    </w:p>
    <w:p>
      <w:pPr>
        <w:spacing w:after="0" w:line="210" w:lineRule="exact"/>
        <w:rPr>
          <w:sz w:val="20"/>
          <w:szCs w:val="20"/>
          <w:color w:val="auto"/>
        </w:rPr>
      </w:pPr>
    </w:p>
    <w:p>
      <w:pPr>
        <w:ind w:left="1300" w:right="160"/>
        <w:spacing w:after="0" w:line="282" w:lineRule="auto"/>
        <w:rPr>
          <w:sz w:val="20"/>
          <w:szCs w:val="20"/>
          <w:color w:val="auto"/>
        </w:rPr>
      </w:pPr>
      <w:r>
        <w:rPr>
          <w:rFonts w:ascii="Times New Roman" w:cs="Times New Roman" w:eastAsia="Times New Roman" w:hAnsi="Times New Roman"/>
          <w:sz w:val="21"/>
          <w:szCs w:val="21"/>
          <w:color w:val="auto"/>
        </w:rPr>
        <w:t>Based on Rule 13d-3 of the Act, Opportunities Parent may be deemed to beneficially own the shares of Common Stock that VGOP and VGOD have the right to acquire upon conversion of the Series B-2 Preferred Stock.</w:t>
      </w:r>
    </w:p>
    <w:p>
      <w:pPr>
        <w:spacing w:after="0" w:line="162" w:lineRule="exact"/>
        <w:rPr>
          <w:sz w:val="20"/>
          <w:szCs w:val="20"/>
          <w:color w:val="auto"/>
        </w:rPr>
      </w:pPr>
    </w:p>
    <w:p>
      <w:pPr>
        <w:ind w:left="1300" w:right="80"/>
        <w:spacing w:after="0" w:line="238" w:lineRule="auto"/>
        <w:rPr>
          <w:sz w:val="20"/>
          <w:szCs w:val="20"/>
          <w:color w:val="auto"/>
        </w:rPr>
      </w:pPr>
      <w:r>
        <w:rPr>
          <w:rFonts w:ascii="Times New Roman" w:cs="Times New Roman" w:eastAsia="Times New Roman" w:hAnsi="Times New Roman"/>
          <w:sz w:val="22"/>
          <w:szCs w:val="22"/>
          <w:color w:val="auto"/>
        </w:rPr>
        <w:t>Opportunities Parent beneficially owns 8,323,821 shares of Common Stock consisting of (i) 5,577,057 shares of Common Stock beneficially owned by VGOP, which VGOP has the right to acquire upon conversion of 18,962 shares of Series B-2 Preferred Stock, and (ii) 2,746,764 shares of Common Stock beneficially owned by VGOD, which VGOD has the right to acquire upon conversion of 9,339 shares of Series B-2 Preferred Stock, each subject to the Blocker.</w:t>
      </w:r>
    </w:p>
    <w:p>
      <w:pPr>
        <w:spacing w:after="0" w:line="213" w:lineRule="exact"/>
        <w:rPr>
          <w:sz w:val="20"/>
          <w:szCs w:val="20"/>
          <w:color w:val="auto"/>
        </w:rPr>
      </w:pPr>
    </w:p>
    <w:p>
      <w:pPr>
        <w:ind w:left="1800" w:hanging="496"/>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GP</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5,577,057</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6.4%</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5,577,057</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5,577,057</w:t>
      </w:r>
    </w:p>
    <w:p>
      <w:pPr>
        <w:spacing w:after="0" w:line="243" w:lineRule="exact"/>
        <w:rPr>
          <w:sz w:val="20"/>
          <w:szCs w:val="20"/>
          <w:color w:val="auto"/>
        </w:rPr>
      </w:pPr>
    </w:p>
    <w:p>
      <w:pPr>
        <w:ind w:left="1300" w:right="20"/>
        <w:spacing w:after="0" w:line="236" w:lineRule="auto"/>
        <w:rPr>
          <w:sz w:val="20"/>
          <w:szCs w:val="20"/>
          <w:color w:val="auto"/>
        </w:rPr>
      </w:pPr>
      <w:r>
        <w:rPr>
          <w:rFonts w:ascii="Times New Roman" w:cs="Times New Roman" w:eastAsia="Times New Roman" w:hAnsi="Times New Roman"/>
          <w:sz w:val="22"/>
          <w:szCs w:val="22"/>
          <w:color w:val="auto"/>
        </w:rPr>
        <w:t>Opportunities GP serves as the sole member of Opportunities Portfolio GP and has the authority to dispose of and vote the shares of Common Stock controlled by Opportunities Portfolio GP, which consists of the shares of Common Stock that VGOP has the right to acquire upon conversion of the Series B-2 Preferred Stock. In addition, Opportunities GP is the general partner of each of Viking Global Opportunities Intermediate LP, Viking Global Opportunities III LP, and Viking Global Opportunities LP. Opportunities GP does not directly own any shares of Common Stock or Series B-2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5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5040" w:type="dxa"/>
            <w:vAlign w:val="bottom"/>
            <w:tcBorders>
              <w:top w:val="single" w:sz="8" w:color="auto"/>
              <w:bottom w:val="single" w:sz="8" w:color="auto"/>
              <w:right w:val="single" w:sz="8" w:color="auto"/>
            </w:tcBorders>
          </w:tcPr>
          <w:p>
            <w:pPr>
              <w:ind w:left="3520"/>
              <w:spacing w:after="0"/>
              <w:rPr>
                <w:sz w:val="20"/>
                <w:szCs w:val="20"/>
                <w:color w:val="auto"/>
              </w:rPr>
            </w:pPr>
            <w:r>
              <w:rPr>
                <w:rFonts w:ascii="Times New Roman" w:cs="Times New Roman" w:eastAsia="Times New Roman" w:hAnsi="Times New Roman"/>
                <w:sz w:val="18"/>
                <w:szCs w:val="18"/>
                <w:b w:val="1"/>
                <w:bCs w:val="1"/>
                <w:color w:val="auto"/>
                <w:w w:val="98"/>
              </w:rPr>
              <w:t>Page 16 of 21 Pages</w:t>
            </w:r>
          </w:p>
        </w:tc>
      </w:tr>
    </w:tbl>
    <w:p>
      <w:pPr>
        <w:spacing w:after="0" w:line="216" w:lineRule="exact"/>
        <w:rPr>
          <w:sz w:val="20"/>
          <w:szCs w:val="20"/>
          <w:color w:val="auto"/>
        </w:rPr>
      </w:pPr>
    </w:p>
    <w:p>
      <w:pPr>
        <w:ind w:left="1300" w:right="440"/>
        <w:spacing w:after="0" w:line="258" w:lineRule="auto"/>
        <w:rPr>
          <w:sz w:val="20"/>
          <w:szCs w:val="20"/>
          <w:color w:val="auto"/>
        </w:rPr>
      </w:pPr>
      <w:r>
        <w:rPr>
          <w:rFonts w:ascii="Times New Roman" w:cs="Times New Roman" w:eastAsia="Times New Roman" w:hAnsi="Times New Roman"/>
          <w:sz w:val="22"/>
          <w:szCs w:val="22"/>
          <w:color w:val="auto"/>
        </w:rPr>
        <w:t>Based on Rule 13d-3 of the Act, Opportunities GP may be deemed to beneficially own the shares of Common Stock that VGOP has the right to acquire upon conversion of the Series B-2 Preferred Stock.</w:t>
      </w:r>
    </w:p>
    <w:p>
      <w:pPr>
        <w:spacing w:after="0" w:line="185" w:lineRule="exact"/>
        <w:rPr>
          <w:sz w:val="20"/>
          <w:szCs w:val="20"/>
          <w:color w:val="auto"/>
        </w:rPr>
      </w:pPr>
    </w:p>
    <w:p>
      <w:pPr>
        <w:ind w:left="1300" w:right="320"/>
        <w:spacing w:after="0" w:line="244" w:lineRule="auto"/>
        <w:rPr>
          <w:sz w:val="20"/>
          <w:szCs w:val="20"/>
          <w:color w:val="auto"/>
        </w:rPr>
      </w:pPr>
      <w:r>
        <w:rPr>
          <w:rFonts w:ascii="Times New Roman" w:cs="Times New Roman" w:eastAsia="Times New Roman" w:hAnsi="Times New Roman"/>
          <w:sz w:val="22"/>
          <w:szCs w:val="22"/>
          <w:color w:val="auto"/>
        </w:rPr>
        <w:t>Opportunities GP beneficially owns 5,577,057 shares of Common Stock consisting of 5,577,057 shares of Common Stock beneficially owned by VGOP, which VGOP has the right to acquire upon conversion of 18,962 shares of Series B-2 Preferred Stock.</w:t>
      </w:r>
    </w:p>
    <w:p>
      <w:pPr>
        <w:spacing w:after="0" w:line="210" w:lineRule="exact"/>
        <w:rPr>
          <w:sz w:val="20"/>
          <w:szCs w:val="20"/>
          <w:color w:val="auto"/>
        </w:rPr>
      </w:pPr>
    </w:p>
    <w:p>
      <w:pPr>
        <w:ind w:left="1800" w:hanging="49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Portfolio GP</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5,577,057</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6.4%</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5,577,057</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5,577,057</w:t>
      </w:r>
    </w:p>
    <w:p>
      <w:pPr>
        <w:spacing w:after="0" w:line="243" w:lineRule="exact"/>
        <w:rPr>
          <w:sz w:val="20"/>
          <w:szCs w:val="20"/>
          <w:color w:val="auto"/>
        </w:rPr>
      </w:pPr>
    </w:p>
    <w:p>
      <w:pPr>
        <w:ind w:left="1300" w:right="100"/>
        <w:spacing w:after="0" w:line="261" w:lineRule="auto"/>
        <w:rPr>
          <w:sz w:val="20"/>
          <w:szCs w:val="20"/>
          <w:color w:val="auto"/>
        </w:rPr>
      </w:pPr>
      <w:r>
        <w:rPr>
          <w:rFonts w:ascii="Times New Roman" w:cs="Times New Roman" w:eastAsia="Times New Roman" w:hAnsi="Times New Roman"/>
          <w:sz w:val="21"/>
          <w:szCs w:val="21"/>
          <w:color w:val="auto"/>
        </w:rPr>
        <w:t>Opportunities Portfolio GP serves as the general partner of VGOP and has the authority to dispose of and vote the shares of Common Stock that VGOP has the right to acquire upon conversion of the Series B-2 Preferred Stock. Opportunities Portfolio GP does not directly own any shares of Common Stock or Series B-2 Preferred Stock.</w:t>
      </w:r>
    </w:p>
    <w:p>
      <w:pPr>
        <w:spacing w:after="0" w:line="184" w:lineRule="exact"/>
        <w:rPr>
          <w:sz w:val="20"/>
          <w:szCs w:val="20"/>
          <w:color w:val="auto"/>
        </w:rPr>
      </w:pPr>
    </w:p>
    <w:p>
      <w:pPr>
        <w:ind w:left="1300" w:right="480"/>
        <w:spacing w:after="0" w:line="258" w:lineRule="auto"/>
        <w:rPr>
          <w:sz w:val="20"/>
          <w:szCs w:val="20"/>
          <w:color w:val="auto"/>
        </w:rPr>
      </w:pPr>
      <w:r>
        <w:rPr>
          <w:rFonts w:ascii="Times New Roman" w:cs="Times New Roman" w:eastAsia="Times New Roman" w:hAnsi="Times New Roman"/>
          <w:sz w:val="22"/>
          <w:szCs w:val="22"/>
          <w:color w:val="auto"/>
        </w:rPr>
        <w:t>Based on Rule 13d-3 of the Act, Opportunities Portfolio GP may be deemed to beneficially own the shares of Common Stock that VGOP has the right to acquire upon conversion of the Series B-2 Preferred Stock.</w:t>
      </w:r>
    </w:p>
    <w:p>
      <w:pPr>
        <w:spacing w:after="0" w:line="185" w:lineRule="exact"/>
        <w:rPr>
          <w:sz w:val="20"/>
          <w:szCs w:val="20"/>
          <w:color w:val="auto"/>
        </w:rPr>
      </w:pPr>
    </w:p>
    <w:p>
      <w:pPr>
        <w:ind w:left="1300" w:right="80"/>
        <w:spacing w:after="0" w:line="244" w:lineRule="auto"/>
        <w:rPr>
          <w:sz w:val="20"/>
          <w:szCs w:val="20"/>
          <w:color w:val="auto"/>
        </w:rPr>
      </w:pPr>
      <w:r>
        <w:rPr>
          <w:rFonts w:ascii="Times New Roman" w:cs="Times New Roman" w:eastAsia="Times New Roman" w:hAnsi="Times New Roman"/>
          <w:sz w:val="22"/>
          <w:szCs w:val="22"/>
          <w:color w:val="auto"/>
        </w:rPr>
        <w:t>Opportunities Portfolio GP beneficially owns 5,577,057 shares of Common Stock consisting of 5,577,057 shares of Common Stock beneficially owned by VGOP, which VGOP has the right to acquire upon conversion of 18,962 shares of Series B-2 Preferred Stock.</w:t>
      </w:r>
    </w:p>
    <w:p>
      <w:pPr>
        <w:spacing w:after="0" w:line="210" w:lineRule="exact"/>
        <w:rPr>
          <w:sz w:val="20"/>
          <w:szCs w:val="20"/>
          <w:color w:val="auto"/>
        </w:rPr>
      </w:pPr>
    </w:p>
    <w:p>
      <w:pPr>
        <w:ind w:left="1800" w:hanging="49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VGOP</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5,577,057</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6.4%</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5,577,057</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5,577,057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5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5040" w:type="dxa"/>
            <w:vAlign w:val="bottom"/>
            <w:tcBorders>
              <w:top w:val="single" w:sz="8" w:color="auto"/>
              <w:bottom w:val="single" w:sz="8" w:color="auto"/>
              <w:right w:val="single" w:sz="8" w:color="auto"/>
            </w:tcBorders>
          </w:tcPr>
          <w:p>
            <w:pPr>
              <w:ind w:left="3520"/>
              <w:spacing w:after="0"/>
              <w:rPr>
                <w:sz w:val="20"/>
                <w:szCs w:val="20"/>
                <w:color w:val="auto"/>
              </w:rPr>
            </w:pPr>
            <w:r>
              <w:rPr>
                <w:rFonts w:ascii="Times New Roman" w:cs="Times New Roman" w:eastAsia="Times New Roman" w:hAnsi="Times New Roman"/>
                <w:sz w:val="18"/>
                <w:szCs w:val="18"/>
                <w:b w:val="1"/>
                <w:bCs w:val="1"/>
                <w:color w:val="auto"/>
                <w:w w:val="98"/>
              </w:rPr>
              <w:t>Page 17 of 21 Pages</w:t>
            </w:r>
          </w:p>
        </w:tc>
      </w:tr>
    </w:tbl>
    <w:p>
      <w:pPr>
        <w:spacing w:after="0" w:line="216" w:lineRule="exact"/>
        <w:rPr>
          <w:sz w:val="20"/>
          <w:szCs w:val="20"/>
          <w:color w:val="auto"/>
        </w:rPr>
      </w:pPr>
    </w:p>
    <w:p>
      <w:pPr>
        <w:ind w:left="1300" w:right="280"/>
        <w:spacing w:after="0" w:line="239" w:lineRule="auto"/>
        <w:rPr>
          <w:sz w:val="20"/>
          <w:szCs w:val="20"/>
          <w:color w:val="auto"/>
        </w:rPr>
      </w:pPr>
      <w:r>
        <w:rPr>
          <w:rFonts w:ascii="Times New Roman" w:cs="Times New Roman" w:eastAsia="Times New Roman" w:hAnsi="Times New Roman"/>
          <w:sz w:val="22"/>
          <w:szCs w:val="22"/>
          <w:color w:val="auto"/>
        </w:rPr>
        <w:t>VGOP has the authority to dispose of and vote the shares of Common Stock that it has the right to acquire upon conversion of the Series B-2 Preferred Stock directly owned by it, which power may be exercised by its general partner, Opportunities Portfolio GP, and by VGI, an affiliate of Opportunities Portfolio GP, which provides managerial services to VGOP.</w:t>
      </w:r>
    </w:p>
    <w:p>
      <w:pPr>
        <w:spacing w:after="0" w:line="207" w:lineRule="exact"/>
        <w:rPr>
          <w:sz w:val="20"/>
          <w:szCs w:val="20"/>
          <w:color w:val="auto"/>
        </w:rPr>
      </w:pPr>
    </w:p>
    <w:p>
      <w:pPr>
        <w:ind w:left="1300" w:right="80"/>
        <w:spacing w:after="0" w:line="238" w:lineRule="auto"/>
        <w:rPr>
          <w:sz w:val="20"/>
          <w:szCs w:val="20"/>
          <w:color w:val="auto"/>
        </w:rPr>
      </w:pPr>
      <w:r>
        <w:rPr>
          <w:rFonts w:ascii="Times New Roman" w:cs="Times New Roman" w:eastAsia="Times New Roman" w:hAnsi="Times New Roman"/>
          <w:sz w:val="22"/>
          <w:szCs w:val="22"/>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213" w:lineRule="exact"/>
        <w:rPr>
          <w:sz w:val="20"/>
          <w:szCs w:val="20"/>
          <w:color w:val="auto"/>
        </w:rPr>
      </w:pPr>
    </w:p>
    <w:p>
      <w:pPr>
        <w:ind w:left="1800" w:hanging="496"/>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VGOD GP</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2,746,764</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3.1%</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2,746,764</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2,746,764</w:t>
      </w:r>
    </w:p>
    <w:p>
      <w:pPr>
        <w:spacing w:after="0" w:line="243" w:lineRule="exact"/>
        <w:rPr>
          <w:sz w:val="20"/>
          <w:szCs w:val="20"/>
          <w:color w:val="auto"/>
        </w:rPr>
      </w:pPr>
    </w:p>
    <w:p>
      <w:pPr>
        <w:ind w:left="1300" w:right="220"/>
        <w:spacing w:after="0" w:line="236" w:lineRule="auto"/>
        <w:rPr>
          <w:sz w:val="20"/>
          <w:szCs w:val="20"/>
          <w:color w:val="auto"/>
        </w:rPr>
      </w:pPr>
      <w:r>
        <w:rPr>
          <w:rFonts w:ascii="Times New Roman" w:cs="Times New Roman" w:eastAsia="Times New Roman" w:hAnsi="Times New Roman"/>
          <w:sz w:val="22"/>
          <w:szCs w:val="22"/>
          <w:color w:val="auto"/>
        </w:rPr>
        <w:t>VGOD GP serves as the sole member of VGOD Portfolio GP and has the authority to dispose of and vote the shares of Common Stock controlled by VGOD Portfolio GP, which consists of the shares of Common Stock that VGOD has the right to acquire upon conversion of the Series B-2 Preferred Stock. In addition, VGOD GP is the general partner of each of Viking Global Opportunities (Internal) LP, Viking Global Opportunities Drawdown (Onshore) LP, and Viking Global Opportunities Drawdown (Offshore) LP. VGOD GP does not directly own any shares of Common Stock or Series B-2 Preferred Stock.</w:t>
      </w:r>
    </w:p>
    <w:p>
      <w:pPr>
        <w:spacing w:after="0" w:line="208" w:lineRule="exact"/>
        <w:rPr>
          <w:sz w:val="20"/>
          <w:szCs w:val="20"/>
          <w:color w:val="auto"/>
        </w:rPr>
      </w:pPr>
    </w:p>
    <w:p>
      <w:pPr>
        <w:ind w:left="1300" w:right="80"/>
        <w:spacing w:after="0" w:line="258" w:lineRule="auto"/>
        <w:rPr>
          <w:sz w:val="20"/>
          <w:szCs w:val="20"/>
          <w:color w:val="auto"/>
        </w:rPr>
      </w:pPr>
      <w:r>
        <w:rPr>
          <w:rFonts w:ascii="Times New Roman" w:cs="Times New Roman" w:eastAsia="Times New Roman" w:hAnsi="Times New Roman"/>
          <w:sz w:val="22"/>
          <w:szCs w:val="22"/>
          <w:color w:val="auto"/>
        </w:rPr>
        <w:t>Based on Rule 13d-3 of the Act, VGOD GP may be deemed to beneficially own the shares of Common Stock that VGOD has the right to acquire upon conversion of the Series B-2 Preferred Stock.</w:t>
      </w:r>
    </w:p>
    <w:p>
      <w:pPr>
        <w:spacing w:after="0" w:line="185" w:lineRule="exact"/>
        <w:rPr>
          <w:sz w:val="20"/>
          <w:szCs w:val="20"/>
          <w:color w:val="auto"/>
        </w:rPr>
      </w:pPr>
    </w:p>
    <w:p>
      <w:pPr>
        <w:ind w:left="1300" w:right="360"/>
        <w:spacing w:after="0" w:line="244" w:lineRule="auto"/>
        <w:rPr>
          <w:sz w:val="20"/>
          <w:szCs w:val="20"/>
          <w:color w:val="auto"/>
        </w:rPr>
      </w:pPr>
      <w:r>
        <w:rPr>
          <w:rFonts w:ascii="Times New Roman" w:cs="Times New Roman" w:eastAsia="Times New Roman" w:hAnsi="Times New Roman"/>
          <w:sz w:val="22"/>
          <w:szCs w:val="22"/>
          <w:color w:val="auto"/>
        </w:rPr>
        <w:t>VGOD GP beneficially owns 2,746,764 shares of Common Stock consisting of 2,746,764 shares of Common Stock beneficially owned by VGOD, which VGOD has the right to acquire upon conversion of 9,339 shares of Series B-2 Preferred Stock, each subject to the Blocker.</w:t>
      </w:r>
    </w:p>
    <w:p>
      <w:pPr>
        <w:spacing w:after="0" w:line="210" w:lineRule="exact"/>
        <w:rPr>
          <w:sz w:val="20"/>
          <w:szCs w:val="20"/>
          <w:color w:val="auto"/>
        </w:rPr>
      </w:pPr>
    </w:p>
    <w:p>
      <w:pPr>
        <w:ind w:left="1800" w:hanging="496"/>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VGOD Portfolio GP</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2,746,764</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3.1%</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2,746,764</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2,746,764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0"/>
        </w:trPr>
        <w:tc>
          <w:tcPr>
            <w:tcW w:w="5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5040" w:type="dxa"/>
            <w:vAlign w:val="bottom"/>
            <w:tcBorders>
              <w:top w:val="single" w:sz="8" w:color="auto"/>
              <w:bottom w:val="single" w:sz="8" w:color="auto"/>
              <w:right w:val="single" w:sz="8" w:color="auto"/>
            </w:tcBorders>
          </w:tcPr>
          <w:p>
            <w:pPr>
              <w:ind w:left="3520"/>
              <w:spacing w:after="0"/>
              <w:rPr>
                <w:sz w:val="20"/>
                <w:szCs w:val="20"/>
                <w:color w:val="auto"/>
              </w:rPr>
            </w:pPr>
            <w:r>
              <w:rPr>
                <w:rFonts w:ascii="Times New Roman" w:cs="Times New Roman" w:eastAsia="Times New Roman" w:hAnsi="Times New Roman"/>
                <w:sz w:val="18"/>
                <w:szCs w:val="18"/>
                <w:b w:val="1"/>
                <w:bCs w:val="1"/>
                <w:color w:val="auto"/>
                <w:w w:val="98"/>
              </w:rPr>
              <w:t>Page 18 of 21 Pages</w:t>
            </w:r>
          </w:p>
        </w:tc>
      </w:tr>
    </w:tbl>
    <w:p>
      <w:pPr>
        <w:spacing w:after="0" w:line="216" w:lineRule="exact"/>
        <w:rPr>
          <w:sz w:val="20"/>
          <w:szCs w:val="20"/>
          <w:color w:val="auto"/>
        </w:rPr>
      </w:pPr>
    </w:p>
    <w:p>
      <w:pPr>
        <w:jc w:val="both"/>
        <w:ind w:left="1300" w:right="20"/>
        <w:spacing w:after="0" w:line="244" w:lineRule="auto"/>
        <w:rPr>
          <w:sz w:val="20"/>
          <w:szCs w:val="20"/>
          <w:color w:val="auto"/>
        </w:rPr>
      </w:pPr>
      <w:r>
        <w:rPr>
          <w:rFonts w:ascii="Times New Roman" w:cs="Times New Roman" w:eastAsia="Times New Roman" w:hAnsi="Times New Roman"/>
          <w:sz w:val="22"/>
          <w:szCs w:val="22"/>
          <w:color w:val="auto"/>
        </w:rPr>
        <w:t>VGOD Portfolio GP serves as the general partner of VGOD and has the authority to dispose of and vote the shares of Common Stock that VGOD has the right to acquire upon conversion of the Series B-2 Preferred Stock. VGOD Portfolio GP does not directly own any shares of Common Stock or Series B-2 Preferred Stock.</w:t>
      </w:r>
    </w:p>
    <w:p>
      <w:pPr>
        <w:spacing w:after="0" w:line="200" w:lineRule="exact"/>
        <w:rPr>
          <w:sz w:val="20"/>
          <w:szCs w:val="20"/>
          <w:color w:val="auto"/>
        </w:rPr>
      </w:pPr>
    </w:p>
    <w:p>
      <w:pPr>
        <w:ind w:left="1300" w:right="180"/>
        <w:spacing w:after="0" w:line="258" w:lineRule="auto"/>
        <w:rPr>
          <w:sz w:val="20"/>
          <w:szCs w:val="20"/>
          <w:color w:val="auto"/>
        </w:rPr>
      </w:pPr>
      <w:r>
        <w:rPr>
          <w:rFonts w:ascii="Times New Roman" w:cs="Times New Roman" w:eastAsia="Times New Roman" w:hAnsi="Times New Roman"/>
          <w:sz w:val="22"/>
          <w:szCs w:val="22"/>
          <w:color w:val="auto"/>
        </w:rPr>
        <w:t>Based on Rule 13d-3 of the Act, VGOD Portfolio GP may be deemed to beneficially own the shares of Common Stock that VGOD has the right to acquire upon conversion of the Series B-2 Preferred Stock.</w:t>
      </w:r>
    </w:p>
    <w:p>
      <w:pPr>
        <w:spacing w:after="0" w:line="185" w:lineRule="exact"/>
        <w:rPr>
          <w:sz w:val="20"/>
          <w:szCs w:val="20"/>
          <w:color w:val="auto"/>
        </w:rPr>
      </w:pPr>
    </w:p>
    <w:p>
      <w:pPr>
        <w:ind w:left="1300" w:right="320"/>
        <w:spacing w:after="0" w:line="244" w:lineRule="auto"/>
        <w:rPr>
          <w:sz w:val="20"/>
          <w:szCs w:val="20"/>
          <w:color w:val="auto"/>
        </w:rPr>
      </w:pPr>
      <w:r>
        <w:rPr>
          <w:rFonts w:ascii="Times New Roman" w:cs="Times New Roman" w:eastAsia="Times New Roman" w:hAnsi="Times New Roman"/>
          <w:sz w:val="22"/>
          <w:szCs w:val="22"/>
          <w:color w:val="auto"/>
        </w:rPr>
        <w:t>VGOD Portfolio GP beneficially owns 2,746,764 shares of Common Stock consisting of 2,746,764 shares of Common Stock beneficially owned by VGOD, which VGOD has the right to acquire upon conversion of 9,339 shares of Series B-2 Preferred Stock, each subject to the Blocker.</w:t>
      </w:r>
    </w:p>
    <w:p>
      <w:pPr>
        <w:spacing w:after="0" w:line="210" w:lineRule="exact"/>
        <w:rPr>
          <w:sz w:val="20"/>
          <w:szCs w:val="20"/>
          <w:color w:val="auto"/>
        </w:rPr>
      </w:pPr>
    </w:p>
    <w:p>
      <w:pPr>
        <w:ind w:left="1800" w:hanging="496"/>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VGOD</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2,746,764</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3.1%</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2,746,764</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2,746,764</w:t>
      </w:r>
    </w:p>
    <w:p>
      <w:pPr>
        <w:spacing w:after="0" w:line="243" w:lineRule="exact"/>
        <w:rPr>
          <w:sz w:val="20"/>
          <w:szCs w:val="20"/>
          <w:color w:val="auto"/>
        </w:rPr>
      </w:pPr>
    </w:p>
    <w:p>
      <w:pPr>
        <w:ind w:left="1300" w:right="240"/>
        <w:spacing w:after="0" w:line="261" w:lineRule="auto"/>
        <w:rPr>
          <w:sz w:val="20"/>
          <w:szCs w:val="20"/>
          <w:color w:val="auto"/>
        </w:rPr>
      </w:pPr>
      <w:r>
        <w:rPr>
          <w:rFonts w:ascii="Times New Roman" w:cs="Times New Roman" w:eastAsia="Times New Roman" w:hAnsi="Times New Roman"/>
          <w:sz w:val="21"/>
          <w:szCs w:val="21"/>
          <w:color w:val="auto"/>
        </w:rPr>
        <w:t>VGOD has the authority to dispose of and vote the shares of Common Stock that it has the right to acquire upon conversion of the Series B-2 Preferred Stock directly owned by it, which power may be exercised by VGOD Portfolio GP, and by VGI, an affiliate of VGOD Portfolio GP, which provides managerial services to VGOD.</w:t>
      </w:r>
    </w:p>
    <w:p>
      <w:pPr>
        <w:spacing w:after="0" w:line="184" w:lineRule="exact"/>
        <w:rPr>
          <w:sz w:val="20"/>
          <w:szCs w:val="20"/>
          <w:color w:val="auto"/>
        </w:rPr>
      </w:pPr>
    </w:p>
    <w:p>
      <w:pPr>
        <w:ind w:left="1300" w:right="80"/>
        <w:spacing w:after="0" w:line="239" w:lineRule="auto"/>
        <w:rPr>
          <w:sz w:val="20"/>
          <w:szCs w:val="20"/>
          <w:color w:val="auto"/>
        </w:rPr>
      </w:pPr>
      <w:r>
        <w:rPr>
          <w:rFonts w:ascii="Times New Roman" w:cs="Times New Roman" w:eastAsia="Times New Roman" w:hAnsi="Times New Roman"/>
          <w:sz w:val="22"/>
          <w:szCs w:val="22"/>
          <w:color w:val="auto"/>
        </w:rPr>
        <w:t>Viking Global Opportunities Drawdown (Offshore) LP (a Cayman Islands exempted limited partnership) and Viking Global Opportunities Drawdown (Internal) LP (a Delaware limited partnership), through its investment in Viking Global Opportunities Drawdown (Onshore) LP (a Delaware limited partnership), invest substantially all of their assets in VGOD.</w:t>
      </w:r>
    </w:p>
    <w:p>
      <w:pPr>
        <w:spacing w:after="0" w:line="216" w:lineRule="exact"/>
        <w:rPr>
          <w:sz w:val="20"/>
          <w:szCs w:val="20"/>
          <w:color w:val="auto"/>
        </w:rPr>
      </w:pPr>
    </w:p>
    <w:p>
      <w:pPr>
        <w:ind w:left="1800" w:hanging="496"/>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Andreas Halvorsen, David C. Ott and Rose S. Shabet</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8,323,821</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9.5%</w:t>
      </w:r>
    </w:p>
    <w:p>
      <w:pPr>
        <w:spacing w:after="0" w:line="252"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8,323,821</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2760" w:hanging="484"/>
        <w:spacing w:after="0"/>
        <w:tabs>
          <w:tab w:leader="none" w:pos="27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8,323,821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5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5040" w:type="dxa"/>
            <w:vAlign w:val="bottom"/>
            <w:tcBorders>
              <w:top w:val="single" w:sz="8" w:color="auto"/>
              <w:bottom w:val="single" w:sz="8" w:color="auto"/>
              <w:right w:val="single" w:sz="8" w:color="auto"/>
            </w:tcBorders>
          </w:tcPr>
          <w:p>
            <w:pPr>
              <w:ind w:left="3520"/>
              <w:spacing w:after="0"/>
              <w:rPr>
                <w:sz w:val="20"/>
                <w:szCs w:val="20"/>
                <w:color w:val="auto"/>
              </w:rPr>
            </w:pPr>
            <w:r>
              <w:rPr>
                <w:rFonts w:ascii="Times New Roman" w:cs="Times New Roman" w:eastAsia="Times New Roman" w:hAnsi="Times New Roman"/>
                <w:sz w:val="18"/>
                <w:szCs w:val="18"/>
                <w:b w:val="1"/>
                <w:bCs w:val="1"/>
                <w:color w:val="auto"/>
                <w:w w:val="98"/>
              </w:rPr>
              <w:t>Page 19 of 21 Pages</w:t>
            </w:r>
          </w:p>
        </w:tc>
      </w:tr>
    </w:tbl>
    <w:p>
      <w:pPr>
        <w:spacing w:after="0" w:line="216" w:lineRule="exact"/>
        <w:rPr>
          <w:sz w:val="20"/>
          <w:szCs w:val="20"/>
          <w:color w:val="auto"/>
        </w:rPr>
      </w:pPr>
    </w:p>
    <w:p>
      <w:pPr>
        <w:ind w:left="1300" w:right="360"/>
        <w:spacing w:after="0" w:line="239" w:lineRule="auto"/>
        <w:rPr>
          <w:sz w:val="20"/>
          <w:szCs w:val="20"/>
          <w:color w:val="auto"/>
        </w:rPr>
      </w:pPr>
      <w:r>
        <w:rPr>
          <w:rFonts w:ascii="Times New Roman" w:cs="Times New Roman" w:eastAsia="Times New Roman" w:hAnsi="Times New Roman"/>
          <w:sz w:val="22"/>
          <w:szCs w:val="22"/>
          <w:color w:val="auto"/>
        </w:rPr>
        <w:t>Mr. Halvorsen, Mr. Ott and Ms. Shabet, as Executive Committee Members of Viking Global Partners LLC (general partner of VGI) and Opportunities Parent, have shared authority to dispose of and vote the shares of Common Stock beneficially owned by VGI and Opportunities Parent. None of Mr. Halvorsen, Mr. Ott and Ms. Shabet directly owns any shares of Common Stock or Series B-2 Preferred Stock.</w:t>
      </w:r>
    </w:p>
    <w:p>
      <w:pPr>
        <w:spacing w:after="0" w:line="207" w:lineRule="exact"/>
        <w:rPr>
          <w:sz w:val="20"/>
          <w:szCs w:val="20"/>
          <w:color w:val="auto"/>
        </w:rPr>
      </w:pPr>
    </w:p>
    <w:p>
      <w:pPr>
        <w:ind w:left="1300" w:right="640"/>
        <w:spacing w:after="0" w:line="258" w:lineRule="auto"/>
        <w:rPr>
          <w:sz w:val="20"/>
          <w:szCs w:val="20"/>
          <w:color w:val="auto"/>
        </w:rPr>
      </w:pPr>
      <w:r>
        <w:rPr>
          <w:rFonts w:ascii="Times New Roman" w:cs="Times New Roman" w:eastAsia="Times New Roman" w:hAnsi="Times New Roman"/>
          <w:sz w:val="22"/>
          <w:szCs w:val="22"/>
          <w:color w:val="auto"/>
        </w:rPr>
        <w:t>Based on Rule 13d-3 of the Act, each may be deemed to beneficially own the shares of Common Stock that VGOP and VGOD have the right to acquire upon conversion of the Series B-2 Preferred Stock.</w:t>
      </w:r>
    </w:p>
    <w:p>
      <w:pPr>
        <w:spacing w:after="0" w:line="185" w:lineRule="exact"/>
        <w:rPr>
          <w:sz w:val="20"/>
          <w:szCs w:val="20"/>
          <w:color w:val="auto"/>
        </w:rPr>
      </w:pPr>
    </w:p>
    <w:p>
      <w:pPr>
        <w:ind w:left="1300" w:right="40"/>
        <w:spacing w:after="0" w:line="238" w:lineRule="auto"/>
        <w:rPr>
          <w:sz w:val="20"/>
          <w:szCs w:val="20"/>
          <w:color w:val="auto"/>
        </w:rPr>
      </w:pPr>
      <w:r>
        <w:rPr>
          <w:rFonts w:ascii="Times New Roman" w:cs="Times New Roman" w:eastAsia="Times New Roman" w:hAnsi="Times New Roman"/>
          <w:sz w:val="22"/>
          <w:szCs w:val="22"/>
          <w:color w:val="auto"/>
        </w:rPr>
        <w:t>Mr. Halvorsen, Mr. Ott and Ms. Shabet each beneficially own 8,323,821 shares of Common Stock consisting of (i) 5,577,057 shares of Common Stock beneficially owned by VGOP, which VGOP has the right to acquire upon conversion of 18,962 shares of Series B-2 Preferred Stock, and (ii) 2,746,764 shares of Common Stock beneficially owned by VGOD, which VGOD has the right to acquire upon conversion of 9,339 shares of Series B-2 Preferred Stock, each subject to the Blocker.</w:t>
      </w:r>
    </w:p>
    <w:p>
      <w:pPr>
        <w:spacing w:after="0" w:line="21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Five Percent or Less of a Class.</w:t>
      </w:r>
    </w:p>
    <w:p>
      <w:pPr>
        <w:spacing w:after="0" w:line="243" w:lineRule="exact"/>
        <w:rPr>
          <w:sz w:val="20"/>
          <w:szCs w:val="20"/>
          <w:color w:val="auto"/>
        </w:rPr>
      </w:pPr>
    </w:p>
    <w:p>
      <w:pPr>
        <w:ind w:right="160" w:firstLine="1296"/>
        <w:spacing w:after="0" w:line="281" w:lineRule="exact"/>
        <w:rPr>
          <w:sz w:val="20"/>
          <w:szCs w:val="20"/>
          <w:color w:val="auto"/>
        </w:rPr>
      </w:pPr>
      <w:r>
        <w:rPr>
          <w:rFonts w:ascii="Times New Roman" w:cs="Times New Roman" w:eastAsia="Times New Roman" w:hAnsi="Times New Roman"/>
          <w:sz w:val="22"/>
          <w:szCs w:val="22"/>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22"/>
          <w:szCs w:val="22"/>
          <w:color w:val="auto"/>
        </w:rPr>
        <w:t>☐</w:t>
      </w:r>
    </w:p>
    <w:p>
      <w:pPr>
        <w:spacing w:after="0" w:line="1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on Behalf of Another Person.</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response to Item 4 is incorporated by reference herein.</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the Subsidiary Which Acquired the Security Being Reported on by the Parent Holding Company.</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Members of the Group.</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Notice of Dissolution of Group.</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10</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Certification. (if filing pursuant to Rule 13d-1(c))</w:t>
      </w:r>
    </w:p>
    <w:p>
      <w:pPr>
        <w:spacing w:after="0" w:line="243" w:lineRule="exact"/>
        <w:rPr>
          <w:sz w:val="20"/>
          <w:szCs w:val="20"/>
          <w:color w:val="auto"/>
        </w:rPr>
      </w:pPr>
    </w:p>
    <w:p>
      <w:pPr>
        <w:ind w:right="20" w:firstLine="1296"/>
        <w:spacing w:after="0" w:line="239" w:lineRule="auto"/>
        <w:rPr>
          <w:sz w:val="20"/>
          <w:szCs w:val="20"/>
          <w:color w:val="auto"/>
        </w:rPr>
      </w:pPr>
      <w:r>
        <w:rPr>
          <w:rFonts w:ascii="Times New Roman" w:cs="Times New Roman" w:eastAsia="Times New Roman" w:hAnsi="Times New Roman"/>
          <w:sz w:val="22"/>
          <w:szCs w:val="22"/>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50"/>
        </w:trPr>
        <w:tc>
          <w:tcPr>
            <w:tcW w:w="5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5040" w:type="dxa"/>
            <w:vAlign w:val="bottom"/>
            <w:tcBorders>
              <w:top w:val="single" w:sz="8" w:color="auto"/>
              <w:bottom w:val="single" w:sz="8" w:color="auto"/>
              <w:right w:val="single" w:sz="8" w:color="auto"/>
            </w:tcBorders>
          </w:tcPr>
          <w:p>
            <w:pPr>
              <w:ind w:left="3520"/>
              <w:spacing w:after="0"/>
              <w:rPr>
                <w:sz w:val="20"/>
                <w:szCs w:val="20"/>
                <w:color w:val="auto"/>
              </w:rPr>
            </w:pPr>
            <w:r>
              <w:rPr>
                <w:rFonts w:ascii="Times New Roman" w:cs="Times New Roman" w:eastAsia="Times New Roman" w:hAnsi="Times New Roman"/>
                <w:sz w:val="18"/>
                <w:szCs w:val="18"/>
                <w:b w:val="1"/>
                <w:bCs w:val="1"/>
                <w:color w:val="auto"/>
                <w:w w:val="98"/>
              </w:rPr>
              <w:t>Page 20 of 21 Pages</w:t>
            </w: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237"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our knowledge and belief, the undersigned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14, 2023</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O. Andreas Halvorsen (1)</w:t>
            </w:r>
          </w:p>
        </w:tc>
      </w:tr>
      <w:tr>
        <w:trPr>
          <w:trHeight w:val="42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David C. Ott (2)</w:t>
            </w:r>
          </w:p>
        </w:tc>
      </w:tr>
      <w:tr>
        <w:trPr>
          <w:trHeight w:val="42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(3)</w:t>
            </w:r>
          </w:p>
        </w:tc>
      </w:tr>
    </w:tbl>
    <w:p>
      <w:pPr>
        <w:spacing w:after="0" w:line="197" w:lineRule="exact"/>
        <w:rPr>
          <w:sz w:val="20"/>
          <w:szCs w:val="20"/>
          <w:color w:val="auto"/>
        </w:rPr>
      </w:pPr>
    </w:p>
    <w:p>
      <w:pPr>
        <w:ind w:right="100" w:firstLine="8"/>
        <w:spacing w:after="0" w:line="234" w:lineRule="auto"/>
        <w:tabs>
          <w:tab w:leader="none" w:pos="30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210" w:lineRule="exact"/>
        <w:rPr>
          <w:rFonts w:ascii="Times New Roman" w:cs="Times New Roman" w:eastAsia="Times New Roman" w:hAnsi="Times New Roman"/>
          <w:sz w:val="22"/>
          <w:szCs w:val="22"/>
          <w:color w:val="auto"/>
        </w:rPr>
      </w:pPr>
    </w:p>
    <w:p>
      <w:pPr>
        <w:ind w:right="360" w:firstLine="8"/>
        <w:spacing w:after="0" w:line="247" w:lineRule="auto"/>
        <w:tabs>
          <w:tab w:leader="none" w:pos="30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98" w:lineRule="exact"/>
        <w:rPr>
          <w:rFonts w:ascii="Times New Roman" w:cs="Times New Roman" w:eastAsia="Times New Roman" w:hAnsi="Times New Roman"/>
          <w:sz w:val="21"/>
          <w:szCs w:val="21"/>
          <w:color w:val="auto"/>
        </w:rPr>
      </w:pPr>
    </w:p>
    <w:p>
      <w:pPr>
        <w:ind w:right="300" w:firstLine="8"/>
        <w:spacing w:after="0" w:line="247" w:lineRule="auto"/>
        <w:tabs>
          <w:tab w:leader="none" w:pos="30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50"/>
        </w:trPr>
        <w:tc>
          <w:tcPr>
            <w:tcW w:w="5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13G</w:t>
            </w:r>
          </w:p>
        </w:tc>
        <w:tc>
          <w:tcPr>
            <w:tcW w:w="5040" w:type="dxa"/>
            <w:vAlign w:val="bottom"/>
            <w:tcBorders>
              <w:top w:val="single" w:sz="8" w:color="auto"/>
              <w:bottom w:val="single" w:sz="8" w:color="auto"/>
              <w:right w:val="single" w:sz="8" w:color="auto"/>
            </w:tcBorders>
          </w:tcPr>
          <w:p>
            <w:pPr>
              <w:ind w:left="3520"/>
              <w:spacing w:after="0"/>
              <w:rPr>
                <w:sz w:val="20"/>
                <w:szCs w:val="20"/>
                <w:color w:val="auto"/>
              </w:rPr>
            </w:pPr>
            <w:r>
              <w:rPr>
                <w:rFonts w:ascii="Times New Roman" w:cs="Times New Roman" w:eastAsia="Times New Roman" w:hAnsi="Times New Roman"/>
                <w:sz w:val="18"/>
                <w:szCs w:val="18"/>
                <w:b w:val="1"/>
                <w:bCs w:val="1"/>
                <w:color w:val="auto"/>
                <w:w w:val="98"/>
              </w:rPr>
              <w:t>Page 21 of 21 Pages</w:t>
            </w: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 - JOINT FILING AGREEMENT</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joint filing agreement is made and entered into as of this 14th day of February, 2023, by and among Viking Global Investors LP, Viking Global Opportunities Parent GP LLC, Viking Global Opportunities GP LLC, Viking Global Opportunities Portfolio GP LLC, Viking Global Opportunities Illiquid Investments Sub-Master LP, Viking Global Opportunities Drawdown GP LLC, Viking Global Opportunities Drawdown Portfolio GP LLC, Viking Global Opportunities Drawdown (Aggregator) LP, O. Andreas Halvorsen, David C. Ott and Rose S. Shabet.</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set forth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14, 2023</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O. Andreas Halvorsen (1)</w:t>
            </w: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David C. Ott (2)</w:t>
            </w: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(3)</w:t>
            </w:r>
          </w:p>
        </w:tc>
      </w:tr>
    </w:tbl>
    <w:p>
      <w:pPr>
        <w:spacing w:after="0" w:line="197" w:lineRule="exact"/>
        <w:rPr>
          <w:sz w:val="20"/>
          <w:szCs w:val="20"/>
          <w:color w:val="auto"/>
        </w:rPr>
      </w:pPr>
    </w:p>
    <w:p>
      <w:pPr>
        <w:ind w:right="100" w:firstLine="8"/>
        <w:spacing w:after="0" w:line="234" w:lineRule="auto"/>
        <w:tabs>
          <w:tab w:leader="none" w:pos="30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210" w:lineRule="exact"/>
        <w:rPr>
          <w:rFonts w:ascii="Times New Roman" w:cs="Times New Roman" w:eastAsia="Times New Roman" w:hAnsi="Times New Roman"/>
          <w:sz w:val="22"/>
          <w:szCs w:val="22"/>
          <w:color w:val="auto"/>
        </w:rPr>
      </w:pPr>
    </w:p>
    <w:p>
      <w:pPr>
        <w:ind w:right="360" w:firstLine="8"/>
        <w:spacing w:after="0" w:line="247" w:lineRule="auto"/>
        <w:tabs>
          <w:tab w:leader="none" w:pos="30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98" w:lineRule="exact"/>
        <w:rPr>
          <w:rFonts w:ascii="Times New Roman" w:cs="Times New Roman" w:eastAsia="Times New Roman" w:hAnsi="Times New Roman"/>
          <w:sz w:val="21"/>
          <w:szCs w:val="21"/>
          <w:color w:val="auto"/>
        </w:rPr>
      </w:pPr>
    </w:p>
    <w:p>
      <w:pPr>
        <w:ind w:right="300" w:firstLine="8"/>
        <w:spacing w:after="0" w:line="247" w:lineRule="auto"/>
        <w:tabs>
          <w:tab w:leader="none" w:pos="30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
    <w:nsid w:val="515F007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
    <w:nsid w:val="5BD062C2"/>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5">
    <w:nsid w:val="12200854"/>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6">
    <w:nsid w:val="4DB127F8"/>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7">
    <w:nsid w:val="216231B"/>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8">
    <w:nsid w:val="1F16E9E8"/>
    <w:multiLevelType w:val="hybridMultilevel"/>
    <w:lvl w:ilvl="0">
      <w:lvlJc w:val="left"/>
      <w:lvlText w:val="%1."/>
      <w:numFmt w:val="upperLetter"/>
      <w:start w:val="7"/>
    </w:lvl>
    <w:lvl w:ilvl="1">
      <w:lvlJc w:val="left"/>
      <w:lvlText w:val="(%2)"/>
      <w:numFmt w:val="lowerLetter"/>
      <w:start w:val="1"/>
    </w:lvl>
    <w:lvl w:ilvl="2">
      <w:lvlJc w:val="left"/>
      <w:lvlText w:val="(%3)"/>
      <w:numFmt w:val="lowerRoman"/>
      <w:start w:val="1"/>
    </w:lvl>
  </w:abstractNum>
  <w:abstractNum w:abstractNumId="9">
    <w:nsid w:val="1190CDE7"/>
    <w:multiLevelType w:val="hybridMultilevel"/>
    <w:lvl w:ilvl="0">
      <w:lvlJc w:val="left"/>
      <w:lvlText w:val="%1."/>
      <w:numFmt w:val="upperLetter"/>
      <w:start w:val="8"/>
    </w:lvl>
    <w:lvl w:ilvl="1">
      <w:lvlJc w:val="left"/>
      <w:lvlText w:val="(%2)"/>
      <w:numFmt w:val="lowerLetter"/>
      <w:start w:val="1"/>
    </w:lvl>
    <w:lvl w:ilvl="2">
      <w:lvlJc w:val="left"/>
      <w:lvlText w:val="(%3)"/>
      <w:numFmt w:val="lowerRoman"/>
      <w:start w:val="1"/>
    </w:lvl>
  </w:abstractNum>
  <w:abstractNum w:abstractNumId="10">
    <w:nsid w:val="66EF438D"/>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2023-02-14T12:21:50Z</dcterms:created>
  <dcterms:modified xsi:type="dcterms:W3CDTF">2023-02-14T12:21:50Z</dcterms:modified>
</cp:coreProperties>
</file>