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 Tower Place, Suite 2000, South San Francisco, California 94080</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Definitive Material Agreement.</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On March 25, 2022, Fluidigm Corporation (the “Company”) entered into a letter agreement (the “Letter Agreement”) to amend (1) the Series B-1 Convertible Preferred Stock Purchase Agreement (the “Casdin Purchase Agreement”), dated as of January 23, 2022, by and between the Company, Casdin Private Growth Equity Fund II, L.P. and Casdin Partners Master Fund, L.P. (collectively, “Casdin”) and (2) the Series B-2 Convertible Preferred Stock Purchase Agreement (the “Viking Purchase Agreement”), dated as of January 23, 2022, by and between the Company, Viking Global Opportunities Illiquid Investments Sub-Master LP and Viking Global Opportunities Drawdown (Aggregator) LP (collectively, “Viking”) (collectively, the Casdin Purchase Agreement and Viking Purchase Agreement, the “Purchase Agreements”).</w:t>
      </w:r>
    </w:p>
    <w:p>
      <w:pPr>
        <w:spacing w:after="0" w:line="178"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Letter Agreement provides that (i) the Company shall adjourn the Special Meeting (as defined below) until 9 a.m., San Francisco time, on April 1, 2022, and (ii) the parties agree that the Company and Casdin shall terminate the Casdin Purchase Agreement, and that the Company and Viking shall terminate the Viking Purchase Agreement, as applicable, pursuant to Section 8.1(d) of each Purchase Agreement in the event that the Requisite Stockholder Approval (as defined in the Purchase Agreements) is not obtained at the adjourned Special Meeting.</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summary of the Letter Agreement is qualified in its entirety by the text of the Letter Agreement, a copy of which is attached hereto as Exhibit 10.1, and is incorporated by reference into this Item 1.01.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A MATTER TO A VOTE OF SECURITY HOLDERS</w:t>
      </w:r>
    </w:p>
    <w:p>
      <w:pPr>
        <w:spacing w:after="0" w:line="121"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Company’s special meeting of its stockholders (the “Special Meeting”), originally scheduled for March 25, 2022 at 9 a.m., Pacific time, was adjourned, without conducting any business except as described below, to 12:00 p.m., Pacific time on the same day and at the same location. At that time, the Special Meeting was again adjourned, without conducting any business except as described below, to 9 a.m., Pacific time, on April 1, 2022, and will be held at the Genesis SSF Performing Arts Center, located at 1 Tower Place, South San Francisco, California 94080.</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sole proposal presented at both times of the Special Meeting was a proposal to adjourn the Special Meeting to a later date or dates, if necessary or appropriate, to solicit additional proxies. In each case, the Company’s stockholders approved the Adjournment Proposal. The voting results were as follows in both cases: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4140" w:type="dxa"/>
            <w:vAlign w:val="bottom"/>
            <w:gridSpan w:val="2"/>
          </w:tcPr>
          <w:p>
            <w:pPr>
              <w:jc w:val="center"/>
              <w:ind w:left="3228"/>
              <w:spacing w:after="0"/>
              <w:rPr>
                <w:sz w:val="20"/>
                <w:szCs w:val="20"/>
                <w:color w:val="auto"/>
              </w:rPr>
            </w:pPr>
            <w:r>
              <w:rPr>
                <w:rFonts w:ascii="Arial" w:cs="Arial" w:eastAsia="Arial" w:hAnsi="Arial"/>
                <w:sz w:val="14"/>
                <w:szCs w:val="14"/>
                <w:b w:val="1"/>
                <w:bCs w:val="1"/>
                <w:color w:val="auto"/>
                <w:w w:val="89"/>
              </w:rPr>
              <w:t>Votes Against</w:t>
            </w:r>
          </w:p>
        </w:tc>
        <w:tc>
          <w:tcPr>
            <w:tcW w:w="4300" w:type="dxa"/>
            <w:vAlign w:val="bottom"/>
            <w:gridSpan w:val="2"/>
          </w:tcPr>
          <w:p>
            <w:pPr>
              <w:jc w:val="center"/>
              <w:ind w:left="3208"/>
              <w:spacing w:after="0"/>
              <w:rPr>
                <w:sz w:val="20"/>
                <w:szCs w:val="20"/>
                <w:color w:val="auto"/>
              </w:rPr>
            </w:pPr>
            <w:r>
              <w:rPr>
                <w:rFonts w:ascii="Arial" w:cs="Arial" w:eastAsia="Arial" w:hAnsi="Arial"/>
                <w:sz w:val="14"/>
                <w:szCs w:val="14"/>
                <w:b w:val="1"/>
                <w:bCs w:val="1"/>
                <w:color w:val="auto"/>
                <w:w w:val="89"/>
              </w:rPr>
              <w:t>Votes Abstained</w:t>
            </w:r>
          </w:p>
        </w:tc>
      </w:tr>
      <w:tr>
        <w:trPr>
          <w:trHeight w:val="228"/>
        </w:trPr>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58,261,792</w:t>
            </w:r>
          </w:p>
        </w:tc>
        <w:tc>
          <w:tcPr>
            <w:tcW w:w="3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2,275,789</w:t>
            </w:r>
          </w:p>
        </w:tc>
        <w:tc>
          <w:tcPr>
            <w:tcW w:w="3300" w:type="dxa"/>
            <w:vAlign w:val="bottom"/>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177,055</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On March 25, 2022, the Company issued a press release regarding the adjournment of the Special Meeting. On March 28, 2022, the Company issued a press release regarding its entry into the letter agreement. The press releases are attached hereto as Exhibit 99.1 and 99.2, respectively, and are incorporated by reference into this Item 8.01.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57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29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Letter Agreement dated March 25, 2022</w:t>
              </w:r>
            </w:hyperlink>
          </w:p>
        </w:tc>
        <w:tc>
          <w:tcPr>
            <w:tcW w:w="288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578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Fluidigm Corporation Press Release dated March 25, 2022.</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4260" w:type="dxa"/>
            <w:vAlign w:val="bottom"/>
            <w:tcBorders>
              <w:top w:val="single" w:sz="8" w:color="0000EE"/>
            </w:tcBorders>
            <w:gridSpan w:val="4"/>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Fluidigm Corporation Press Release dated March 28, 2022</w:t>
              </w:r>
            </w:hyperlink>
          </w:p>
        </w:tc>
        <w:tc>
          <w:tcPr>
            <w:tcW w:w="15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960"/>
          </w:cols>
          <w:pgMar w:left="440"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10.1</w:t>
      </w:r>
    </w:p>
    <w:p>
      <w:pPr>
        <w:spacing w:after="0" w:line="27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860" w:type="dxa"/>
            <w:vAlign w:val="bottom"/>
          </w:tcPr>
          <w:p>
            <w:pPr>
              <w:jc w:val="center"/>
              <w:ind w:right="1670"/>
              <w:spacing w:after="0"/>
              <w:rPr>
                <w:sz w:val="20"/>
                <w:szCs w:val="20"/>
                <w:color w:val="auto"/>
              </w:rPr>
            </w:pPr>
            <w:r>
              <w:rPr>
                <w:rFonts w:ascii="Arial" w:cs="Arial" w:eastAsia="Arial" w:hAnsi="Arial"/>
                <w:sz w:val="18"/>
                <w:szCs w:val="18"/>
                <w:color w:val="auto"/>
                <w:w w:val="93"/>
              </w:rPr>
              <w:t>Casdin Capital, LLC</w:t>
            </w:r>
          </w:p>
        </w:tc>
        <w:tc>
          <w:tcPr>
            <w:tcW w:w="3740" w:type="dxa"/>
            <w:vAlign w:val="bottom"/>
          </w:tcPr>
          <w:p>
            <w:pPr>
              <w:jc w:val="center"/>
              <w:ind w:left="1670"/>
              <w:spacing w:after="0"/>
              <w:rPr>
                <w:sz w:val="20"/>
                <w:szCs w:val="20"/>
                <w:color w:val="auto"/>
              </w:rPr>
            </w:pPr>
            <w:r>
              <w:rPr>
                <w:rFonts w:ascii="Arial" w:cs="Arial" w:eastAsia="Arial" w:hAnsi="Arial"/>
                <w:sz w:val="18"/>
                <w:szCs w:val="18"/>
                <w:color w:val="auto"/>
                <w:w w:val="93"/>
              </w:rPr>
              <w:t>Viking Global Investors LP</w:t>
            </w:r>
          </w:p>
        </w:tc>
      </w:tr>
      <w:tr>
        <w:trPr>
          <w:trHeight w:val="216"/>
        </w:trPr>
        <w:tc>
          <w:tcPr>
            <w:tcW w:w="3860" w:type="dxa"/>
            <w:vAlign w:val="bottom"/>
          </w:tcPr>
          <w:p>
            <w:pPr>
              <w:jc w:val="center"/>
              <w:ind w:right="1670"/>
              <w:spacing w:after="0"/>
              <w:rPr>
                <w:sz w:val="20"/>
                <w:szCs w:val="20"/>
                <w:color w:val="auto"/>
              </w:rPr>
            </w:pPr>
            <w:r>
              <w:rPr>
                <w:rFonts w:ascii="Arial" w:cs="Arial" w:eastAsia="Arial" w:hAnsi="Arial"/>
                <w:sz w:val="18"/>
                <w:szCs w:val="18"/>
                <w:color w:val="auto"/>
                <w:w w:val="90"/>
              </w:rPr>
              <w:t>1350 6th Avenue, Suite 2600</w:t>
            </w:r>
          </w:p>
        </w:tc>
        <w:tc>
          <w:tcPr>
            <w:tcW w:w="3740" w:type="dxa"/>
            <w:vAlign w:val="bottom"/>
          </w:tcPr>
          <w:p>
            <w:pPr>
              <w:jc w:val="center"/>
              <w:ind w:left="1690"/>
              <w:spacing w:after="0"/>
              <w:rPr>
                <w:sz w:val="20"/>
                <w:szCs w:val="20"/>
                <w:color w:val="auto"/>
              </w:rPr>
            </w:pPr>
            <w:r>
              <w:rPr>
                <w:rFonts w:ascii="Arial" w:cs="Arial" w:eastAsia="Arial" w:hAnsi="Arial"/>
                <w:sz w:val="18"/>
                <w:szCs w:val="18"/>
                <w:color w:val="auto"/>
                <w:w w:val="91"/>
              </w:rPr>
              <w:t>55 Railroad Avenue</w:t>
            </w:r>
          </w:p>
        </w:tc>
      </w:tr>
      <w:tr>
        <w:trPr>
          <w:trHeight w:val="230"/>
        </w:trPr>
        <w:tc>
          <w:tcPr>
            <w:tcW w:w="3860" w:type="dxa"/>
            <w:vAlign w:val="bottom"/>
          </w:tcPr>
          <w:p>
            <w:pPr>
              <w:jc w:val="center"/>
              <w:ind w:right="1670"/>
              <w:spacing w:after="0"/>
              <w:rPr>
                <w:sz w:val="20"/>
                <w:szCs w:val="20"/>
                <w:color w:val="auto"/>
              </w:rPr>
            </w:pPr>
            <w:r>
              <w:rPr>
                <w:rFonts w:ascii="Arial" w:cs="Arial" w:eastAsia="Arial" w:hAnsi="Arial"/>
                <w:sz w:val="18"/>
                <w:szCs w:val="18"/>
                <w:color w:val="auto"/>
                <w:w w:val="93"/>
              </w:rPr>
              <w:t>New York, NY 10019</w:t>
            </w:r>
          </w:p>
        </w:tc>
        <w:tc>
          <w:tcPr>
            <w:tcW w:w="3740" w:type="dxa"/>
            <w:vAlign w:val="bottom"/>
          </w:tcPr>
          <w:p>
            <w:pPr>
              <w:jc w:val="center"/>
              <w:ind w:left="1690"/>
              <w:spacing w:after="0"/>
              <w:rPr>
                <w:sz w:val="20"/>
                <w:szCs w:val="20"/>
                <w:color w:val="auto"/>
              </w:rPr>
            </w:pPr>
            <w:r>
              <w:rPr>
                <w:rFonts w:ascii="Arial" w:cs="Arial" w:eastAsia="Arial" w:hAnsi="Arial"/>
                <w:sz w:val="18"/>
                <w:szCs w:val="18"/>
                <w:color w:val="auto"/>
                <w:w w:val="91"/>
              </w:rPr>
              <w:t>Greenwich, CT 06830</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Towers Place,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Nicholas S. Khadder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nick.khadder@fluidigm.com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Nick:</w:t>
      </w:r>
    </w:p>
    <w:p>
      <w:pPr>
        <w:spacing w:after="0" w:line="117"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Reference is made to (1) the Series B-1 Convertible Preferred Stock Purchase Agreement (the “</w:t>
      </w:r>
      <w:r>
        <w:rPr>
          <w:rFonts w:ascii="Arial" w:cs="Arial" w:eastAsia="Arial" w:hAnsi="Arial"/>
          <w:sz w:val="17"/>
          <w:szCs w:val="17"/>
          <w:u w:val="single" w:color="auto"/>
          <w:color w:val="auto"/>
        </w:rPr>
        <w:t>Casdin Purchase Agreement</w:t>
      </w:r>
      <w:r>
        <w:rPr>
          <w:rFonts w:ascii="Arial" w:cs="Arial" w:eastAsia="Arial" w:hAnsi="Arial"/>
          <w:sz w:val="17"/>
          <w:szCs w:val="17"/>
          <w:color w:val="auto"/>
        </w:rPr>
        <w:t>”), dated as of January 23, 2022, by and between Fluidigm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Casdin Private Growth Equity Fund II, L.P. (“</w:t>
      </w:r>
      <w:r>
        <w:rPr>
          <w:rFonts w:ascii="Arial" w:cs="Arial" w:eastAsia="Arial" w:hAnsi="Arial"/>
          <w:sz w:val="17"/>
          <w:szCs w:val="17"/>
          <w:u w:val="single" w:color="auto"/>
          <w:color w:val="auto"/>
        </w:rPr>
        <w:t>Casdin PGEF II</w:t>
      </w:r>
      <w:r>
        <w:rPr>
          <w:rFonts w:ascii="Arial" w:cs="Arial" w:eastAsia="Arial" w:hAnsi="Arial"/>
          <w:sz w:val="17"/>
          <w:szCs w:val="17"/>
          <w:color w:val="auto"/>
        </w:rPr>
        <w:t>”) and Casdin Partners Master Fund, L.P. (together with Casdin PGEF II, the “</w:t>
      </w:r>
      <w:r>
        <w:rPr>
          <w:rFonts w:ascii="Arial" w:cs="Arial" w:eastAsia="Arial" w:hAnsi="Arial"/>
          <w:sz w:val="17"/>
          <w:szCs w:val="17"/>
          <w:u w:val="single" w:color="auto"/>
          <w:color w:val="auto"/>
        </w:rPr>
        <w:t>Casdin Purchaser</w:t>
      </w:r>
      <w:r>
        <w:rPr>
          <w:rFonts w:ascii="Arial" w:cs="Arial" w:eastAsia="Arial" w:hAnsi="Arial"/>
          <w:sz w:val="17"/>
          <w:szCs w:val="17"/>
          <w:color w:val="auto"/>
        </w:rPr>
        <w:t>”) and (2) the Series B-2 Convertible Preferred Stock Purchase Agreement (the “</w:t>
      </w:r>
      <w:r>
        <w:rPr>
          <w:rFonts w:ascii="Arial" w:cs="Arial" w:eastAsia="Arial" w:hAnsi="Arial"/>
          <w:sz w:val="17"/>
          <w:szCs w:val="17"/>
          <w:u w:val="single" w:color="auto"/>
          <w:color w:val="auto"/>
        </w:rPr>
        <w:t>Viking Purchase Agreement</w:t>
      </w:r>
      <w:r>
        <w:rPr>
          <w:rFonts w:ascii="Arial" w:cs="Arial" w:eastAsia="Arial" w:hAnsi="Arial"/>
          <w:sz w:val="17"/>
          <w:szCs w:val="17"/>
          <w:color w:val="auto"/>
        </w:rPr>
        <w:t>”), dated as of January 23, 2022, by and between the Company, Viking Global Opportunities Illiquid Investments Sub-Master LP (“</w:t>
      </w:r>
      <w:r>
        <w:rPr>
          <w:rFonts w:ascii="Arial" w:cs="Arial" w:eastAsia="Arial" w:hAnsi="Arial"/>
          <w:sz w:val="17"/>
          <w:szCs w:val="17"/>
          <w:u w:val="single" w:color="auto"/>
          <w:color w:val="auto"/>
        </w:rPr>
        <w:t>VGO Illiquid Investments</w:t>
      </w:r>
      <w:r>
        <w:rPr>
          <w:rFonts w:ascii="Arial" w:cs="Arial" w:eastAsia="Arial" w:hAnsi="Arial"/>
          <w:sz w:val="17"/>
          <w:szCs w:val="17"/>
          <w:color w:val="auto"/>
        </w:rPr>
        <w:t>”) and Viking Global Opportunities Drawdown (Aggregator) LP (together with VGO Illiquid Investments, the “</w:t>
      </w:r>
      <w:r>
        <w:rPr>
          <w:rFonts w:ascii="Arial" w:cs="Arial" w:eastAsia="Arial" w:hAnsi="Arial"/>
          <w:sz w:val="17"/>
          <w:szCs w:val="17"/>
          <w:u w:val="single" w:color="auto"/>
          <w:color w:val="auto"/>
        </w:rPr>
        <w:t>Viking Purchaser</w:t>
      </w:r>
      <w:r>
        <w:rPr>
          <w:rFonts w:ascii="Arial" w:cs="Arial" w:eastAsia="Arial" w:hAnsi="Arial"/>
          <w:sz w:val="17"/>
          <w:szCs w:val="17"/>
          <w:color w:val="auto"/>
        </w:rPr>
        <w:t>”). Unless the context otherwise requires, capitalized terms used but not otherwise defined in this letter agreement shall have the respective meanings ascribed to such terms in the Casdin Purchase Agreement.</w:t>
      </w:r>
    </w:p>
    <w:p>
      <w:pPr>
        <w:spacing w:after="0" w:line="17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Notwithstanding anything to the contrary set forth in the Casdin Purchase Agreement or the Viking Purchase Agreement, the parties hereto hereby agree as follows:</w:t>
      </w:r>
    </w:p>
    <w:p>
      <w:pPr>
        <w:spacing w:after="0" w:line="76" w:lineRule="exact"/>
        <w:rPr>
          <w:sz w:val="20"/>
          <w:szCs w:val="20"/>
          <w:color w:val="auto"/>
        </w:rPr>
      </w:pPr>
    </w:p>
    <w:p>
      <w:pPr>
        <w:ind w:left="1420" w:right="6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there are insufficient votes to obtain the Requisite Stockholder Approval as of immediately prior to the closing of the polls at the Company Stockholder Meeting on March 25, 2022, then the Company shall adjourn the Company Stockholder Meeting until 9 a.m., San Francisco time, on April 1, 2022.</w:t>
      </w:r>
    </w:p>
    <w:p>
      <w:pPr>
        <w:spacing w:after="0" w:line="89" w:lineRule="exact"/>
        <w:rPr>
          <w:rFonts w:ascii="Arial" w:cs="Arial" w:eastAsia="Arial" w:hAnsi="Arial"/>
          <w:sz w:val="18"/>
          <w:szCs w:val="18"/>
          <w:color w:val="auto"/>
        </w:rPr>
      </w:pPr>
    </w:p>
    <w:p>
      <w:pPr>
        <w:ind w:left="1420" w:right="20" w:hanging="439"/>
        <w:spacing w:after="0" w:line="275"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the Company fails to obtain the Requisite Stockholder Approval at the Company Stockholder Meeting, as so adjourned as provided above, then (a) there shall be no further adjournments of the Company Stockholder Meeting and (b) on April 1, 2022, immediately following the closing of the polls at the Company Stockholder Meeting, (i) the Company and the Casdin Purchaser shall terminate the Casdin Purchase Agreement pursuant to Section 8.1(d) thereof and (ii) the Company and the Viking Purchaser shall terminate the Viking Purchase Agreement pursuant to Section 8.1(d) thereof.</w:t>
      </w:r>
    </w:p>
    <w:p>
      <w:pPr>
        <w:spacing w:after="0" w:line="17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Except as specifically provided herein, this letter agreement shall not constitute an amendment, modification or waiver of any provision of the Casdin Purchase Agreement (including Section 8.3(b) thereof) or the Viking Purchase Agreement (including Section 8.3(b) thereof), each of which shall continue and remain in full force and effect in accordance with its terms. Article IX of the Casdin Purchase Agreement is incorporated by reference into this letter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 w:name="page5"/>
    <w:bookmarkEnd w:id="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in agreement with the foregoing, please indicate by signing and returning one copy of this letter agreement, which will constitute our agreement with respect to the matters set forth herein.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1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Casdin Private Growth Equity Fund II GP, LLC,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CASDIN PARTNERS MASTER FUND, L.P.</w:t>
      </w:r>
    </w:p>
    <w:p>
      <w:pPr>
        <w:spacing w:after="0" w:line="1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Casdin Partners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VIKING GLOBAL OPPORTUNITIES ILLIQUID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INVESTMENTS SUB-MASTER LP</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Viking Global Opportunities Portfolio GP, LLC,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VIKING GLOBAL OPPORTUNITIES DRAWDOWN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(AGGREGATOR) LP</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Viking Global Opportunities Drawdown Portfolio GP</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confirmed and agreed to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Nicholas 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Nicholas S. Khadder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Side Letter</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Adjourns Special Meeting of Stockholders Until April 1,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Provides Stockholders Additional Time to Consider $250 Million Strategic Capital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Infusion from Casdin Capital and Viking Global Investors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SOUTH SAN FRANCISCO, Calif., Mar. 25, 2022 — Fluidigm Corporation (NASDAQ:FLDM) today announced that it convened and then adjourned, without conducting any other business, the Company’s Special Meeting of Stockholders (the “Special Meeting”) to provide stockholders additional time to vote on the previously announced strategic capital infusion from leading life sciences investors Casdin Capital, LLC (“Casdin”) and Viking Global Investors LP (“Viking”). The Special Meeting was adjourned until 9:00 a.m., Pacific time, on April 1, 2022. All stockholders of record at the close of business on February 18, 2022, remain entitled to vote their shares at the Special Meeting. The Special Meeting will be held at Genesis SSF Performing Arts Center, located at 1 Tower Place, South San Francisco, California 94080.</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previously announced on January 24, 2022, following stockholder approval and satisfaction of closing conditions, Fluidigm expects to receive an aggregate $250 million investment, inclusive of $25 million previously raised in the form of term loans, from Casdin and Viking, which will significantly advance the Company’s mission through new organic and inorganic growth initiatives while optimizing its cost structure. Upon the closing of the investment, Fluidigm will change its name to Standard BioTools Inc., better reflecting its ambitions to become an essential solutions partner to the life science industry focused on the highest growth areas of biological discovery and development.</w:t>
      </w:r>
    </w:p>
    <w:p>
      <w:pPr>
        <w:spacing w:after="0" w:line="17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Company’s Board of Directors unanimously recommends that stockholders vote “FOR” all Proposals at the Special Meeting. Your vote is very important regardless of the number of shares of Common Stock that you own.</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will continue to solicit proxies from its stockholders with respect to the Special Meeting. Stockholders as of the record date of February 18, 2022, who have not yet voted are encouraged to submit their proxies as soon as possible. Valid proxies submitted by stockholders prior to the adjourned Special Meeting will continue to be valid for purposes of the reconvened Special Meeting.</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Fluidigm stockholders who need assistance in completing the proxy card, need additional copies of the proxy materials, or have questions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may contact Fluidigm’s proxy solicitor: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Alliance Advisors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Broadacres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ind w:left="5380" w:hanging="438"/>
        <w:spacing w:after="0"/>
        <w:tabs>
          <w:tab w:leader="none" w:pos="5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782-7142</w:t>
      </w:r>
    </w:p>
    <w:p>
      <w:pPr>
        <w:spacing w:after="0" w:line="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u w:val="single" w:color="auto"/>
          <w:color w:val="auto"/>
        </w:rPr>
        <w:t>FLDM@allianceadvisors.com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is serving as financial advisor to Fluidigm and Wilson Sonsini Goodrich &amp; Rosati, Professional Corporation is serving as legal advisor.</w:t>
      </w:r>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Fluidigm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Fluidigm (Nasdaq:FLDM) focuses on the most pressing needs in translational and clinical research, including cancer, immunology, and immunotherapy. Using proprietary CyTOF</w:t>
      </w:r>
      <w:r>
        <w:rPr>
          <w:rFonts w:ascii="Arial" w:cs="Arial" w:eastAsia="Arial" w:hAnsi="Arial"/>
          <w:sz w:val="15"/>
          <w:szCs w:val="15"/>
          <w:color w:val="auto"/>
        </w:rPr>
        <w:t>®</w:t>
      </w:r>
      <w:r>
        <w:rPr>
          <w:rFonts w:ascii="Arial" w:cs="Arial" w:eastAsia="Arial" w:hAnsi="Arial"/>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Viking Global Investors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www.vikingglobal.com.</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expectations that the transactions described in this communication (the “Transaction”) will accelerate growth and innovation; expectations for portfolio expansion and advancement of Fluidigm’s mission; cost structure optimization; expectations to develop transformative biologics, improve revenue and profitability, and enhance shareholder value; the expected timing and closing of the Transaction; expectations for the Company’s brand and corporate name;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mark.spearman@fluidigm.com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Fluidigm Highlights the Strategic Capital Infusion by Casdin Capital and Viking Global as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Only Actionable Financing Solution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Company Urges ALL Stockholders to Vote “FOR” the Proposals at the Special Meeting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Parties to Terminate the Purchase Agreements if Stockholder Approval is Not Received on April 1</w:t>
      </w:r>
    </w:p>
    <w:p>
      <w:pPr>
        <w:spacing w:after="0" w:line="225"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SOUTH SAN FRANCISCO, Calif., Mar. 28, 2022 — Fluidigm Corporation (NASDAQ:FLDM) today announced that it has entered into an agreement with Casdin Capital, LLC (“Casdin”) and Viking Global Investors LP (“Viking”) modifying the provision of the proposed strategic capital infusion transaction that permitted Fluidigm to adjourn the Special Meeting of Stockholders (“Special Meeting”) to April 1, 2022, instead of the allowed aggregate of 20 business days. Importantly, the parties will terminate the purchase agreements if Fluidigm stockholders do not approve the matters presented at the Special Meeting.</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Fluidigm’s Board of Directors approved these modifications for a number of reasons, including the following:</w:t>
      </w:r>
    </w:p>
    <w:p>
      <w:pPr>
        <w:spacing w:after="0" w:line="127" w:lineRule="exact"/>
        <w:rPr>
          <w:sz w:val="20"/>
          <w:szCs w:val="20"/>
          <w:color w:val="auto"/>
        </w:rPr>
      </w:pPr>
    </w:p>
    <w:p>
      <w:pPr>
        <w:ind w:left="424" w:right="80" w:hanging="316"/>
        <w:spacing w:after="0" w:line="266"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Only Financing Solution Available; Non-Negotiable. </w:t>
      </w:r>
      <w:r>
        <w:rPr>
          <w:rFonts w:ascii="Arial" w:cs="Arial" w:eastAsia="Arial" w:hAnsi="Arial"/>
          <w:sz w:val="18"/>
          <w:szCs w:val="18"/>
          <w:color w:val="auto"/>
        </w:rPr>
        <w:t>The only actionable financing solution available to Fluidigm is the one presented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Casdin and Viking, who have made it clear through repeated communications that they will not modify the terms and conditions of their proposed investment.</w:t>
      </w:r>
    </w:p>
    <w:p>
      <w:pPr>
        <w:spacing w:after="0" w:line="81" w:lineRule="exact"/>
        <w:rPr>
          <w:rFonts w:ascii="Arial" w:cs="Arial" w:eastAsia="Arial" w:hAnsi="Arial"/>
          <w:sz w:val="18"/>
          <w:szCs w:val="18"/>
          <w:color w:val="auto"/>
        </w:rPr>
      </w:pPr>
    </w:p>
    <w:p>
      <w:pPr>
        <w:ind w:left="424" w:right="280" w:hanging="316"/>
        <w:spacing w:after="0" w:line="282"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Urgent Need for Capital. </w:t>
      </w:r>
      <w:r>
        <w:rPr>
          <w:rFonts w:ascii="Arial" w:cs="Arial" w:eastAsia="Arial" w:hAnsi="Arial"/>
          <w:sz w:val="18"/>
          <w:szCs w:val="18"/>
          <w:color w:val="auto"/>
        </w:rPr>
        <w:t>Fluidigm has an urgent need to resolve its capital and liquidity issues as evidenced by the going concern uncertainty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Fluidigm’s 2021 financial statements.</w:t>
      </w:r>
    </w:p>
    <w:p>
      <w:pPr>
        <w:spacing w:after="0" w:line="67" w:lineRule="exact"/>
        <w:rPr>
          <w:rFonts w:ascii="Arial" w:cs="Arial" w:eastAsia="Arial" w:hAnsi="Arial"/>
          <w:sz w:val="18"/>
          <w:szCs w:val="18"/>
          <w:color w:val="auto"/>
        </w:rPr>
      </w:pPr>
    </w:p>
    <w:p>
      <w:pPr>
        <w:ind w:left="424" w:right="80" w:hanging="316"/>
        <w:spacing w:after="0" w:line="266"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Adverse Effect on All Stakeholders. </w:t>
      </w:r>
      <w:r>
        <w:rPr>
          <w:rFonts w:ascii="Arial" w:cs="Arial" w:eastAsia="Arial" w:hAnsi="Arial"/>
          <w:sz w:val="18"/>
          <w:szCs w:val="18"/>
          <w:color w:val="auto"/>
        </w:rPr>
        <w:t>The adverse impact of continued financial uncertainty on our relationships with customers and suppliers,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material retention risks for employees, will significantly negatively affect Fluidigm’s operating results, enterprise value and investor confidence in Fluidigm.</w:t>
      </w:r>
    </w:p>
    <w:p>
      <w:pPr>
        <w:spacing w:after="0" w:line="180"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 xml:space="preserve">The Board believes that the proposed financing transaction is the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currently actionable alternative available to stockholders and is in the best interests of Fluidigm, its stockholders, and other stakeholders, including its employees, customers, and other partners. While the market is clearly supportive of the strategic capital infusion – as evidenced by the stock price outperformance of Fluidigm stock (+32%) versus overall peers (-19%)</w:t>
      </w:r>
      <w:r>
        <w:rPr>
          <w:rFonts w:ascii="Arial" w:cs="Arial" w:eastAsia="Arial" w:hAnsi="Arial"/>
          <w:sz w:val="15"/>
          <w:szCs w:val="15"/>
          <w:color w:val="auto"/>
        </w:rPr>
        <w:t>1</w:t>
      </w:r>
      <w:r>
        <w:rPr>
          <w:rFonts w:ascii="Arial" w:cs="Arial" w:eastAsia="Arial" w:hAnsi="Arial"/>
          <w:sz w:val="18"/>
          <w:szCs w:val="18"/>
          <w:color w:val="auto"/>
        </w:rPr>
        <w:t xml:space="preserve"> – a very small number of shares are still needed to approve the transaction.</w:t>
      </w:r>
    </w:p>
    <w:p>
      <w:pPr>
        <w:spacing w:after="0" w:line="18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Board reminds all stockholders that even if an alternative solution were available, Fluidigm is unable to engage with any third party as long as its agreements with Casdin and Viking remain in force.</w:t>
      </w:r>
    </w:p>
    <w:p>
      <w:pPr>
        <w:spacing w:after="0" w:line="274" w:lineRule="exact"/>
        <w:rPr>
          <w:sz w:val="20"/>
          <w:szCs w:val="20"/>
          <w:color w:val="auto"/>
        </w:rPr>
      </w:pPr>
    </w:p>
    <w:p>
      <w:pPr>
        <w:ind w:left="4" w:right="820"/>
        <w:spacing w:after="0" w:line="282" w:lineRule="auto"/>
        <w:rPr>
          <w:sz w:val="20"/>
          <w:szCs w:val="20"/>
          <w:color w:val="auto"/>
        </w:rPr>
      </w:pPr>
      <w:r>
        <w:rPr>
          <w:rFonts w:ascii="Arial" w:cs="Arial" w:eastAsia="Arial" w:hAnsi="Arial"/>
          <w:sz w:val="18"/>
          <w:szCs w:val="18"/>
          <w:b w:val="1"/>
          <w:bCs w:val="1"/>
          <w:color w:val="auto"/>
        </w:rPr>
        <w:t>The Board unanimously recommends that stockholders vote “FOR” all Proposals at the Special Meeting. Your vote is very important regardless of the number of shares of Common Stock that you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right="120" w:hanging="424"/>
        <w:spacing w:after="0" w:line="259"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Since market close on January 21, 2022, the last trading day prior to Fluidigm’s announcement of the Casdin/Viking transaction on January 24, 2022, through March 24, 2022, the date of the Special Meeting adjournment. Peer stock price performance represents the median change in stock price of 10x Genomics, Accelerate Diagnostics, Adaptive Biotechnologies, Berkeley Lights, Personalis, NanoString Technologies, Quanterix and Twist Bioscience over the period; source: Capital IQ.</w:t>
      </w:r>
    </w:p>
    <w:p>
      <w:pPr>
        <w:sectPr>
          <w:pgSz w:w="11900" w:h="16838" w:orient="portrait"/>
          <w:cols w:equalWidth="0" w:num="1">
            <w:col w:w="11024"/>
          </w:cols>
          <w:pgMar w:left="436" w:top="121" w:right="439" w:bottom="1440" w:gutter="0" w:footer="0" w:header="0"/>
        </w:sectPr>
      </w:pPr>
    </w:p>
    <w:bookmarkStart w:id="9" w:name="page10"/>
    <w:bookmarkEnd w:id="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Fluidigm will continue to solicit proxies from its stockholders with respect to the Special Meeting. Stockholders as of the record date of February 18, 2022, who have not yet voted are encouraged to submit their proxies as soon as possible. Valid proxies submitted by stockholders prior to the adjourned Special Meeting will continue to be valid for purposes of the reconvened Special Meeting.</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Fluidigm stockholders who need assistance in completing the proxy card, need additional copies of the proxy materials, or have questions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may contact Fluidigm’s proxy solicitor: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Alliance Advisors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Broadacres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ind w:left="5380" w:hanging="438"/>
        <w:spacing w:after="0"/>
        <w:tabs>
          <w:tab w:leader="none" w:pos="5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782-7142</w:t>
      </w:r>
    </w:p>
    <w:p>
      <w:pPr>
        <w:spacing w:after="0" w:line="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u w:val="single" w:color="auto"/>
          <w:color w:val="auto"/>
        </w:rPr>
        <w:t>FLDM@allianceadvisors.com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is serving as financial advisor to Fluidigm and Wilson Sonsini Goodrich &amp; Rosati, Professional Corporation is serving as legal advisor.</w:t>
      </w:r>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Fluidigm (Nasdaq:FLDM) focuses on the most pressing needs in translational and clinical research, including cancer, immunology, and immunotherapy. Using proprietary CyTOF</w:t>
      </w:r>
      <w:r>
        <w:rPr>
          <w:rFonts w:ascii="Arial" w:cs="Arial" w:eastAsia="Arial" w:hAnsi="Arial"/>
          <w:sz w:val="15"/>
          <w:szCs w:val="15"/>
          <w:color w:val="auto"/>
        </w:rPr>
        <w:t>®</w:t>
      </w:r>
      <w:r>
        <w:rPr>
          <w:rFonts w:ascii="Arial" w:cs="Arial" w:eastAsia="Arial" w:hAnsi="Arial"/>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Viking Global Investors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Arial" w:cs="Arial" w:eastAsia="Arial" w:hAnsi="Arial"/>
          <w:sz w:val="18"/>
          <w:szCs w:val="18"/>
          <w:u w:val="single" w:color="auto"/>
          <w:color w:val="auto"/>
        </w:rPr>
        <w:t>www.vikingglobal.com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including, among others, statements regarding: Fluidigm’s expectation regarding the transaction described in this communication (“the Transaction”); expectations regarding the need for additional capital; expectations regarding the impact on customers, suppliers and employees as well as Fluidigm’s operating results; and other expectations regarding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mark.spearman@fluidigm.com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83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2022-03-28T05:26:06Z</dcterms:created>
  <dcterms:modified xsi:type="dcterms:W3CDTF">2022-03-28T05:26:06Z</dcterms:modified>
</cp:coreProperties>
</file>