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April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Standard BioTools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001-34180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77-0513190</w:t>
      </w:r>
    </w:p>
    <w:p>
      <w:pPr>
        <w:spacing w:after="0" w:line="24" w:lineRule="exact"/>
        <w:rPr>
          <w:sz w:val="24"/>
          <w:szCs w:val="24"/>
          <w:color w:val="auto"/>
        </w:rPr>
      </w:pPr>
    </w:p>
    <w:p>
      <w:pPr>
        <w:sectPr>
          <w:pgSz w:w="11900" w:h="16838" w:orient="portrait"/>
          <w:cols w:equalWidth="0" w:num="3">
            <w:col w:w="4500" w:space="720"/>
            <w:col w:w="2880" w:space="720"/>
            <w:col w:w="2200"/>
          </w:cols>
          <w:pgMar w:left="440" w:top="362"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0" w:space="720"/>
            <w:col w:w="2760" w:space="720"/>
            <w:col w:w="2340"/>
          </w:cols>
          <w:pgMar w:left="440" w:top="362"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2 Tower Place, Suite 2000, South San Francisco, California 94080</w:t>
      </w:r>
    </w:p>
    <w:p>
      <w:pPr>
        <w:spacing w:after="0" w:line="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(650) 266-6000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Fluidigm Corporation</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FLDM</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88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type w:val="continuous"/>
        </w:sectPr>
      </w:pPr>
    </w:p>
    <w:bookmarkStart w:id="1" w:name="page2"/>
    <w:bookmarkEnd w:id="1"/>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On April 4, 2022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Standard BioTools Inc., formerly known as Fluidigm Corporation, a Delaware corporation (the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Casdin Private Growth Equity Fund II, L.P. and Casdin Partners Master Fund, L.P. (collectively, “</w:t>
      </w:r>
      <w:r>
        <w:rPr>
          <w:rFonts w:ascii="Times New Roman" w:cs="Times New Roman" w:eastAsia="Times New Roman" w:hAnsi="Times New Roman"/>
          <w:sz w:val="18"/>
          <w:szCs w:val="18"/>
          <w:b w:val="1"/>
          <w:bCs w:val="1"/>
          <w:i w:val="1"/>
          <w:iCs w:val="1"/>
          <w:color w:val="auto"/>
        </w:rPr>
        <w:t>Casdin</w:t>
      </w:r>
      <w:r>
        <w:rPr>
          <w:rFonts w:ascii="Times New Roman" w:cs="Times New Roman" w:eastAsia="Times New Roman" w:hAnsi="Times New Roman"/>
          <w:sz w:val="18"/>
          <w:szCs w:val="18"/>
          <w:color w:val="auto"/>
        </w:rPr>
        <w:t>”) and Viking Global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Opportunities Illiquid Investments Sub-Master LP and Viking Global Opportunities Drawdown (Aggregator) LP (collectively, “</w:t>
      </w:r>
      <w:r>
        <w:rPr>
          <w:rFonts w:ascii="Times New Roman" w:cs="Times New Roman" w:eastAsia="Times New Roman" w:hAnsi="Times New Roman"/>
          <w:sz w:val="18"/>
          <w:szCs w:val="18"/>
          <w:b w:val="1"/>
          <w:bCs w:val="1"/>
          <w:i w:val="1"/>
          <w:iCs w:val="1"/>
          <w:color w:val="auto"/>
        </w:rPr>
        <w:t>Viking</w:t>
      </w:r>
      <w:r>
        <w:rPr>
          <w:rFonts w:ascii="Times New Roman" w:cs="Times New Roman" w:eastAsia="Times New Roman" w:hAnsi="Times New Roman"/>
          <w:sz w:val="18"/>
          <w:szCs w:val="18"/>
          <w:color w:val="auto"/>
        </w:rPr>
        <w:t>” and, together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Casdin, the “</w:t>
      </w:r>
      <w:r>
        <w:rPr>
          <w:rFonts w:ascii="Times New Roman" w:cs="Times New Roman" w:eastAsia="Times New Roman" w:hAnsi="Times New Roman"/>
          <w:sz w:val="18"/>
          <w:szCs w:val="18"/>
          <w:b w:val="1"/>
          <w:bCs w:val="1"/>
          <w:i w:val="1"/>
          <w:iCs w:val="1"/>
          <w:color w:val="auto"/>
        </w:rPr>
        <w:t>Purchasers</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completed the previously announced transactions contemplated by the Series B-1</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Convertible Preferred Stock Purchase Agreement, dated January 23, 2022, by and between the Company and Casdin (the </w:t>
      </w:r>
      <w:r>
        <w:rPr>
          <w:rFonts w:ascii="Times New Roman" w:cs="Times New Roman" w:eastAsia="Times New Roman" w:hAnsi="Times New Roman"/>
          <w:sz w:val="18"/>
          <w:szCs w:val="18"/>
          <w:b w:val="1"/>
          <w:bCs w:val="1"/>
          <w:i w:val="1"/>
          <w:iCs w:val="1"/>
          <w:color w:val="auto"/>
        </w:rPr>
        <w:t>“Casdin Purchase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 Series B-2 Convertible Preferred Stock Purchase Agreement, dated January 23, 2022 (the “</w:t>
      </w:r>
      <w:r>
        <w:rPr>
          <w:rFonts w:ascii="Times New Roman" w:cs="Times New Roman" w:eastAsia="Times New Roman" w:hAnsi="Times New Roman"/>
          <w:sz w:val="18"/>
          <w:szCs w:val="18"/>
          <w:b w:val="1"/>
          <w:bCs w:val="1"/>
          <w:i w:val="1"/>
          <w:iCs w:val="1"/>
          <w:color w:val="auto"/>
        </w:rPr>
        <w:t>Viking Purchase Agreement</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collectively, the “</w:t>
      </w:r>
      <w:r>
        <w:rPr>
          <w:rFonts w:ascii="Times New Roman" w:cs="Times New Roman" w:eastAsia="Times New Roman" w:hAnsi="Times New Roman"/>
          <w:sz w:val="17"/>
          <w:szCs w:val="17"/>
          <w:b w:val="1"/>
          <w:bCs w:val="1"/>
          <w:i w:val="1"/>
          <w:iCs w:val="1"/>
          <w:color w:val="auto"/>
        </w:rPr>
        <w:t>Purchase Agreements</w:t>
      </w:r>
      <w:r>
        <w:rPr>
          <w:rFonts w:ascii="Times New Roman" w:cs="Times New Roman" w:eastAsia="Times New Roman" w:hAnsi="Times New Roman"/>
          <w:sz w:val="17"/>
          <w:szCs w:val="17"/>
          <w:color w:val="auto"/>
        </w:rPr>
        <w:t>”), by and between the Company and Viking. On the Closing Date and pursuant to the Purchase Agreements, the</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Company issued and sold (a) to Casdin, 112,500 shares of the Company’s newly designated Series B-1 Convertible Preferred Stock, par value $0.001</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per share (“</w:t>
      </w:r>
      <w:r>
        <w:rPr>
          <w:rFonts w:ascii="Times New Roman" w:cs="Times New Roman" w:eastAsia="Times New Roman" w:hAnsi="Times New Roman"/>
          <w:sz w:val="18"/>
          <w:szCs w:val="18"/>
          <w:b w:val="1"/>
          <w:bCs w:val="1"/>
          <w:i w:val="1"/>
          <w:iCs w:val="1"/>
          <w:color w:val="auto"/>
        </w:rPr>
        <w:t>Series B-1 Preferred Stock</w:t>
      </w:r>
      <w:r>
        <w:rPr>
          <w:rFonts w:ascii="Times New Roman" w:cs="Times New Roman" w:eastAsia="Times New Roman" w:hAnsi="Times New Roman"/>
          <w:sz w:val="18"/>
          <w:szCs w:val="18"/>
          <w:color w:val="auto"/>
        </w:rPr>
        <w:t>”), in exchange for $112.5 million, and (b) to Viking, 112,500 shares of the Company’s newly designated Series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B-2 Convertible Preferred Stock, par value $0.001 per share (“</w:t>
      </w:r>
      <w:r>
        <w:rPr>
          <w:rFonts w:ascii="Times New Roman" w:cs="Times New Roman" w:eastAsia="Times New Roman" w:hAnsi="Times New Roman"/>
          <w:sz w:val="18"/>
          <w:szCs w:val="18"/>
          <w:b w:val="1"/>
          <w:bCs w:val="1"/>
          <w:i w:val="1"/>
          <w:iCs w:val="1"/>
          <w:color w:val="auto"/>
        </w:rPr>
        <w:t>Series B-2 Preferred Stock</w:t>
      </w:r>
      <w:r>
        <w:rPr>
          <w:rFonts w:ascii="Times New Roman" w:cs="Times New Roman" w:eastAsia="Times New Roman" w:hAnsi="Times New Roman"/>
          <w:sz w:val="18"/>
          <w:szCs w:val="18"/>
          <w:color w:val="auto"/>
        </w:rPr>
        <w:t>” and, together with the Series B-1 Preferred Stock,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B Preferred Stock</w:t>
      </w:r>
      <w:r>
        <w:rPr>
          <w:rFonts w:ascii="Times New Roman" w:cs="Times New Roman" w:eastAsia="Times New Roman" w:hAnsi="Times New Roman"/>
          <w:sz w:val="18"/>
          <w:szCs w:val="18"/>
          <w:color w:val="auto"/>
        </w:rPr>
        <w:t>”), in exchange for $112.5 million (such transactions, collectively, the “</w:t>
      </w:r>
      <w:r>
        <w:rPr>
          <w:rFonts w:ascii="Times New Roman" w:cs="Times New Roman" w:eastAsia="Times New Roman" w:hAnsi="Times New Roman"/>
          <w:sz w:val="18"/>
          <w:szCs w:val="18"/>
          <w:b w:val="1"/>
          <w:bCs w:val="1"/>
          <w:i w:val="1"/>
          <w:iCs w:val="1"/>
          <w:color w:val="auto"/>
        </w:rPr>
        <w:t>Preferred Equity Transactions</w:t>
      </w:r>
      <w:r>
        <w:rPr>
          <w:rFonts w:ascii="Times New Roman" w:cs="Times New Roman" w:eastAsia="Times New Roman" w:hAnsi="Times New Roman"/>
          <w:sz w:val="18"/>
          <w:szCs w:val="18"/>
          <w:color w:val="auto"/>
        </w:rPr>
        <w:t>”). The proceeds of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Preferred Equity Transactions will be used by the Company for, among other things, expenses related to the Preferred Equity Transactions, as well as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working capital, general corporate purposes and/or potential future merger and acquisition opportunities that the Company may identify from time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left="4" w:right="40" w:firstLine="991"/>
        <w:spacing w:after="0" w:line="276" w:lineRule="auto"/>
        <w:rPr>
          <w:sz w:val="20"/>
          <w:szCs w:val="20"/>
          <w:color w:val="auto"/>
        </w:rPr>
      </w:pPr>
      <w:r>
        <w:rPr>
          <w:rFonts w:ascii="Times New Roman" w:cs="Times New Roman" w:eastAsia="Times New Roman" w:hAnsi="Times New Roman"/>
          <w:sz w:val="17"/>
          <w:szCs w:val="17"/>
          <w:color w:val="auto"/>
        </w:rPr>
        <w:t>As previously announced, on January 23, 2022, the Company entered into (i) a Loan Agreement, dated and effective as of January 23, 2022, among the lenders party thereto affiliated with Casdin Private Growth Equity Fund II, L.P. and the Company (the “</w:t>
      </w:r>
      <w:r>
        <w:rPr>
          <w:rFonts w:ascii="Times New Roman" w:cs="Times New Roman" w:eastAsia="Times New Roman" w:hAnsi="Times New Roman"/>
          <w:sz w:val="17"/>
          <w:szCs w:val="17"/>
          <w:b w:val="1"/>
          <w:bCs w:val="1"/>
          <w:i w:val="1"/>
          <w:iCs w:val="1"/>
          <w:color w:val="auto"/>
        </w:rPr>
        <w:t>Casdin Loan Agreement</w:t>
      </w:r>
      <w:r>
        <w:rPr>
          <w:rFonts w:ascii="Times New Roman" w:cs="Times New Roman" w:eastAsia="Times New Roman" w:hAnsi="Times New Roman"/>
          <w:sz w:val="17"/>
          <w:szCs w:val="17"/>
          <w:color w:val="auto"/>
        </w:rPr>
        <w:t>”) and</w:t>
      </w:r>
    </w:p>
    <w:p>
      <w:pPr>
        <w:spacing w:after="0" w:line="1" w:lineRule="exact"/>
        <w:rPr>
          <w:sz w:val="20"/>
          <w:szCs w:val="20"/>
          <w:color w:val="auto"/>
        </w:rPr>
      </w:pPr>
    </w:p>
    <w:p>
      <w:pPr>
        <w:ind w:left="4" w:right="40" w:hanging="4"/>
        <w:spacing w:after="0" w:line="252" w:lineRule="auto"/>
        <w:tabs>
          <w:tab w:leader="none" w:pos="26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Loan Agreement, dated and effective as of January 23, 2022, among the lenders party thereto affiliated with Viking Global Investors LP and the Company (the “</w:t>
      </w:r>
      <w:r>
        <w:rPr>
          <w:rFonts w:ascii="Times New Roman" w:cs="Times New Roman" w:eastAsia="Times New Roman" w:hAnsi="Times New Roman"/>
          <w:sz w:val="18"/>
          <w:szCs w:val="18"/>
          <w:b w:val="1"/>
          <w:bCs w:val="1"/>
          <w:i w:val="1"/>
          <w:iCs w:val="1"/>
          <w:color w:val="auto"/>
        </w:rPr>
        <w:t>Viking Loan Agreement</w:t>
      </w:r>
      <w:r>
        <w:rPr>
          <w:rFonts w:ascii="Times New Roman" w:cs="Times New Roman" w:eastAsia="Times New Roman" w:hAnsi="Times New Roman"/>
          <w:sz w:val="18"/>
          <w:szCs w:val="18"/>
          <w:color w:val="auto"/>
        </w:rPr>
        <w:t>,” and together with the Casdin Loan Agreement, the “</w:t>
      </w:r>
      <w:r>
        <w:rPr>
          <w:rFonts w:ascii="Times New Roman" w:cs="Times New Roman" w:eastAsia="Times New Roman" w:hAnsi="Times New Roman"/>
          <w:sz w:val="18"/>
          <w:szCs w:val="18"/>
          <w:b w:val="1"/>
          <w:bCs w:val="1"/>
          <w:i w:val="1"/>
          <w:iCs w:val="1"/>
          <w:color w:val="auto"/>
        </w:rPr>
        <w:t>Loan Agreements</w:t>
      </w:r>
      <w:r>
        <w:rPr>
          <w:rFonts w:ascii="Times New Roman" w:cs="Times New Roman" w:eastAsia="Times New Roman" w:hAnsi="Times New Roman"/>
          <w:sz w:val="18"/>
          <w:szCs w:val="18"/>
          <w:color w:val="auto"/>
        </w:rPr>
        <w:t>”). Each Loan Agreement provided for a $12.5 million term loan to the Company (each, a “</w:t>
      </w:r>
      <w:r>
        <w:rPr>
          <w:rFonts w:ascii="Times New Roman" w:cs="Times New Roman" w:eastAsia="Times New Roman" w:hAnsi="Times New Roman"/>
          <w:sz w:val="18"/>
          <w:szCs w:val="18"/>
          <w:b w:val="1"/>
          <w:bCs w:val="1"/>
          <w:i w:val="1"/>
          <w:iCs w:val="1"/>
          <w:color w:val="auto"/>
        </w:rPr>
        <w:t>Term Loan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Term Loans</w:t>
      </w:r>
      <w:r>
        <w:rPr>
          <w:rFonts w:ascii="Times New Roman" w:cs="Times New Roman" w:eastAsia="Times New Roman" w:hAnsi="Times New Roman"/>
          <w:sz w:val="18"/>
          <w:szCs w:val="18"/>
          <w:color w:val="auto"/>
        </w:rPr>
        <w:t>”). The Term Loans were fully drawn on January 24, 2022. Upon the issuance of the Series B Preferred Stock pursuant to the Purchase Agreements, the Term Loan under the Casdin Loan Agreement automatically converted into an aggregate of 15,280 shares of Series B-1 Preferred Stock and the Term Loan under the Viking Loan Agreement automatically converted into an aggregate of 15,279 shares of Series B-2 Preferred Stock, in accordance with the terms of the Casdin Loan Agreement or the Viking Loan Agreement, as applicable.</w:t>
      </w:r>
    </w:p>
    <w:p>
      <w:pPr>
        <w:spacing w:after="0" w:line="188" w:lineRule="exact"/>
        <w:rPr>
          <w:sz w:val="20"/>
          <w:szCs w:val="20"/>
          <w:color w:val="auto"/>
        </w:rPr>
      </w:pPr>
    </w:p>
    <w:p>
      <w:pPr>
        <w:ind w:left="4" w:right="80" w:firstLine="991"/>
        <w:spacing w:after="0" w:line="258" w:lineRule="auto"/>
        <w:rPr>
          <w:sz w:val="20"/>
          <w:szCs w:val="20"/>
          <w:color w:val="auto"/>
        </w:rPr>
      </w:pPr>
      <w:r>
        <w:rPr>
          <w:rFonts w:ascii="Times New Roman" w:cs="Times New Roman" w:eastAsia="Times New Roman" w:hAnsi="Times New Roman"/>
          <w:sz w:val="18"/>
          <w:szCs w:val="18"/>
          <w:color w:val="auto"/>
        </w:rPr>
        <w:t>Also, as previously announced, on January 23, 2022, the Company entered into a Registration Rights Agreement with the Purchasers pursuant to which the Purchasers will have certain customary registration rights with respect to shares issued under the Loan Agreements and the Purchase Agreements, including (i) any shares of Common Stock acquired by any Holder (as defined in the Registration Rights Agreement) pursuant to the conversion of the Series B Preferred Stock in accordance with the Certificates of Designations (as defined below) and (ii) any shares of Common Stock acquired by any Holder pursuant to preemptive rights under the Purchase Agreements.</w:t>
      </w:r>
    </w:p>
    <w:p>
      <w:pPr>
        <w:spacing w:after="0" w:line="179" w:lineRule="exact"/>
        <w:rPr>
          <w:sz w:val="20"/>
          <w:szCs w:val="20"/>
          <w:color w:val="auto"/>
        </w:rPr>
      </w:pPr>
    </w:p>
    <w:p>
      <w:pPr>
        <w:ind w:left="4" w:right="60" w:firstLine="991"/>
        <w:spacing w:after="0" w:line="254" w:lineRule="auto"/>
        <w:rPr>
          <w:sz w:val="20"/>
          <w:szCs w:val="20"/>
          <w:color w:val="auto"/>
        </w:rPr>
      </w:pPr>
      <w:r>
        <w:rPr>
          <w:rFonts w:ascii="Times New Roman" w:cs="Times New Roman" w:eastAsia="Times New Roman" w:hAnsi="Times New Roman"/>
          <w:sz w:val="18"/>
          <w:szCs w:val="18"/>
          <w:color w:val="auto"/>
        </w:rPr>
        <w:t>The Company called a special meeting of stockholders (the “</w:t>
      </w:r>
      <w:r>
        <w:rPr>
          <w:rFonts w:ascii="Times New Roman" w:cs="Times New Roman" w:eastAsia="Times New Roman" w:hAnsi="Times New Roman"/>
          <w:sz w:val="18"/>
          <w:szCs w:val="18"/>
          <w:b w:val="1"/>
          <w:bCs w:val="1"/>
          <w:i w:val="1"/>
          <w:iCs w:val="1"/>
          <w:color w:val="auto"/>
        </w:rPr>
        <w:t>Special Meeting</w:t>
      </w:r>
      <w:r>
        <w:rPr>
          <w:rFonts w:ascii="Times New Roman" w:cs="Times New Roman" w:eastAsia="Times New Roman" w:hAnsi="Times New Roman"/>
          <w:sz w:val="18"/>
          <w:szCs w:val="18"/>
          <w:color w:val="auto"/>
        </w:rPr>
        <w:t>”) to approve (a) an amendment to the Company’s Eighth Amended and Restated Certificate of Incorporation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to, among other things, (1) increase the number of shares of Common Stock that the Company is authorized to issue from two hundred million (200,000,000) shares to four hundred million (400,000,000) shares and (2) change the name of the Company to Standard BioTools Inc., and (b) the issuance of (1) the Series B-1 Preferred Stock and the Series B-2 Preferred Stock issuable pursuant to the Purchase Agreements, (2) the Series B-1 Preferred Stock and the Series B-2 Preferred Stock issuable pursuant to the terms of the Loan Agreements, and (3) the Company’s common stock, par value $0.001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issuable upon the conversion of the Series B Preferred Stock (the “</w:t>
      </w:r>
      <w:r>
        <w:rPr>
          <w:rFonts w:ascii="Times New Roman" w:cs="Times New Roman" w:eastAsia="Times New Roman" w:hAnsi="Times New Roman"/>
          <w:sz w:val="18"/>
          <w:szCs w:val="18"/>
          <w:b w:val="1"/>
          <w:bCs w:val="1"/>
          <w:i w:val="1"/>
          <w:iCs w:val="1"/>
          <w:color w:val="auto"/>
        </w:rPr>
        <w:t>Private Placement Issuance</w:t>
      </w:r>
      <w:r>
        <w:rPr>
          <w:rFonts w:ascii="Times New Roman" w:cs="Times New Roman" w:eastAsia="Times New Roman" w:hAnsi="Times New Roman"/>
          <w:sz w:val="18"/>
          <w:szCs w:val="18"/>
          <w:color w:val="auto"/>
        </w:rPr>
        <w:t>”), which Special Meeting was held on April 1, 2022. The purpose of the Special Meeting was described in greater detail in the Company’s definitive proxy statement as filed with the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February 24, 2022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 w:right="60" w:firstLine="991"/>
        <w:spacing w:after="0" w:line="258" w:lineRule="auto"/>
        <w:rPr>
          <w:sz w:val="20"/>
          <w:szCs w:val="20"/>
          <w:color w:val="auto"/>
        </w:rPr>
      </w:pPr>
      <w:r>
        <w:rPr>
          <w:rFonts w:ascii="Times New Roman" w:cs="Times New Roman" w:eastAsia="Times New Roman" w:hAnsi="Times New Roman"/>
          <w:sz w:val="18"/>
          <w:szCs w:val="18"/>
          <w:color w:val="auto"/>
        </w:rPr>
        <w:t>The foregoing description of the Loan Agreements, Purchase Agreements and the Private Placement Issuance does not purport to be complete and is subject to, and is qualified in its entirety by, the full text of the Loan Agreements, copies of which were attached as Exhibit 10.2 to the Company’s Current Report on Form 8-K filed with the SEC on January 24, 2022 (the “</w:t>
      </w:r>
      <w:r>
        <w:rPr>
          <w:rFonts w:ascii="Times New Roman" w:cs="Times New Roman" w:eastAsia="Times New Roman" w:hAnsi="Times New Roman"/>
          <w:sz w:val="18"/>
          <w:szCs w:val="18"/>
          <w:b w:val="1"/>
          <w:bCs w:val="1"/>
          <w:i w:val="1"/>
          <w:iCs w:val="1"/>
          <w:color w:val="auto"/>
        </w:rPr>
        <w:t>January 8-K</w:t>
      </w:r>
      <w:r>
        <w:rPr>
          <w:rFonts w:ascii="Times New Roman" w:cs="Times New Roman" w:eastAsia="Times New Roman" w:hAnsi="Times New Roman"/>
          <w:sz w:val="18"/>
          <w:szCs w:val="18"/>
          <w:color w:val="auto"/>
        </w:rPr>
        <w:t>”) and Exhibit 10.1 to the Company’s Current Report on Form 8-K/A filed with the SEC on February 11, 2022 and the Purchase Agreements, copies of which were attached as Annex B and Annex C to the Proxy Statement and are each incorporated herein by reference.</w:t>
      </w:r>
    </w:p>
    <w:p>
      <w:pPr>
        <w:sectPr>
          <w:pgSz w:w="11900" w:h="16838" w:orient="portrait"/>
          <w:cols w:equalWidth="0" w:num="1">
            <w:col w:w="11004"/>
          </w:cols>
          <w:pgMar w:left="436" w:top="293" w:right="45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The description of the Loan Agreements, the Purchase Agreements and the Registration Rights Agreement set forth in the section above entitled “Introductory Note” are incorporated herein by reference. A description of the Loan Agreements, the Purchase Agreements and the Registration Rights Agreement is more fully set forth in the Proxy Statement in the section titled “Discussion of the Private Placement Issuance” and the subsections titled “Convertible Term Loans,” “Purchase Agreements,” and “Registration Rights Agreement” beginning on pages 22, 23, and 29, respectively, of the Proxy Statement, and that information is incorporated herein by reference.</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Termination of a Material Definitive Agreement.</w:t>
      </w:r>
    </w:p>
    <w:p>
      <w:pPr>
        <w:spacing w:after="0" w:line="121" w:lineRule="exact"/>
        <w:rPr>
          <w:sz w:val="20"/>
          <w:szCs w:val="20"/>
          <w:color w:val="auto"/>
        </w:rPr>
      </w:pPr>
    </w:p>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t>As described above, in connection with the closing of the Private Placement Issuance, on April 4, 2022, the outstanding principal and accrued and unpaid interest under the Casdin Loan Agreement was automatically converted into 15,280 shares of Series B-1 Preferred Stock and the outstanding principal and accrued and unpaid interest under the Viking Loan Agreement was automatically converted into 15,279 shares of Series B-2 Preferred Stock, in accordance with the terms of the Loan Agreements. Following the conversion, the Loan Agreements terminated. The information contained in the section above entitled “Introductory Note” with respect to the Loan Agreements is incorporated herein by reference.</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121"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The information contained in the section above entitled “Introductory Note” and below in Item 5.03 of this Current Report on Form 8-K related to the Certificates of Designations (as defined below) and the Series B Preferred Stock is incorporated herein by reference.</w:t>
      </w:r>
    </w:p>
    <w:p>
      <w:pPr>
        <w:spacing w:after="0" w:line="162"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On April 1, 2022, at the Special Meeting, the stockholders of the Company approved the issuance of the Series B Preferred Stock pursuant to the Purchase Agreements and the Loan Agreements. Accordingly, on the Closing Date, the Company issued an aggregate of 127,780 shares of Series B-1 Preferred Stock and an aggregate of 127,779 shares of Series B-2 Preferred Stock pursuant to the terms of the Purchase Agreements and Loan Agreements. Descriptions of the Loan Agreements and the Purchase Agreements contained in Item 1.01 of this Current Report on Form 8-K are incorporated herein by reference.</w:t>
      </w:r>
    </w:p>
    <w:p>
      <w:pPr>
        <w:spacing w:after="0" w:line="183"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The securities of the Company that were issued as part of the Private Placement Issuance were not registered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in reliance on the exemption from registration provided by Section 4(a)(2) of the Securities Act. The investors represented to the Company in the Purchase Agreements and the Loan Agreements that they are “accredited investors” within the meaning of Regulation D of the Securities Act.</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7"/>
          <w:szCs w:val="17"/>
          <w:b w:val="1"/>
          <w:bCs w:val="1"/>
          <w:color w:val="auto"/>
        </w:rPr>
        <w:t>Material Modification to Rights of Security 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 of Amendment and Amended and Restated Bylaws</w:t>
      </w:r>
    </w:p>
    <w:p>
      <w:pPr>
        <w:spacing w:after="0" w:line="121" w:lineRule="exact"/>
        <w:rPr>
          <w:sz w:val="20"/>
          <w:szCs w:val="20"/>
          <w:color w:val="auto"/>
        </w:rPr>
      </w:pPr>
    </w:p>
    <w:p>
      <w:pPr>
        <w:jc w:val="both"/>
        <w:ind w:right="260" w:firstLine="991"/>
        <w:spacing w:after="0" w:line="261" w:lineRule="auto"/>
        <w:rPr>
          <w:sz w:val="20"/>
          <w:szCs w:val="20"/>
          <w:color w:val="auto"/>
        </w:rPr>
      </w:pPr>
      <w:r>
        <w:rPr>
          <w:rFonts w:ascii="Times New Roman" w:cs="Times New Roman" w:eastAsia="Times New Roman" w:hAnsi="Times New Roman"/>
          <w:sz w:val="18"/>
          <w:szCs w:val="18"/>
          <w:color w:val="auto"/>
        </w:rPr>
        <w:t>Following stockholder approval of the Charter Amendment and the Private Placement Issuance on April 1, 2022, Fluidigm Corporation changed its name to “Standard BioTools Inc.” and adopted a Certificate of Amendment to the Charter (the “</w:t>
      </w:r>
      <w:r>
        <w:rPr>
          <w:rFonts w:ascii="Times New Roman" w:cs="Times New Roman" w:eastAsia="Times New Roman" w:hAnsi="Times New Roman"/>
          <w:sz w:val="18"/>
          <w:szCs w:val="18"/>
          <w:b w:val="1"/>
          <w:bCs w:val="1"/>
          <w:i w:val="1"/>
          <w:iCs w:val="1"/>
          <w:color w:val="auto"/>
        </w:rPr>
        <w:t>Charter Amendment</w:t>
      </w:r>
      <w:r>
        <w:rPr>
          <w:rFonts w:ascii="Times New Roman" w:cs="Times New Roman" w:eastAsia="Times New Roman" w:hAnsi="Times New Roman"/>
          <w:sz w:val="18"/>
          <w:szCs w:val="18"/>
          <w:color w:val="auto"/>
        </w:rPr>
        <w:t>”) and amended and restated its bylaws. Reference is made to the disclosure described in the Proxy Statement in the section titled “Proposal 1 – The Charter Amendment Proposal” beginning on page 31 of the Proxy Statement.</w:t>
      </w:r>
    </w:p>
    <w:p>
      <w:pPr>
        <w:spacing w:after="0" w:line="180"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This summary is qualified in its entirety by reference to the text of the Charter Amendment and amended and restated bylaws, which are attached as Exhibits 3.3 and 3.2 hereto, respectively, and are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B-1 Certificate of Designations and B-2 Certificate of Designations</w:t>
      </w:r>
    </w:p>
    <w:p>
      <w:pPr>
        <w:spacing w:after="0" w:line="121"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On April 1, the Company filed (i) the Series B-1 Preferred Stock Certificate of Designations with the Secretary of State of the State of Delaware to establish the preferences, limitations and relative rights of its Series B-1 Preferred Stock and (ii) the Series B-2 Preferred Stock Certificate of Designations with the Secretary of State of the State of Delaware to establish the preferences, limitations and relative rights of its Series B-2 Preferred Stock. The Series B-1 Certificate of Designations became effective upon filing, and a copy is filed as Exhibit 3.6 hereto. The Series B-2 Certificate of Designations became effective upon filing, and a copy is filed as Exhibit 3.7 hereto. Reference is made to the description of the Series B-1 Certificate of Designations and Series B-2 Certificate of Designations in the Proxy Statement in the subsections titled “Series B-1 Preferred Stock” and “Series B-2 Preferred Stock” beginning on pages 25 and 27, respectively, of the Proxy Statement, each of which are incorporated herein by reference. This summary is qualified in its entirety by reference to the text of the Series B-1 Certificate of Designations and Series B-2 Certificate of Designations, which are attached as Exhibits 3.6 and 3.7 hereto, respectively, and are incorporated herein by reference.</w:t>
      </w:r>
    </w:p>
    <w:p>
      <w:pPr>
        <w:sectPr>
          <w:pgSz w:w="11900" w:h="16838" w:orient="portrait"/>
          <w:cols w:equalWidth="0" w:num="1">
            <w:col w:w="11000"/>
          </w:cols>
          <w:pgMar w:left="440" w:top="293" w:right="4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Registration Rights Agreement</w:t>
      </w:r>
    </w:p>
    <w:p>
      <w:pPr>
        <w:spacing w:after="0" w:line="121" w:lineRule="exact"/>
        <w:rPr>
          <w:sz w:val="20"/>
          <w:szCs w:val="20"/>
          <w:color w:val="auto"/>
        </w:rPr>
      </w:pPr>
    </w:p>
    <w:p>
      <w:pPr>
        <w:ind w:left="4" w:right="360" w:firstLine="991"/>
        <w:spacing w:after="0" w:line="266" w:lineRule="auto"/>
        <w:rPr>
          <w:sz w:val="20"/>
          <w:szCs w:val="20"/>
          <w:color w:val="auto"/>
        </w:rPr>
      </w:pPr>
      <w:r>
        <w:rPr>
          <w:rFonts w:ascii="Times New Roman" w:cs="Times New Roman" w:eastAsia="Times New Roman" w:hAnsi="Times New Roman"/>
          <w:sz w:val="18"/>
          <w:szCs w:val="18"/>
          <w:color w:val="auto"/>
        </w:rPr>
        <w:t>Reference is made to the disclosure in the January 8-K regarding the Registration Rights Agreement which is incorporated herein by reference. The disclosure set forth above in the section entitled “Introductory Note” with respect to the Registration Rights Agreement and below in Item 5.03 of this Current Report on Form 8-K is incorporated by reference herein.</w:t>
      </w:r>
    </w:p>
    <w:p>
      <w:pPr>
        <w:spacing w:after="0" w:line="320" w:lineRule="exact"/>
        <w:rPr>
          <w:sz w:val="20"/>
          <w:szCs w:val="20"/>
          <w:color w:val="auto"/>
        </w:rPr>
      </w:pPr>
    </w:p>
    <w:p>
      <w:pPr>
        <w:ind w:left="1204" w:right="1000" w:hanging="1200"/>
        <w:spacing w:after="0" w:line="286" w:lineRule="auto"/>
        <w:tabs>
          <w:tab w:leader="none" w:pos="1184"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121" w:lineRule="exact"/>
        <w:rPr>
          <w:sz w:val="20"/>
          <w:szCs w:val="20"/>
          <w:color w:val="auto"/>
        </w:rPr>
      </w:pPr>
    </w:p>
    <w:p>
      <w:pPr>
        <w:ind w:left="4" w:right="80" w:firstLine="991"/>
        <w:spacing w:after="0" w:line="256" w:lineRule="auto"/>
        <w:rPr>
          <w:sz w:val="20"/>
          <w:szCs w:val="20"/>
          <w:color w:val="auto"/>
        </w:rPr>
      </w:pPr>
      <w:r>
        <w:rPr>
          <w:rFonts w:ascii="Times New Roman" w:cs="Times New Roman" w:eastAsia="Times New Roman" w:hAnsi="Times New Roman"/>
          <w:sz w:val="18"/>
          <w:szCs w:val="18"/>
          <w:color w:val="auto"/>
        </w:rPr>
        <w:t>Effective as of the closing of the Private Placement Issuance on April 4, 2022, the Company increased the size of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to eight members. Prior to the closing of the transactions contemplated by the Purchase Agreement, each director was assigned to one of three classes of directors. As of the closing of the transactions contemplated by the Purchase Agreements, the Board is composed of two class I directors, two class II directors, two class III directors, one director designated by the holders of a majority of the outstanding shares of Series B-1 Preferred Stock (the “</w:t>
      </w:r>
      <w:r>
        <w:rPr>
          <w:rFonts w:ascii="Times New Roman" w:cs="Times New Roman" w:eastAsia="Times New Roman" w:hAnsi="Times New Roman"/>
          <w:sz w:val="18"/>
          <w:szCs w:val="18"/>
          <w:b w:val="1"/>
          <w:bCs w:val="1"/>
          <w:i w:val="1"/>
          <w:iCs w:val="1"/>
          <w:color w:val="auto"/>
        </w:rPr>
        <w:t>Series B-1 Director</w:t>
      </w:r>
      <w:r>
        <w:rPr>
          <w:rFonts w:ascii="Times New Roman" w:cs="Times New Roman" w:eastAsia="Times New Roman" w:hAnsi="Times New Roman"/>
          <w:sz w:val="18"/>
          <w:szCs w:val="18"/>
          <w:color w:val="auto"/>
        </w:rPr>
        <w:t>”), and one director designated by the holders of a majority of the outstanding shares of Series B-2 Preferred Stock (the “</w:t>
      </w:r>
      <w:r>
        <w:rPr>
          <w:rFonts w:ascii="Times New Roman" w:cs="Times New Roman" w:eastAsia="Times New Roman" w:hAnsi="Times New Roman"/>
          <w:sz w:val="18"/>
          <w:szCs w:val="18"/>
          <w:b w:val="1"/>
          <w:bCs w:val="1"/>
          <w:i w:val="1"/>
          <w:iCs w:val="1"/>
          <w:color w:val="auto"/>
        </w:rPr>
        <w:t>Series B-2 Director</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Departure of Directors</w:t>
      </w:r>
    </w:p>
    <w:p>
      <w:pPr>
        <w:spacing w:after="0" w:line="119" w:lineRule="exact"/>
        <w:rPr>
          <w:sz w:val="20"/>
          <w:szCs w:val="20"/>
          <w:color w:val="auto"/>
        </w:rPr>
      </w:pPr>
    </w:p>
    <w:p>
      <w:pPr>
        <w:ind w:left="4" w:right="260" w:firstLine="991"/>
        <w:spacing w:after="0" w:line="261" w:lineRule="auto"/>
        <w:rPr>
          <w:sz w:val="20"/>
          <w:szCs w:val="20"/>
          <w:color w:val="auto"/>
        </w:rPr>
      </w:pPr>
      <w:r>
        <w:rPr>
          <w:rFonts w:ascii="Times New Roman" w:cs="Times New Roman" w:eastAsia="Times New Roman" w:hAnsi="Times New Roman"/>
          <w:sz w:val="18"/>
          <w:szCs w:val="18"/>
          <w:color w:val="auto"/>
        </w:rPr>
        <w:t>As previously disclosed in the January 8-K, on January 23, 2022, Stephen Christopher Linthwaite, Ana K. Stankovic and Nicolas M. Barthelemy each resigned from the Board (including any committee of the Board), effective as of immediately prior to the closing of the transactions contemplated by the Purchase Agreements. Each of Mr. Linthwaite’s, Dr. Stankovic’s and Mr. Barthelemy’s decision to resign did not involve any disagreement with the Company relating to the Company’s operations, policies or practices.</w:t>
      </w:r>
    </w:p>
    <w:p>
      <w:pPr>
        <w:spacing w:after="0" w:line="2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Election of New Directors</w:t>
      </w:r>
    </w:p>
    <w:p>
      <w:pPr>
        <w:spacing w:after="0" w:line="119"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The holders of a majority of the Series B-1 Preferred Stock and the holders of a majority of the Series B-2 Preferred Stock have the right, subject to certain conditions, to each nominate for election and to elect one member to the Board provided that each of the nominees will be appointed to the Board at the closing of the transactions contemplated by the Purchase Agreements. Casdin has designated Eli Casdin as the Series B-1 Director and, accordingly, effective as of the Closing Date, the Board has appointed Mr. Casdin to serve as the Series B-1 Director to serve a term expiring at the 2022 annual meeting of stockholders of the Company. Viking has designated Martin Madaus as the Series B-2 Director and, accordingly, effective as of the Closing Date, the Board has appointed Dr. Madaus to serve as the Series B-2 Director to serve a term expiring at the 2022 annual meeting of stockholders of the Company. Upon joining the Board, the Board appointed Dr. Madaus to the audit committee and the compensation committee of the Board. In connection with the transactions contemplated by the Purchase Agreement, the Board also appointed Michael Egholm as a Class I director, effective as of the Closing Date, to serve a term expiring at the 2023 annual meeting of stockholders of the Company. Additionally, in connection with a support agreement (the “</w:t>
      </w:r>
      <w:r>
        <w:rPr>
          <w:rFonts w:ascii="Times New Roman" w:cs="Times New Roman" w:eastAsia="Times New Roman" w:hAnsi="Times New Roman"/>
          <w:sz w:val="18"/>
          <w:szCs w:val="18"/>
          <w:b w:val="1"/>
          <w:bCs w:val="1"/>
          <w:i w:val="1"/>
          <w:iCs w:val="1"/>
          <w:color w:val="auto"/>
        </w:rPr>
        <w:t>Support Agreement</w:t>
      </w:r>
      <w:r>
        <w:rPr>
          <w:rFonts w:ascii="Times New Roman" w:cs="Times New Roman" w:eastAsia="Times New Roman" w:hAnsi="Times New Roman"/>
          <w:sz w:val="18"/>
          <w:szCs w:val="18"/>
          <w:color w:val="auto"/>
        </w:rPr>
        <w:t>”), dated March 29, 2022, with Caligan Partners LP, effective as of the Closing Date, the Board also appointed Dr. Frank Witney to the Board to serve as a Class III director with a term expiring at the Company’s 2022 annual meeting of stockholders.</w:t>
      </w:r>
    </w:p>
    <w:p>
      <w:pPr>
        <w:spacing w:after="0" w:line="192" w:lineRule="exact"/>
        <w:rPr>
          <w:sz w:val="20"/>
          <w:szCs w:val="20"/>
          <w:color w:val="auto"/>
        </w:rPr>
      </w:pPr>
    </w:p>
    <w:p>
      <w:pPr>
        <w:ind w:left="4" w:right="200" w:firstLine="440"/>
        <w:spacing w:after="0" w:line="255" w:lineRule="auto"/>
        <w:rPr>
          <w:sz w:val="20"/>
          <w:szCs w:val="20"/>
          <w:color w:val="auto"/>
        </w:rPr>
      </w:pPr>
      <w:r>
        <w:rPr>
          <w:rFonts w:ascii="Times New Roman" w:cs="Times New Roman" w:eastAsia="Times New Roman" w:hAnsi="Times New Roman"/>
          <w:sz w:val="18"/>
          <w:szCs w:val="18"/>
          <w:color w:val="auto"/>
        </w:rPr>
        <w:t>As a non-employee director, each of Mr. Casdin, Dr. Madaus and Dr. Witney will participate in our compensation program applicable to all non-employee directors, in accordance with the Company’s previously disclosed non-employee director compensation program. Under our cash compensation policy, each non-employee director receives a base annual retainer of $40,000 and the Board chair receives an additional base annual retainer of $50,000. Committee members receive additional annual cash compensation for service on Board committees as follows: Audit Committee, $10,000; Compensation Committee, $7,000; and Nominating and Corporate Governance Committee, $5,000. Committee chairs receive additional compensation for service as the chair of Board committees as follows: Audit Committee chair, $10,000; Compensation Committee chair, $8,000; and Nominating and Corporate Governance Committee chair, $5,000.</w:t>
      </w:r>
    </w:p>
    <w:p>
      <w:pPr>
        <w:spacing w:after="0" w:line="185" w:lineRule="exact"/>
        <w:rPr>
          <w:sz w:val="20"/>
          <w:szCs w:val="20"/>
          <w:color w:val="auto"/>
        </w:rPr>
      </w:pPr>
    </w:p>
    <w:p>
      <w:pPr>
        <w:ind w:left="4" w:right="140" w:firstLine="991"/>
        <w:spacing w:after="0" w:line="278" w:lineRule="auto"/>
        <w:rPr>
          <w:sz w:val="20"/>
          <w:szCs w:val="20"/>
          <w:color w:val="auto"/>
        </w:rPr>
      </w:pPr>
      <w:r>
        <w:rPr>
          <w:rFonts w:ascii="Times New Roman" w:cs="Times New Roman" w:eastAsia="Times New Roman" w:hAnsi="Times New Roman"/>
          <w:sz w:val="17"/>
          <w:szCs w:val="17"/>
          <w:color w:val="auto"/>
        </w:rPr>
        <w:t>In accordance with our outside director equity compensation policy and our 2011 Equity Incentive Plan, as amended (the “</w:t>
      </w:r>
      <w:r>
        <w:rPr>
          <w:rFonts w:ascii="Times New Roman" w:cs="Times New Roman" w:eastAsia="Times New Roman" w:hAnsi="Times New Roman"/>
          <w:sz w:val="17"/>
          <w:szCs w:val="17"/>
          <w:b w:val="1"/>
          <w:bCs w:val="1"/>
          <w:i w:val="1"/>
          <w:iCs w:val="1"/>
          <w:color w:val="auto"/>
        </w:rPr>
        <w:t>2011 Equity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Incentive Plan</w:t>
      </w:r>
      <w:r>
        <w:rPr>
          <w:rFonts w:ascii="Times New Roman" w:cs="Times New Roman" w:eastAsia="Times New Roman" w:hAnsi="Times New Roman"/>
          <w:sz w:val="17"/>
          <w:szCs w:val="17"/>
          <w:color w:val="auto"/>
        </w:rPr>
        <w:t>”), on the Closing Date in connection with their appointment to the Board, each of Mr. Casdin, Dr. Madaus, and Dr. Witney was granted</w:t>
      </w:r>
    </w:p>
    <w:p>
      <w:pPr>
        <w:spacing w:after="0" w:line="1" w:lineRule="exact"/>
        <w:rPr>
          <w:sz w:val="20"/>
          <w:szCs w:val="20"/>
          <w:color w:val="auto"/>
        </w:rPr>
      </w:pPr>
    </w:p>
    <w:p>
      <w:pPr>
        <w:ind w:left="4" w:right="160" w:hanging="4"/>
        <w:spacing w:after="0" w:line="252" w:lineRule="auto"/>
        <w:tabs>
          <w:tab w:leader="none" w:pos="2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to purchase shares of our Common Stock and (ii) a restricted stock unit award, each having a grant date value of $63,250 and rounded to the nearest whole share. These initial equity awards vest in four equal yearly installments beginning on the first anniversary of the grant date, provided each of Mr. Casdin, Dr. Madaus, and Dr. Witney continues to serve as a director through each such date. Beginning with our annual meeting of stockholders in 2022, Mr. Casdin, Dr. Madaus, and Dr. Witney will be eligible for equity award grants on the same terms as other continuing members of the Board. A description of the compensation of the Company’s non-employee directors is set forth in the section entitled “COMPENSATION OF NON-EMPLOYEE DIRECTORS – Compensation Policy” beginning on page 14 of the Company’s 2021 Annual Meeting Proxy Statement filed with the SEC on April 14, 2021, and that information is incorporated herein by reference.</w:t>
      </w:r>
    </w:p>
    <w:p>
      <w:pPr>
        <w:sectPr>
          <w:pgSz w:w="11900" w:h="16838" w:orient="portrait"/>
          <w:cols w:equalWidth="0" w:num="1">
            <w:col w:w="11004"/>
          </w:cols>
          <w:pgMar w:left="436" w:top="293" w:right="459" w:bottom="1440" w:gutter="0" w:footer="0" w:header="0"/>
        </w:sectPr>
      </w:pPr>
    </w:p>
    <w:bookmarkStart w:id="4" w:name="page5"/>
    <w:bookmarkEnd w:id="4"/>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Mr. Casdin (other than pursuant to the Casdin Loan Agreement and the Series B-1 Purchase Agreement described above), Dr. Madaus and Dr. Witney each have not been involved in any related person transaction within the meaning of Item 404(a) of Regulation S-K promulgated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required to be disclosed herein. Other than as provided under the Support Agreement, there are no arrangements or understandings pursuant to which Dr. Witney was elected as a director.</w:t>
      </w:r>
    </w:p>
    <w:p>
      <w:pPr>
        <w:spacing w:after="0" w:line="180"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The Company entered into its form of indemnification agreement for directors and executive officers with each of Mr. Casdin, Dr. Madaus and Dr. Witney, pursuant to which the Company will indemnify them for certain actions taken in their capacity as director. A copy of the Company’s form of indemnification agreement was filed with the SEC on January 28, 2011 as Exhibit 10.1 to Amendment No. 3 to Registration Statement on Form S-1 and is incorporated herein in its entirety by reference.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Committees of the Board</w:t>
      </w:r>
    </w:p>
    <w:p>
      <w:pPr>
        <w:spacing w:after="0" w:line="119"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Following the Closing Date, the members of our audit committee are Dr. Madaus, Mr. Burbach and Ms. Clague, and Ms. Clague serves as the chairperson of the audit committee. The members of the compensation committee are Dr. Madaus, Mr. Burbach and Mr. Colston, and Mr. Burbach is the chairperson of the compensation committee. The members of the nominating and corporate governance committee are Dr. Paya and Mr. Burbach, and Dr. Paya is the chairperson of the nominating and corporate governance committee.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Executive Officers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the Closing Date and as contemplated by the terms of the Purchase Agreements, the following individuals were appointed as executive officers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w w:val="95"/>
              </w:rPr>
              <w:t>Name</w:t>
            </w:r>
          </w:p>
        </w:tc>
        <w:tc>
          <w:tcPr>
            <w:tcW w:w="1180" w:type="dxa"/>
            <w:vAlign w:val="bottom"/>
          </w:tcPr>
          <w:p>
            <w:pPr>
              <w:spacing w:after="0"/>
              <w:rPr>
                <w:sz w:val="14"/>
                <w:szCs w:val="14"/>
                <w:color w:val="auto"/>
              </w:rPr>
            </w:pPr>
          </w:p>
        </w:tc>
        <w:tc>
          <w:tcPr>
            <w:tcW w:w="288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Position</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8"/>
              </w:rPr>
              <w:t>Executive Officer and President</w:t>
            </w:r>
          </w:p>
        </w:tc>
        <w:tc>
          <w:tcPr>
            <w:tcW w:w="0" w:type="dxa"/>
            <w:vAlign w:val="bottom"/>
          </w:tcPr>
          <w:p>
            <w:pPr>
              <w:spacing w:after="0" w:line="20" w:lineRule="exact"/>
              <w:rPr>
                <w:sz w:val="1"/>
                <w:szCs w:val="1"/>
                <w:color w:val="auto"/>
              </w:rPr>
            </w:pPr>
          </w:p>
        </w:tc>
      </w:tr>
      <w:tr>
        <w:trPr>
          <w:trHeight w:val="191"/>
        </w:trPr>
        <w:tc>
          <w:tcPr>
            <w:tcW w:w="15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Michael Egholm</w:t>
            </w:r>
          </w:p>
        </w:tc>
        <w:tc>
          <w:tcPr>
            <w:tcW w:w="140" w:type="dxa"/>
            <w:vAlign w:val="bottom"/>
            <w:vMerge w:val="continue"/>
          </w:tcPr>
          <w:p>
            <w:pPr>
              <w:spacing w:after="0"/>
              <w:rPr>
                <w:sz w:val="16"/>
                <w:szCs w:val="16"/>
                <w:color w:val="auto"/>
              </w:rPr>
            </w:pPr>
          </w:p>
        </w:tc>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Chief</w:t>
            </w:r>
          </w:p>
        </w:tc>
        <w:tc>
          <w:tcPr>
            <w:tcW w:w="2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Hanjoon Alex Kim</w:t>
            </w:r>
          </w:p>
        </w:tc>
        <w:tc>
          <w:tcPr>
            <w:tcW w:w="28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Chief Operating Officer</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Standard BioTools 2022 Inducement Equity Incentive Plan</w:t>
      </w:r>
    </w:p>
    <w:p>
      <w:pPr>
        <w:spacing w:after="0" w:line="117" w:lineRule="exact"/>
        <w:rPr>
          <w:sz w:val="20"/>
          <w:szCs w:val="20"/>
          <w:color w:val="auto"/>
        </w:rPr>
      </w:pPr>
    </w:p>
    <w:p>
      <w:pPr>
        <w:jc w:val="both"/>
        <w:ind w:right="120" w:firstLine="991"/>
        <w:spacing w:after="0" w:line="268" w:lineRule="auto"/>
        <w:rPr>
          <w:sz w:val="20"/>
          <w:szCs w:val="20"/>
          <w:color w:val="auto"/>
        </w:rPr>
      </w:pPr>
      <w:r>
        <w:rPr>
          <w:rFonts w:ascii="Times New Roman" w:cs="Times New Roman" w:eastAsia="Times New Roman" w:hAnsi="Times New Roman"/>
          <w:sz w:val="18"/>
          <w:szCs w:val="18"/>
          <w:color w:val="auto"/>
        </w:rPr>
        <w:t>Effective April 1, 2022, the Board adopted the Standard BioTools Inc. 2022 Inducement Equity Incentive Plan (the “</w:t>
      </w:r>
      <w:r>
        <w:rPr>
          <w:rFonts w:ascii="Times New Roman" w:cs="Times New Roman" w:eastAsia="Times New Roman" w:hAnsi="Times New Roman"/>
          <w:sz w:val="18"/>
          <w:szCs w:val="18"/>
          <w:b w:val="1"/>
          <w:bCs w:val="1"/>
          <w:i w:val="1"/>
          <w:iCs w:val="1"/>
          <w:color w:val="auto"/>
        </w:rPr>
        <w:t>Inducement Plan</w:t>
      </w:r>
      <w:r>
        <w:rPr>
          <w:rFonts w:ascii="Times New Roman" w:cs="Times New Roman" w:eastAsia="Times New Roman" w:hAnsi="Times New Roman"/>
          <w:sz w:val="18"/>
          <w:szCs w:val="18"/>
          <w:color w:val="auto"/>
        </w:rPr>
        <w:t>”) and, subject to the adjustment provisions of the Inducement Plan, reserved 9,492,540 shares of the Company’s Common Stock for issuance pursuant to equity awards granted under the Inducement Plan.</w:t>
      </w:r>
    </w:p>
    <w:p>
      <w:pPr>
        <w:spacing w:after="0" w:line="175"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The Inducement Plan was adopted without stockholder approval pursuant to the applicable Nasdaq Listing Rules. The Inducement Plan provides for the grant of equity-based awards, including nonstatutory stock options, restricted stock units, restricted stock, stock appreciation rights, performance shares and performance stock units, and its terms are substantially similar to the Company’s 2011 Equity Incentive Plan, but with such other terms and conditions intended to comply with the NASDAQ inducement award exception.</w:t>
      </w:r>
    </w:p>
    <w:p>
      <w:pPr>
        <w:spacing w:after="0" w:line="180"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A copy of the Inducement Plan and related form agreements under the Inducement Plan are attached as Exhibits 4.9, 99.1 and 99.2 to the Company’s Registration Statement on Form S-8 filed with the SEC on April 1, 2022, and incorporated by reference herein. The above description of the Inducement Plan does not purport to be complete and is qualified in its entirety by reference to such exhibits.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Arrangements with Executive Officers</w:t>
      </w:r>
    </w:p>
    <w:p>
      <w:pPr>
        <w:spacing w:after="0" w:line="121"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The Company is party to offer letters with each of Michael Egholm, its Chief Executive Officer and President, and Hanjoon Alex Kim, its Chief Operating Officer. The material terms of these agreements with Dr. Egholm and Mr. Kim were disclosed in the January 8-K. For additional information regarding the appointment of Dr. Egholm and Mr. Kim, see the sections “Appointment of Chief Executive Officer” and “Appointment of Chief Operating Officer” of the January 8-K, which are incorporated herein.</w:t>
      </w:r>
    </w:p>
    <w:p>
      <w:pPr>
        <w:sectPr>
          <w:pgSz w:w="11900" w:h="16838" w:orient="portrait"/>
          <w:cols w:equalWidth="0" w:num="1">
            <w:col w:w="10980"/>
          </w:cols>
          <w:pgMar w:left="440" w:top="297" w:right="479" w:bottom="1440" w:gutter="0" w:footer="0" w:header="0"/>
        </w:sectPr>
      </w:pPr>
    </w:p>
    <w:bookmarkStart w:id="5" w:name="page6"/>
    <w:bookmarkEnd w:id="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Dr. Egholm and Mr. Kim have no family relationship with any member of the Board or any executive officer of the Company.</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Dr. Egholm’s offer letter is described in the January 8-K and is qualified in its entirety by reference to the full text of his offer letter, which was attached as Exhibit 10.7 to the January 8-K, and the terms of which are incorporated by reference herein. Other than the Preferred Equity Transactions described above, Dr. Egholm has not been involved in any related person transaction within the meaning of Item 404(a) of Regulation S-K promulgated under the Exchange Act and required to be disclosed herein.</w:t>
      </w:r>
    </w:p>
    <w:p>
      <w:pPr>
        <w:spacing w:after="0" w:line="180"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Mr. Kim’s offer letter is described in the January 8-K and is qualified in its entirety by reference to the full text of his offer letter, which was attached as Exhibit 10.9 to the January 8-K, and the terms of which are incorporated herein by reference. Mr. Kim has not been involved in any related person transaction within the meaning of Item 404(a) of Regulation S-K promulgated under the Exchange Act and required to be disclosed herein.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Grants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Michael Egholm</w:t>
      </w:r>
    </w:p>
    <w:p>
      <w:pPr>
        <w:spacing w:after="0" w:line="121" w:lineRule="exact"/>
        <w:rPr>
          <w:sz w:val="20"/>
          <w:szCs w:val="20"/>
          <w:color w:val="auto"/>
        </w:rPr>
      </w:pPr>
    </w:p>
    <w:p>
      <w:pPr>
        <w:ind w:right="20" w:firstLine="991"/>
        <w:spacing w:after="0" w:line="277" w:lineRule="auto"/>
        <w:rPr>
          <w:sz w:val="20"/>
          <w:szCs w:val="20"/>
          <w:color w:val="auto"/>
        </w:rPr>
      </w:pPr>
      <w:r>
        <w:rPr>
          <w:rFonts w:ascii="Times New Roman" w:cs="Times New Roman" w:eastAsia="Times New Roman" w:hAnsi="Times New Roman"/>
          <w:sz w:val="17"/>
          <w:szCs w:val="17"/>
          <w:color w:val="auto"/>
        </w:rPr>
        <w:t>As previously disclosed in the description of Dr. Egholm’s offer letter in the January 8-K, as a material inducement for Dr. Egholm commencing employment with the Company, effective April 4, 2022, he received nonqualified stock options (the “</w:t>
      </w:r>
      <w:r>
        <w:rPr>
          <w:rFonts w:ascii="Times New Roman" w:cs="Times New Roman" w:eastAsia="Times New Roman" w:hAnsi="Times New Roman"/>
          <w:sz w:val="17"/>
          <w:szCs w:val="17"/>
          <w:b w:val="1"/>
          <w:bCs w:val="1"/>
          <w:i w:val="1"/>
          <w:iCs w:val="1"/>
          <w:color w:val="auto"/>
        </w:rPr>
        <w:t>Egholm Option Award</w:t>
      </w:r>
      <w:r>
        <w:rPr>
          <w:rFonts w:ascii="Times New Roman" w:cs="Times New Roman" w:eastAsia="Times New Roman" w:hAnsi="Times New Roman"/>
          <w:sz w:val="17"/>
          <w:szCs w:val="17"/>
          <w:color w:val="auto"/>
        </w:rPr>
        <w:t>”) to purchase 4,529,773 shares of Common Stock with a per share exercise price (the “</w:t>
      </w:r>
      <w:r>
        <w:rPr>
          <w:rFonts w:ascii="Times New Roman" w:cs="Times New Roman" w:eastAsia="Times New Roman" w:hAnsi="Times New Roman"/>
          <w:sz w:val="17"/>
          <w:szCs w:val="17"/>
          <w:b w:val="1"/>
          <w:bCs w:val="1"/>
          <w:i w:val="1"/>
          <w:iCs w:val="1"/>
          <w:color w:val="auto"/>
        </w:rPr>
        <w:t>Exercise Price</w:t>
      </w:r>
      <w:r>
        <w:rPr>
          <w:rFonts w:ascii="Times New Roman" w:cs="Times New Roman" w:eastAsia="Times New Roman" w:hAnsi="Times New Roman"/>
          <w:sz w:val="17"/>
          <w:szCs w:val="17"/>
          <w:color w:val="auto"/>
        </w:rPr>
        <w:t>”) of $3.99. Subject to his continued employment with the Company through the applicable vesting date, 25% of the shares subject to the Egholm Option Award will vest on the first anniversary of the vesting commencement date, and the remaining 75% of the shares subject to the Egholm Option Award will vest in equal monthly installments thereafter.</w:t>
      </w:r>
    </w:p>
    <w:p>
      <w:pPr>
        <w:spacing w:after="0" w:line="168" w:lineRule="exact"/>
        <w:rPr>
          <w:sz w:val="20"/>
          <w:szCs w:val="20"/>
          <w:color w:val="auto"/>
        </w:rPr>
      </w:pPr>
    </w:p>
    <w:p>
      <w:pPr>
        <w:ind w:right="240" w:firstLine="991"/>
        <w:spacing w:after="0" w:line="258" w:lineRule="auto"/>
        <w:rPr>
          <w:sz w:val="20"/>
          <w:szCs w:val="20"/>
          <w:color w:val="auto"/>
        </w:rPr>
      </w:pPr>
      <w:r>
        <w:rPr>
          <w:rFonts w:ascii="Times New Roman" w:cs="Times New Roman" w:eastAsia="Times New Roman" w:hAnsi="Times New Roman"/>
          <w:sz w:val="18"/>
          <w:szCs w:val="18"/>
          <w:color w:val="auto"/>
        </w:rPr>
        <w:t>In addition, as a material inducement for Dr. Egholm commencing employment with the Company, effective April 4, 2022, he received 786,049 restricted stock units (the “</w:t>
      </w:r>
      <w:r>
        <w:rPr>
          <w:rFonts w:ascii="Times New Roman" w:cs="Times New Roman" w:eastAsia="Times New Roman" w:hAnsi="Times New Roman"/>
          <w:sz w:val="18"/>
          <w:szCs w:val="18"/>
          <w:b w:val="1"/>
          <w:bCs w:val="1"/>
          <w:i w:val="1"/>
          <w:iCs w:val="1"/>
          <w:color w:val="auto"/>
        </w:rPr>
        <w:t>Egholm RSU Award</w:t>
      </w:r>
      <w:r>
        <w:rPr>
          <w:rFonts w:ascii="Times New Roman" w:cs="Times New Roman" w:eastAsia="Times New Roman" w:hAnsi="Times New Roman"/>
          <w:sz w:val="18"/>
          <w:szCs w:val="18"/>
          <w:color w:val="auto"/>
        </w:rPr>
        <w:t>”). Subject to his continued employment with the Company, 25% of the Egholm RSU Award will vest in equal annual installments over a four-year period, beginning on the first anniversary of the vesting commencement date. Additionally, effective April 4, 2022, the compensation committee also approved an additional grant of 632 restricted stock units, pursuant to the Company’s 2011 Equity Incentive Plan which have the same vesting terms as indicated above.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Egholm Option Award and Egholm RSU Award are subject to the terms of the Company’s Inducement Plan.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Hanjoon Alex Kim</w:t>
      </w:r>
    </w:p>
    <w:p>
      <w:pPr>
        <w:spacing w:after="0" w:line="121"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As previously disclosed in the description of Mr. Kim’s offer letter in the January 8-K, as a material inducement for Mr. Kim commencing employment with the Company, effective April 4, 2022, he received nonqualified stock options (the “</w:t>
      </w:r>
      <w:r>
        <w:rPr>
          <w:rFonts w:ascii="Times New Roman" w:cs="Times New Roman" w:eastAsia="Times New Roman" w:hAnsi="Times New Roman"/>
          <w:sz w:val="18"/>
          <w:szCs w:val="18"/>
          <w:b w:val="1"/>
          <w:bCs w:val="1"/>
          <w:i w:val="1"/>
          <w:iCs w:val="1"/>
          <w:color w:val="auto"/>
        </w:rPr>
        <w:t>Kim Option Award</w:t>
      </w:r>
      <w:r>
        <w:rPr>
          <w:rFonts w:ascii="Times New Roman" w:cs="Times New Roman" w:eastAsia="Times New Roman" w:hAnsi="Times New Roman"/>
          <w:sz w:val="18"/>
          <w:szCs w:val="18"/>
          <w:color w:val="auto"/>
        </w:rPr>
        <w:t>”) to purchase 1,617,775 shares of Common Stock, with an Exercise Price of $3.99. Subject to his continued employment with the Company through the applicable vesting date, 25% of the shares subject to the Kim Option Award will vest on the first anniversary of the vesting commencement date, and the remaining 75% of the shares subject to the Kim Option Award will vest in equal monthly installments thereafter.</w:t>
      </w:r>
    </w:p>
    <w:p>
      <w:pPr>
        <w:spacing w:after="0" w:line="183"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In addition, as a material inducement for Mr. Kim commencing employment with the Company, he received 280,732 restricted stock units (the “</w:t>
      </w:r>
      <w:r>
        <w:rPr>
          <w:rFonts w:ascii="Times New Roman" w:cs="Times New Roman" w:eastAsia="Times New Roman" w:hAnsi="Times New Roman"/>
          <w:sz w:val="18"/>
          <w:szCs w:val="18"/>
          <w:b w:val="1"/>
          <w:bCs w:val="1"/>
          <w:i w:val="1"/>
          <w:iCs w:val="1"/>
          <w:color w:val="auto"/>
        </w:rPr>
        <w:t>Kim RSU Award</w:t>
      </w:r>
      <w:r>
        <w:rPr>
          <w:rFonts w:ascii="Times New Roman" w:cs="Times New Roman" w:eastAsia="Times New Roman" w:hAnsi="Times New Roman"/>
          <w:sz w:val="18"/>
          <w:szCs w:val="18"/>
          <w:color w:val="auto"/>
        </w:rPr>
        <w:t>”). Subject to his continued employment with the Company, 25% of the Kim RSU Award will vest in equal annual installments over a four-year period, beginning on the first anniversary of the vesting commencement date. Additionally, effective April 4, 2022, the compensation committee also approved an additional grant of 226 restricted stock units, pursuant to the Company’s 2011 Equity Incentive Plan which have the same vesting terms as indicated above.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Kim Option Award and Kim RSU Award are subject to the terms of the Company’s Inducement Plan.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As previously disclosed, on January 23, 2022, Dr. Egholm and the Company entered into an indemnification agreement for executive officers and directors.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Effective as of the Closing Date, the Company entered into its form of indemnification agreement with Mr. Kim.</w:t>
      </w:r>
    </w:p>
    <w:p>
      <w:pPr>
        <w:sectPr>
          <w:pgSz w:w="11900" w:h="16838" w:orient="portrait"/>
          <w:cols w:equalWidth="0" w:num="1">
            <w:col w:w="10980"/>
          </w:cols>
          <w:pgMar w:left="440" w:top="297" w:right="479" w:bottom="1440" w:gutter="0" w:footer="0" w:header="0"/>
        </w:sectPr>
      </w:pPr>
    </w:p>
    <w:bookmarkStart w:id="6" w:name="page7"/>
    <w:bookmarkEnd w:id="6"/>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foregoing description of the indemnification agreements does not purport to be complete and is qualified in its entirety by the terms and conditions thereof, a copy of Dr. Egholm’s indemnification agreement was filed with the January 8-K as Exhibit 10.8 and a copy of the Company’s form of indemnification agreement was filed with the SEC on January 28, 2011 as Exhibit 10.1 to Amendment No. 3 to Registration Statement on Form S-1, each of which is incorporated herein by reference.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Resignation of Chief Executive Officer and Director</w:t>
      </w:r>
    </w:p>
    <w:p>
      <w:pPr>
        <w:spacing w:after="0" w:line="121"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As previously announced and as contemplated by the terms of the Purchase Agreements, on the Closing Date, Stephen Christopher Linthwaite, the Company’s President and Chief Executive Officer and a member of the Board, resigned pursuant to a transition agreement and release (the “</w:t>
      </w:r>
      <w:r>
        <w:rPr>
          <w:rFonts w:ascii="Times New Roman" w:cs="Times New Roman" w:eastAsia="Times New Roman" w:hAnsi="Times New Roman"/>
          <w:sz w:val="18"/>
          <w:szCs w:val="18"/>
          <w:b w:val="1"/>
          <w:bCs w:val="1"/>
          <w:i w:val="1"/>
          <w:iCs w:val="1"/>
          <w:color w:val="auto"/>
        </w:rPr>
        <w:t>Transition Agreement</w:t>
      </w:r>
      <w:r>
        <w:rPr>
          <w:rFonts w:ascii="Times New Roman" w:cs="Times New Roman" w:eastAsia="Times New Roman" w:hAnsi="Times New Roman"/>
          <w:sz w:val="18"/>
          <w:szCs w:val="18"/>
          <w:color w:val="auto"/>
        </w:rPr>
        <w:t>”) between the Company and Mr. Linthwaite as previously described in the January 8-K. Mr. Linthwaite’s resignation did not involve any disagreement with the Company relating to the Company’s operations, policies or practices.</w:t>
      </w:r>
    </w:p>
    <w:p>
      <w:pPr>
        <w:spacing w:after="0" w:line="176"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Additionally, Mr. Linthwaite and the Company entered into a separation agreement and release (the “</w:t>
      </w:r>
      <w:r>
        <w:rPr>
          <w:rFonts w:ascii="Times New Roman" w:cs="Times New Roman" w:eastAsia="Times New Roman" w:hAnsi="Times New Roman"/>
          <w:sz w:val="18"/>
          <w:szCs w:val="18"/>
          <w:b w:val="1"/>
          <w:bCs w:val="1"/>
          <w:i w:val="1"/>
          <w:iCs w:val="1"/>
          <w:color w:val="auto"/>
        </w:rPr>
        <w:t>Separation Agreement</w:t>
      </w:r>
      <w:r>
        <w:rPr>
          <w:rFonts w:ascii="Times New Roman" w:cs="Times New Roman" w:eastAsia="Times New Roman" w:hAnsi="Times New Roman"/>
          <w:sz w:val="18"/>
          <w:szCs w:val="18"/>
          <w:color w:val="auto"/>
        </w:rPr>
        <w:t>”) effective on the Closing Date, as previously described in the January 8-K. The Separation Agreement signed by Mr. Linthwaite was in the form attached as Exhibit A to his Transition Agreement, which is included as Exhibit 10.6 to the January 8-K and incorporated herein by reference. The Separation Agreement contemplates that, commencing on the Closing Date and continuing through November 30, 2022, Mr. Linthwaite will provide consulting services to the Company pursuant to the terms of a consulting agreement (the “</w:t>
      </w:r>
      <w:r>
        <w:rPr>
          <w:rFonts w:ascii="Times New Roman" w:cs="Times New Roman" w:eastAsia="Times New Roman" w:hAnsi="Times New Roman"/>
          <w:sz w:val="18"/>
          <w:szCs w:val="18"/>
          <w:b w:val="1"/>
          <w:bCs w:val="1"/>
          <w:i w:val="1"/>
          <w:iCs w:val="1"/>
          <w:color w:val="auto"/>
        </w:rPr>
        <w:t>Consulting Agreement</w:t>
      </w:r>
      <w:r>
        <w:rPr>
          <w:rFonts w:ascii="Times New Roman" w:cs="Times New Roman" w:eastAsia="Times New Roman" w:hAnsi="Times New Roman"/>
          <w:sz w:val="18"/>
          <w:szCs w:val="18"/>
          <w:color w:val="auto"/>
        </w:rPr>
        <w:t>”), the terms of which have been previously described in the January 8-K. Effective on the Closing Date, Mr. Linthwaite and the Company entered into the Consulting Agreement. The Consulting Agreement signed by Mr. Linthwaite was in the form attached as Exhibit 1 to his Transition Agreement, which is included as Exhibit 10.6 to the January 8-K and incorporated herein by reference. Following the termination of his consulting relationship, Mr. Linthwaite must sign a supplemental release of claims in favor of the Company in order to continue receiving the severance and benefits provided under the Separation Agreement.</w:t>
      </w:r>
    </w:p>
    <w:p>
      <w:pPr>
        <w:spacing w:after="0" w:line="192"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The foregoing summary of Mr. Linthwaite’s Transition Agreement, the Separation Agreement and the Consulting Agreement is qualified in its entirety by reference to the full text of such agreements, which are included as Exhibit 10.6 to the January 8-K and are incorporated herein by reference.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 of Amendment</w:t>
      </w:r>
    </w:p>
    <w:p>
      <w:pPr>
        <w:spacing w:after="0" w:line="121"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On April 1, 2022, following approval by the Company’s stockholders and in connection with the consummation of the Private Placement Issuance, the Company filed the Charter Amendment with the Secretary of State of the State of Delaware pursuant to which (i) the number of shares of Common Stock that the Company is authorized to issue was increased from two hundred million (200,000,000) shares to four hundred million (400,000,000) shares and (ii) the Company’s name was changed from “Fluidigm Corporation” to “Standard BioTools Inc.” (the “</w:t>
      </w:r>
      <w:r>
        <w:rPr>
          <w:rFonts w:ascii="Times New Roman" w:cs="Times New Roman" w:eastAsia="Times New Roman" w:hAnsi="Times New Roman"/>
          <w:sz w:val="18"/>
          <w:szCs w:val="18"/>
          <w:b w:val="1"/>
          <w:bCs w:val="1"/>
          <w:i w:val="1"/>
          <w:iCs w:val="1"/>
          <w:color w:val="auto"/>
        </w:rPr>
        <w:t>Name Change</w:t>
      </w:r>
      <w:r>
        <w:rPr>
          <w:rFonts w:ascii="Times New Roman" w:cs="Times New Roman" w:eastAsia="Times New Roman" w:hAnsi="Times New Roman"/>
          <w:sz w:val="18"/>
          <w:szCs w:val="18"/>
          <w:color w:val="auto"/>
        </w:rPr>
        <w:t>”). The Charter Amendment became effective upon filing.</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also amended and restated its amended and restated bylaws to reflect the Name Change.</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The foregoing summary of the Charter Amendment and Bylaws does not purport to be complete and is subject to, and is qualified in its entirety by, the full text of the Charter Amendment which is filed as Exhibit 4.3 and Amended and Restated Bylaws which are filed as Exhibit 4.8 to the Company’s Registration Statement on Form S-8 filed with the SEC on April 1, 2022 and are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Certificates of Designations for the Series B Preferred Stock</w:t>
      </w:r>
    </w:p>
    <w:p>
      <w:pPr>
        <w:spacing w:after="0" w:line="121" w:lineRule="exact"/>
        <w:rPr>
          <w:sz w:val="20"/>
          <w:szCs w:val="20"/>
          <w:color w:val="auto"/>
        </w:rPr>
      </w:pPr>
    </w:p>
    <w:p>
      <w:pPr>
        <w:jc w:val="both"/>
        <w:ind w:right="60" w:firstLine="991"/>
        <w:spacing w:after="0" w:line="261" w:lineRule="auto"/>
        <w:rPr>
          <w:sz w:val="20"/>
          <w:szCs w:val="20"/>
          <w:color w:val="auto"/>
        </w:rPr>
      </w:pPr>
      <w:r>
        <w:rPr>
          <w:rFonts w:ascii="Times New Roman" w:cs="Times New Roman" w:eastAsia="Times New Roman" w:hAnsi="Times New Roman"/>
          <w:sz w:val="18"/>
          <w:szCs w:val="18"/>
          <w:color w:val="auto"/>
        </w:rPr>
        <w:t>On April 1, 2022, following the filing of the Charter Amendment, the Company filed with the Secretary of State of the State of Delaware the Certificate of Designations for the Series B-1 Preferred Stock and the Certificate of Designations for the Series B-2 Preferred Stock, establishing the powers, designations, preferences, and privileges and the qualifications, limitations or restrictions of the shares of Series B-1 Preferred Stock and Series B-2 Preferred Stock (collectively, the “</w:t>
      </w:r>
      <w:r>
        <w:rPr>
          <w:rFonts w:ascii="Times New Roman" w:cs="Times New Roman" w:eastAsia="Times New Roman" w:hAnsi="Times New Roman"/>
          <w:sz w:val="18"/>
          <w:szCs w:val="18"/>
          <w:b w:val="1"/>
          <w:bCs w:val="1"/>
          <w:i w:val="1"/>
          <w:iCs w:val="1"/>
          <w:color w:val="auto"/>
        </w:rPr>
        <w:t>Certificates of Designations</w:t>
      </w:r>
      <w:r>
        <w:rPr>
          <w:rFonts w:ascii="Times New Roman" w:cs="Times New Roman" w:eastAsia="Times New Roman" w:hAnsi="Times New Roman"/>
          <w:sz w:val="18"/>
          <w:szCs w:val="18"/>
          <w:color w:val="auto"/>
        </w:rPr>
        <w:t>”). The Certificates of Designations became effective upon filing.</w:t>
      </w:r>
    </w:p>
    <w:p>
      <w:pPr>
        <w:spacing w:after="0" w:line="180"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A description of the Series B-1 Preferred Stock Certificate of Designations and the Series B-2 Preferred Stock Certificate of Designations is more fully set forth in the Proxy Statement in the subsection titled “Certificate of Designations” beginning on page 29 of the Proxy Statement and a description of the Series B-1 Preferred Stock and the Series B-2 Preferred Stock is more fully set forth in the Proxy Statement in the subsections titled “Series B-1 Preferred Stock” and “Series B-2 Preferred Stock” beginning on pages 25 and 27, respectively, of the Proxy Statement.</w:t>
      </w:r>
    </w:p>
    <w:p>
      <w:pPr>
        <w:sectPr>
          <w:pgSz w:w="11900" w:h="16838" w:orient="portrait"/>
          <w:cols w:equalWidth="0" w:num="1">
            <w:col w:w="11000"/>
          </w:cols>
          <w:pgMar w:left="440" w:top="297" w:right="459" w:bottom="1440" w:gutter="0" w:footer="0" w:header="0"/>
        </w:sectPr>
      </w:pPr>
    </w:p>
    <w:bookmarkStart w:id="7" w:name="page8"/>
    <w:bookmarkEnd w:id="7"/>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foregoing description of the Series B-1 Certificate of Designations and the Series B-2 Certificate of Designations does not purport to be complete and is subject to, and qualified in its entirety by, the full text of the Series B-1 Certificate of Designations, which is filed as Exhibit 3.6 to this Current Report on Form 8-K and the Series B-2 Certificate of Designations, which is filed as Exhibit 3.7 to this Current Report on Form 8-K and incorporated herein by reference.</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21"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The Company’s Special Meeting, was reconvened on April 1, 2022. Proxies were solicited pursuant to the Company’s Proxy Statement. As of February 18, 2022, the record date for the Special Meeting, the number of shares of the Company’s Common Stock outstanding and entitled to vote at the Special Meeting was 76,919,287. The number of shares of Common Stock present or represented by valid proxy at the Special Meeting was 61,896,843 thus establishing a quorum for the Special Meeting. The following is a brief description of the final voting results for each of the proposals submitted to a vote of the stockholders at the Special Meeting.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1</w:t>
      </w:r>
    </w:p>
    <w:p>
      <w:pPr>
        <w:spacing w:after="0" w:line="117"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The Company’s stockholders approved amending the Charter, to, among other things, (1) increase the number of shares of Common Stock that the Company is authorized to issue from two hundred million (200,000,000) shares to four hundred million (400,000,000) shares and (2) change the name of the Company to Standard BioTools Inc. The results of the approval were as follows:</w:t>
      </w:r>
    </w:p>
    <w:p>
      <w:pPr>
        <w:spacing w:after="0" w:line="199"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w:t>
            </w:r>
          </w:p>
        </w:tc>
      </w:tr>
      <w:tr>
        <w:trPr>
          <w:trHeight w:val="245"/>
        </w:trPr>
        <w:tc>
          <w:tcPr>
            <w:tcW w:w="2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62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w:t>
            </w:r>
          </w:p>
        </w:tc>
      </w:tr>
      <w:tr>
        <w:trPr>
          <w:trHeight w:val="216"/>
        </w:trPr>
        <w:tc>
          <w:tcPr>
            <w:tcW w:w="244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52,796,278</w:t>
            </w:r>
          </w:p>
        </w:tc>
        <w:tc>
          <w:tcPr>
            <w:tcW w:w="12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8,948,240</w:t>
            </w:r>
          </w:p>
        </w:tc>
        <w:tc>
          <w:tcPr>
            <w:tcW w:w="1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152,325</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2</w:t>
      </w:r>
    </w:p>
    <w:p>
      <w:pPr>
        <w:spacing w:after="0" w:line="117"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The Company’s stockholders approved, in accordance with Nasdaq Listing Rule 5635, the issuance of (1) the Series B-1 Preferred Stock and the Series B-2 Preferred Stock issuable pursuant to the Purchase Agreements, (2) the Series B-1 Preferred Stock and the Series B-2 Preferred Stock issuable pursuant to the terms of the Loan Agreements, and (3) the Common Stock issuable upon the conversion of the Series B Preferred Stock. The results of the approval were as follows:</w:t>
      </w:r>
    </w:p>
    <w:p>
      <w:pPr>
        <w:spacing w:after="0" w:line="203"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w:t>
            </w:r>
          </w:p>
        </w:tc>
      </w:tr>
      <w:tr>
        <w:trPr>
          <w:trHeight w:val="245"/>
        </w:trPr>
        <w:tc>
          <w:tcPr>
            <w:tcW w:w="2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62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w:t>
            </w:r>
          </w:p>
        </w:tc>
      </w:tr>
      <w:tr>
        <w:trPr>
          <w:trHeight w:val="216"/>
        </w:trPr>
        <w:tc>
          <w:tcPr>
            <w:tcW w:w="244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52,115,461</w:t>
            </w:r>
          </w:p>
        </w:tc>
        <w:tc>
          <w:tcPr>
            <w:tcW w:w="12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9,680,351</w:t>
            </w:r>
          </w:p>
        </w:tc>
        <w:tc>
          <w:tcPr>
            <w:tcW w:w="1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101,031</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3</w:t>
      </w:r>
    </w:p>
    <w:p>
      <w:pPr>
        <w:spacing w:after="0" w:line="117" w:lineRule="exact"/>
        <w:rPr>
          <w:sz w:val="20"/>
          <w:szCs w:val="20"/>
          <w:color w:val="auto"/>
        </w:rPr>
      </w:pPr>
    </w:p>
    <w:p>
      <w:pPr>
        <w:jc w:val="both"/>
        <w:ind w:right="400" w:firstLine="991"/>
        <w:spacing w:after="0" w:line="282" w:lineRule="auto"/>
        <w:rPr>
          <w:sz w:val="20"/>
          <w:szCs w:val="20"/>
          <w:color w:val="auto"/>
        </w:rPr>
      </w:pPr>
      <w:r>
        <w:rPr>
          <w:rFonts w:ascii="Times New Roman" w:cs="Times New Roman" w:eastAsia="Times New Roman" w:hAnsi="Times New Roman"/>
          <w:sz w:val="18"/>
          <w:szCs w:val="18"/>
          <w:color w:val="auto"/>
        </w:rPr>
        <w:t>Due to the approval of Proposal 1 and Proposal 2, Proposal 3 (the approval of an adjournment of the Special Meeting, if necessary, to solicit additional proxies) was rendered moot and was not presented at the Special Meeting.</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On April 1, 2022, the Company issued a press release announcing that stockholders had approved the Charter Amendment Proposal and the Private Placement Issuance Proposal at the Special Meeting. The press release is attached hereto as Exhibit 99.1 and is incorporated by reference into this Item 8.01.</w:t>
      </w:r>
    </w:p>
    <w:p>
      <w:pPr>
        <w:spacing w:after="0" w:line="176"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On April 4, 2022, the Company issued a press release announcing the consummation of the Private Placement Issuance and the Name Change. The press release is attached hereto as Exhibit 99.2 and is incorporated by reference into this Item 8.01.</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In conjunction with the Name Change, the Company’s Common Stock is expected to begin trading on the NASDAQ Global Select Market under the new ticker symbol ‘LAB’ as of the open of trading on April 6, 2022. Previously, the Company’s Common Stock traded on the NASDAQ Global Select Market under the ticker symbol ‘FLDM’.</w:t>
      </w:r>
    </w:p>
    <w:p>
      <w:pPr>
        <w:spacing w:after="0" w:line="176"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The Name Change and ticker change do not affect the rights of the Company’s stockholders. The Common Stock will continue to be traded on The Nasdaq Global Select Market.</w:t>
      </w:r>
    </w:p>
    <w:p>
      <w:pPr>
        <w:sectPr>
          <w:pgSz w:w="11900" w:h="16838" w:orient="portrait"/>
          <w:cols w:equalWidth="0" w:num="1">
            <w:col w:w="10980"/>
          </w:cols>
          <w:pgMar w:left="440" w:top="297" w:right="4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7060" w:type="dxa"/>
            <w:vAlign w:val="bottom"/>
            <w:gridSpan w:val="18"/>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9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by Reference</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by Reference</w:t>
            </w: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 Exhibit</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gridSpan w:val="14"/>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From Form</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Date Filed</w:t>
            </w:r>
          </w:p>
        </w:tc>
        <w:tc>
          <w:tcPr>
            <w:tcW w:w="0" w:type="dxa"/>
            <w:vAlign w:val="bottom"/>
          </w:tcPr>
          <w:p>
            <w:pPr>
              <w:spacing w:after="0"/>
              <w:rPr>
                <w:sz w:val="1"/>
                <w:szCs w:val="1"/>
                <w:color w:val="auto"/>
              </w:rPr>
            </w:pPr>
          </w:p>
        </w:tc>
      </w:tr>
      <w:tr>
        <w:trPr>
          <w:trHeight w:val="29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24"/>
                <w:szCs w:val="24"/>
                <w:color w:val="auto"/>
              </w:rPr>
            </w:pPr>
          </w:p>
        </w:tc>
        <w:tc>
          <w:tcPr>
            <w:tcW w:w="7060" w:type="dxa"/>
            <w:vAlign w:val="bottom"/>
            <w:gridSpan w:val="18"/>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Eighth Amended and Restated Certificate of Incorporation filed on February 15, 2011</w:t>
              </w:r>
            </w:hyperlink>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3.1</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3/28/2011</w:t>
            </w:r>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Pr>
          <w:p>
            <w:pPr>
              <w:spacing w:after="0"/>
              <w:rPr>
                <w:sz w:val="24"/>
                <w:szCs w:val="24"/>
                <w:color w:val="auto"/>
              </w:rPr>
            </w:pPr>
          </w:p>
        </w:tc>
        <w:tc>
          <w:tcPr>
            <w:tcW w:w="618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Amended and Restated Bylaws of Standard BioTools Inc.</w:t>
              </w:r>
            </w:hyperlink>
          </w:p>
        </w:tc>
        <w:tc>
          <w:tcPr>
            <w:tcW w:w="880" w:type="dxa"/>
            <w:vAlign w:val="bottom"/>
            <w:gridSpan w:val="8"/>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4.8</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4/1/2022</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tcPr>
          <w:p>
            <w:pPr>
              <w:spacing w:after="0"/>
              <w:rPr>
                <w:sz w:val="24"/>
                <w:szCs w:val="24"/>
                <w:color w:val="auto"/>
              </w:rPr>
            </w:pPr>
          </w:p>
        </w:tc>
        <w:tc>
          <w:tcPr>
            <w:tcW w:w="7060" w:type="dxa"/>
            <w:vAlign w:val="bottom"/>
            <w:gridSpan w:val="18"/>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Certificate of Amendment to the Eighth Amended and Restated Certificate of Incorporation</w:t>
              </w:r>
            </w:hyperlink>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4.3</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4/1/2022</w:t>
            </w:r>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Pr>
          <w:p>
            <w:pPr>
              <w:spacing w:after="0"/>
              <w:rPr>
                <w:sz w:val="24"/>
                <w:szCs w:val="24"/>
                <w:color w:val="auto"/>
              </w:rPr>
            </w:pPr>
          </w:p>
        </w:tc>
        <w:tc>
          <w:tcPr>
            <w:tcW w:w="660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Certificate of Designation of Rights, Preferences and Privileges of Series A Participating</w:t>
              </w:r>
            </w:hyperlink>
          </w:p>
        </w:tc>
        <w:tc>
          <w:tcPr>
            <w:tcW w:w="46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Preferred Stock</w:t>
              </w:r>
            </w:hyperlink>
          </w:p>
        </w:tc>
        <w:tc>
          <w:tcPr>
            <w:tcW w:w="5260" w:type="dxa"/>
            <w:vAlign w:val="bottom"/>
            <w:tcBorders>
              <w:top w:val="single" w:sz="8" w:color="0000EE"/>
            </w:tcBorders>
            <w:gridSpan w:val="10"/>
          </w:tcPr>
          <w:p>
            <w:pPr>
              <w:spacing w:after="0"/>
              <w:rPr>
                <w:sz w:val="17"/>
                <w:szCs w:val="17"/>
                <w:color w:val="auto"/>
              </w:rPr>
            </w:pPr>
          </w:p>
        </w:tc>
        <w:tc>
          <w:tcPr>
            <w:tcW w:w="66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11/22/2016</w:t>
            </w:r>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Pr>
          <w:p>
            <w:pPr>
              <w:spacing w:after="0"/>
              <w:rPr>
                <w:sz w:val="24"/>
                <w:szCs w:val="24"/>
                <w:color w:val="auto"/>
              </w:rPr>
            </w:pPr>
          </w:p>
        </w:tc>
        <w:tc>
          <w:tcPr>
            <w:tcW w:w="7060" w:type="dxa"/>
            <w:vAlign w:val="bottom"/>
            <w:gridSpan w:val="18"/>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Certificate of Elimination of Series A Participating Preferred Stock</w:t>
              </w:r>
            </w:hyperlink>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3.1</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8/2/2017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Pr>
          <w:p>
            <w:pPr>
              <w:spacing w:after="0"/>
              <w:rPr>
                <w:sz w:val="24"/>
                <w:szCs w:val="24"/>
                <w:color w:val="auto"/>
              </w:rPr>
            </w:pPr>
          </w:p>
        </w:tc>
        <w:tc>
          <w:tcPr>
            <w:tcW w:w="7060" w:type="dxa"/>
            <w:vAlign w:val="bottom"/>
            <w:gridSpan w:val="18"/>
          </w:tcPr>
          <w:p>
            <w:pPr>
              <w:spacing w:after="0"/>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Certificate of Designations of Rights, Preferences and Privileges of Series B-1 Convertible</w:t>
              </w:r>
            </w:hyperlink>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12">
              <w:r>
                <w:rPr>
                  <w:rFonts w:ascii="Times New Roman" w:cs="Times New Roman" w:eastAsia="Times New Roman" w:hAnsi="Times New Roman"/>
                  <w:sz w:val="18"/>
                  <w:szCs w:val="18"/>
                  <w:color w:val="0000EE"/>
                  <w:w w:val="99"/>
                </w:rPr>
                <w:t>Preferred Stock</w:t>
              </w:r>
            </w:hyperlink>
          </w:p>
        </w:tc>
        <w:tc>
          <w:tcPr>
            <w:tcW w:w="5400" w:type="dxa"/>
            <w:vAlign w:val="bottom"/>
            <w:tcBorders>
              <w:top w:val="single" w:sz="8" w:color="0000EE"/>
            </w:tcBorders>
            <w:gridSpan w:val="12"/>
          </w:tcPr>
          <w:p>
            <w:pPr>
              <w:spacing w:after="0"/>
              <w:rPr>
                <w:sz w:val="17"/>
                <w:szCs w:val="17"/>
                <w:color w:val="auto"/>
              </w:rPr>
            </w:pPr>
          </w:p>
        </w:tc>
        <w:tc>
          <w:tcPr>
            <w:tcW w:w="52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herewith</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Pr>
          <w:p>
            <w:pPr>
              <w:spacing w:after="0"/>
              <w:rPr>
                <w:sz w:val="24"/>
                <w:szCs w:val="24"/>
                <w:color w:val="auto"/>
              </w:rPr>
            </w:pPr>
          </w:p>
        </w:tc>
        <w:tc>
          <w:tcPr>
            <w:tcW w:w="7060" w:type="dxa"/>
            <w:vAlign w:val="bottom"/>
            <w:gridSpan w:val="18"/>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Certificate of Designations of Rights, Preferences and Privileges of Series B-2 Convertible</w:t>
              </w:r>
            </w:hyperlink>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Preferred Stock</w:t>
              </w:r>
            </w:hyperlink>
          </w:p>
        </w:tc>
        <w:tc>
          <w:tcPr>
            <w:tcW w:w="5400" w:type="dxa"/>
            <w:vAlign w:val="bottom"/>
            <w:tcBorders>
              <w:top w:val="single" w:sz="8" w:color="0000EE"/>
            </w:tcBorders>
            <w:gridSpan w:val="12"/>
          </w:tcPr>
          <w:p>
            <w:pPr>
              <w:spacing w:after="0"/>
              <w:rPr>
                <w:sz w:val="17"/>
                <w:szCs w:val="17"/>
                <w:color w:val="auto"/>
              </w:rPr>
            </w:pPr>
          </w:p>
        </w:tc>
        <w:tc>
          <w:tcPr>
            <w:tcW w:w="52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herewith</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24"/>
                <w:szCs w:val="24"/>
                <w:color w:val="auto"/>
              </w:rPr>
            </w:pPr>
          </w:p>
        </w:tc>
        <w:tc>
          <w:tcPr>
            <w:tcW w:w="27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Specimen Common Stock Certificate</w:t>
              </w:r>
            </w:hyperlink>
          </w:p>
        </w:tc>
        <w:tc>
          <w:tcPr>
            <w:tcW w:w="4360" w:type="dxa"/>
            <w:vAlign w:val="bottom"/>
            <w:gridSpan w:val="15"/>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4.1</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4/1/2022</w:t>
            </w:r>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24"/>
                <w:szCs w:val="24"/>
                <w:color w:val="auto"/>
              </w:rPr>
            </w:pPr>
          </w:p>
        </w:tc>
        <w:tc>
          <w:tcPr>
            <w:tcW w:w="7060" w:type="dxa"/>
            <w:vAlign w:val="bottom"/>
            <w:gridSpan w:val="18"/>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Series B-1 Loan Agreement, dated as of January 23, 2022, by and among Fluidigm Corporation,</w:t>
              </w:r>
            </w:hyperlink>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94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Casdin Partners Master Fund, L.P., and Casdin Private Growth Equity Fund II, L.P.</w:t>
              </w:r>
            </w:hyperlink>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8-K/A</w:t>
            </w:r>
          </w:p>
        </w:tc>
        <w:tc>
          <w:tcPr>
            <w:tcW w:w="10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8"/>
              </w:rPr>
              <w:t>2/11/2022</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tcPr>
          <w:p>
            <w:pPr>
              <w:spacing w:after="0"/>
              <w:rPr>
                <w:sz w:val="24"/>
                <w:szCs w:val="24"/>
                <w:color w:val="auto"/>
              </w:rPr>
            </w:pPr>
          </w:p>
        </w:tc>
        <w:tc>
          <w:tcPr>
            <w:tcW w:w="7060" w:type="dxa"/>
            <w:vAlign w:val="bottom"/>
            <w:gridSpan w:val="18"/>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Series B-2 Loan Agreement, dated as of January 23, 2022, by and among Fluidigm Corporation,</w:t>
              </w:r>
            </w:hyperlink>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1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Viking Global Opportunities Illiquid Investments Sub-Master LP, and Viking Global</w:t>
              </w:r>
            </w:hyperlink>
          </w:p>
        </w:tc>
        <w:tc>
          <w:tcPr>
            <w:tcW w:w="840" w:type="dxa"/>
            <w:vAlign w:val="bottom"/>
            <w:tcBorders>
              <w:top w:val="single" w:sz="8" w:color="0000EE"/>
            </w:tcBorders>
            <w:gridSpan w:val="8"/>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60" w:type="dxa"/>
            <w:vAlign w:val="bottom"/>
            <w:gridSpan w:val="18"/>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Opportunities Drawdown (Aggregator) LP.</w:t>
              </w:r>
            </w:hyperlink>
          </w:p>
        </w:tc>
        <w:tc>
          <w:tcPr>
            <w:tcW w:w="10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1/24/2022</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tcPr>
          <w:p>
            <w:pPr>
              <w:spacing w:after="0"/>
              <w:rPr>
                <w:sz w:val="24"/>
                <w:szCs w:val="24"/>
                <w:color w:val="auto"/>
              </w:rPr>
            </w:pPr>
          </w:p>
        </w:tc>
        <w:tc>
          <w:tcPr>
            <w:tcW w:w="7060" w:type="dxa"/>
            <w:vAlign w:val="bottom"/>
            <w:gridSpan w:val="18"/>
          </w:tcPr>
          <w:p>
            <w:pPr>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Series B-1 Convertible Preferred Stock Purchase Agreement, dated as of January 23, 2022, by</w:t>
              </w:r>
            </w:hyperlink>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7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and among Fluidigm Corporation, Casdin Private Growth Equity Fund II, L.P., and Casdin</w:t>
              </w:r>
            </w:hyperlink>
          </w:p>
        </w:tc>
        <w:tc>
          <w:tcPr>
            <w:tcW w:w="2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5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Partners Master Fund, L.P.</w:t>
              </w:r>
            </w:hyperlink>
          </w:p>
        </w:tc>
        <w:tc>
          <w:tcPr>
            <w:tcW w:w="54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DEF 14A</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Anx. B</w:t>
            </w:r>
          </w:p>
        </w:tc>
        <w:tc>
          <w:tcPr>
            <w:tcW w:w="10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2/24/2022</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4"/>
                <w:szCs w:val="24"/>
                <w:color w:val="auto"/>
              </w:rPr>
            </w:pPr>
          </w:p>
        </w:tc>
        <w:tc>
          <w:tcPr>
            <w:tcW w:w="7060" w:type="dxa"/>
            <w:vAlign w:val="bottom"/>
            <w:gridSpan w:val="18"/>
          </w:tcPr>
          <w:p>
            <w:pPr>
              <w:spacing w:after="0"/>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Series B-2 Convertible Preferred Stock Purchase Agreement, dated as of January 23, 2022, by</w:t>
              </w:r>
            </w:hyperlink>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7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and among Fluidigm Corporation, Viking Global Opportunities Illiquid</w:t>
              </w:r>
            </w:hyperlink>
          </w:p>
        </w:tc>
        <w:tc>
          <w:tcPr>
            <w:tcW w:w="2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40" w:type="dxa"/>
            <w:vAlign w:val="bottom"/>
            <w:gridSpan w:val="7"/>
            <w:shd w:val="clear" w:color="auto" w:fill="0000EE"/>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5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Investments Sub-Master LP, and Viking Global Opportunities Drawdown (Aggregator) LP.</w:t>
              </w:r>
            </w:hyperlink>
          </w:p>
        </w:tc>
        <w:tc>
          <w:tcPr>
            <w:tcW w:w="50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DEF 14A</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Anx. C</w:t>
            </w:r>
          </w:p>
        </w:tc>
        <w:tc>
          <w:tcPr>
            <w:tcW w:w="10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2/24/2022</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9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9" w:name="page10"/>
    <w:bookmarkEnd w:id="9"/>
    <w:p>
      <w:pPr>
        <w:jc w:val="both"/>
        <w:ind w:left="884" w:hanging="876"/>
        <w:spacing w:after="0" w:line="266" w:lineRule="auto"/>
        <w:tabs>
          <w:tab w:leader="none" w:pos="8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10.5</w:t>
      </w:r>
      <w:r>
        <w:rPr>
          <w:sz w:val="20"/>
          <w:szCs w:val="20"/>
          <w:color w:val="auto"/>
        </w:rPr>
        <w:tab/>
      </w:r>
      <w:hyperlink r:id="rId35">
        <w:r>
          <w:rPr>
            <w:rFonts w:ascii="Times New Roman" w:cs="Times New Roman" w:eastAsia="Times New Roman" w:hAnsi="Times New Roman"/>
            <w:sz w:val="18"/>
            <w:szCs w:val="18"/>
            <w:u w:val="single" w:color="auto"/>
            <w:color w:val="0000EE"/>
          </w:rPr>
          <w:t>Registration Rights Agreement, dated as of January 23, 2022, by and between Fluidigm Corporation, Casdin</w:t>
        </w:r>
      </w:hyperlink>
      <w:r>
        <w:rPr>
          <w:rFonts w:ascii="Times New Roman" w:cs="Times New Roman" w:eastAsia="Times New Roman" w:hAnsi="Times New Roman"/>
          <w:sz w:val="18"/>
          <w:szCs w:val="18"/>
          <w:u w:val="single" w:color="auto"/>
          <w:color w:val="0000EE"/>
        </w:rPr>
        <w:t xml:space="preserve"> </w:t>
      </w:r>
      <w:hyperlink r:id="rId35">
        <w:r>
          <w:rPr>
            <w:rFonts w:ascii="Times New Roman" w:cs="Times New Roman" w:eastAsia="Times New Roman" w:hAnsi="Times New Roman"/>
            <w:sz w:val="18"/>
            <w:szCs w:val="18"/>
            <w:u w:val="single" w:color="auto"/>
            <w:color w:val="0000EE"/>
          </w:rPr>
          <w:t>Private Growth Equity Fund II, L.P., Casdin Partners Master Fund, L.P., Viking Global Opportunities Illiquid</w:t>
        </w:r>
      </w:hyperlink>
      <w:r>
        <w:rPr>
          <w:rFonts w:ascii="Times New Roman" w:cs="Times New Roman" w:eastAsia="Times New Roman" w:hAnsi="Times New Roman"/>
          <w:sz w:val="18"/>
          <w:szCs w:val="18"/>
          <w:u w:val="single" w:color="auto"/>
          <w:color w:val="0000EE"/>
        </w:rPr>
        <w:t xml:space="preserve"> </w:t>
      </w:r>
      <w:hyperlink r:id="rId35">
        <w:r>
          <w:rPr>
            <w:rFonts w:ascii="Times New Roman" w:cs="Times New Roman" w:eastAsia="Times New Roman" w:hAnsi="Times New Roman"/>
            <w:sz w:val="18"/>
            <w:szCs w:val="18"/>
            <w:u w:val="single" w:color="auto"/>
            <w:color w:val="0000EE"/>
          </w:rPr>
          <w:t>Investments Sub-Master LP, and Viking Global Opportunities Drawdown (Aggregator) LP.</w:t>
        </w:r>
      </w:hyperlink>
    </w:p>
    <w:p>
      <w:pPr>
        <w:spacing w:after="0" w:line="68" w:lineRule="exact"/>
        <w:rPr>
          <w:rFonts w:ascii="Times New Roman" w:cs="Times New Roman" w:eastAsia="Times New Roman" w:hAnsi="Times New Roman"/>
          <w:sz w:val="18"/>
          <w:szCs w:val="18"/>
          <w:u w:val="single" w:color="auto"/>
          <w:color w:val="0000EE"/>
        </w:rPr>
      </w:pPr>
    </w:p>
    <w:p>
      <w:pPr>
        <w:ind w:left="4"/>
        <w:spacing w:after="0"/>
        <w:tabs>
          <w:tab w:leader="none" w:pos="86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36">
        <w:r>
          <w:rPr>
            <w:rFonts w:ascii="Times New Roman" w:cs="Times New Roman" w:eastAsia="Times New Roman" w:hAnsi="Times New Roman"/>
            <w:sz w:val="17"/>
            <w:szCs w:val="17"/>
            <w:u w:val="single" w:color="auto"/>
            <w:color w:val="0000EE"/>
          </w:rPr>
          <w:t>Stephen Christopher Linthwaite Transition Agreement and Release</w:t>
        </w:r>
      </w:hyperlink>
    </w:p>
    <w:p>
      <w:pPr>
        <w:spacing w:after="0" w:line="117" w:lineRule="exact"/>
        <w:rPr>
          <w:rFonts w:ascii="Times New Roman" w:cs="Times New Roman" w:eastAsia="Times New Roman" w:hAnsi="Times New Roman"/>
          <w:sz w:val="18"/>
          <w:szCs w:val="18"/>
          <w:u w:val="single" w:color="auto"/>
          <w:color w:val="0000EE"/>
        </w:rPr>
      </w:pPr>
    </w:p>
    <w:p>
      <w:pPr>
        <w:ind w:left="4"/>
        <w:spacing w:after="0"/>
        <w:tabs>
          <w:tab w:leader="none" w:pos="86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37">
        <w:r>
          <w:rPr>
            <w:rFonts w:ascii="Times New Roman" w:cs="Times New Roman" w:eastAsia="Times New Roman" w:hAnsi="Times New Roman"/>
            <w:sz w:val="17"/>
            <w:szCs w:val="17"/>
            <w:u w:val="single" w:color="auto"/>
            <w:color w:val="0000EE"/>
          </w:rPr>
          <w:t>Michael Egholm Offer Letter</w:t>
        </w:r>
      </w:hyperlink>
    </w:p>
    <w:p>
      <w:pPr>
        <w:spacing w:after="0" w:line="117" w:lineRule="exact"/>
        <w:rPr>
          <w:rFonts w:ascii="Times New Roman" w:cs="Times New Roman" w:eastAsia="Times New Roman" w:hAnsi="Times New Roman"/>
          <w:sz w:val="18"/>
          <w:szCs w:val="18"/>
          <w:u w:val="single" w:color="auto"/>
          <w:color w:val="0000EE"/>
        </w:rPr>
      </w:pPr>
    </w:p>
    <w:p>
      <w:pPr>
        <w:ind w:left="4"/>
        <w:spacing w:after="0"/>
        <w:tabs>
          <w:tab w:leader="none" w:pos="86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38">
        <w:r>
          <w:rPr>
            <w:rFonts w:ascii="Times New Roman" w:cs="Times New Roman" w:eastAsia="Times New Roman" w:hAnsi="Times New Roman"/>
            <w:sz w:val="17"/>
            <w:szCs w:val="17"/>
            <w:u w:val="single" w:color="auto"/>
            <w:color w:val="0000EE"/>
          </w:rPr>
          <w:t>Indemnification Agreement, dated January 23, 2022, by and between the Company and Michael Egholm.</w:t>
        </w:r>
      </w:hyperlink>
    </w:p>
    <w:p>
      <w:pPr>
        <w:spacing w:after="0" w:line="117" w:lineRule="exact"/>
        <w:rPr>
          <w:rFonts w:ascii="Times New Roman" w:cs="Times New Roman" w:eastAsia="Times New Roman" w:hAnsi="Times New Roman"/>
          <w:sz w:val="18"/>
          <w:szCs w:val="18"/>
          <w:u w:val="single" w:color="auto"/>
          <w:color w:val="0000EE"/>
        </w:rPr>
      </w:pPr>
    </w:p>
    <w:p>
      <w:pPr>
        <w:ind w:left="4"/>
        <w:spacing w:after="0"/>
        <w:tabs>
          <w:tab w:leader="none" w:pos="86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39">
        <w:r>
          <w:rPr>
            <w:rFonts w:ascii="Times New Roman" w:cs="Times New Roman" w:eastAsia="Times New Roman" w:hAnsi="Times New Roman"/>
            <w:sz w:val="17"/>
            <w:szCs w:val="17"/>
            <w:u w:val="single" w:color="auto"/>
            <w:color w:val="0000EE"/>
          </w:rPr>
          <w:t>Form of Indemnification Agreement between the Company and its directors and officers</w:t>
        </w:r>
      </w:hyperlink>
    </w:p>
    <w:p>
      <w:pPr>
        <w:spacing w:after="0" w:line="117" w:lineRule="exact"/>
        <w:rPr>
          <w:rFonts w:ascii="Times New Roman" w:cs="Times New Roman" w:eastAsia="Times New Roman" w:hAnsi="Times New Roman"/>
          <w:sz w:val="18"/>
          <w:szCs w:val="18"/>
          <w:u w:val="single" w:color="auto"/>
          <w:color w:val="0000EE"/>
        </w:rPr>
      </w:pPr>
    </w:p>
    <w:p>
      <w:pPr>
        <w:ind w:left="4"/>
        <w:spacing w:after="0"/>
        <w:tabs>
          <w:tab w:leader="none" w:pos="86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40">
        <w:r>
          <w:rPr>
            <w:rFonts w:ascii="Times New Roman" w:cs="Times New Roman" w:eastAsia="Times New Roman" w:hAnsi="Times New Roman"/>
            <w:sz w:val="17"/>
            <w:szCs w:val="17"/>
            <w:u w:val="single" w:color="auto"/>
            <w:color w:val="0000EE"/>
          </w:rPr>
          <w:t>Hanjoon Alex Kim Offer Letter</w:t>
        </w:r>
      </w:hyperlink>
    </w:p>
    <w:p>
      <w:pPr>
        <w:spacing w:after="0" w:line="117" w:lineRule="exact"/>
        <w:rPr>
          <w:rFonts w:ascii="Times New Roman" w:cs="Times New Roman" w:eastAsia="Times New Roman" w:hAnsi="Times New Roman"/>
          <w:sz w:val="18"/>
          <w:szCs w:val="18"/>
          <w:u w:val="single" w:color="auto"/>
          <w:color w:val="0000EE"/>
        </w:rPr>
      </w:pPr>
    </w:p>
    <w:p>
      <w:pPr>
        <w:ind w:left="4"/>
        <w:spacing w:after="0"/>
        <w:tabs>
          <w:tab w:leader="none" w:pos="86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41">
        <w:r>
          <w:rPr>
            <w:rFonts w:ascii="Times New Roman" w:cs="Times New Roman" w:eastAsia="Times New Roman" w:hAnsi="Times New Roman"/>
            <w:sz w:val="17"/>
            <w:szCs w:val="17"/>
            <w:u w:val="single" w:color="auto"/>
            <w:color w:val="0000EE"/>
          </w:rPr>
          <w:t>Standard BioTools 2022 Inducement Equity Incentive Plan</w:t>
        </w:r>
      </w:hyperlink>
    </w:p>
    <w:p>
      <w:pPr>
        <w:spacing w:after="0" w:line="117" w:lineRule="exact"/>
        <w:rPr>
          <w:rFonts w:ascii="Times New Roman" w:cs="Times New Roman" w:eastAsia="Times New Roman" w:hAnsi="Times New Roman"/>
          <w:sz w:val="18"/>
          <w:szCs w:val="18"/>
          <w:u w:val="single" w:color="auto"/>
          <w:color w:val="0000EE"/>
        </w:rPr>
      </w:pPr>
    </w:p>
    <w:p>
      <w:pPr>
        <w:ind w:left="884" w:right="400" w:hanging="876"/>
        <w:spacing w:after="0" w:line="282" w:lineRule="auto"/>
        <w:tabs>
          <w:tab w:leader="none" w:pos="8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42">
        <w:r>
          <w:rPr>
            <w:rFonts w:ascii="Times New Roman" w:cs="Times New Roman" w:eastAsia="Times New Roman" w:hAnsi="Times New Roman"/>
            <w:sz w:val="18"/>
            <w:szCs w:val="18"/>
            <w:u w:val="single" w:color="auto"/>
            <w:color w:val="0000EE"/>
          </w:rPr>
          <w:t>Form of Notice of Stock Option Grant and Stock Option Agreement under the 2022 Inducement Equity</w:t>
        </w:r>
      </w:hyperlink>
      <w:r>
        <w:rPr>
          <w:rFonts w:ascii="Times New Roman" w:cs="Times New Roman" w:eastAsia="Times New Roman" w:hAnsi="Times New Roman"/>
          <w:sz w:val="18"/>
          <w:szCs w:val="18"/>
          <w:u w:val="single" w:color="auto"/>
          <w:color w:val="0000EE"/>
        </w:rPr>
        <w:t xml:space="preserve"> </w:t>
      </w:r>
      <w:hyperlink r:id="rId42">
        <w:r>
          <w:rPr>
            <w:rFonts w:ascii="Times New Roman" w:cs="Times New Roman" w:eastAsia="Times New Roman" w:hAnsi="Times New Roman"/>
            <w:sz w:val="18"/>
            <w:szCs w:val="18"/>
            <w:u w:val="single" w:color="auto"/>
            <w:color w:val="0000EE"/>
          </w:rPr>
          <w:t>Incentive Plan</w:t>
        </w:r>
      </w:hyperlink>
    </w:p>
    <w:p>
      <w:pPr>
        <w:spacing w:after="0" w:line="67" w:lineRule="exact"/>
        <w:rPr>
          <w:sz w:val="20"/>
          <w:szCs w:val="20"/>
          <w:color w:val="auto"/>
        </w:rPr>
      </w:pPr>
    </w:p>
    <w:p>
      <w:pPr>
        <w:ind w:left="884" w:right="620" w:hanging="876"/>
        <w:spacing w:after="0" w:line="282" w:lineRule="auto"/>
        <w:tabs>
          <w:tab w:leader="none" w:pos="8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43">
        <w:r>
          <w:rPr>
            <w:rFonts w:ascii="Times New Roman" w:cs="Times New Roman" w:eastAsia="Times New Roman" w:hAnsi="Times New Roman"/>
            <w:sz w:val="18"/>
            <w:szCs w:val="18"/>
            <w:u w:val="single" w:color="auto"/>
            <w:color w:val="0000EE"/>
          </w:rPr>
          <w:t>Form of Notice of Restricted Stock Unit Grant and Restricted Stock Unit Agreement under the 2022</w:t>
        </w:r>
      </w:hyperlink>
      <w:r>
        <w:rPr>
          <w:rFonts w:ascii="Times New Roman" w:cs="Times New Roman" w:eastAsia="Times New Roman" w:hAnsi="Times New Roman"/>
          <w:sz w:val="18"/>
          <w:szCs w:val="18"/>
          <w:u w:val="single" w:color="auto"/>
          <w:color w:val="0000EE"/>
        </w:rPr>
        <w:t xml:space="preserve"> </w:t>
      </w:r>
      <w:hyperlink r:id="rId43">
        <w:r>
          <w:rPr>
            <w:rFonts w:ascii="Times New Roman" w:cs="Times New Roman" w:eastAsia="Times New Roman" w:hAnsi="Times New Roman"/>
            <w:sz w:val="18"/>
            <w:szCs w:val="18"/>
            <w:u w:val="single" w:color="auto"/>
            <w:color w:val="0000EE"/>
          </w:rPr>
          <w:t>Inducement Equity Incentive Plan</w:t>
        </w:r>
      </w:hyperlink>
    </w:p>
    <w:p>
      <w:pPr>
        <w:spacing w:after="0" w:line="67" w:lineRule="exact"/>
        <w:rPr>
          <w:sz w:val="20"/>
          <w:szCs w:val="20"/>
          <w:color w:val="auto"/>
        </w:rPr>
      </w:pPr>
    </w:p>
    <w:p>
      <w:pPr>
        <w:ind w:left="4"/>
        <w:spacing w:after="0"/>
        <w:tabs>
          <w:tab w:leader="none" w:pos="86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91">
        <w:r>
          <w:rPr>
            <w:rFonts w:ascii="Times New Roman" w:cs="Times New Roman" w:eastAsia="Times New Roman" w:hAnsi="Times New Roman"/>
            <w:sz w:val="17"/>
            <w:szCs w:val="17"/>
            <w:u w:val="single" w:color="auto"/>
            <w:color w:val="0000EE"/>
          </w:rPr>
          <w:t>Standard BioTools Inc. Press Release dated April 1, 2022.</w:t>
        </w:r>
      </w:hyperlink>
    </w:p>
    <w:p>
      <w:pPr>
        <w:spacing w:after="0" w:line="333" w:lineRule="exact"/>
        <w:rPr>
          <w:sz w:val="20"/>
          <w:szCs w:val="20"/>
          <w:color w:val="auto"/>
        </w:rPr>
      </w:pPr>
    </w:p>
    <w:p>
      <w:pPr>
        <w:ind w:left="4"/>
        <w:spacing w:after="0"/>
        <w:tabs>
          <w:tab w:leader="none" w:pos="86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99.2</w:t>
      </w:r>
      <w:r>
        <w:rPr>
          <w:sz w:val="20"/>
          <w:szCs w:val="20"/>
          <w:color w:val="auto"/>
        </w:rPr>
        <w:tab/>
      </w:r>
      <w:hyperlink w:anchor="page94">
        <w:r>
          <w:rPr>
            <w:rFonts w:ascii="Times New Roman" w:cs="Times New Roman" w:eastAsia="Times New Roman" w:hAnsi="Times New Roman"/>
            <w:sz w:val="17"/>
            <w:szCs w:val="17"/>
            <w:u w:val="single" w:color="auto"/>
            <w:color w:val="0000EE"/>
          </w:rPr>
          <w:t>Standard BioTools Inc. Press Release dated April 4, 2022.</w:t>
        </w:r>
      </w:hyperlink>
    </w:p>
    <w:p>
      <w:pPr>
        <w:spacing w:after="0" w:line="333" w:lineRule="exact"/>
        <w:rPr>
          <w:sz w:val="20"/>
          <w:szCs w:val="20"/>
          <w:color w:val="auto"/>
        </w:rPr>
      </w:pPr>
    </w:p>
    <w:p>
      <w:pPr>
        <w:ind w:left="4" w:right="2020" w:hanging="4"/>
        <w:spacing w:after="0" w:line="501" w:lineRule="auto"/>
        <w:tabs>
          <w:tab w:leader="none" w:pos="88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-313690</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180"/>
        <w:spacing w:after="0"/>
        <w:tabs>
          <w:tab w:leader="none" w:pos="780" w:val="left"/>
          <w:tab w:leader="none" w:pos="126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10.5</w:t>
        <w:tab/>
        <w:t>1/24/2022</w:t>
      </w:r>
    </w:p>
    <w:p>
      <w:pPr>
        <w:spacing w:after="0" w:line="117" w:lineRule="exact"/>
        <w:rPr>
          <w:sz w:val="20"/>
          <w:szCs w:val="20"/>
          <w:color w:val="auto"/>
        </w:rPr>
      </w:pPr>
    </w:p>
    <w:p>
      <w:pPr>
        <w:ind w:left="180"/>
        <w:spacing w:after="0"/>
        <w:tabs>
          <w:tab w:leader="none" w:pos="780" w:val="left"/>
          <w:tab w:leader="none" w:pos="126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10.6</w:t>
        <w:tab/>
        <w:t>1/24/2022</w:t>
      </w:r>
    </w:p>
    <w:p>
      <w:pPr>
        <w:spacing w:after="0" w:line="117" w:lineRule="exact"/>
        <w:rPr>
          <w:sz w:val="20"/>
          <w:szCs w:val="20"/>
          <w:color w:val="auto"/>
        </w:rPr>
      </w:pPr>
    </w:p>
    <w:p>
      <w:pPr>
        <w:ind w:left="180"/>
        <w:spacing w:after="0"/>
        <w:tabs>
          <w:tab w:leader="none" w:pos="780" w:val="left"/>
          <w:tab w:leader="none" w:pos="126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10.7</w:t>
        <w:tab/>
        <w:t>1/24/2022</w:t>
      </w:r>
    </w:p>
    <w:p>
      <w:pPr>
        <w:spacing w:after="0" w:line="117" w:lineRule="exact"/>
        <w:rPr>
          <w:sz w:val="20"/>
          <w:szCs w:val="20"/>
          <w:color w:val="auto"/>
        </w:rPr>
      </w:pPr>
    </w:p>
    <w:p>
      <w:pPr>
        <w:jc w:val="right"/>
        <w:ind w:left="100"/>
        <w:spacing w:after="0" w:line="375" w:lineRule="auto"/>
        <w:rPr>
          <w:sz w:val="20"/>
          <w:szCs w:val="20"/>
          <w:color w:val="auto"/>
        </w:rPr>
      </w:pPr>
      <w:r>
        <w:rPr>
          <w:rFonts w:ascii="Times New Roman" w:cs="Times New Roman" w:eastAsia="Times New Roman" w:hAnsi="Times New Roman"/>
          <w:sz w:val="18"/>
          <w:szCs w:val="18"/>
          <w:color w:val="auto"/>
        </w:rPr>
        <w:t>8-K    10.8  1/24/2022 S-1/A   10.1  1/28/2011 8-K    10.9  1/24/2022</w:t>
      </w:r>
    </w:p>
    <w:p>
      <w:pPr>
        <w:spacing w:after="0" w:line="2" w:lineRule="exact"/>
        <w:rPr>
          <w:sz w:val="20"/>
          <w:szCs w:val="20"/>
          <w:color w:val="auto"/>
        </w:rPr>
      </w:pPr>
    </w:p>
    <w:p>
      <w:pPr>
        <w:ind w:left="200"/>
        <w:spacing w:after="0"/>
        <w:tabs>
          <w:tab w:leader="none" w:pos="820" w:val="left"/>
          <w:tab w:leader="none" w:pos="1320" w:val="left"/>
        </w:tabs>
        <w:rPr>
          <w:sz w:val="20"/>
          <w:szCs w:val="20"/>
          <w:color w:val="auto"/>
        </w:rPr>
      </w:pPr>
      <w:r>
        <w:rPr>
          <w:rFonts w:ascii="Times New Roman" w:cs="Times New Roman" w:eastAsia="Times New Roman" w:hAnsi="Times New Roman"/>
          <w:sz w:val="18"/>
          <w:szCs w:val="18"/>
          <w:color w:val="auto"/>
        </w:rPr>
        <w:t>S-8</w:t>
      </w:r>
      <w:r>
        <w:rPr>
          <w:sz w:val="20"/>
          <w:szCs w:val="20"/>
          <w:color w:val="auto"/>
        </w:rPr>
        <w:tab/>
      </w: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7"/>
          <w:szCs w:val="17"/>
          <w:color w:val="auto"/>
        </w:rPr>
        <w:t>4/1/2022</w:t>
      </w:r>
    </w:p>
    <w:p>
      <w:pPr>
        <w:spacing w:after="0" w:line="347" w:lineRule="exact"/>
        <w:rPr>
          <w:sz w:val="20"/>
          <w:szCs w:val="20"/>
          <w:color w:val="auto"/>
        </w:rPr>
      </w:pPr>
    </w:p>
    <w:p>
      <w:pPr>
        <w:ind w:left="200"/>
        <w:spacing w:after="0"/>
        <w:tabs>
          <w:tab w:leader="none" w:pos="780" w:val="left"/>
          <w:tab w:leader="none" w:pos="1320" w:val="left"/>
        </w:tabs>
        <w:rPr>
          <w:sz w:val="20"/>
          <w:szCs w:val="20"/>
          <w:color w:val="auto"/>
        </w:rPr>
      </w:pPr>
      <w:r>
        <w:rPr>
          <w:rFonts w:ascii="Times New Roman" w:cs="Times New Roman" w:eastAsia="Times New Roman" w:hAnsi="Times New Roman"/>
          <w:sz w:val="18"/>
          <w:szCs w:val="18"/>
          <w:color w:val="auto"/>
        </w:rPr>
        <w:t>S-8</w:t>
      </w:r>
      <w:r>
        <w:rPr>
          <w:sz w:val="20"/>
          <w:szCs w:val="20"/>
          <w:color w:val="auto"/>
        </w:rPr>
        <w:tab/>
      </w: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4/1/2022</w:t>
      </w:r>
    </w:p>
    <w:p>
      <w:pPr>
        <w:spacing w:after="0" w:line="347" w:lineRule="exact"/>
        <w:rPr>
          <w:sz w:val="20"/>
          <w:szCs w:val="20"/>
          <w:color w:val="auto"/>
        </w:rPr>
      </w:pPr>
    </w:p>
    <w:p>
      <w:pPr>
        <w:ind w:left="200"/>
        <w:spacing w:after="0"/>
        <w:tabs>
          <w:tab w:leader="none" w:pos="780" w:val="left"/>
          <w:tab w:leader="none" w:pos="1320" w:val="left"/>
        </w:tabs>
        <w:rPr>
          <w:sz w:val="20"/>
          <w:szCs w:val="20"/>
          <w:color w:val="auto"/>
        </w:rPr>
      </w:pPr>
      <w:r>
        <w:rPr>
          <w:rFonts w:ascii="Times New Roman" w:cs="Times New Roman" w:eastAsia="Times New Roman" w:hAnsi="Times New Roman"/>
          <w:sz w:val="18"/>
          <w:szCs w:val="18"/>
          <w:color w:val="auto"/>
        </w:rPr>
        <w:t>S-8</w:t>
      </w:r>
      <w:r>
        <w:rPr>
          <w:sz w:val="20"/>
          <w:szCs w:val="20"/>
          <w:color w:val="auto"/>
        </w:rPr>
        <w:tab/>
      </w: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color w:val="auto"/>
        </w:rPr>
        <w:t>4/1/2022</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Filed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herewith</w:t>
      </w:r>
    </w:p>
    <w:p>
      <w:pPr>
        <w:spacing w:after="0" w:line="9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Filed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herewith</w:t>
      </w:r>
    </w:p>
    <w:p>
      <w:pPr>
        <w:sectPr>
          <w:pgSz w:w="11900" w:h="16838" w:orient="portrait"/>
          <w:cols w:equalWidth="0" w:num="2">
            <w:col w:w="8724" w:space="220"/>
            <w:col w:w="2020"/>
          </w:cols>
          <w:pgMar w:left="436" w:top="297" w:right="499" w:bottom="1440" w:gutter="0" w:footer="0" w:header="0"/>
        </w:sectPr>
      </w:pPr>
    </w:p>
    <w:bookmarkStart w:id="10" w:name="page11"/>
    <w:bookmarkEnd w:id="10"/>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April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Nicholas Khadder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Nicholas Khadder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p>
      <w:pPr>
        <w:sectPr>
          <w:pgSz w:w="11900" w:h="16838" w:orient="portrait"/>
          <w:cols w:equalWidth="0" w:num="1">
            <w:col w:w="10700"/>
          </w:cols>
          <w:pgMar w:left="440" w:top="293" w:right="75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3.6</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DESIGNATIONS OF RIGHTS, PREFERENCES AND PRIVILEGES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SERIES B-1 CONVERTIBLE PREFERRED STOCK, PAR VALUE $0.001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STANDARD BIOTOOLS INC.</w:t>
      </w:r>
    </w:p>
    <w:p>
      <w:pPr>
        <w:spacing w:after="0" w:line="20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Pursuant to Section 151(g) of the General Corporation Law of the State of Delaware (as amended, supplemented or restated from time to time,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STANDARD BIOTOOLS INC., a corporation organized and existing under the laws of the State of Delaware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accordance with the provisions of Section 103 of the DGCL, DOES HEREBY CERTIFY:</w:t>
      </w:r>
    </w:p>
    <w:p>
      <w:pPr>
        <w:spacing w:after="0" w:line="176"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That, the Eighth Amended and Restated Certificate of Incorporation of the Company, as filed with the Secretary of State of the State of Delaware on February 15, 2011 (as amended, including without limitation, by the Certificate of Amendment to the Eighth Amended and Restated Certificate of Incorporation of the Company filed with the Secretary of State of the State of Delaware on April 1, 2022 prior to the filing of this Certificate of Designations,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authorizes the issuance of 410,000,000 shares of capital stock, consisting of 400,000,000 shares of Common Stock, par value $0.001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10,000,000 shares of Preferred Stock, par value $0.001 per share (“</w:t>
      </w:r>
      <w:r>
        <w:rPr>
          <w:rFonts w:ascii="Times New Roman" w:cs="Times New Roman" w:eastAsia="Times New Roman" w:hAnsi="Times New Roman"/>
          <w:sz w:val="18"/>
          <w:szCs w:val="18"/>
          <w:b w:val="1"/>
          <w:bCs w:val="1"/>
          <w:i w:val="1"/>
          <w:iCs w:val="1"/>
          <w:color w:val="auto"/>
        </w:rPr>
        <w:t>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That, subject to the provisions of the Certificate of Incorporation,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is authorized to fix by resolution the designations, powers, preferences and rights, and the qualifications, limitations or restrictions, of any wholly unissued series of Preferred Stock, including to fix the number of shares constituting any such series.</w:t>
      </w:r>
    </w:p>
    <w:p>
      <w:pPr>
        <w:spacing w:after="0" w:line="175" w:lineRule="exact"/>
        <w:rPr>
          <w:sz w:val="20"/>
          <w:szCs w:val="20"/>
          <w:color w:val="auto"/>
        </w:rPr>
      </w:pPr>
    </w:p>
    <w:p>
      <w:pPr>
        <w:jc w:val="both"/>
        <w:ind w:right="80" w:firstLine="440"/>
        <w:spacing w:after="0" w:line="282" w:lineRule="auto"/>
        <w:rPr>
          <w:sz w:val="20"/>
          <w:szCs w:val="20"/>
          <w:color w:val="auto"/>
        </w:rPr>
      </w:pPr>
      <w:r>
        <w:rPr>
          <w:rFonts w:ascii="Times New Roman" w:cs="Times New Roman" w:eastAsia="Times New Roman" w:hAnsi="Times New Roman"/>
          <w:sz w:val="18"/>
          <w:szCs w:val="18"/>
          <w:color w:val="auto"/>
        </w:rPr>
        <w:t>That, pursuant to the authority conferred on the Board by the Certificate of Incorporation, the Board, on February 17, 2022, adopted the following resolution designating a new series of Preferred Stock as “Series B-1 Convertible Preferred Stock”:</w:t>
      </w:r>
    </w:p>
    <w:p>
      <w:pPr>
        <w:spacing w:after="0" w:line="162" w:lineRule="exact"/>
        <w:rPr>
          <w:sz w:val="20"/>
          <w:szCs w:val="20"/>
          <w:color w:val="auto"/>
        </w:rPr>
      </w:pPr>
    </w:p>
    <w:p>
      <w:pPr>
        <w:jc w:val="both"/>
        <w:ind w:right="80" w:firstLine="440"/>
        <w:spacing w:after="0" w:line="261" w:lineRule="auto"/>
        <w:rPr>
          <w:sz w:val="20"/>
          <w:szCs w:val="20"/>
          <w:color w:val="auto"/>
        </w:rPr>
      </w:pPr>
      <w:r>
        <w:rPr>
          <w:rFonts w:ascii="Times New Roman" w:cs="Times New Roman" w:eastAsia="Times New Roman" w:hAnsi="Times New Roman"/>
          <w:sz w:val="18"/>
          <w:szCs w:val="18"/>
          <w:color w:val="auto"/>
        </w:rPr>
        <w:t>RESOLVED, that, pursuant to the authority vested in the Board in accordance with the provisions of Article IV of the Certificate of Incorporation and the provisions of Section 151 of the DGCL, a series of Preferred Stock of the Company is hereby created and authorized, and the number of shares to be included in such series out of the authorized and unissued shares of Preferred Stock, and the designations, powers, preferences and rights, and the qualifications, limitations or restrictions of the shares of Preferred Stock included in such series, shall be as follows:</w:t>
      </w:r>
    </w:p>
    <w:p>
      <w:pPr>
        <w:spacing w:after="0" w:line="18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Designation and Number of Shares</w:t>
      </w:r>
      <w:r>
        <w:rPr>
          <w:rFonts w:ascii="Times New Roman" w:cs="Times New Roman" w:eastAsia="Times New Roman" w:hAnsi="Times New Roman"/>
          <w:sz w:val="18"/>
          <w:szCs w:val="18"/>
          <w:color w:val="auto"/>
        </w:rPr>
        <w:t>. The shares of such series of Preferred Stock shall be designated as “Series B-1 Convertible Preferred Stock” (the “</w:t>
      </w:r>
      <w:r>
        <w:rPr>
          <w:rFonts w:ascii="Times New Roman" w:cs="Times New Roman" w:eastAsia="Times New Roman" w:hAnsi="Times New Roman"/>
          <w:sz w:val="18"/>
          <w:szCs w:val="18"/>
          <w:b w:val="1"/>
          <w:bCs w:val="1"/>
          <w:i w:val="1"/>
          <w:iCs w:val="1"/>
          <w:color w:val="auto"/>
        </w:rPr>
        <w:t>Series B-1 Preferred Stock</w:t>
      </w:r>
      <w:r>
        <w:rPr>
          <w:rFonts w:ascii="Times New Roman" w:cs="Times New Roman" w:eastAsia="Times New Roman" w:hAnsi="Times New Roman"/>
          <w:sz w:val="18"/>
          <w:szCs w:val="18"/>
          <w:color w:val="auto"/>
        </w:rPr>
        <w:t>”). The number of authorized shares constituting the Series B-1 Preferred Stock shall be 128,267. That number from time to time may be increased (but not above the total number of authorized shares of the class of Preferred Stock of the Company) or decreased (but not below the number of shares of Series B-1 Preferred Stock then outstanding) by further resolution duly adopted by the Board, or any duly authorized committee thereof, and by the filing of a certificate pursuant to the provisions of the DGCL stating that such increase or decrease, as applicable, has been so authorized. The Company shall not have the authority to issue fractional shares of Series B-1 Preferred Stock.</w:t>
      </w:r>
    </w:p>
    <w:p>
      <w:pPr>
        <w:sectPr>
          <w:pgSz w:w="11900" w:h="16838" w:orient="portrait"/>
          <w:cols w:equalWidth="0" w:num="1">
            <w:col w:w="11020"/>
          </w:cols>
          <w:pgMar w:left="440" w:top="117" w:right="439" w:bottom="1440" w:gutter="0" w:footer="0" w:header="0"/>
        </w:sectPr>
      </w:pPr>
    </w:p>
    <w:bookmarkStart w:id="12" w:name="page13"/>
    <w:bookmarkEnd w:id="12"/>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 </w:t>
      </w:r>
      <w:r>
        <w:rPr>
          <w:rFonts w:ascii="Times New Roman" w:cs="Times New Roman" w:eastAsia="Times New Roman" w:hAnsi="Times New Roman"/>
          <w:sz w:val="18"/>
          <w:szCs w:val="18"/>
          <w:u w:val="single" w:color="auto"/>
          <w:color w:val="auto"/>
        </w:rPr>
        <w:t>Ranking</w:t>
      </w:r>
      <w:r>
        <w:rPr>
          <w:rFonts w:ascii="Times New Roman" w:cs="Times New Roman" w:eastAsia="Times New Roman" w:hAnsi="Times New Roman"/>
          <w:sz w:val="18"/>
          <w:szCs w:val="18"/>
          <w:color w:val="auto"/>
        </w:rPr>
        <w:t>. Except as otherwise provided herein, the Series B-1 Preferred Stock shall rank, with respect to dividend rights and rights on the distribution of assets on any voluntary or involuntary liquidation, dissolution or winding up of the affairs of the Company:</w:t>
      </w:r>
    </w:p>
    <w:p>
      <w:pPr>
        <w:spacing w:after="0" w:line="54" w:lineRule="exact"/>
        <w:rPr>
          <w:sz w:val="20"/>
          <w:szCs w:val="20"/>
          <w:color w:val="auto"/>
        </w:rPr>
      </w:pPr>
    </w:p>
    <w:p>
      <w:pPr>
        <w:ind w:left="444" w:right="40" w:firstLine="419"/>
        <w:spacing w:after="0" w:line="261" w:lineRule="auto"/>
        <w:tabs>
          <w:tab w:leader="none" w:pos="111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 parity basis with the Series B-2 Preferred Stock and, subject to </w:t>
      </w:r>
      <w:r>
        <w:rPr>
          <w:rFonts w:ascii="Times New Roman" w:cs="Times New Roman" w:eastAsia="Times New Roman" w:hAnsi="Times New Roman"/>
          <w:sz w:val="18"/>
          <w:szCs w:val="18"/>
          <w:u w:val="single" w:color="auto"/>
          <w:color w:val="auto"/>
        </w:rPr>
        <w:t>Section 13(b)</w:t>
      </w:r>
      <w:r>
        <w:rPr>
          <w:rFonts w:ascii="Times New Roman" w:cs="Times New Roman" w:eastAsia="Times New Roman" w:hAnsi="Times New Roman"/>
          <w:sz w:val="18"/>
          <w:szCs w:val="18"/>
          <w:color w:val="auto"/>
        </w:rPr>
        <w:t>, each other class or series of Capital Stock of the Company hereafter authorized, classified or reclassified, the terms of which expressly provide that such class or series ranks on a parity basis with the Series B-1 Preferred Stock as to dividend rights and rights on the distribution of assets on any voluntary or involuntary liquidation, dissolution or winding up of the affairs of the Company (such Capital Stock, “</w:t>
      </w:r>
      <w:r>
        <w:rPr>
          <w:rFonts w:ascii="Times New Roman" w:cs="Times New Roman" w:eastAsia="Times New Roman" w:hAnsi="Times New Roman"/>
          <w:sz w:val="18"/>
          <w:szCs w:val="18"/>
          <w:b w:val="1"/>
          <w:bCs w:val="1"/>
          <w:i w:val="1"/>
          <w:iCs w:val="1"/>
          <w:color w:val="auto"/>
        </w:rPr>
        <w:t>Parity Stock</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44" w:right="260" w:firstLine="419"/>
        <w:spacing w:after="0" w:line="261" w:lineRule="auto"/>
        <w:tabs>
          <w:tab w:leader="none" w:pos="112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13(b)</w:t>
      </w:r>
      <w:r>
        <w:rPr>
          <w:rFonts w:ascii="Times New Roman" w:cs="Times New Roman" w:eastAsia="Times New Roman" w:hAnsi="Times New Roman"/>
          <w:sz w:val="18"/>
          <w:szCs w:val="18"/>
          <w:color w:val="auto"/>
        </w:rPr>
        <w:t>, junior to each other class or series of Capital Stock of the Company hereafter authorized, classified or reclassified, the terms of which expressly provide that such class or series ranks senior to the Series B Preferred Stock as to dividend rights and rights on the distribution of assets on any voluntary or involuntary liquidation, dissolution or winding up of the affairs of the Company (such Capital Stock, “</w:t>
      </w:r>
      <w:r>
        <w:rPr>
          <w:rFonts w:ascii="Times New Roman" w:cs="Times New Roman" w:eastAsia="Times New Roman" w:hAnsi="Times New Roman"/>
          <w:sz w:val="18"/>
          <w:szCs w:val="18"/>
          <w:b w:val="1"/>
          <w:bCs w:val="1"/>
          <w:i w:val="1"/>
          <w:iCs w:val="1"/>
          <w:color w:val="auto"/>
        </w:rPr>
        <w:t>Senior Stock</w:t>
      </w:r>
      <w:r>
        <w:rPr>
          <w:rFonts w:ascii="Times New Roman" w:cs="Times New Roman" w:eastAsia="Times New Roman" w:hAnsi="Times New Roman"/>
          <w:sz w:val="18"/>
          <w:szCs w:val="18"/>
          <w:color w:val="auto"/>
        </w:rPr>
        <w:t>”); and</w:t>
      </w:r>
    </w:p>
    <w:p>
      <w:pPr>
        <w:spacing w:after="0" w:line="71" w:lineRule="exact"/>
        <w:rPr>
          <w:rFonts w:ascii="Times New Roman" w:cs="Times New Roman" w:eastAsia="Times New Roman" w:hAnsi="Times New Roman"/>
          <w:sz w:val="18"/>
          <w:szCs w:val="18"/>
          <w:color w:val="auto"/>
        </w:rPr>
      </w:pPr>
    </w:p>
    <w:p>
      <w:pPr>
        <w:ind w:left="444" w:right="260" w:firstLine="419"/>
        <w:spacing w:after="0" w:line="258" w:lineRule="auto"/>
        <w:tabs>
          <w:tab w:leader="none" w:pos="111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the Common Stock, each other currently existing class or series of Capital Stock of the Company (other than the Series B-2 Preferred Stock) and each class or series of Capital Stock of the Company hereafter authorized, classified or reclassified, the terms of which do not expressly provide that such class or series ranks on a parity basis with or senior to the Series B-1 Preferred Stock as to dividend rights and rights on the distribution of assets on any voluntary or involuntary liquidation, dissolution or winding up of the affairs of the Company (such Capital Stock, “</w:t>
      </w:r>
      <w:r>
        <w:rPr>
          <w:rFonts w:ascii="Times New Roman" w:cs="Times New Roman" w:eastAsia="Times New Roman" w:hAnsi="Times New Roman"/>
          <w:sz w:val="18"/>
          <w:szCs w:val="18"/>
          <w:b w:val="1"/>
          <w:bCs w:val="1"/>
          <w:i w:val="1"/>
          <w:iCs w:val="1"/>
          <w:color w:val="auto"/>
        </w:rPr>
        <w:t>Junior Stock</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(a) As used in this Agreement, the following terms shall have the meanings ascribed to them below:</w:t>
      </w:r>
    </w:p>
    <w:p>
      <w:pPr>
        <w:spacing w:after="0" w:line="221" w:lineRule="exact"/>
        <w:rPr>
          <w:sz w:val="20"/>
          <w:szCs w:val="20"/>
          <w:color w:val="auto"/>
        </w:rPr>
      </w:pPr>
    </w:p>
    <w:p>
      <w:pPr>
        <w:jc w:val="both"/>
        <w:ind w:left="4" w:right="18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Affiliate</w:t>
      </w:r>
      <w:r>
        <w:rPr>
          <w:rFonts w:ascii="Times New Roman" w:cs="Times New Roman" w:eastAsia="Times New Roman" w:hAnsi="Times New Roman"/>
          <w:sz w:val="17"/>
          <w:szCs w:val="17"/>
          <w:color w:val="auto"/>
        </w:rPr>
        <w:t xml:space="preserve">” means, with respect to any Person, any other Person that, directly or indirectly, controls, is controlled by or is under common control with such Person;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 the Company and its Subsidiaries shall not be deemed to be Affiliates of any Investor Party or any of its Affiliates,</w:t>
      </w:r>
    </w:p>
    <w:p>
      <w:pPr>
        <w:spacing w:after="0" w:line="1" w:lineRule="exact"/>
        <w:rPr>
          <w:sz w:val="20"/>
          <w:szCs w:val="20"/>
          <w:color w:val="auto"/>
        </w:rPr>
      </w:pPr>
    </w:p>
    <w:p>
      <w:pPr>
        <w:ind w:left="4" w:hanging="4"/>
        <w:spacing w:after="0" w:line="252" w:lineRule="auto"/>
        <w:tabs>
          <w:tab w:leader="none" w:pos="26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companies” (as such term is customarily used among institutional investors) in which any Investor Party or any of its Affiliates has an investment (whether as debt or equity) shall not be deemed an Affiliate of such Investor Party and (iii) no Investor Party shall be deemed to be an Affiliate of any other Investor Party solely as a result of the Transactions.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or policies of that Person, whether through the ownership of voting securities or partnership or other ownership interests, by contract or otherwise.</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13" w:name="page14"/>
    <w:bookmarkEnd w:id="13"/>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Beneficially Own</w:t>
      </w:r>
      <w:r>
        <w:rPr>
          <w:rFonts w:ascii="Times New Roman" w:cs="Times New Roman" w:eastAsia="Times New Roman" w:hAnsi="Times New Roman"/>
          <w:sz w:val="18"/>
          <w:szCs w:val="18"/>
          <w:color w:val="auto"/>
        </w:rPr>
        <w:t>” means, with respect to any securities, having “beneficial ownership” of such securities (as determined pursuant to Rule 13d-3 under the Exchange Act), and the terms “Beneficial Ownership” and “Beneficial Owner” shall have correlative meanings.</w:t>
      </w:r>
    </w:p>
    <w:p>
      <w:pPr>
        <w:spacing w:after="0" w:line="155"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weekday that is not a day on which banking institutions in New York, New York are authorized or required by law, regulation or executive order to be closed.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means the Amended and Restated Bylaws of the Company, as may be amended from time to time.</w:t>
      </w:r>
    </w:p>
    <w:p>
      <w:pPr>
        <w:spacing w:after="0" w:line="225" w:lineRule="exact"/>
        <w:rPr>
          <w:sz w:val="20"/>
          <w:szCs w:val="20"/>
          <w:color w:val="auto"/>
        </w:rPr>
      </w:pPr>
    </w:p>
    <w:p>
      <w:pPr>
        <w:ind w:right="6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Stock</w:t>
      </w:r>
      <w:r>
        <w:rPr>
          <w:rFonts w:ascii="Times New Roman" w:cs="Times New Roman" w:eastAsia="Times New Roman" w:hAnsi="Times New Roman"/>
          <w:sz w:val="18"/>
          <w:szCs w:val="18"/>
          <w:color w:val="auto"/>
        </w:rPr>
        <w:t>” means, with respect to any Person, any and all shares of, interests in, rights to purchase, warrants to purchase, options for, participations in or other equivalents of or interests in (however designated) stock issued by such Person.</w:t>
      </w:r>
    </w:p>
    <w:p>
      <w:pPr>
        <w:spacing w:after="0" w:line="15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Casdin</w:t>
      </w:r>
      <w:r>
        <w:rPr>
          <w:rFonts w:ascii="Times New Roman" w:cs="Times New Roman" w:eastAsia="Times New Roman" w:hAnsi="Times New Roman"/>
          <w:sz w:val="18"/>
          <w:szCs w:val="18"/>
          <w:color w:val="auto"/>
        </w:rPr>
        <w:t>” means, collectively, Casdin Private Growth Equity Fund II, L.P., a Delaware limited partnership and Casdin Partners Master Fund, L.P., a Cayman Islands exempted limited partnership.</w:t>
      </w:r>
    </w:p>
    <w:p>
      <w:pPr>
        <w:spacing w:after="0" w:line="155"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Casdin Parties</w:t>
      </w:r>
      <w:r>
        <w:rPr>
          <w:rFonts w:ascii="Times New Roman" w:cs="Times New Roman" w:eastAsia="Times New Roman" w:hAnsi="Times New Roman"/>
          <w:sz w:val="18"/>
          <w:szCs w:val="18"/>
          <w:color w:val="auto"/>
        </w:rPr>
        <w:t>” means Casdin and each Permitted Transferee of Casdin to whom shares of Series B-1 Preferred Stock or Common Stock are Transferred pursuant to Section 6.15(b) of the Casdin Purchase Agreement.</w:t>
      </w:r>
    </w:p>
    <w:p>
      <w:pPr>
        <w:spacing w:after="0" w:line="155" w:lineRule="exact"/>
        <w:rPr>
          <w:sz w:val="20"/>
          <w:szCs w:val="20"/>
          <w:color w:val="auto"/>
        </w:rPr>
      </w:pPr>
    </w:p>
    <w:p>
      <w:pPr>
        <w:jc w:val="both"/>
        <w:ind w:right="14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Casdin Preferred Percentage</w:t>
      </w:r>
      <w:r>
        <w:rPr>
          <w:rFonts w:ascii="Times New Roman" w:cs="Times New Roman" w:eastAsia="Times New Roman" w:hAnsi="Times New Roman"/>
          <w:sz w:val="17"/>
          <w:szCs w:val="17"/>
          <w:color w:val="auto"/>
        </w:rPr>
        <w:t xml:space="preserve">” means, as of any time, (a) the number of shares of Common Stock into which the shares of Series B-1 Preferred Stock beneficially owned by the Casdin Parties are convertible </w:t>
      </w:r>
      <w:r>
        <w:rPr>
          <w:rFonts w:ascii="Times New Roman" w:cs="Times New Roman" w:eastAsia="Times New Roman" w:hAnsi="Times New Roman"/>
          <w:sz w:val="17"/>
          <w:szCs w:val="17"/>
          <w:i w:val="1"/>
          <w:iCs w:val="1"/>
          <w:color w:val="auto"/>
        </w:rPr>
        <w:t>divided by</w:t>
      </w:r>
      <w:r>
        <w:rPr>
          <w:rFonts w:ascii="Times New Roman" w:cs="Times New Roman" w:eastAsia="Times New Roman" w:hAnsi="Times New Roman"/>
          <w:sz w:val="17"/>
          <w:szCs w:val="17"/>
          <w:color w:val="auto"/>
        </w:rPr>
        <w:t xml:space="preserve"> (b) the total number of shares of Common Stock issued and outstanding, in each case as of such time and assuming that all shares of Series B Preferred Stock outstanding are converted into shares of Common Stock.</w:t>
      </w:r>
    </w:p>
    <w:p>
      <w:pPr>
        <w:spacing w:after="0" w:line="153"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Casdin Purchase Agreement</w:t>
      </w:r>
      <w:r>
        <w:rPr>
          <w:rFonts w:ascii="Times New Roman" w:cs="Times New Roman" w:eastAsia="Times New Roman" w:hAnsi="Times New Roman"/>
          <w:sz w:val="18"/>
          <w:szCs w:val="18"/>
          <w:color w:val="auto"/>
        </w:rPr>
        <w:t>” means the Series B-1 Convertible Preferred Stock Purchase Agreement by and between the Company and Casdin, dated as of January 23, 2022, as it may be amended, modified or supplemented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Certificate of Designations</w:t>
      </w:r>
      <w:r>
        <w:rPr>
          <w:rFonts w:ascii="Times New Roman" w:cs="Times New Roman" w:eastAsia="Times New Roman" w:hAnsi="Times New Roman"/>
          <w:sz w:val="17"/>
          <w:szCs w:val="17"/>
          <w:color w:val="auto"/>
        </w:rPr>
        <w:t>” means this Certificate of Designations relating to the Series B-1 Preferred Stock, as it may be amended from time to</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3" w:lineRule="exact"/>
        <w:rPr>
          <w:sz w:val="20"/>
          <w:szCs w:val="20"/>
          <w:color w:val="auto"/>
        </w:rPr>
      </w:pPr>
    </w:p>
    <w:p>
      <w:pPr>
        <w:ind w:right="7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of one of the following, whether in a single transaction or a series of transactions, directly or indirectly:</w:t>
      </w:r>
    </w:p>
    <w:p>
      <w:pPr>
        <w:spacing w:after="0" w:line="51" w:lineRule="exact"/>
        <w:rPr>
          <w:sz w:val="20"/>
          <w:szCs w:val="20"/>
          <w:color w:val="auto"/>
        </w:rPr>
      </w:pPr>
    </w:p>
    <w:p>
      <w:pPr>
        <w:ind w:left="440" w:firstLine="419"/>
        <w:spacing w:after="0" w:line="255" w:lineRule="auto"/>
        <w:tabs>
          <w:tab w:leader="none" w:pos="107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or “group” (as such terms are used in Sections </w:t>
      </w:r>
      <w:r>
        <w:rPr>
          <w:rFonts w:ascii="Times New Roman" w:cs="Times New Roman" w:eastAsia="Times New Roman" w:hAnsi="Times New Roman"/>
          <w:sz w:val="18"/>
          <w:szCs w:val="18"/>
          <w:u w:val="single" w:color="auto"/>
          <w:color w:val="auto"/>
        </w:rPr>
        <w:t>13(d)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14(d)</w:t>
      </w:r>
      <w:r>
        <w:rPr>
          <w:rFonts w:ascii="Times New Roman" w:cs="Times New Roman" w:eastAsia="Times New Roman" w:hAnsi="Times New Roman"/>
          <w:sz w:val="18"/>
          <w:szCs w:val="18"/>
          <w:color w:val="auto"/>
        </w:rPr>
        <w:t xml:space="preserve"> of the Exchange Act) is or becomes the Beneficial Owner, directly or indirectly, of a majority of the total voting power of the Voting Stock of the Company, other than as a result of a transaction, or a series of related transactions, in which (A) the holders of securities that represented 100% of the Voting Stock of the Company immediately prior to such transaction are the same as the holders of securities that represent at least a majority of the Voting Stock of the surviving Person or its Parent Entity immediately following such transaction and (B) the holders of securities that represented 100% of the Voting Stock of the Company immediately prior to such transaction own directly or indirectly Voting Stock of the surviving Person or its Parent Entity in substantially the same proportion to each other as immediately prior to such transaction;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14" w:name="page15"/>
    <w:bookmarkEnd w:id="14"/>
    <w:p>
      <w:pPr>
        <w:ind w:left="440" w:firstLine="419"/>
        <w:spacing w:after="0" w:line="253" w:lineRule="auto"/>
        <w:tabs>
          <w:tab w:leader="none" w:pos="11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merger or consolidation of the Company with or into another Person or the merger of another Person with or into the Company, or the sale, transfer, license or lease of all or substantially all of the assets of the Company (determined on a consolidated basis), whether in a single transaction or a series of related transactions, to another Person, or any recapitalization, reclassification or other transaction in which all or substantially all of the Common Stock is exchanged for or converted into cash, securities or other property, other than (A) in the case of a merger or consolidation, a transaction, or a series of related transactions, following which holders of securities that represented 100% of the Voting Stock of the Company immediately prior to such transaction own directly or indirectly (in substantially the same proportion to each other as immediately prior to such transaction, other than changes in proportionality as a result of any cash/stock election provided under the terms of the definitive agreement regarding such transaction) at least a majority of the voting power of the Voting Stock of the surviving Person or Parent Entity in such merger or consolidation transaction immediately after such transaction or (B) in the case of a sale, transfer, license or lease of all or substantially all of the assets of the Company, to a Subsidiary or a Person that becomes a Subsidiary of the Company; or</w:t>
      </w:r>
    </w:p>
    <w:p>
      <w:pPr>
        <w:spacing w:after="0" w:line="86"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or shares of any other Capital Stock into which the Series B-1 Preferred Stock is convertible are not listed for trading on any U.S. national securities exchange or cease to be traded in contemplation of a delisting.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avoidance of doubt, the Transactions shall not constitute a Change of Control.</w:t>
      </w:r>
    </w:p>
    <w:p>
      <w:pPr>
        <w:spacing w:after="0" w:line="221"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 Purchase Date</w:t>
      </w:r>
      <w:r>
        <w:rPr>
          <w:rFonts w:ascii="Times New Roman" w:cs="Times New Roman" w:eastAsia="Times New Roman" w:hAnsi="Times New Roman"/>
          <w:sz w:val="18"/>
          <w:szCs w:val="18"/>
          <w:color w:val="auto"/>
        </w:rPr>
        <w:t xml:space="preserve">” means, with respect to a share of Series B-1 Preferred Stock, (i) in the case of a conversion pursuant to </w:t>
      </w:r>
      <w:r>
        <w:rPr>
          <w:rFonts w:ascii="Times New Roman" w:cs="Times New Roman" w:eastAsia="Times New Roman" w:hAnsi="Times New Roman"/>
          <w:sz w:val="18"/>
          <w:szCs w:val="18"/>
          <w:u w:val="single" w:color="auto"/>
          <w:color w:val="auto"/>
        </w:rPr>
        <w:t>Section 9(a)(i)</w:t>
      </w:r>
      <w:r>
        <w:rPr>
          <w:rFonts w:ascii="Times New Roman" w:cs="Times New Roman" w:eastAsia="Times New Roman" w:hAnsi="Times New Roman"/>
          <w:sz w:val="18"/>
          <w:szCs w:val="18"/>
          <w:color w:val="auto"/>
        </w:rPr>
        <w:t>, the date on which the Company issues the shares of Common Stock on conversion of such share and (ii) in the case of a Change of Control Put, the date on which the Company makes the payment in full of the Change of Control Put Price for such share to the Holder thereof or to the Transfer Agent, irrevocably, for the benefit of such Holder.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close of business</w:t>
      </w:r>
      <w:r>
        <w:rPr>
          <w:rFonts w:ascii="Times New Roman" w:cs="Times New Roman" w:eastAsia="Times New Roman" w:hAnsi="Times New Roman"/>
          <w:sz w:val="18"/>
          <w:szCs w:val="18"/>
          <w:color w:val="auto"/>
        </w:rPr>
        <w:t>” means 5:00 p.m. (New York City time) on any Business Day.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Conversion Agent</w:t>
      </w:r>
      <w:r>
        <w:rPr>
          <w:rFonts w:ascii="Times New Roman" w:cs="Times New Roman" w:eastAsia="Times New Roman" w:hAnsi="Times New Roman"/>
          <w:sz w:val="18"/>
          <w:szCs w:val="18"/>
          <w:color w:val="auto"/>
        </w:rPr>
        <w:t>” means the Transfer Agent, acting in its capacity as conversion agent for the Series B-1 Preferred Stock, and its successors and assigns.</w:t>
      </w:r>
    </w:p>
    <w:p>
      <w:pPr>
        <w:spacing w:after="0" w:line="15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Conversion Price</w:t>
      </w:r>
      <w:r>
        <w:rPr>
          <w:rFonts w:ascii="Times New Roman" w:cs="Times New Roman" w:eastAsia="Times New Roman" w:hAnsi="Times New Roman"/>
          <w:sz w:val="18"/>
          <w:szCs w:val="18"/>
          <w:color w:val="auto"/>
        </w:rPr>
        <w:t xml:space="preserve">” means, for each share of Series B-1 Preferred Stock at any time, a dollar amount equal to the Liquidation Preference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by </w:t>
      </w:r>
      <w:r>
        <w:rPr>
          <w:rFonts w:ascii="Times New Roman" w:cs="Times New Roman" w:eastAsia="Times New Roman" w:hAnsi="Times New Roman"/>
          <w:sz w:val="18"/>
          <w:szCs w:val="18"/>
          <w:color w:val="auto"/>
        </w:rPr>
        <w:t>the Conversion Rate as of such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Conversion Rate</w:t>
      </w:r>
      <w:r>
        <w:rPr>
          <w:rFonts w:ascii="Times New Roman" w:cs="Times New Roman" w:eastAsia="Times New Roman" w:hAnsi="Times New Roman"/>
          <w:sz w:val="18"/>
          <w:szCs w:val="18"/>
          <w:color w:val="auto"/>
        </w:rPr>
        <w:t xml:space="preserve">” means 294.1176, subject to adjustment in accordance with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5" w:name="page16"/>
    <w:bookmarkEnd w:id="15"/>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first date on which the shares of Common Stock trade on the applicable exchange or in the applicable market, regular way, reflecting the relevant share split or share combination, as applicable.</w:t>
      </w:r>
    </w:p>
    <w:p>
      <w:pPr>
        <w:spacing w:after="0" w:line="15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Ex-Dividend Date</w:t>
      </w:r>
      <w:r>
        <w:rPr>
          <w:rFonts w:ascii="Times New Roman" w:cs="Times New Roman" w:eastAsia="Times New Roman" w:hAnsi="Times New Roman"/>
          <w:sz w:val="18"/>
          <w:szCs w:val="18"/>
          <w:color w:val="auto"/>
        </w:rPr>
        <w:t>” means the first date on which shares of Common Stock trade on the applicable exchange or in the applicable market, regular way, without the right to receive the issuance, dividend or distribution in question, from the Company or, if applicable, from the seller of Common Stock on such exchange or market (in the form of due bills or otherwise) as determined by such exchange or market. For the avoidance of doubt, any alternative trading convention on the applicable exchange or market in respect of shares of Common Stock under a separate ticker symbol or CUSIP number shall not be considered “regular way” for the purposes of this definition and the “Effective Date” definition.</w:t>
      </w:r>
    </w:p>
    <w:p>
      <w:pPr>
        <w:spacing w:after="0" w:line="179"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or any similar successor federal statute and the rules and regulations thereunder, all as the same shall be in effect from time to time.</w:t>
      </w:r>
    </w:p>
    <w:p>
      <w:pPr>
        <w:spacing w:after="0" w:line="155" w:lineRule="exact"/>
        <w:rPr>
          <w:sz w:val="20"/>
          <w:szCs w:val="20"/>
          <w:color w:val="auto"/>
        </w:rPr>
      </w:pPr>
    </w:p>
    <w:p>
      <w:pPr>
        <w:jc w:val="both"/>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Authority</w:t>
      </w:r>
      <w:r>
        <w:rPr>
          <w:rFonts w:ascii="Times New Roman" w:cs="Times New Roman" w:eastAsia="Times New Roman" w:hAnsi="Times New Roman"/>
          <w:sz w:val="18"/>
          <w:szCs w:val="18"/>
          <w:color w:val="auto"/>
        </w:rPr>
        <w:t>” means any government, political subdivision, governmental, administrative or regulatory entity or body, department, commission, board, agency or instrumentality, or other legislative, executive or judicial governmental entity, and any court, tribunal, judicial or arbitral body, in each case whether federal, national, state, county, municipal, provincial, local, foreign or multinational.</w:t>
      </w:r>
    </w:p>
    <w:p>
      <w:pPr>
        <w:spacing w:after="0" w:line="171" w:lineRule="exact"/>
        <w:rPr>
          <w:sz w:val="20"/>
          <w:szCs w:val="20"/>
          <w:color w:val="auto"/>
        </w:rPr>
      </w:pPr>
    </w:p>
    <w:p>
      <w:pPr>
        <w:ind w:firstLine="440"/>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Holder</w:t>
      </w:r>
      <w:r>
        <w:rPr>
          <w:rFonts w:ascii="Times New Roman" w:cs="Times New Roman" w:eastAsia="Times New Roman" w:hAnsi="Times New Roman"/>
          <w:sz w:val="17"/>
          <w:szCs w:val="17"/>
          <w:color w:val="auto"/>
        </w:rPr>
        <w:t xml:space="preserve">” means a Person in whose name shares of the Series B-1 Preferred Stock are registered, which Person shall be treated by the Company, Transfer Agent, Registrar, paying agent and Conversion Agent as the absolute owner of the shares of Series B-1 Preferred Stock for the purpose of making payment and settling conversions and for all other purposes;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to the fullest extent permitted by law, (a) no Person that has received shares of Series B-1 Preferred Stock in violation of the Casdin Purchase Agreement shall be a Holder, (b) the Transfer Agent, Registrar, paying agent and Conversion Agent, as applicable, shall not, unless directed otherwise by the Company, recognize any such Person as a Holder and (c) the Person in whose name the shares of the Series B-1 Preferred Stock were registered immediately prior to such transfer shall remain the Holder of such shares.</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Investor Parties</w:t>
      </w:r>
      <w:r>
        <w:rPr>
          <w:rFonts w:ascii="Times New Roman" w:cs="Times New Roman" w:eastAsia="Times New Roman" w:hAnsi="Times New Roman"/>
          <w:sz w:val="18"/>
          <w:szCs w:val="18"/>
          <w:color w:val="auto"/>
        </w:rPr>
        <w:t>” means, collectively, the Casdin Parties and the Viking Parties.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Issuance Date</w:t>
      </w:r>
      <w:r>
        <w:rPr>
          <w:rFonts w:ascii="Times New Roman" w:cs="Times New Roman" w:eastAsia="Times New Roman" w:hAnsi="Times New Roman"/>
          <w:sz w:val="18"/>
          <w:szCs w:val="18"/>
          <w:color w:val="auto"/>
        </w:rPr>
        <w:t>” means, with respect to any share of Series B-1 Preferred Stock, the date of issuance of such share.</w:t>
      </w:r>
    </w:p>
    <w:p>
      <w:pPr>
        <w:spacing w:after="0" w:line="225"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Last Reported Sale Price</w:t>
      </w:r>
      <w:r>
        <w:rPr>
          <w:rFonts w:ascii="Times New Roman" w:cs="Times New Roman" w:eastAsia="Times New Roman" w:hAnsi="Times New Roman"/>
          <w:sz w:val="18"/>
          <w:szCs w:val="18"/>
          <w:color w:val="auto"/>
        </w:rPr>
        <w:t>” of the Common Stock (or other security for which a closing sale price must be determined)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Stock (or such other security) is traded. If the Common Stock (or such other security) is not listed for trading on a U.S. national or regional securities exchange on the relevant date, the “Last Reported Sale Price” shall be the last quoted bid price for the Common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16" w:name="page17"/>
    <w:bookmarkEnd w:id="16"/>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 (or such other security) in the over-the-counter market on the relevant date as reported by OTC Markets Group Inc. or a similar organization. If the Common Stock (or such other security) is not so quoted, the “Last Reported Sale Price” shall be the average of the mid-point of the last bid and ask prices per share of the Common Stock (or such other security) on the relevant date from each of at least three nationally recognized independent investment banking firms selected by the Company for this purpose. The “Last Reported Sale Price” shall be determined without regard to after-hours trading or any other trading outside of the regular trading session hours.</w:t>
      </w:r>
    </w:p>
    <w:p>
      <w:pPr>
        <w:spacing w:after="0" w:line="179"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Law</w:t>
      </w:r>
      <w:r>
        <w:rPr>
          <w:rFonts w:ascii="Times New Roman" w:cs="Times New Roman" w:eastAsia="Times New Roman" w:hAnsi="Times New Roman"/>
          <w:sz w:val="18"/>
          <w:szCs w:val="18"/>
          <w:color w:val="auto"/>
        </w:rPr>
        <w:t>” means any federal, national, state, county, municipal, provincial, local, foreign or multinational law, act, statute, constitution, common law, ordinance, code, decree, writ, order, judgment, injunction, rule, regulation, ruling or requirement issued, enacted, adopted, promulgated, implemented or otherwise put into effect by or under the authority of any Governmental Authority.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Liquidation Preference</w:t>
      </w:r>
      <w:r>
        <w:rPr>
          <w:rFonts w:ascii="Times New Roman" w:cs="Times New Roman" w:eastAsia="Times New Roman" w:hAnsi="Times New Roman"/>
          <w:sz w:val="18"/>
          <w:szCs w:val="18"/>
          <w:color w:val="auto"/>
        </w:rPr>
        <w:t>” means, with respect to any share of Series B-1 Preferred Stock, as of any date, $1,000 per share.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Mandatory Conversion Price</w:t>
      </w:r>
      <w:r>
        <w:rPr>
          <w:rFonts w:ascii="Times New Roman" w:cs="Times New Roman" w:eastAsia="Times New Roman" w:hAnsi="Times New Roman"/>
          <w:sz w:val="18"/>
          <w:szCs w:val="18"/>
          <w:color w:val="auto"/>
        </w:rPr>
        <w:t>” means, at any time, 250% of the Conversion Price as of such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Market Disruption Event</w:t>
      </w:r>
      <w:r>
        <w:rPr>
          <w:rFonts w:ascii="Times New Roman" w:cs="Times New Roman" w:eastAsia="Times New Roman" w:hAnsi="Times New Roman"/>
          <w:sz w:val="18"/>
          <w:szCs w:val="18"/>
          <w:color w:val="auto"/>
        </w:rPr>
        <w:t>” means any of the following events:</w:t>
      </w:r>
    </w:p>
    <w:p>
      <w:pPr>
        <w:spacing w:after="0" w:line="121" w:lineRule="exact"/>
        <w:rPr>
          <w:sz w:val="20"/>
          <w:szCs w:val="20"/>
          <w:color w:val="auto"/>
        </w:rPr>
      </w:pPr>
    </w:p>
    <w:p>
      <w:pPr>
        <w:ind w:left="440" w:right="60" w:firstLine="419"/>
        <w:spacing w:after="0" w:line="256" w:lineRule="auto"/>
        <w:tabs>
          <w:tab w:leader="none" w:pos="10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suspension of, or limitation imposed on, trading of the Common Stock or options contracts relating to the Common Stock by any exchange or quotation system on which the Last Reported Sale Price is determined pursuant to the definition of “Last Reported Sale Price” (the “</w:t>
      </w:r>
      <w:r>
        <w:rPr>
          <w:rFonts w:ascii="Times New Roman" w:cs="Times New Roman" w:eastAsia="Times New Roman" w:hAnsi="Times New Roman"/>
          <w:sz w:val="18"/>
          <w:szCs w:val="18"/>
          <w:b w:val="1"/>
          <w:bCs w:val="1"/>
          <w:i w:val="1"/>
          <w:iCs w:val="1"/>
          <w:color w:val="auto"/>
        </w:rPr>
        <w:t>Relevant Exchange</w:t>
      </w:r>
      <w:r>
        <w:rPr>
          <w:rFonts w:ascii="Times New Roman" w:cs="Times New Roman" w:eastAsia="Times New Roman" w:hAnsi="Times New Roman"/>
          <w:sz w:val="18"/>
          <w:szCs w:val="18"/>
          <w:color w:val="auto"/>
        </w:rPr>
        <w:t>”) during the one-hour period prior to the close of trading for the regular trading session on the Relevant Exchange (or for purposes of determining the VWAP per share of Common Stock, any period or periods aggregating one half-hour or longer during the regular trading session on the relevant day) whether by reason of movements in price exceeding limits permitted by the Relevant Exchange or otherwise; or</w:t>
      </w:r>
    </w:p>
    <w:p>
      <w:pPr>
        <w:spacing w:after="0" w:line="79" w:lineRule="exact"/>
        <w:rPr>
          <w:rFonts w:ascii="Times New Roman" w:cs="Times New Roman" w:eastAsia="Times New Roman" w:hAnsi="Times New Roman"/>
          <w:sz w:val="18"/>
          <w:szCs w:val="18"/>
          <w:color w:val="auto"/>
        </w:rPr>
      </w:pPr>
    </w:p>
    <w:p>
      <w:pPr>
        <w:ind w:left="440" w:right="140" w:firstLine="419"/>
        <w:spacing w:after="0" w:line="258" w:lineRule="auto"/>
        <w:tabs>
          <w:tab w:leader="none" w:pos="11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that disrupts or impairs (as determined by the Company in its reasonable discretion) the ability of market participants during the one-hour period prior to the close of trading for the regular trading session on the Relevant Exchange (or for purposes of determining the VWAP per share of Common Stock, any period or periods aggregating one half-hour or longer during the regular trading session on the relevant day) to effect transactions in, or obtain market values for, the Common Stock on the Relevant Exchange or to effect transactions in, or obtain market values for, options contracts relating to the Common Stock on the Relevant Exchange.</w:t>
      </w:r>
    </w:p>
    <w:p>
      <w:pPr>
        <w:spacing w:after="0" w:line="179"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Stock Market and any successor stock exchange or inter-dealer quotation system operated by the Nasdaq Stock Market or any successor thereto.</w:t>
      </w:r>
    </w:p>
    <w:p>
      <w:pPr>
        <w:spacing w:after="0" w:line="15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Neutral Manner</w:t>
      </w:r>
      <w:r>
        <w:rPr>
          <w:rFonts w:ascii="Times New Roman" w:cs="Times New Roman" w:eastAsia="Times New Roman" w:hAnsi="Times New Roman"/>
          <w:sz w:val="18"/>
          <w:szCs w:val="18"/>
          <w:color w:val="auto"/>
        </w:rPr>
        <w:t>” means in the same proportion as the outstanding Common Stock (excluding any and all Common Stock Beneficially Owned, directly or indirectly, by the Investor Parties) voted on the relevant matters.</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17" w:name="page18"/>
    <w:bookmarkEnd w:id="1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Officers’ Certificate</w:t>
      </w:r>
      <w:r>
        <w:rPr>
          <w:rFonts w:ascii="Times New Roman" w:cs="Times New Roman" w:eastAsia="Times New Roman" w:hAnsi="Times New Roman"/>
          <w:sz w:val="18"/>
          <w:szCs w:val="18"/>
          <w:color w:val="auto"/>
        </w:rPr>
        <w:t>” means a certificate signed by the Chief Executive Officer, the Chief Financial Officer or the Secretary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Original Issuance Date</w:t>
      </w:r>
      <w:r>
        <w:rPr>
          <w:rFonts w:ascii="Times New Roman" w:cs="Times New Roman" w:eastAsia="Times New Roman" w:hAnsi="Times New Roman"/>
          <w:sz w:val="18"/>
          <w:szCs w:val="18"/>
          <w:color w:val="auto"/>
        </w:rPr>
        <w:t>” means the Closing Date, as defined in the Casdin Purchase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Entity</w:t>
      </w:r>
      <w:r>
        <w:rPr>
          <w:rFonts w:ascii="Times New Roman" w:cs="Times New Roman" w:eastAsia="Times New Roman" w:hAnsi="Times New Roman"/>
          <w:sz w:val="18"/>
          <w:szCs w:val="18"/>
          <w:color w:val="auto"/>
        </w:rPr>
        <w:t>” means, with respect to any Person, any other Person of which such first Person is a direct or indirect wholly owned Subsidiary.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Transferee</w:t>
      </w:r>
      <w:r>
        <w:rPr>
          <w:rFonts w:ascii="Times New Roman" w:cs="Times New Roman" w:eastAsia="Times New Roman" w:hAnsi="Times New Roman"/>
          <w:sz w:val="18"/>
          <w:szCs w:val="18"/>
          <w:color w:val="auto"/>
        </w:rPr>
        <w:t>” has the meaning set forth in the Casdin Purchase Agreement or the Viking Purchase Agreement, as applicable.</w:t>
      </w:r>
    </w:p>
    <w:p>
      <w:pPr>
        <w:spacing w:after="0" w:line="22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corporation, estate, partnership, joint venture, association, joint-stock company, limited liability company, trust, series, unincorporated organization or any other entity.</w:t>
      </w:r>
    </w:p>
    <w:p>
      <w:pPr>
        <w:spacing w:after="0" w:line="15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means, with respect to any dividend, distribution or other transaction or event in which holders of Common Stock have the right to receive any cash, securities or other property or in which Common Stock is exchanged for or converted into any combination of cash, securities or other property, the date fixed for determination of holders of Common Stock entitled to receive such cash, securities or other property (whether such date is fixed by the Board or a duly authorized committee thereof or by statute, contract or otherwise).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Registrar</w:t>
      </w:r>
      <w:r>
        <w:rPr>
          <w:rFonts w:ascii="Times New Roman" w:cs="Times New Roman" w:eastAsia="Times New Roman" w:hAnsi="Times New Roman"/>
          <w:sz w:val="18"/>
          <w:szCs w:val="18"/>
          <w:color w:val="auto"/>
        </w:rPr>
        <w:t>” means the Transfer Agent, acting in its capacity as registrar for the Series B-1 Preferred Stock, and its successors and assigns.</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Rights Agreement</w:t>
      </w:r>
      <w:r>
        <w:rPr>
          <w:rFonts w:ascii="Times New Roman" w:cs="Times New Roman" w:eastAsia="Times New Roman" w:hAnsi="Times New Roman"/>
          <w:sz w:val="18"/>
          <w:szCs w:val="18"/>
          <w:color w:val="auto"/>
        </w:rPr>
        <w:t>” means the Registration Rights Agreement by and among the Company and the purchasers party thereto dated as of January 23, 2022 as it may be amended, supplemented or otherwise modified from time to time.</w:t>
      </w:r>
    </w:p>
    <w:p>
      <w:pPr>
        <w:spacing w:after="0" w:line="15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Person</w:t>
      </w:r>
      <w:r>
        <w:rPr>
          <w:rFonts w:ascii="Times New Roman" w:cs="Times New Roman" w:eastAsia="Times New Roman" w:hAnsi="Times New Roman"/>
          <w:sz w:val="18"/>
          <w:szCs w:val="18"/>
          <w:color w:val="auto"/>
        </w:rPr>
        <w:t>” means (a) any executive officer of the Company, (b) any director of the Company or any Affiliate of such director and (c) any Person that, together with its Affiliates, holds 5% of more of the outstanding shares of Common Stock (measured on an as-converted basis).</w:t>
      </w:r>
    </w:p>
    <w:p>
      <w:pPr>
        <w:spacing w:after="0" w:line="15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 or any similar successor federal statute and the rules and regulations thereunder, all as the same shall be in effect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B Preferred Stock</w:t>
      </w:r>
      <w:r>
        <w:rPr>
          <w:rFonts w:ascii="Times New Roman" w:cs="Times New Roman" w:eastAsia="Times New Roman" w:hAnsi="Times New Roman"/>
          <w:sz w:val="18"/>
          <w:szCs w:val="18"/>
          <w:color w:val="auto"/>
        </w:rPr>
        <w:t>” means, collectively, the Series B-1 Preferred Stock and the Series B-2 Preferred Stock.</w:t>
      </w:r>
    </w:p>
    <w:p>
      <w:pPr>
        <w:spacing w:after="0" w:line="22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B-2 Certificate of Designations</w:t>
      </w:r>
      <w:r>
        <w:rPr>
          <w:rFonts w:ascii="Times New Roman" w:cs="Times New Roman" w:eastAsia="Times New Roman" w:hAnsi="Times New Roman"/>
          <w:sz w:val="18"/>
          <w:szCs w:val="18"/>
          <w:color w:val="auto"/>
        </w:rPr>
        <w:t>” means the Certificate of Designations relating to the Series B-2 Preferred Stock, as it may be amended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B-2 Preferred Stock</w:t>
      </w:r>
      <w:r>
        <w:rPr>
          <w:rFonts w:ascii="Times New Roman" w:cs="Times New Roman" w:eastAsia="Times New Roman" w:hAnsi="Times New Roman"/>
          <w:sz w:val="18"/>
          <w:szCs w:val="18"/>
          <w:color w:val="auto"/>
        </w:rPr>
        <w:t>” means the Series B-2 Convertible Preferred Stock of the Company.</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66" w:right="479" w:bottom="1440" w:gutter="0" w:footer="0" w:header="0"/>
        </w:sectPr>
      </w:pPr>
    </w:p>
    <w:bookmarkStart w:id="18" w:name="page19"/>
    <w:bookmarkEnd w:id="18"/>
    <w:p>
      <w:pPr>
        <w:ind w:firstLine="4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b w:val="1"/>
          <w:bCs w:val="1"/>
          <w:i w:val="1"/>
          <w:iCs w:val="1"/>
          <w:color w:val="auto"/>
        </w:rPr>
        <w:t>Subsidiary</w:t>
      </w:r>
      <w:r>
        <w:rPr>
          <w:rFonts w:ascii="Times New Roman" w:cs="Times New Roman" w:eastAsia="Times New Roman" w:hAnsi="Times New Roman"/>
          <w:sz w:val="17"/>
          <w:szCs w:val="17"/>
          <w:color w:val="auto"/>
        </w:rPr>
        <w:t>” means, with respect to any Person, any corporation of which a majority of the total voting power of shares of stock entitled to vote in the election of directors, managers or trustees thereof is at the time owned or controlled, directly or indirectly, by such Person or one or more of the other Subsidiaries of such Person or a combination thereof or any partnership, limited liability company, trust, association or other business entity of which a majority of the partnership, limited liability company, trust, association or other similar ownership interest is at the time owned or controlled, directly or indirectly, by such Person or one or more Subsidiaries of such Person or a combination thereof. For purposes of this definition, a Person is deemed to have a majority ownership interest in a partnership, limited liability company, trust, association or other business entity if such Person is allocated a majority of the gains or losses of such partnership, limited liability company, trust, association or other business entity or is or controls the managing director, managing member or general (or equivalent) partner of such partnership, limited liability company, trust, association or other business entity.</w:t>
      </w:r>
    </w:p>
    <w:p>
      <w:pPr>
        <w:spacing w:after="0" w:line="172"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 means any taxes and similar assessments, fees, and other governmental charges imposed by any Governmental Authority, including income, profits, gross receipts, net proceeds, ad valorem, value added, turnover, sales, use, property, personal property (tangible and intangible), stamp, excise, duty, franchise, capital stock, transfer, payroll, employment, severance, and estimated tax, together with any interest and any penalties, additions to tax or additional amounts imposed by any Governmental Authority, whether disputed or not.</w:t>
      </w:r>
    </w:p>
    <w:p>
      <w:pPr>
        <w:spacing w:after="0" w:line="176" w:lineRule="exact"/>
        <w:rPr>
          <w:sz w:val="20"/>
          <w:szCs w:val="20"/>
          <w:color w:val="auto"/>
        </w:rPr>
      </w:pPr>
    </w:p>
    <w:p>
      <w:pPr>
        <w:ind w:right="8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Return</w:t>
      </w:r>
      <w:r>
        <w:rPr>
          <w:rFonts w:ascii="Times New Roman" w:cs="Times New Roman" w:eastAsia="Times New Roman" w:hAnsi="Times New Roman"/>
          <w:sz w:val="18"/>
          <w:szCs w:val="18"/>
          <w:color w:val="auto"/>
        </w:rPr>
        <w:t>” means any return, estimates, report, statement, information return or other document (including any related or supporting information such as a schedule or attachment thereto) filed or required to be filed with any Governmental Authority in connection with the determination, assessment, collection or administration of any Taxes, including any amendment thereof.</w:t>
      </w:r>
    </w:p>
    <w:p>
      <w:pPr>
        <w:spacing w:after="0" w:line="171"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 Business Day on which the Relevant Exchange is scheduled to be open for business and on which there has not occurred a Market Disruption Event.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has the meaning set forth in the Casdin Purchase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has the meaning set forth in the Casdin Purchase Agreement or the Viking Purchase Agreement, as applicable.</w:t>
      </w:r>
    </w:p>
    <w:p>
      <w:pPr>
        <w:spacing w:after="0" w:line="22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 Agent</w:t>
      </w:r>
      <w:r>
        <w:rPr>
          <w:rFonts w:ascii="Times New Roman" w:cs="Times New Roman" w:eastAsia="Times New Roman" w:hAnsi="Times New Roman"/>
          <w:sz w:val="18"/>
          <w:szCs w:val="18"/>
          <w:color w:val="auto"/>
        </w:rPr>
        <w:t>” means the Person acting as transfer agent, Registrar and paying agent and Conversion Agent for the Series B-1 Preferred Stock and its successors and assigns. The initial Transfer Agent shall be Computershare Trust Company, N.A.</w:t>
      </w:r>
    </w:p>
    <w:p>
      <w:pPr>
        <w:spacing w:after="0" w:line="155"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Viking</w:t>
      </w:r>
      <w:r>
        <w:rPr>
          <w:rFonts w:ascii="Times New Roman" w:cs="Times New Roman" w:eastAsia="Times New Roman" w:hAnsi="Times New Roman"/>
          <w:sz w:val="18"/>
          <w:szCs w:val="18"/>
          <w:color w:val="auto"/>
        </w:rPr>
        <w:t>” means collectively, Viking Global Opportunities Illiquid Investments Sub-Master LP, a Cayman Islands exempted limited partnership and Viking Global Opportunities Drawdown (Aggregator) LP, a Cayman Islands exempted limited partnership.</w:t>
      </w:r>
    </w:p>
    <w:p>
      <w:pPr>
        <w:spacing w:after="0" w:line="155"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Viking Parties</w:t>
      </w:r>
      <w:r>
        <w:rPr>
          <w:rFonts w:ascii="Times New Roman" w:cs="Times New Roman" w:eastAsia="Times New Roman" w:hAnsi="Times New Roman"/>
          <w:sz w:val="18"/>
          <w:szCs w:val="18"/>
          <w:color w:val="auto"/>
        </w:rPr>
        <w:t>” means Viking and each Permitted Transferee of Viking to whom shares of Series B-2 Preferred Stock or Common Stock are Transferred pursuant to Section 6.15(b) of the Viking Purchase Agreement.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19" w:name="page20"/>
    <w:bookmarkEnd w:id="19"/>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Viking Purchase Agreement</w:t>
      </w:r>
      <w:r>
        <w:rPr>
          <w:rFonts w:ascii="Times New Roman" w:cs="Times New Roman" w:eastAsia="Times New Roman" w:hAnsi="Times New Roman"/>
          <w:sz w:val="18"/>
          <w:szCs w:val="18"/>
          <w:color w:val="auto"/>
        </w:rPr>
        <w:t>” means the Series B-2 Convertible Preferred Stock Purchase Agreement by and between the Company and Viking, dated as of January 23, 2022, as it may be amended, modified or supplemented from time to time.</w:t>
      </w:r>
    </w:p>
    <w:p>
      <w:pPr>
        <w:spacing w:after="0" w:line="155"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Voting Stock</w:t>
      </w:r>
      <w:r>
        <w:rPr>
          <w:rFonts w:ascii="Times New Roman" w:cs="Times New Roman" w:eastAsia="Times New Roman" w:hAnsi="Times New Roman"/>
          <w:sz w:val="18"/>
          <w:szCs w:val="18"/>
          <w:color w:val="auto"/>
        </w:rPr>
        <w:t>” means (i) with respect to the Company, the Common Stock, the Series B Preferred Stock (subject to the limitations set forth herein) and any other Capital Stock of the Company having the right to vote generally in any election of directors of the Board and (ii) with respect to any other Person, all Capital Stock of such Person having the right to vote generally in any election of directors of the board of directors of such Person or other similar governing body.</w:t>
      </w:r>
    </w:p>
    <w:p>
      <w:pPr>
        <w:spacing w:after="0" w:line="176"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w:t>
      </w:r>
      <w:r>
        <w:rPr>
          <w:rFonts w:ascii="Times New Roman" w:cs="Times New Roman" w:eastAsia="Times New Roman" w:hAnsi="Times New Roman"/>
          <w:sz w:val="18"/>
          <w:szCs w:val="18"/>
          <w:color w:val="auto"/>
        </w:rPr>
        <w:t>” means, for any Trading Days, the per share volume-weighted average price of the Common Stock as displayed under the heading “Bloomberg VWAP” on Bloomberg page “FLDM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reasonably determined, using a volume-weighted average method, by a nationally recognized independent investment banking firm retained for this purpose by the Company). The “VWAP” shall be determined without regard to after-hours trading or any other trading outside of the regular trading session trading hours.</w:t>
      </w:r>
    </w:p>
    <w:p>
      <w:pPr>
        <w:spacing w:after="0" w:line="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The following terms have the meanings set forth in the Sections referenced below: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Term</w:t>
            </w:r>
          </w:p>
        </w:tc>
        <w:tc>
          <w:tcPr>
            <w:tcW w:w="704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Section</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1% Exception</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11(j)</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Board</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Change of Control Call</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9(e)</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Change of Control Effective Date</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9(c)</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Change of Control Election Notice</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9(b)</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Change of Control Put</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9(a)</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Change of Control Put Price</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9(a)</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Clause A Distribution</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11(c)(1)</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Clause B Distribution</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11(c)(2)</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Clause C Distribution</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11(c)(2)</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Constituent Person</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12(a)(iii)</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Conversion Date</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8(a)</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Conversion Notice</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8(a)(i)</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DGCL</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Distributed Property</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11(c)</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Exchange Property</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12(a)(iii)</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Final Change of Control Notice</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9(c)</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Junior Stock</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2(b)</w:t>
            </w: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Mandatory Conversion</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7(a)</w:t>
            </w:r>
          </w:p>
        </w:tc>
      </w:tr>
      <w:tr>
        <w:trPr>
          <w:trHeight w:val="365"/>
        </w:trPr>
        <w:tc>
          <w:tcPr>
            <w:tcW w:w="3980" w:type="dxa"/>
            <w:vAlign w:val="bottom"/>
          </w:tcPr>
          <w:p>
            <w:pPr>
              <w:spacing w:after="0"/>
              <w:rPr>
                <w:sz w:val="24"/>
                <w:szCs w:val="24"/>
                <w:color w:val="auto"/>
              </w:rPr>
            </w:pPr>
          </w:p>
        </w:tc>
        <w:tc>
          <w:tcPr>
            <w:tcW w:w="7040" w:type="dxa"/>
            <w:vAlign w:val="bottom"/>
          </w:tcPr>
          <w:p>
            <w:pPr>
              <w:jc w:val="right"/>
              <w:ind w:right="5391"/>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020"/>
          </w:cols>
          <w:pgMar w:left="440" w:top="266" w:right="439" w:bottom="1440" w:gutter="0" w:footer="0" w:header="0"/>
        </w:sectPr>
      </w:pPr>
    </w:p>
    <w:bookmarkStart w:id="20" w:name="page21"/>
    <w:bookmarkEnd w:id="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Mandatory Conversion Date</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7(a)</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Notice of Mandatory Conversion</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7(b)</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Notice of Redemption</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10(b)</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Parity Stock</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2(a)</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Redemption</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10(a)</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Redemption Date</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10(b)</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Redemption Price</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10(a)</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Reorganization Event</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12(a)(iii)</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Senior Stock</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2(b)</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Series B-1 Preferred Director</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14(a)</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Spin-Off</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11(c)</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Third Party Transfer Taxes</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19(b)</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Trigger Event</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11(c)</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Valuation Period</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11(c)</w:t>
            </w: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Voting Threshold</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13(a)</w:t>
            </w:r>
          </w:p>
        </w:tc>
      </w:tr>
    </w:tbl>
    <w:p>
      <w:pPr>
        <w:spacing w:after="0" w:line="198"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xml:space="preserve">. Subject to the provisions of this Certificate of Designations (including </w:t>
      </w:r>
      <w:r>
        <w:rPr>
          <w:rFonts w:ascii="Times New Roman" w:cs="Times New Roman" w:eastAsia="Times New Roman" w:hAnsi="Times New Roman"/>
          <w:sz w:val="18"/>
          <w:szCs w:val="18"/>
          <w:u w:val="single" w:color="auto"/>
          <w:color w:val="auto"/>
        </w:rPr>
        <w:t>Section 13(b)</w:t>
      </w:r>
      <w:r>
        <w:rPr>
          <w:rFonts w:ascii="Times New Roman" w:cs="Times New Roman" w:eastAsia="Times New Roman" w:hAnsi="Times New Roman"/>
          <w:sz w:val="18"/>
          <w:szCs w:val="18"/>
          <w:color w:val="auto"/>
        </w:rPr>
        <w:t xml:space="preserve">), dividends may be declared by the Board or any duly authorized committee thereof on any Junior Stock from time to time. The Holders shall fully participate, on an as-converted basis, in any dividends declared and paid or distributions on the Common Stock as if the Series B-1 Preferred Stock were, though the Series B-1 Preferred Stock shall not be, converted, at the Conversion Rate in effect on the Record Date for such dividend or distribution,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into shares of Common Stock (without regard to any limitations on conversion) immediately prior to such Record Date, as and when paid with respect to the Common Stock and using the same Record Date as is used for the Common Stock. No dividend shall be declared or paid on the Series B-2 Preferred Stock unless a dividend in an equal amount per share is also declared or paid (as applicable) on the Series B-1 Preferred Stock.</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Liquidation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20" w:firstLine="419"/>
        <w:spacing w:after="0" w:line="253" w:lineRule="auto"/>
        <w:tabs>
          <w:tab w:leader="none" w:pos="110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xml:space="preserve">. In the event of any voluntary or involuntary liquidation, dissolution or winding up of the affairs of the Company, the Holders shall be entitled, out of assets legally available therefor, before any distribution or payment out of the assets of the Company may be made to or set aside for the holders of any Junior Stock, and subject to the rights of the holders of any Senior Stock or Parity Stock and the rights of the Company’s existing and future creditors, to receive in full a liquidating distribution in cash in the amount per share of Series B-1 Preferred Stock equal to the greater of (i) the Liquidation Preference with respect to such share of Series B-1 Preferred Stock as of the date of such voluntary or involuntary liquidation, dissolution or winding up of the affairs of the Company and (ii) the amount per share of Series B-1 Preferred Stock that such Holders would have received had all holders of Series B Preferred Stock, immediately prior to such voluntary or involuntary liquidation, dissolution or winding up of the affairs of the Company, converted all shares of Series B Preferred Stock into Common Stock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of the Series B-2 Certificate of Designations, as applicable (without regard to any of the limitations on convertibility contained therein)). Holders shall not be entitled to any further payments in the event of any such voluntary or involuntary liquidation, dissolution or winding up of the affairs of the Company other than what is expressly provided for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and shall have no right or claim to any of the Company’s remaining assets.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21" w:name="page22"/>
    <w:bookmarkEnd w:id="21"/>
    <w:p>
      <w:pPr>
        <w:ind w:firstLine="419"/>
        <w:spacing w:after="0" w:line="256" w:lineRule="auto"/>
        <w:tabs>
          <w:tab w:leader="none" w:pos="6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Partial Payment</w:t>
      </w:r>
      <w:r>
        <w:rPr>
          <w:rFonts w:ascii="Times New Roman" w:cs="Times New Roman" w:eastAsia="Times New Roman" w:hAnsi="Times New Roman"/>
          <w:sz w:val="18"/>
          <w:szCs w:val="18"/>
          <w:color w:val="auto"/>
        </w:rPr>
        <w:t xml:space="preserve">. If in connection with any distribution described in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the assets of the Company or proceeds therefrom are not sufficient to pay in full the aggregate liquidating distributions required to be paid pursuant to (i)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to all Holders, (ii) Section 5(a) of the Series B-2 Certificate of Designations to all holders of the Series B-2 Preferred Stock, and (iii) the liquidating distributions payable to all holders of any other Parity Stock, the amounts distributed to the Holders, the holders of the Series B-2 Preferred Stock and to the holders of all other Parity Stock shall be paid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 respective aggregate liquidating distributions to which they would otherwise be entitled if all amounts payable thereon were paid in full.</w:t>
      </w:r>
    </w:p>
    <w:p>
      <w:pPr>
        <w:spacing w:after="0" w:line="79" w:lineRule="exact"/>
        <w:rPr>
          <w:rFonts w:ascii="Times New Roman" w:cs="Times New Roman" w:eastAsia="Times New Roman" w:hAnsi="Times New Roman"/>
          <w:sz w:val="18"/>
          <w:szCs w:val="18"/>
          <w:color w:val="auto"/>
        </w:rPr>
      </w:pPr>
    </w:p>
    <w:p>
      <w:pPr>
        <w:ind w:right="120" w:firstLine="419"/>
        <w:spacing w:after="0" w:line="254" w:lineRule="auto"/>
        <w:tabs>
          <w:tab w:leader="none" w:pos="66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Consolidation and Sale of Assets Not Liquidation</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the sale, conveyance, lease, exchange or transfer (for cash, shares of stock, securities or other consideration) of all or substantially all of the property and assets of the Company shall not be deemed a voluntary or involuntary liquidation, dissolution or winding up of the affairs of the Company, nor shall the merger, consolidation, statutory exchange or any other business combination transaction of the Company into or with any other Person or the merger, consolidation, statutory exchange or any other business combination transaction of any other Person into or with the Company or a Subsidiary of the Company be deemed to be a voluntary or involuntary liquidation, dissolution or winding up of the affairs of the Company, and the holders of Series B Preferred Stock shall not be entitled to any payments pursuant to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herein or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of the Series B-2 Certificate of Designations on account of such sale, conveyance, lease, exchange or transfer.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Right of the Holders to Convert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6" w:lineRule="auto"/>
        <w:tabs>
          <w:tab w:leader="none" w:pos="6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Holder shall have the right, at such Holder’s option, subject to the conversion procedures set forth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to convert each share of such Holder’s Series B-1 Preferred Stock at any time into a number of shares of Common Stock equal to the Conversion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Holder shall receive cash in lieu of any fractional shares or as otherwise set out in </w:t>
      </w:r>
      <w:r>
        <w:rPr>
          <w:rFonts w:ascii="Times New Roman" w:cs="Times New Roman" w:eastAsia="Times New Roman" w:hAnsi="Times New Roman"/>
          <w:sz w:val="18"/>
          <w:szCs w:val="18"/>
          <w:u w:val="single" w:color="auto"/>
          <w:color w:val="auto"/>
        </w:rPr>
        <w:t>Section 8(f)</w:t>
      </w:r>
      <w:r>
        <w:rPr>
          <w:rFonts w:ascii="Times New Roman" w:cs="Times New Roman" w:eastAsia="Times New Roman" w:hAnsi="Times New Roman"/>
          <w:sz w:val="18"/>
          <w:szCs w:val="18"/>
          <w:color w:val="auto"/>
        </w:rPr>
        <w:t xml:space="preserve">. The right of conversion may be exercised as to all or any portion of such Holder’s Series B-1 Preferred Stock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each case, no right of conversion may be exercised by a Holder in respect of fewer than 10,000 shares of Series B-1 Preferred Stock (unless such conversion relates to all shares of Series B-1 Preferred Stock held by such Holder).</w:t>
      </w:r>
    </w:p>
    <w:p>
      <w:pPr>
        <w:spacing w:after="0" w:line="79" w:lineRule="exact"/>
        <w:rPr>
          <w:rFonts w:ascii="Times New Roman" w:cs="Times New Roman" w:eastAsia="Times New Roman" w:hAnsi="Times New Roman"/>
          <w:sz w:val="18"/>
          <w:szCs w:val="18"/>
          <w:color w:val="auto"/>
        </w:rPr>
      </w:pPr>
    </w:p>
    <w:p>
      <w:pPr>
        <w:ind w:right="20" w:firstLine="419"/>
        <w:spacing w:after="0" w:line="258" w:lineRule="auto"/>
        <w:tabs>
          <w:tab w:leader="none" w:pos="6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at all times reserve and keep available out of its authorized and unissued Common Stock, solely for issuance on the conversion of the Series B-1 Preferred Stock, such number of shares of Common Stock as shall from time to time be issuable on the conversion to Common Stock of all the shares of Series B-1 Preferred Stock then outstanding. The Company shall use its reasonable best efforts to maintain the listing on the NASDAQ of such number of shares of Common Stock as shall from time to time be issuable on the conversion of all the shares of Series B-1 Preferred</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40"/>
          </w:cols>
          <w:pgMar w:left="880" w:top="270" w:right="479" w:bottom="1440" w:gutter="0" w:footer="0" w:header="0"/>
        </w:sectPr>
      </w:pPr>
    </w:p>
    <w:bookmarkStart w:id="22" w:name="page23"/>
    <w:bookmarkEnd w:id="22"/>
    <w:p>
      <w:pPr>
        <w:ind w:left="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then outstanding. Any shares of Common Stock issued on conversion of Series B-1 Preferred Stock shall be duly authorized, validly issued, fully paid and nonassessable and shall not be subject to preemptive rights or subscription rights of any other stockholder of the Company.</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Mandatory Conversion by the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00" w:firstLine="419"/>
        <w:spacing w:after="0" w:line="268" w:lineRule="auto"/>
        <w:tabs>
          <w:tab w:leader="none" w:pos="671"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after the five year anniversary of the Original Issuance Date, if the Last Reported Sale Price of the Common Stock was greater than the Mandatory Conversion Price for at least twenty consecutive Trading Days immediately preceding the date of the Notice of Mandatory Conversion, the Company may elect to convert (a “</w:t>
      </w:r>
      <w:r>
        <w:rPr>
          <w:rFonts w:ascii="Times New Roman" w:cs="Times New Roman" w:eastAsia="Times New Roman" w:hAnsi="Times New Roman"/>
          <w:sz w:val="17"/>
          <w:szCs w:val="17"/>
          <w:b w:val="1"/>
          <w:bCs w:val="1"/>
          <w:i w:val="1"/>
          <w:iCs w:val="1"/>
          <w:color w:val="auto"/>
        </w:rPr>
        <w:t>Mandatory Conversion</w:t>
      </w:r>
      <w:r>
        <w:rPr>
          <w:rFonts w:ascii="Times New Roman" w:cs="Times New Roman" w:eastAsia="Times New Roman" w:hAnsi="Times New Roman"/>
          <w:sz w:val="17"/>
          <w:szCs w:val="17"/>
          <w:color w:val="auto"/>
        </w:rPr>
        <w:t xml:space="preserve">”) all, but not less than all, of the outstanding shares of Series B Preferred Stock into shares of Common Stock (the date selected by the Company for any Mandatory Conversion pursuant to this </w:t>
      </w:r>
      <w:r>
        <w:rPr>
          <w:rFonts w:ascii="Times New Roman" w:cs="Times New Roman" w:eastAsia="Times New Roman" w:hAnsi="Times New Roman"/>
          <w:sz w:val="17"/>
          <w:szCs w:val="17"/>
          <w:u w:val="single" w:color="auto"/>
          <w:color w:val="auto"/>
        </w:rPr>
        <w:t>Section 7(a)</w:t>
      </w:r>
      <w:r>
        <w:rPr>
          <w:rFonts w:ascii="Times New Roman" w:cs="Times New Roman" w:eastAsia="Times New Roman" w:hAnsi="Times New Roman"/>
          <w:sz w:val="17"/>
          <w:szCs w:val="17"/>
          <w:color w:val="auto"/>
        </w:rPr>
        <w:t xml:space="preserve"> and in accordance with </w:t>
      </w:r>
      <w:r>
        <w:rPr>
          <w:rFonts w:ascii="Times New Roman" w:cs="Times New Roman" w:eastAsia="Times New Roman" w:hAnsi="Times New Roman"/>
          <w:sz w:val="17"/>
          <w:szCs w:val="17"/>
          <w:u w:val="single" w:color="auto"/>
          <w:color w:val="auto"/>
        </w:rPr>
        <w:t>Section 7(b)</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i w:val="1"/>
          <w:iCs w:val="1"/>
          <w:color w:val="auto"/>
        </w:rPr>
        <w:t>Mandatory Conversion Date</w:t>
      </w:r>
      <w:r>
        <w:rPr>
          <w:rFonts w:ascii="Times New Roman" w:cs="Times New Roman" w:eastAsia="Times New Roman" w:hAnsi="Times New Roman"/>
          <w:sz w:val="17"/>
          <w:szCs w:val="17"/>
          <w:color w:val="auto"/>
        </w:rPr>
        <w:t xml:space="preserve">”). In the case of a Mandatory Conversion, each share of Series B-1 Preferred Stock then outstanding shall be converted into (A) a whole number of shares of Common Stock at the Conversion Rate </w:t>
      </w:r>
      <w:r>
        <w:rPr>
          <w:rFonts w:ascii="Times New Roman" w:cs="Times New Roman" w:eastAsia="Times New Roman" w:hAnsi="Times New Roman"/>
          <w:sz w:val="17"/>
          <w:szCs w:val="17"/>
          <w:i w:val="1"/>
          <w:iCs w:val="1"/>
          <w:color w:val="auto"/>
        </w:rPr>
        <w:t>plus</w:t>
      </w:r>
    </w:p>
    <w:p>
      <w:pPr>
        <w:spacing w:after="0" w:line="4" w:lineRule="exact"/>
        <w:rPr>
          <w:rFonts w:ascii="Times New Roman" w:cs="Times New Roman" w:eastAsia="Times New Roman" w:hAnsi="Times New Roman"/>
          <w:sz w:val="17"/>
          <w:szCs w:val="17"/>
          <w:color w:val="auto"/>
        </w:rPr>
      </w:pPr>
    </w:p>
    <w:p>
      <w:pPr>
        <w:ind w:left="284" w:hanging="284"/>
        <w:spacing w:after="0"/>
        <w:tabs>
          <w:tab w:leader="none" w:pos="28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in lieu of fractional shares or as otherwise set forth in </w:t>
      </w:r>
      <w:r>
        <w:rPr>
          <w:rFonts w:ascii="Times New Roman" w:cs="Times New Roman" w:eastAsia="Times New Roman" w:hAnsi="Times New Roman"/>
          <w:sz w:val="18"/>
          <w:szCs w:val="18"/>
          <w:u w:val="single" w:color="auto"/>
          <w:color w:val="auto"/>
        </w:rPr>
        <w:t>Section 8(f)</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ind w:left="4" w:firstLine="419"/>
        <w:spacing w:after="0" w:line="274" w:lineRule="auto"/>
        <w:tabs>
          <w:tab w:leader="none" w:pos="681"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Mandatory Conversion</w:t>
      </w:r>
      <w:r>
        <w:rPr>
          <w:rFonts w:ascii="Times New Roman" w:cs="Times New Roman" w:eastAsia="Times New Roman" w:hAnsi="Times New Roman"/>
          <w:sz w:val="17"/>
          <w:szCs w:val="17"/>
          <w:color w:val="auto"/>
        </w:rPr>
        <w:t xml:space="preserve">. If the Company elects to effect a Mandatory Conversion, the Company shall, within five Business Days following the completion of the applicable period of 20 Trading Days referred to in </w:t>
      </w:r>
      <w:r>
        <w:rPr>
          <w:rFonts w:ascii="Times New Roman" w:cs="Times New Roman" w:eastAsia="Times New Roman" w:hAnsi="Times New Roman"/>
          <w:sz w:val="17"/>
          <w:szCs w:val="17"/>
          <w:u w:val="single" w:color="auto"/>
          <w:color w:val="auto"/>
        </w:rPr>
        <w:t>Section 7(a)</w:t>
      </w:r>
      <w:r>
        <w:rPr>
          <w:rFonts w:ascii="Times New Roman" w:cs="Times New Roman" w:eastAsia="Times New Roman" w:hAnsi="Times New Roman"/>
          <w:sz w:val="17"/>
          <w:szCs w:val="17"/>
          <w:color w:val="auto"/>
        </w:rPr>
        <w:t>, provide notice of such Mandatory Conversion to each Holder (such notice, a “</w:t>
      </w:r>
      <w:r>
        <w:rPr>
          <w:rFonts w:ascii="Times New Roman" w:cs="Times New Roman" w:eastAsia="Times New Roman" w:hAnsi="Times New Roman"/>
          <w:sz w:val="17"/>
          <w:szCs w:val="17"/>
          <w:b w:val="1"/>
          <w:bCs w:val="1"/>
          <w:i w:val="1"/>
          <w:iCs w:val="1"/>
          <w:color w:val="auto"/>
        </w:rPr>
        <w:t>Notice of Mandatory Conversion</w:t>
      </w:r>
      <w:r>
        <w:rPr>
          <w:rFonts w:ascii="Times New Roman" w:cs="Times New Roman" w:eastAsia="Times New Roman" w:hAnsi="Times New Roman"/>
          <w:sz w:val="17"/>
          <w:szCs w:val="17"/>
          <w:color w:val="auto"/>
        </w:rPr>
        <w:t>”). For the avoidance of doubt, a Notice of Mandatory Conversion shall not limit a Holder’s right to convert its shares of Series B-1 Preferred Stock on any Conversion Date prior to the Mandatory Conversion Date. The Mandatory Conversion Date selected by the Company shall be no less than ten Business Days and no more than 20 Business Days after the date on which the Company provides the Notice of Mandatory Conversion to the Holders. The Notice of Mandatory Conversion shall specify:</w:t>
      </w:r>
    </w:p>
    <w:p>
      <w:pPr>
        <w:spacing w:after="0" w:line="64" w:lineRule="exact"/>
        <w:rPr>
          <w:rFonts w:ascii="Times New Roman" w:cs="Times New Roman" w:eastAsia="Times New Roman" w:hAnsi="Times New Roman"/>
          <w:sz w:val="17"/>
          <w:szCs w:val="17"/>
          <w:color w:val="auto"/>
        </w:rPr>
      </w:pPr>
    </w:p>
    <w:p>
      <w:pPr>
        <w:ind w:left="1164" w:hanging="212"/>
        <w:spacing w:after="0"/>
        <w:tabs>
          <w:tab w:leader="none" w:pos="1164"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Mandatory Conversion Date selected by the Company;</w:t>
      </w:r>
    </w:p>
    <w:p>
      <w:pPr>
        <w:spacing w:after="0" w:line="117" w:lineRule="exact"/>
        <w:rPr>
          <w:rFonts w:ascii="Times New Roman" w:cs="Times New Roman" w:eastAsia="Times New Roman" w:hAnsi="Times New Roman"/>
          <w:sz w:val="18"/>
          <w:szCs w:val="18"/>
          <w:color w:val="auto"/>
        </w:rPr>
      </w:pPr>
    </w:p>
    <w:p>
      <w:pPr>
        <w:ind w:left="1224" w:hanging="272"/>
        <w:spacing w:after="0"/>
        <w:tabs>
          <w:tab w:leader="none" w:pos="1224"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procedures a Holder must follow for issuance of the shares of Common Stock pursuant to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544" w:right="380" w:firstLine="408"/>
        <w:spacing w:after="0" w:line="282" w:lineRule="auto"/>
        <w:tabs>
          <w:tab w:leader="none" w:pos="1259"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Rate as anticipated to be in effect on the Mandatory Conversion Date and the number of shares of Common Stock to be issued to the Holder on conversion of each share of Series B-1 Preferred Stock held by such Holder.</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Conversion Procedures and Effect of Conversion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 w:right="100" w:firstLine="419"/>
        <w:spacing w:after="0" w:line="266" w:lineRule="auto"/>
        <w:tabs>
          <w:tab w:leader="none" w:pos="6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Procedure</w:t>
      </w:r>
      <w:r>
        <w:rPr>
          <w:rFonts w:ascii="Times New Roman" w:cs="Times New Roman" w:eastAsia="Times New Roman" w:hAnsi="Times New Roman"/>
          <w:sz w:val="18"/>
          <w:szCs w:val="18"/>
          <w:color w:val="auto"/>
        </w:rPr>
        <w:t xml:space="preserve">. A Holder must do each of the following in order to convert shares of Series B-1 Preferred Stock pursuant to this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(the first Business Day on which such Holder has complied with all such procedures (including the satisfaction of any conditions to conversion set forth in the Conversion Notice), the “</w:t>
      </w:r>
      <w:r>
        <w:rPr>
          <w:rFonts w:ascii="Times New Roman" w:cs="Times New Roman" w:eastAsia="Times New Roman" w:hAnsi="Times New Roman"/>
          <w:sz w:val="18"/>
          <w:szCs w:val="18"/>
          <w:b w:val="1"/>
          <w:bCs w:val="1"/>
          <w:i w:val="1"/>
          <w:iCs w:val="1"/>
          <w:color w:val="auto"/>
        </w:rPr>
        <w:t>Conversion Date</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24"/>
          </w:cols>
          <w:pgMar w:left="876" w:top="270" w:right="499" w:bottom="1440" w:gutter="0" w:footer="0" w:header="0"/>
        </w:sectPr>
      </w:pPr>
    </w:p>
    <w:bookmarkStart w:id="23" w:name="page24"/>
    <w:bookmarkEnd w:id="23"/>
    <w:p>
      <w:pPr>
        <w:ind w:left="980" w:firstLine="408"/>
        <w:spacing w:after="0" w:line="261" w:lineRule="auto"/>
        <w:tabs>
          <w:tab w:leader="none" w:pos="15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case of a conversion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complete and manually sign the conversion notice provided by the Conversion Agent, a form of which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together with such additional information as the Conversion Agent may reasonably require (the “</w:t>
      </w:r>
      <w:r>
        <w:rPr>
          <w:rFonts w:ascii="Times New Roman" w:cs="Times New Roman" w:eastAsia="Times New Roman" w:hAnsi="Times New Roman"/>
          <w:sz w:val="18"/>
          <w:szCs w:val="18"/>
          <w:b w:val="1"/>
          <w:bCs w:val="1"/>
          <w:i w:val="1"/>
          <w:iCs w:val="1"/>
          <w:color w:val="auto"/>
        </w:rPr>
        <w:t>Conversion Notice</w:t>
      </w:r>
      <w:r>
        <w:rPr>
          <w:rFonts w:ascii="Times New Roman" w:cs="Times New Roman" w:eastAsia="Times New Roman" w:hAnsi="Times New Roman"/>
          <w:sz w:val="18"/>
          <w:szCs w:val="18"/>
          <w:color w:val="auto"/>
        </w:rPr>
        <w:t xml:space="preserve">”), and deliver such notice to the Conversion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Conversion Notice may be conditional on the completion of a Change of Control or other condition, transaction or event as such Holder may specify;</w:t>
      </w:r>
    </w:p>
    <w:p>
      <w:pPr>
        <w:spacing w:after="0" w:line="71" w:lineRule="exact"/>
        <w:rPr>
          <w:rFonts w:ascii="Times New Roman" w:cs="Times New Roman" w:eastAsia="Times New Roman" w:hAnsi="Times New Roman"/>
          <w:sz w:val="18"/>
          <w:szCs w:val="18"/>
          <w:color w:val="auto"/>
        </w:rPr>
      </w:pPr>
    </w:p>
    <w:p>
      <w:pPr>
        <w:ind w:left="980" w:right="140" w:firstLine="408"/>
        <w:spacing w:after="0" w:line="282" w:lineRule="auto"/>
        <w:tabs>
          <w:tab w:leader="none" w:pos="16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Conversion Agent the certificate or certificates (if any) representing the shares of Series B-1 Preferred Stock to be converted;</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furnish appropriate endorsements and transfer documents; and</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pay the amount of any Third Party Transfer Taxes.</w:t>
      </w:r>
    </w:p>
    <w:p>
      <w:pPr>
        <w:spacing w:after="0" w:line="225"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the forgoing, with respect to a Mandatory Conversion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the Conversion Date shall mean the Mandatory Conversion Date, regardless of whether the foregoing has occurred or been complied with.</w:t>
      </w:r>
    </w:p>
    <w:p>
      <w:pPr>
        <w:spacing w:after="0" w:line="54" w:lineRule="exact"/>
        <w:rPr>
          <w:sz w:val="20"/>
          <w:szCs w:val="20"/>
          <w:color w:val="auto"/>
        </w:rPr>
      </w:pPr>
    </w:p>
    <w:p>
      <w:pPr>
        <w:jc w:val="both"/>
        <w:ind w:left="440" w:right="60" w:firstLine="419"/>
        <w:spacing w:after="0" w:line="266" w:lineRule="auto"/>
        <w:tabs>
          <w:tab w:leader="none" w:pos="11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Conversion</w:t>
      </w:r>
      <w:r>
        <w:rPr>
          <w:rFonts w:ascii="Times New Roman" w:cs="Times New Roman" w:eastAsia="Times New Roman" w:hAnsi="Times New Roman"/>
          <w:sz w:val="18"/>
          <w:szCs w:val="18"/>
          <w:color w:val="auto"/>
        </w:rPr>
        <w:t>. Effective immediately prior to the close of business on the Conversion Date applicable to any shares of Series B-1 Preferred Stock, such shares of Series B-1 Preferred Stock shall cease to be outstanding and the corresponding shares of Common Stock pursuant to the conversion shall be issued and outstanding.</w:t>
      </w:r>
    </w:p>
    <w:p>
      <w:pPr>
        <w:spacing w:after="0" w:line="67" w:lineRule="exact"/>
        <w:rPr>
          <w:rFonts w:ascii="Times New Roman" w:cs="Times New Roman" w:eastAsia="Times New Roman" w:hAnsi="Times New Roman"/>
          <w:sz w:val="18"/>
          <w:szCs w:val="18"/>
          <w:color w:val="auto"/>
        </w:rPr>
      </w:pPr>
    </w:p>
    <w:p>
      <w:pPr>
        <w:ind w:left="440" w:right="20" w:firstLine="419"/>
        <w:spacing w:after="0" w:line="253" w:lineRule="auto"/>
        <w:tabs>
          <w:tab w:leader="none" w:pos="110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Holder of Underlying Securities as of Conversion Date</w:t>
      </w:r>
      <w:r>
        <w:rPr>
          <w:rFonts w:ascii="Times New Roman" w:cs="Times New Roman" w:eastAsia="Times New Roman" w:hAnsi="Times New Roman"/>
          <w:sz w:val="18"/>
          <w:szCs w:val="18"/>
          <w:color w:val="auto"/>
        </w:rPr>
        <w:t xml:space="preserve">. The Person or Persons entitled to receive the Common Stock and, to the extent applicable, cash, securities or other property issuable on conversion of Series B-1 Preferred Stock on a Conversion Date shall be treated for all purposes as the record holder(s) of such shares of Common Stock and/or cash, securities or other property as of the close of business on such Conversion Date. As promptly as practicable on or after the Conversion Date and, if applicable, compliance by the applicable Holder with the relevant procedures contained in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(and in any event no later than three Trading Days thereafter;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written notice from the Holder in accordance with </w:t>
      </w:r>
      <w:r>
        <w:rPr>
          <w:rFonts w:ascii="Times New Roman" w:cs="Times New Roman" w:eastAsia="Times New Roman" w:hAnsi="Times New Roman"/>
          <w:sz w:val="18"/>
          <w:szCs w:val="18"/>
          <w:u w:val="single" w:color="auto"/>
          <w:color w:val="auto"/>
        </w:rPr>
        <w:t>Section 8(a)(i)</w:t>
      </w:r>
      <w:r>
        <w:rPr>
          <w:rFonts w:ascii="Times New Roman" w:cs="Times New Roman" w:eastAsia="Times New Roman" w:hAnsi="Times New Roman"/>
          <w:sz w:val="18"/>
          <w:szCs w:val="18"/>
          <w:color w:val="auto"/>
        </w:rPr>
        <w:t xml:space="preserve"> specifies a date of delivery for any shares of Common Stock, such shares shall be delivered on the date so specified, which shall be no earlier than the second Business Day and no later than the seventh Business Day following the date of such notice), the Company shall issue the number of whole shares of Common Stock issuable on conversion (and deliver payment of cash in lieu of fractional shares or as otherwise set out in </w:t>
      </w:r>
      <w:r>
        <w:rPr>
          <w:rFonts w:ascii="Times New Roman" w:cs="Times New Roman" w:eastAsia="Times New Roman" w:hAnsi="Times New Roman"/>
          <w:sz w:val="18"/>
          <w:szCs w:val="18"/>
          <w:u w:val="single" w:color="auto"/>
          <w:color w:val="auto"/>
        </w:rPr>
        <w:t>Section 8(f)</w:t>
      </w:r>
      <w:r>
        <w:rPr>
          <w:rFonts w:ascii="Times New Roman" w:cs="Times New Roman" w:eastAsia="Times New Roman" w:hAnsi="Times New Roman"/>
          <w:sz w:val="18"/>
          <w:szCs w:val="18"/>
          <w:color w:val="auto"/>
        </w:rPr>
        <w:t>) and, to the extent applicable, any cash, securities or other property issuable thereon. Such delivery of shares of Common Stock, securities or other property shall be made by book-entry or, at the request of the Holder, by delivering a notice to the Conversion Agent, through the facilities of The Depositary Trust Company or in certificated form. Any such certificate or certificates shall be delivered by the Company to the appropriate Holder on a book-</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4" w:name="page25"/>
    <w:bookmarkEnd w:id="24"/>
    <w:p>
      <w:pPr>
        <w:ind w:left="4"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entry basis, through the facilities of The Depositary Trust Company, or by mailing certificates evidencing the shares to the Holders, in each case at their respective addresses as set forth in the Conversion Notice (in the case of a conversion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or as set forth in the records of the Company or in a notice from the Holder to the Conversion Agent, as applicable (in the case of Mandatory Conversion). In the event that a Holder shall not by written notice designate the name in which shares of Common Stock (and payments of cash in lieu of fractional shares) and, to the extent applicable, cash, securities or other property to be delivered on conversion of shares of Series B-1 Preferred Stock should be registered or paid, or the manner in which such shares, cash, securities or other property should be delivered, the Company shall be entitled to register and deliver such shares, securities or other property, and make such payment, in the name of the Holder and in the manner shown on the records of the Company.</w:t>
      </w:r>
    </w:p>
    <w:p>
      <w:pPr>
        <w:spacing w:after="0" w:line="84" w:lineRule="exact"/>
        <w:rPr>
          <w:sz w:val="20"/>
          <w:szCs w:val="20"/>
          <w:color w:val="auto"/>
        </w:rPr>
      </w:pPr>
    </w:p>
    <w:p>
      <w:pPr>
        <w:ind w:left="4" w:firstLine="419"/>
        <w:spacing w:after="0" w:line="258" w:lineRule="auto"/>
        <w:tabs>
          <w:tab w:leader="none" w:pos="68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Converted or Reacquired Shares</w:t>
      </w:r>
      <w:r>
        <w:rPr>
          <w:rFonts w:ascii="Times New Roman" w:cs="Times New Roman" w:eastAsia="Times New Roman" w:hAnsi="Times New Roman"/>
          <w:sz w:val="18"/>
          <w:szCs w:val="18"/>
          <w:color w:val="auto"/>
        </w:rPr>
        <w:t>. Shares of Series B-1 Preferred Stock converted in accordance with this Certificate of Designations, or otherwise acquired by the Company or any of its Subsidiaries in any manner whatsoever, shall not be reissued as shares of Series B-1 Preferred Stock and shall be retired promptly after the conversion or acquisition thereof. All such shares shall, on their retirement and any filing required by the DGCL, become authorized but unissued shares of Preferred Stock, without designation as to series until such shares are once more designated as part of a particular series by the Board pursuant to the provisions of the Certificate of Incorporation.</w:t>
      </w:r>
    </w:p>
    <w:p>
      <w:pPr>
        <w:spacing w:after="0" w:line="75" w:lineRule="exact"/>
        <w:rPr>
          <w:rFonts w:ascii="Times New Roman" w:cs="Times New Roman" w:eastAsia="Times New Roman" w:hAnsi="Times New Roman"/>
          <w:sz w:val="18"/>
          <w:szCs w:val="18"/>
          <w:color w:val="auto"/>
        </w:rPr>
      </w:pPr>
    </w:p>
    <w:p>
      <w:pPr>
        <w:ind w:left="4" w:firstLine="419"/>
        <w:spacing w:after="0" w:line="266" w:lineRule="auto"/>
        <w:tabs>
          <w:tab w:leader="none" w:pos="6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Conversion</w:t>
      </w:r>
      <w:r>
        <w:rPr>
          <w:rFonts w:ascii="Times New Roman" w:cs="Times New Roman" w:eastAsia="Times New Roman" w:hAnsi="Times New Roman"/>
          <w:sz w:val="18"/>
          <w:szCs w:val="18"/>
          <w:color w:val="auto"/>
        </w:rPr>
        <w:t>. In case any certificate for shares of Series B-1 Preferred Stock shall be surrendered for partial conversion, the Company shall, at its expense, execute and deliver to or on the written order of the Holder of the certificate so surrendered a new certificate for the shares of Series B-1 Preferred Stock not converted.</w:t>
      </w:r>
    </w:p>
    <w:p>
      <w:pPr>
        <w:spacing w:after="0" w:line="67" w:lineRule="exact"/>
        <w:rPr>
          <w:rFonts w:ascii="Times New Roman" w:cs="Times New Roman" w:eastAsia="Times New Roman" w:hAnsi="Times New Roman"/>
          <w:sz w:val="18"/>
          <w:szCs w:val="18"/>
          <w:color w:val="auto"/>
        </w:rPr>
      </w:pPr>
    </w:p>
    <w:p>
      <w:pPr>
        <w:ind w:left="4" w:right="260" w:firstLine="419"/>
        <w:spacing w:after="0" w:line="276" w:lineRule="auto"/>
        <w:tabs>
          <w:tab w:leader="none" w:pos="651"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Fractional Shares</w:t>
      </w:r>
      <w:r>
        <w:rPr>
          <w:rFonts w:ascii="Times New Roman" w:cs="Times New Roman" w:eastAsia="Times New Roman" w:hAnsi="Times New Roman"/>
          <w:sz w:val="17"/>
          <w:szCs w:val="17"/>
          <w:color w:val="auto"/>
        </w:rPr>
        <w:t>. No fractional shares of Common Stock shall be delivered to the Holders on conversion of shares of Series B-1 Preferred Stock. In lieu of fractional shares otherwise issuable, each Holder shall be entitled to receive, at the Company’s sole discretion, either</w:t>
      </w:r>
    </w:p>
    <w:p>
      <w:pPr>
        <w:ind w:left="4" w:hanging="4"/>
        <w:spacing w:after="0" w:line="252" w:lineRule="auto"/>
        <w:tabs>
          <w:tab w:leader="none" w:pos="2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lieu of delivering any fractional share of Common Stock issuable on conversion based on the VWAP of the Common Stock for the relevant Conversion Date (or, if such Conversion Date is not a Trading Day, the next following Trading Day) or (ii) one additional whole share of fully paid and nonassessable Common Stock. In order to determine whether the number of shares of Common Stock to be delivered to a Holder on the conversion of such Holder’s shares of Series B-1 Preferred Stock would include a fractional share, such determination shall be based on the aggregate number of shares of Series B-1 Preferred Stock of such Holder that are being converted and/or issued on any single Conversion Date or Change of Control Purchase Date.</w:t>
      </w:r>
    </w:p>
    <w:p>
      <w:pPr>
        <w:spacing w:after="0" w:line="12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4"/>
          </w:cols>
          <w:pgMar w:left="876" w:top="270"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2" w:lineRule="auto"/>
        <w:tabs>
          <w:tab w:leader="none" w:pos="66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 Put</w:t>
      </w:r>
      <w:r>
        <w:rPr>
          <w:rFonts w:ascii="Times New Roman" w:cs="Times New Roman" w:eastAsia="Times New Roman" w:hAnsi="Times New Roman"/>
          <w:sz w:val="18"/>
          <w:szCs w:val="18"/>
          <w:color w:val="auto"/>
        </w:rPr>
        <w:t xml:space="preserve">. In the event of a Change of Control, each Holder of outstanding shares of Series B-1 Preferred Stock may, at such Holder’s election, (i) effective as of immediately prior to the Change of Control Effective Date, convert all or a portion of its shares of Series B-1 Preferred Stock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or (ii) require the Company to purchase all of such Holder’s shares of Series B-1 Preferred Stock that have not been so converted at a purchase price per share of Series B-1 Preferred Stock (a “</w:t>
      </w:r>
      <w:r>
        <w:rPr>
          <w:rFonts w:ascii="Times New Roman" w:cs="Times New Roman" w:eastAsia="Times New Roman" w:hAnsi="Times New Roman"/>
          <w:sz w:val="18"/>
          <w:szCs w:val="18"/>
          <w:b w:val="1"/>
          <w:bCs w:val="1"/>
          <w:i w:val="1"/>
          <w:iCs w:val="1"/>
          <w:color w:val="auto"/>
        </w:rPr>
        <w:t>Change of Control Put</w:t>
      </w:r>
      <w:r>
        <w:rPr>
          <w:rFonts w:ascii="Times New Roman" w:cs="Times New Roman" w:eastAsia="Times New Roman" w:hAnsi="Times New Roman"/>
          <w:sz w:val="18"/>
          <w:szCs w:val="18"/>
          <w:color w:val="auto"/>
        </w:rPr>
        <w:t>”) for an amount in cash (in the case of clause (A)) or the applicable consideration (in the case of clause (B)) for each such share of Series B-1 Preferred Stock (the “</w:t>
      </w:r>
      <w:r>
        <w:rPr>
          <w:rFonts w:ascii="Times New Roman" w:cs="Times New Roman" w:eastAsia="Times New Roman" w:hAnsi="Times New Roman"/>
          <w:sz w:val="18"/>
          <w:szCs w:val="18"/>
          <w:b w:val="1"/>
          <w:bCs w:val="1"/>
          <w:i w:val="1"/>
          <w:iCs w:val="1"/>
          <w:color w:val="auto"/>
        </w:rPr>
        <w:t>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Control Put Price</w:t>
      </w:r>
      <w:r>
        <w:rPr>
          <w:rFonts w:ascii="Times New Roman" w:cs="Times New Roman" w:eastAsia="Times New Roman" w:hAnsi="Times New Roman"/>
          <w:sz w:val="18"/>
          <w:szCs w:val="18"/>
          <w:color w:val="auto"/>
        </w:rPr>
        <w:t>”) equal to, at the Holder’s election (or if the Holder does not so elect, the greater of, as determined by the Board acting in good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faith) (A) the Liquidation Preference of such share of Series B-1 Preferred Stock or (B) the amount of cash and/or other assets such Holder would have received in the transaction constituting a Change of Control had such Holder, immediately prior to such Change of Control, converted such share of Series B-1 Preferred Stock into Common Stock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but without regard to any of the limitations on convertibility contained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kind or amount of securities, cash and other property receivable in such transaction is not the same for each share of Common Stock held immediately prior to such transaction by a Person, then the kind and amount of securities, cash and other property receivable on Change of Control Put following such transaction shall be deemed to be the weighted average of the types and amounts of consideration received by all holders of Common Stock). The Company shall not take any action that would be reasonably expected to impair the Company’s ability to pay the Change of Control Put Price when due, including by investing available funds in illiquid assets. For clarity, but subject to </w:t>
      </w:r>
      <w:r>
        <w:rPr>
          <w:rFonts w:ascii="Times New Roman" w:cs="Times New Roman" w:eastAsia="Times New Roman" w:hAnsi="Times New Roman"/>
          <w:sz w:val="18"/>
          <w:szCs w:val="18"/>
          <w:u w:val="single" w:color="auto"/>
          <w:color w:val="auto"/>
        </w:rPr>
        <w:t>Section 9(e)</w:t>
      </w:r>
      <w:r>
        <w:rPr>
          <w:rFonts w:ascii="Times New Roman" w:cs="Times New Roman" w:eastAsia="Times New Roman" w:hAnsi="Times New Roman"/>
          <w:sz w:val="18"/>
          <w:szCs w:val="18"/>
          <w:color w:val="auto"/>
        </w:rPr>
        <w:t>, any shares of Series B-1 Preferred Stock that a Holder does not convert as set forth in clause (i) above or subject to the Change of Control Put as set forth in clause (ii) above shall remain outstanding as provided herein.</w:t>
      </w:r>
    </w:p>
    <w:p>
      <w:pPr>
        <w:spacing w:after="0" w:line="86" w:lineRule="exact"/>
        <w:rPr>
          <w:rFonts w:ascii="Times New Roman" w:cs="Times New Roman" w:eastAsia="Times New Roman" w:hAnsi="Times New Roman"/>
          <w:sz w:val="18"/>
          <w:szCs w:val="18"/>
          <w:color w:val="auto"/>
        </w:rPr>
      </w:pPr>
    </w:p>
    <w:p>
      <w:pPr>
        <w:ind w:right="20" w:firstLine="419"/>
        <w:spacing w:after="0" w:line="253" w:lineRule="auto"/>
        <w:tabs>
          <w:tab w:leader="none" w:pos="67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Change of Control Notice</w:t>
      </w:r>
      <w:r>
        <w:rPr>
          <w:rFonts w:ascii="Times New Roman" w:cs="Times New Roman" w:eastAsia="Times New Roman" w:hAnsi="Times New Roman"/>
          <w:sz w:val="18"/>
          <w:szCs w:val="18"/>
          <w:color w:val="auto"/>
        </w:rPr>
        <w:t>. On or before the 20th Business Day prior to the date on which the Company anticipates consummating a Change of Control (or, if later, promptly after the Company discovers that a Change of Control may occur), a written notice (the “</w:t>
      </w:r>
      <w:r>
        <w:rPr>
          <w:rFonts w:ascii="Times New Roman" w:cs="Times New Roman" w:eastAsia="Times New Roman" w:hAnsi="Times New Roman"/>
          <w:sz w:val="18"/>
          <w:szCs w:val="18"/>
          <w:b w:val="1"/>
          <w:bCs w:val="1"/>
          <w:i w:val="1"/>
          <w:iCs w:val="1"/>
          <w:color w:val="auto"/>
        </w:rPr>
        <w:t>Initial 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 Control Notice</w:t>
      </w:r>
      <w:r>
        <w:rPr>
          <w:rFonts w:ascii="Times New Roman" w:cs="Times New Roman" w:eastAsia="Times New Roman" w:hAnsi="Times New Roman"/>
          <w:sz w:val="18"/>
          <w:szCs w:val="18"/>
          <w:color w:val="auto"/>
        </w:rPr>
        <w:t>”) shall be sent by or on behalf of the Company to the Holders as they appear in the records of the Company, which notice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contain (i) the date on which the Change of Control is anticipated to be effected (or, if applicable, the date on which a Schedule TO or other schedule, form or report disclosing a Change of Control was filed), (ii) a description of the material terms and conditions of the Change of Control and (iii) the then-applicable Conversion Rate. No later than the later of (x) ten Business Days prior to the Change of Control Effective Date as set forth in the Initial Change of Control Notice and (y) the 20th Business Day following receipt of the applicable Initial Change of Control Notice, any Holder that desires to exercise its rights pursuant to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shall notify the Company in writing thereof (a “</w:t>
      </w:r>
      <w:r>
        <w:rPr>
          <w:rFonts w:ascii="Times New Roman" w:cs="Times New Roman" w:eastAsia="Times New Roman" w:hAnsi="Times New Roman"/>
          <w:sz w:val="18"/>
          <w:szCs w:val="18"/>
          <w:b w:val="1"/>
          <w:bCs w:val="1"/>
          <w:i w:val="1"/>
          <w:iCs w:val="1"/>
          <w:color w:val="auto"/>
        </w:rPr>
        <w:t>Change of Control Election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and shall specify (A) whether such Holder is electing to exercise its rights pursuant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9(a)(i)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9(a)(ii)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both, and (B)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of shares of Series B-1 Preferred Stock subject thereto.</w:t>
      </w:r>
    </w:p>
    <w:p>
      <w:pPr>
        <w:spacing w:after="0" w:line="82" w:lineRule="exact"/>
        <w:rPr>
          <w:rFonts w:ascii="Times New Roman" w:cs="Times New Roman" w:eastAsia="Times New Roman" w:hAnsi="Times New Roman"/>
          <w:sz w:val="18"/>
          <w:szCs w:val="18"/>
          <w:color w:val="auto"/>
        </w:rPr>
      </w:pPr>
    </w:p>
    <w:p>
      <w:pPr>
        <w:jc w:val="both"/>
        <w:ind w:right="140" w:firstLine="419"/>
        <w:spacing w:after="0" w:line="268" w:lineRule="auto"/>
        <w:tabs>
          <w:tab w:leader="none" w:pos="66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Final Change of Control Notice</w:t>
      </w:r>
      <w:r>
        <w:rPr>
          <w:rFonts w:ascii="Times New Roman" w:cs="Times New Roman" w:eastAsia="Times New Roman" w:hAnsi="Times New Roman"/>
          <w:sz w:val="18"/>
          <w:szCs w:val="18"/>
          <w:color w:val="auto"/>
        </w:rPr>
        <w:t>. Within ten days prior to the effective date of the Change of Control (the “</w:t>
      </w:r>
      <w:r>
        <w:rPr>
          <w:rFonts w:ascii="Times New Roman" w:cs="Times New Roman" w:eastAsia="Times New Roman" w:hAnsi="Times New Roman"/>
          <w:sz w:val="18"/>
          <w:szCs w:val="18"/>
          <w:b w:val="1"/>
          <w:bCs w:val="1"/>
          <w:i w:val="1"/>
          <w:iCs w:val="1"/>
          <w:color w:val="auto"/>
        </w:rPr>
        <w:t>Change of Control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a final written notice (the “</w:t>
      </w:r>
      <w:r>
        <w:rPr>
          <w:rFonts w:ascii="Times New Roman" w:cs="Times New Roman" w:eastAsia="Times New Roman" w:hAnsi="Times New Roman"/>
          <w:sz w:val="18"/>
          <w:szCs w:val="18"/>
          <w:b w:val="1"/>
          <w:bCs w:val="1"/>
          <w:i w:val="1"/>
          <w:iCs w:val="1"/>
          <w:color w:val="auto"/>
        </w:rPr>
        <w:t>Final Change of Control Notice</w:t>
      </w:r>
      <w:r>
        <w:rPr>
          <w:rFonts w:ascii="Times New Roman" w:cs="Times New Roman" w:eastAsia="Times New Roman" w:hAnsi="Times New Roman"/>
          <w:sz w:val="18"/>
          <w:szCs w:val="18"/>
          <w:color w:val="auto"/>
        </w:rPr>
        <w:t>”) shall be sent by or on behalf of the Company to the Holders as they appear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records of the Company on the Business Day immediately prior to the date such notice is sent, which notice shall contain:</w:t>
      </w:r>
    </w:p>
    <w:p>
      <w:pPr>
        <w:spacing w:after="0" w:line="10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80"/>
          </w:cols>
          <w:pgMar w:left="880" w:top="270" w:right="439" w:bottom="1440" w:gutter="0" w:footer="0" w:header="0"/>
        </w:sectPr>
      </w:pPr>
    </w:p>
    <w:bookmarkStart w:id="26" w:name="page27"/>
    <w:bookmarkEnd w:id="26"/>
    <w:p>
      <w:pPr>
        <w:ind w:left="1160" w:hanging="212"/>
        <w:spacing w:after="0"/>
        <w:tabs>
          <w:tab w:leader="none" w:pos="11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statement setting forth in reasonable detail the calculation of the Change of Control Put Price with respect to such Holder;</w:t>
      </w:r>
    </w:p>
    <w:p>
      <w:pPr>
        <w:spacing w:after="0" w:line="117" w:lineRule="exact"/>
        <w:rPr>
          <w:rFonts w:ascii="Times New Roman" w:cs="Times New Roman" w:eastAsia="Times New Roman" w:hAnsi="Times New Roman"/>
          <w:sz w:val="18"/>
          <w:szCs w:val="18"/>
          <w:color w:val="auto"/>
        </w:rPr>
      </w:pPr>
    </w:p>
    <w:p>
      <w:pPr>
        <w:ind w:left="540" w:right="260" w:firstLine="408"/>
        <w:spacing w:after="0" w:line="266" w:lineRule="auto"/>
        <w:tabs>
          <w:tab w:leader="none" w:pos="120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Change of Control Purchase Date, which shall be no later than ten Business Days after such notice is 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reasonable amount of time shall be provided between delivery of such notice and the Change of Control Purchase Date to allow such Holder to comply with the instructions delivered pursuant to </w:t>
      </w:r>
      <w:r>
        <w:rPr>
          <w:rFonts w:ascii="Times New Roman" w:cs="Times New Roman" w:eastAsia="Times New Roman" w:hAnsi="Times New Roman"/>
          <w:sz w:val="18"/>
          <w:szCs w:val="18"/>
          <w:u w:val="single" w:color="auto"/>
          <w:color w:val="auto"/>
        </w:rPr>
        <w:t>Section 9(c)(iii)</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instructions that a Holder must follow to receive the Change of Control Put Price in connection with such Change of Control.</w:t>
      </w:r>
    </w:p>
    <w:p>
      <w:pPr>
        <w:spacing w:after="0" w:line="128" w:lineRule="exact"/>
        <w:rPr>
          <w:rFonts w:ascii="Times New Roman" w:cs="Times New Roman" w:eastAsia="Times New Roman" w:hAnsi="Times New Roman"/>
          <w:sz w:val="17"/>
          <w:szCs w:val="17"/>
          <w:color w:val="auto"/>
        </w:rPr>
      </w:pPr>
    </w:p>
    <w:p>
      <w:pPr>
        <w:ind w:right="60" w:firstLine="419"/>
        <w:spacing w:after="0" w:line="266" w:lineRule="auto"/>
        <w:tabs>
          <w:tab w:leader="none" w:pos="6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 Put Procedure</w:t>
      </w:r>
      <w:r>
        <w:rPr>
          <w:rFonts w:ascii="Times New Roman" w:cs="Times New Roman" w:eastAsia="Times New Roman" w:hAnsi="Times New Roman"/>
          <w:sz w:val="18"/>
          <w:szCs w:val="18"/>
          <w:color w:val="auto"/>
        </w:rPr>
        <w:t xml:space="preserve">. To receive the Change of Control Put Price, a Holder must surrender to the Transfer Agent in accordance with the instructions delivered pursuant to </w:t>
      </w:r>
      <w:r>
        <w:rPr>
          <w:rFonts w:ascii="Times New Roman" w:cs="Times New Roman" w:eastAsia="Times New Roman" w:hAnsi="Times New Roman"/>
          <w:sz w:val="18"/>
          <w:szCs w:val="18"/>
          <w:u w:val="single" w:color="auto"/>
          <w:color w:val="auto"/>
        </w:rPr>
        <w:t>Section 9(c)(iii)</w:t>
      </w:r>
      <w:r>
        <w:rPr>
          <w:rFonts w:ascii="Times New Roman" w:cs="Times New Roman" w:eastAsia="Times New Roman" w:hAnsi="Times New Roman"/>
          <w:sz w:val="18"/>
          <w:szCs w:val="18"/>
          <w:color w:val="auto"/>
        </w:rPr>
        <w:t>, the certificates representing the shares of Series B-1 Preferred Stock to be repurchased by the Company or lost stock affidavits therefor, to the extent applicable.</w:t>
      </w:r>
    </w:p>
    <w:p>
      <w:pPr>
        <w:spacing w:after="0" w:line="67" w:lineRule="exact"/>
        <w:rPr>
          <w:rFonts w:ascii="Times New Roman" w:cs="Times New Roman" w:eastAsia="Times New Roman" w:hAnsi="Times New Roman"/>
          <w:sz w:val="18"/>
          <w:szCs w:val="18"/>
          <w:color w:val="auto"/>
        </w:rPr>
      </w:pPr>
    </w:p>
    <w:p>
      <w:pPr>
        <w:ind w:firstLine="419"/>
        <w:spacing w:after="0" w:line="268" w:lineRule="auto"/>
        <w:tabs>
          <w:tab w:leader="none" w:pos="667"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of Control Call</w:t>
      </w:r>
      <w:r>
        <w:rPr>
          <w:rFonts w:ascii="Times New Roman" w:cs="Times New Roman" w:eastAsia="Times New Roman" w:hAnsi="Times New Roman"/>
          <w:sz w:val="17"/>
          <w:szCs w:val="17"/>
          <w:color w:val="auto"/>
        </w:rPr>
        <w:t xml:space="preserve">. In the event of a Change of Control following which the Company merges with another person and is not the surviving corporation or the Common Stock is no longer listed on a U.S. national securities exchange, if a Holder has not delivered a Change of Control Election Notice in accordance with </w:t>
      </w:r>
      <w:r>
        <w:rPr>
          <w:rFonts w:ascii="Times New Roman" w:cs="Times New Roman" w:eastAsia="Times New Roman" w:hAnsi="Times New Roman"/>
          <w:sz w:val="17"/>
          <w:szCs w:val="17"/>
          <w:u w:val="single" w:color="auto"/>
          <w:color w:val="auto"/>
        </w:rPr>
        <w:t>Section 9(a)</w:t>
      </w:r>
      <w:r>
        <w:rPr>
          <w:rFonts w:ascii="Times New Roman" w:cs="Times New Roman" w:eastAsia="Times New Roman" w:hAnsi="Times New Roman"/>
          <w:sz w:val="17"/>
          <w:szCs w:val="17"/>
          <w:color w:val="auto"/>
        </w:rPr>
        <w:t xml:space="preserve"> within the time specified therein or has delivered a Change of Control Election Notice for less than all of its shares of Series B-1 Preferred Stock, the Company may elect to redeem (a “</w:t>
      </w:r>
      <w:r>
        <w:rPr>
          <w:rFonts w:ascii="Times New Roman" w:cs="Times New Roman" w:eastAsia="Times New Roman" w:hAnsi="Times New Roman"/>
          <w:sz w:val="17"/>
          <w:szCs w:val="17"/>
          <w:b w:val="1"/>
          <w:bCs w:val="1"/>
          <w:i w:val="1"/>
          <w:iCs w:val="1"/>
          <w:color w:val="auto"/>
        </w:rPr>
        <w:t>Change of Control Call</w:t>
      </w:r>
      <w:r>
        <w:rPr>
          <w:rFonts w:ascii="Times New Roman" w:cs="Times New Roman" w:eastAsia="Times New Roman" w:hAnsi="Times New Roman"/>
          <w:sz w:val="17"/>
          <w:szCs w:val="17"/>
          <w:color w:val="auto"/>
        </w:rPr>
        <w:t xml:space="preserve">”), subject to the right of such Holders to convert the Series B-1 Preferred Stock pursuant to </w:t>
      </w:r>
      <w:r>
        <w:rPr>
          <w:rFonts w:ascii="Times New Roman" w:cs="Times New Roman" w:eastAsia="Times New Roman" w:hAnsi="Times New Roman"/>
          <w:sz w:val="17"/>
          <w:szCs w:val="17"/>
          <w:u w:val="single" w:color="auto"/>
          <w:color w:val="auto"/>
        </w:rPr>
        <w:t>Section 6(a)</w:t>
      </w:r>
      <w:r>
        <w:rPr>
          <w:rFonts w:ascii="Times New Roman" w:cs="Times New Roman" w:eastAsia="Times New Roman" w:hAnsi="Times New Roman"/>
          <w:sz w:val="17"/>
          <w:szCs w:val="17"/>
          <w:color w:val="auto"/>
        </w:rPr>
        <w:t xml:space="preserve"> at any time prior to any such redemption, all of such Holders’ shares of Series B-1 Preferred Stock that are not subject to the Change of Control Election Notice (if any) at a redemption price per share, payable in cash, equal to the Change of Control Put Price. In order to elect a Change of Control Call, the Company must send an irrevocable notice of such election at the same time as the Initial Change of Control Notice, which notice shall contain the anticipated redemption date (which shall be contingent upon the closing of the Change of Control transaction or if the Change of Control transaction has already occurred, such date as elected by the Company no less than 30 nor more than 60 calendar days following the date of such notice), instructions for Holders to receive the Change of Control Put Price, the amount of the Change of Control Put Price, and the last date for a Holder to convert its shares of Series B-1 Preferred Stock in advance of the Change of Control Call (which shall be the Business Day immediately preceding the redemption date). The Company shall not have the right to elect a Change of Control Call unless, as of the date of delivery of notice of a Change of Control Call, it has set aside sufficient funds legally available for the payment of the full Change of Control Put Price for all outstanding shares of Series B-1 Preferred Stock.</w:t>
      </w:r>
    </w:p>
    <w:p>
      <w:pPr>
        <w:spacing w:after="0" w:line="75" w:lineRule="exact"/>
        <w:rPr>
          <w:rFonts w:ascii="Times New Roman" w:cs="Times New Roman" w:eastAsia="Times New Roman" w:hAnsi="Times New Roman"/>
          <w:sz w:val="17"/>
          <w:szCs w:val="17"/>
          <w:color w:val="auto"/>
        </w:rPr>
      </w:pPr>
    </w:p>
    <w:p>
      <w:pPr>
        <w:jc w:val="both"/>
        <w:ind w:right="140" w:firstLine="419"/>
        <w:spacing w:after="0" w:line="266" w:lineRule="auto"/>
        <w:tabs>
          <w:tab w:leader="none" w:pos="6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on Change of Control Put/Call</w:t>
      </w:r>
      <w:r>
        <w:rPr>
          <w:rFonts w:ascii="Times New Roman" w:cs="Times New Roman" w:eastAsia="Times New Roman" w:hAnsi="Times New Roman"/>
          <w:sz w:val="18"/>
          <w:szCs w:val="18"/>
          <w:color w:val="auto"/>
        </w:rPr>
        <w:t>. On a Change of Control Put or a Change of Control Call, the Company (or its successor) shall deliver or cause to be delivered to the Holder by wire transfer of immediately available funds, the Change of Control Put Price for such Holder’s shares of Series B-1 Preferred Stock.</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40"/>
          </w:cols>
          <w:pgMar w:left="880" w:top="270" w:right="479" w:bottom="1440" w:gutter="0" w:footer="0" w:header="0"/>
        </w:sectPr>
      </w:pPr>
    </w:p>
    <w:bookmarkStart w:id="27" w:name="page28"/>
    <w:bookmarkEnd w:id="27"/>
    <w:p>
      <w:pPr>
        <w:ind w:right="40" w:firstLine="419"/>
        <w:spacing w:after="0" w:line="266" w:lineRule="auto"/>
        <w:tabs>
          <w:tab w:leader="none" w:pos="6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Treatment of Shares</w:t>
      </w:r>
      <w:r>
        <w:rPr>
          <w:rFonts w:ascii="Times New Roman" w:cs="Times New Roman" w:eastAsia="Times New Roman" w:hAnsi="Times New Roman"/>
          <w:sz w:val="18"/>
          <w:szCs w:val="18"/>
          <w:color w:val="auto"/>
        </w:rPr>
        <w:t>. Until a share of Series B-1 Preferred Stock is purchased by the payment in full of the applicable Change of Control Put Price, such share of Series B-1 Preferred Stock shall remain outstanding and shall be entitled to all of the powers, designations, preferences and other rights provided herein.</w:t>
      </w:r>
    </w:p>
    <w:p>
      <w:pPr>
        <w:spacing w:after="0" w:line="67" w:lineRule="exact"/>
        <w:rPr>
          <w:rFonts w:ascii="Times New Roman" w:cs="Times New Roman" w:eastAsia="Times New Roman" w:hAnsi="Times New Roman"/>
          <w:sz w:val="18"/>
          <w:szCs w:val="18"/>
          <w:color w:val="auto"/>
        </w:rPr>
      </w:pPr>
    </w:p>
    <w:p>
      <w:pPr>
        <w:ind w:right="20" w:firstLine="419"/>
        <w:spacing w:after="0" w:line="252" w:lineRule="auto"/>
        <w:tabs>
          <w:tab w:leader="none" w:pos="6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 Agreements</w:t>
      </w:r>
      <w:r>
        <w:rPr>
          <w:rFonts w:ascii="Times New Roman" w:cs="Times New Roman" w:eastAsia="Times New Roman" w:hAnsi="Times New Roman"/>
          <w:sz w:val="18"/>
          <w:szCs w:val="18"/>
          <w:color w:val="auto"/>
        </w:rPr>
        <w:t xml:space="preserve">. The Company shall not enter into any agreement for, or otherwise willingly engage in, a transaction constituting a Change of Control unless (i) such agreement provides for or does not interfere with or prevent (as applicable) the exercise by the Holders of their Change of Control Put and payment in full of the Change of Control Put Price after payments required pursuant to any credit agreement, indenture or similar agreement evidencing indebtedness for borrowed money specified in </w:t>
      </w:r>
      <w:r>
        <w:rPr>
          <w:rFonts w:ascii="Times New Roman" w:cs="Times New Roman" w:eastAsia="Times New Roman" w:hAnsi="Times New Roman"/>
          <w:sz w:val="18"/>
          <w:szCs w:val="18"/>
          <w:u w:val="single" w:color="auto"/>
          <w:color w:val="auto"/>
        </w:rPr>
        <w:t>Section 9(l)</w:t>
      </w:r>
      <w:r>
        <w:rPr>
          <w:rFonts w:ascii="Times New Roman" w:cs="Times New Roman" w:eastAsia="Times New Roman" w:hAnsi="Times New Roman"/>
          <w:sz w:val="18"/>
          <w:szCs w:val="18"/>
          <w:color w:val="auto"/>
        </w:rPr>
        <w:t xml:space="preserve"> below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(ii) the acquiring or surviving Person in such Change of Control represents or covenants, in form and substance reasonably satisfactory to the Board acting in good faith, that at the closing of such Change of Control such Person shall have sufficient funds (which may include, without limitation, cash and cash equivalents on the Company’s balance sheet, the proceeds of any debt or equity financing, available lines of credit or uncalled capital commitments) to consummate such Change of Control and the payment of the Change of Control Put Price in respect of shares of Series B-1 Preferred Stock that have not been converted into Common Stock prior to the Change of Control Effective Date pursuant to</w:t>
      </w:r>
    </w:p>
    <w:p>
      <w:pPr>
        <w:spacing w:after="0" w:line="6" w:lineRule="exact"/>
        <w:rPr>
          <w:rFonts w:ascii="Times New Roman" w:cs="Times New Roman" w:eastAsia="Times New Roman" w:hAnsi="Times New Roman"/>
          <w:sz w:val="18"/>
          <w:szCs w:val="18"/>
          <w:color w:val="auto"/>
        </w:rPr>
      </w:pPr>
    </w:p>
    <w:p>
      <w:pPr>
        <w:ind w:right="6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after all payments required to be made by the Company pursuant to any credit agreement, indenture or similar agreement evidencing indebtedness for borrowed money have been made.</w:t>
      </w:r>
    </w:p>
    <w:p>
      <w:pPr>
        <w:spacing w:after="0" w:line="73" w:lineRule="exact"/>
        <w:rPr>
          <w:rFonts w:ascii="Times New Roman" w:cs="Times New Roman" w:eastAsia="Times New Roman" w:hAnsi="Times New Roman"/>
          <w:sz w:val="18"/>
          <w:szCs w:val="18"/>
          <w:color w:val="auto"/>
        </w:rPr>
      </w:pPr>
    </w:p>
    <w:p>
      <w:pPr>
        <w:ind w:right="100" w:firstLine="419"/>
        <w:spacing w:after="0" w:line="261" w:lineRule="auto"/>
        <w:tabs>
          <w:tab w:leader="none" w:pos="63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Change of Control Put/Call</w:t>
      </w:r>
      <w:r>
        <w:rPr>
          <w:rFonts w:ascii="Times New Roman" w:cs="Times New Roman" w:eastAsia="Times New Roman" w:hAnsi="Times New Roman"/>
          <w:sz w:val="18"/>
          <w:szCs w:val="18"/>
          <w:color w:val="auto"/>
        </w:rPr>
        <w:t>. On full payment of the Change of Control Put Price for any shares of Series B-1 Preferred Stock subject to a Change of Control Put or Change of Control Call, such shares of Series B-1 Preferred Stock shall no longer be deemed to be outstanding for any purpose and all rights (except the right to receive the Change of Control Put Price) of the Holder of such shares of Series B-1 Preferred Stock shall cease and terminate with respect to such shares.</w:t>
      </w:r>
    </w:p>
    <w:p>
      <w:pPr>
        <w:spacing w:after="0" w:line="71" w:lineRule="exact"/>
        <w:rPr>
          <w:rFonts w:ascii="Times New Roman" w:cs="Times New Roman" w:eastAsia="Times New Roman" w:hAnsi="Times New Roman"/>
          <w:sz w:val="18"/>
          <w:szCs w:val="18"/>
          <w:color w:val="auto"/>
        </w:rPr>
      </w:pPr>
    </w:p>
    <w:p>
      <w:pPr>
        <w:ind w:firstLine="419"/>
        <w:spacing w:after="0" w:line="258" w:lineRule="auto"/>
        <w:tabs>
          <w:tab w:leader="none" w:pos="63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Withdrawal of Election for Change of Control Put</w:t>
      </w:r>
      <w:r>
        <w:rPr>
          <w:rFonts w:ascii="Times New Roman" w:cs="Times New Roman" w:eastAsia="Times New Roman" w:hAnsi="Times New Roman"/>
          <w:sz w:val="18"/>
          <w:szCs w:val="18"/>
          <w:color w:val="auto"/>
        </w:rPr>
        <w:t>. Notwithstanding anything to the contrary herein, any Holder’s Change of Control Election Notice may be withdrawn (in whole or in part) by means of a written notice of withdrawal delivered to the Company at any time prior to the close of business on the fourth Business Day immediately succeeding the date of delivery of a Final Change of Control Notice (or, if earlier, the close of business on the second Business Day immediately preceding the relevant Change of Control Purchase Date), specifying the number of shares of Series B-1 Preferred Stock with respect to which such notice of withdrawal is being submitted.</w:t>
      </w:r>
    </w:p>
    <w:p>
      <w:pPr>
        <w:spacing w:after="0" w:line="75"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above provisions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similarly apply to successive Changes of Control (or anticipated Changes of Control).</w:t>
      </w:r>
    </w:p>
    <w:p>
      <w:pPr>
        <w:spacing w:after="0" w:line="117" w:lineRule="exact"/>
        <w:rPr>
          <w:rFonts w:ascii="Times New Roman" w:cs="Times New Roman" w:eastAsia="Times New Roman" w:hAnsi="Times New Roman"/>
          <w:sz w:val="18"/>
          <w:szCs w:val="18"/>
          <w:color w:val="auto"/>
        </w:rPr>
      </w:pPr>
    </w:p>
    <w:p>
      <w:pPr>
        <w:ind w:right="100" w:firstLine="419"/>
        <w:spacing w:after="0" w:line="266" w:lineRule="auto"/>
        <w:tabs>
          <w:tab w:leader="none" w:pos="63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and not in limitation of the rights in this section, in the event of a Change of Control Put, the Company shall be permitted to pay the Change of Control Put Price required above in cash following the prior payment in full in cash all obligations of the Company and its Subsidiaries under any credit</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40"/>
          </w:cols>
          <w:pgMar w:left="880" w:top="270" w:right="479" w:bottom="1440" w:gutter="0" w:footer="0" w:header="0"/>
        </w:sectPr>
      </w:pPr>
    </w:p>
    <w:bookmarkStart w:id="28" w:name="page29"/>
    <w:bookmarkEnd w:id="28"/>
    <w:p>
      <w:pPr>
        <w:ind w:left="440"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agreement, indenture or similar agreement evidencing indebtedness for borrowed money (including the termination of all commitments to lend, to the extent required by such credit agreement, indenture or similar agreement), which requires prior payment of the obligations thereunder (and termination of commitments thereunder, if applicable) as a condition to the payment of such Change of Control Put Price in cash. Nothing contained in this </w:t>
      </w:r>
      <w:r>
        <w:rPr>
          <w:rFonts w:ascii="Times New Roman" w:cs="Times New Roman" w:eastAsia="Times New Roman" w:hAnsi="Times New Roman"/>
          <w:sz w:val="18"/>
          <w:szCs w:val="18"/>
          <w:u w:val="single" w:color="auto"/>
          <w:color w:val="auto"/>
        </w:rPr>
        <w:t>Section 9(l)</w:t>
      </w:r>
      <w:r>
        <w:rPr>
          <w:rFonts w:ascii="Times New Roman" w:cs="Times New Roman" w:eastAsia="Times New Roman" w:hAnsi="Times New Roman"/>
          <w:sz w:val="18"/>
          <w:szCs w:val="18"/>
          <w:color w:val="auto"/>
        </w:rPr>
        <w:t xml:space="preserve"> shall limit a Holder’s right to pursue any remedies available to it hereunder.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Redemption at the Option of the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140" w:firstLine="419"/>
        <w:spacing w:after="0" w:line="289" w:lineRule="auto"/>
        <w:tabs>
          <w:tab w:leader="none" w:pos="110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after the seventh anniversary of the Original Issuance Date, the Company shall have the right (but not the obligation) to redeem all (but not less than all) of the then-outstanding shares of Series B Preferred Stock, at a redemption price per share of Series B Preferred Stock (payable by the Company in cash) equal to the Liquidation Preference (a “</w:t>
      </w:r>
      <w:r>
        <w:rPr>
          <w:rFonts w:ascii="Times New Roman" w:cs="Times New Roman" w:eastAsia="Times New Roman" w:hAnsi="Times New Roman"/>
          <w:sz w:val="17"/>
          <w:szCs w:val="17"/>
          <w:b w:val="1"/>
          <w:bCs w:val="1"/>
          <w:i w:val="1"/>
          <w:iCs w:val="1"/>
          <w:color w:val="auto"/>
        </w:rPr>
        <w:t>Redemption</w:t>
      </w:r>
      <w:r>
        <w:rPr>
          <w:rFonts w:ascii="Times New Roman" w:cs="Times New Roman" w:eastAsia="Times New Roman" w:hAnsi="Times New Roman"/>
          <w:sz w:val="17"/>
          <w:szCs w:val="17"/>
          <w:color w:val="auto"/>
        </w:rPr>
        <w:t>” and such amount, the “</w:t>
      </w:r>
      <w:r>
        <w:rPr>
          <w:rFonts w:ascii="Times New Roman" w:cs="Times New Roman" w:eastAsia="Times New Roman" w:hAnsi="Times New Roman"/>
          <w:sz w:val="17"/>
          <w:szCs w:val="17"/>
          <w:b w:val="1"/>
          <w:bCs w:val="1"/>
          <w:i w:val="1"/>
          <w:iCs w:val="1"/>
          <w:color w:val="auto"/>
        </w:rPr>
        <w:t>Redemption Price</w:t>
      </w:r>
      <w:r>
        <w:rPr>
          <w:rFonts w:ascii="Times New Roman" w:cs="Times New Roman" w:eastAsia="Times New Roman" w:hAnsi="Times New Roman"/>
          <w:sz w:val="17"/>
          <w:szCs w:val="17"/>
          <w:color w:val="auto"/>
        </w:rPr>
        <w:t>”).</w:t>
      </w:r>
    </w:p>
    <w:p>
      <w:pPr>
        <w:spacing w:after="0" w:line="45" w:lineRule="exact"/>
        <w:rPr>
          <w:rFonts w:ascii="Times New Roman" w:cs="Times New Roman" w:eastAsia="Times New Roman" w:hAnsi="Times New Roman"/>
          <w:sz w:val="17"/>
          <w:szCs w:val="17"/>
          <w:color w:val="auto"/>
        </w:rPr>
      </w:pPr>
    </w:p>
    <w:p>
      <w:pPr>
        <w:ind w:left="440" w:right="120" w:firstLine="419"/>
        <w:spacing w:after="0" w:line="273" w:lineRule="auto"/>
        <w:tabs>
          <w:tab w:leader="none" w:pos="111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any Redemption, a written notice (a “</w:t>
      </w:r>
      <w:r>
        <w:rPr>
          <w:rFonts w:ascii="Times New Roman" w:cs="Times New Roman" w:eastAsia="Times New Roman" w:hAnsi="Times New Roman"/>
          <w:sz w:val="17"/>
          <w:szCs w:val="17"/>
          <w:b w:val="1"/>
          <w:bCs w:val="1"/>
          <w:i w:val="1"/>
          <w:iCs w:val="1"/>
          <w:color w:val="auto"/>
        </w:rPr>
        <w:t>Notice of Redemption</w:t>
      </w:r>
      <w:r>
        <w:rPr>
          <w:rFonts w:ascii="Times New Roman" w:cs="Times New Roman" w:eastAsia="Times New Roman" w:hAnsi="Times New Roman"/>
          <w:sz w:val="17"/>
          <w:szCs w:val="17"/>
          <w:color w:val="auto"/>
        </w:rPr>
        <w:t>”) shall be sent by or on behalf of the Company to each Holder as they appear in the records of the Company at least ten days and not more than 60 days before the date fixed for such redemption (the “</w:t>
      </w:r>
      <w:r>
        <w:rPr>
          <w:rFonts w:ascii="Times New Roman" w:cs="Times New Roman" w:eastAsia="Times New Roman" w:hAnsi="Times New Roman"/>
          <w:sz w:val="17"/>
          <w:szCs w:val="17"/>
          <w:b w:val="1"/>
          <w:bCs w:val="1"/>
          <w:i w:val="1"/>
          <w:iCs w:val="1"/>
          <w:color w:val="auto"/>
        </w:rPr>
        <w:t>Redemption Date</w:t>
      </w:r>
      <w:r>
        <w:rPr>
          <w:rFonts w:ascii="Times New Roman" w:cs="Times New Roman" w:eastAsia="Times New Roman" w:hAnsi="Times New Roman"/>
          <w:sz w:val="17"/>
          <w:szCs w:val="17"/>
          <w:color w:val="auto"/>
        </w:rPr>
        <w:t>”). The Notice of Redemption shall specify (i) the Redemption Date, (ii) the total number of shares of Series B-1 Preferred Stock to be redeemed from the applicable Holder, (iii) the amount per share payable to such Holder and (iv) the procedures that such Holders of shares of Series B-1 Preferred Stock must follow in order to receive the Redemption Price for their shares of Series B-1 Preferred Stock to be redeemed. The Company shall deliver or cause to be delivered to each Holder that has complied with the instructions set forth in such Notice of Redemption, cash by wire transfer in an amount equal to the Redemption Price for each share of Series B-1 Preferred Stock held by such Holder.</w:t>
      </w:r>
    </w:p>
    <w:p>
      <w:pPr>
        <w:spacing w:after="0" w:line="67" w:lineRule="exact"/>
        <w:rPr>
          <w:rFonts w:ascii="Times New Roman" w:cs="Times New Roman" w:eastAsia="Times New Roman" w:hAnsi="Times New Roman"/>
          <w:sz w:val="17"/>
          <w:szCs w:val="17"/>
          <w:color w:val="auto"/>
        </w:rPr>
      </w:pPr>
    </w:p>
    <w:p>
      <w:pPr>
        <w:ind w:left="440" w:right="60" w:firstLine="419"/>
        <w:spacing w:after="0" w:line="261" w:lineRule="auto"/>
        <w:tabs>
          <w:tab w:leader="none" w:pos="110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Redemption, each Holder of outstanding shares of Series B-1 Preferred Stock may, at such Holder’s election, effective prior to such Redemption on a date designated by the Holder, convert all or a portion of its shares of Series B-1 Preferred Stock pursuant to</w:t>
      </w: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1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full payment of the Redemption Price for all shares of Series B-1 Preferred Stock subject to a Redemption, such shares of Series B-1 Preferred Stock shall no longer be deemed to be outstanding for any purpose and all rights (except the right to receive the Redemption Price) of the Holder of such shares of Series B-1 Preferred Stock shall cease and terminate with respect to such shares.</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Adjustment of Conversion Rate</w:t>
      </w:r>
      <w:r>
        <w:rPr>
          <w:rFonts w:ascii="Times New Roman" w:cs="Times New Roman" w:eastAsia="Times New Roman" w:hAnsi="Times New Roman"/>
          <w:sz w:val="18"/>
          <w:szCs w:val="18"/>
          <w:color w:val="auto"/>
        </w:rPr>
        <w:t xml:space="preserve">. The Conversion Rate shall be adjusted from time to time by the Company if any of the following events occurs, except that the Company shall not make any adjustments to the Conversion Rate if Holders of the Series B-1 Preferred Stock participate (other than in the case of a share split or share combination or a tender or exchange offer), at the same time and on the same terms as holders of the Common Stock and solely as a result of holding the Series B-1 Preferred Stock, in any of the transactions described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without having to convert their shares of Series B-1 Preferred Stock, as if they held a number of shares of Common Stock equal to the Conversion Rate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number of shares of Series B-1 Preferred Stock held by such Holder.</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29" w:name="page30"/>
    <w:bookmarkEnd w:id="29"/>
    <w:p>
      <w:pPr>
        <w:ind w:left="440" w:right="480" w:firstLine="419"/>
        <w:spacing w:after="0" w:line="282" w:lineRule="auto"/>
        <w:tabs>
          <w:tab w:leader="none" w:pos="110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Company exclusively issues shares of Common Stock as a dividend or distribution on shares of the Common Stock, or if the Company effects a share split or share combination,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5332095" cy="4800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5">
                      <a:extLst>
                        <a:ext uri="{28A0092B-C50C-407E-A947-70E740481C1C}"/>
                      </a:extLst>
                    </a:blip>
                    <a:srcRect/>
                    <a:stretch>
                      <a:fillRect/>
                    </a:stretch>
                  </pic:blipFill>
                  <pic:spPr bwMode="auto">
                    <a:xfrm>
                      <a:off x="0" y="0"/>
                      <a:ext cx="533209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15"/>
          <w:szCs w:val="15"/>
          <w:color w:val="auto"/>
        </w:rPr>
        <w:t>0</w:t>
      </w:r>
      <w:r>
        <w:rPr>
          <w:rFonts w:ascii="Times New Roman" w:cs="Times New Roman" w:eastAsia="Times New Roman" w:hAnsi="Times New Roman"/>
          <w:sz w:val="18"/>
          <w:szCs w:val="18"/>
          <w:color w:val="auto"/>
        </w:rPr>
        <w:t xml:space="preserve"> = the Conversion Rate in effect immediately prior to the open of business on the Ex-Dividend Date of such dividend or distribution, or immediately prior to the open of business on the Effective Date of such share split or share combination, as applicable;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 the Conversion Rate in effect immediately after the open of business on such Ex-Dividend Date or Effective Date;</w:t>
      </w:r>
    </w:p>
    <w:p>
      <w:pPr>
        <w:spacing w:after="0" w:line="22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15"/>
          <w:szCs w:val="15"/>
          <w:color w:val="auto"/>
        </w:rPr>
        <w:t>0</w:t>
      </w:r>
      <w:r>
        <w:rPr>
          <w:rFonts w:ascii="Times New Roman" w:cs="Times New Roman" w:eastAsia="Times New Roman" w:hAnsi="Times New Roman"/>
          <w:sz w:val="18"/>
          <w:szCs w:val="18"/>
          <w:color w:val="auto"/>
        </w:rPr>
        <w:t xml:space="preserve"> = the number of shares of Common Stock outstanding immediately prior to the open of business on such Ex-Dividend Date or Effective Date (before giving effect to any such dividend, distribution, split or combination); and</w:t>
      </w:r>
    </w:p>
    <w:p>
      <w:pPr>
        <w:spacing w:after="0" w:line="162"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 the number of shares of Common Stock outstanding immediately after giving effect to such dividend, distribution, share split or share combination.</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Any adjustment made under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is declared but not so paid or made, the Conversion Rate shall be immediately readjusted, effective as of the date the Board determines not to pay such dividend or distribution, to the Conversion Rate that would then be in effect if such dividend or distribution had not been declared.</w:t>
      </w:r>
    </w:p>
    <w:p>
      <w:pPr>
        <w:spacing w:after="0" w:line="75" w:lineRule="exact"/>
        <w:rPr>
          <w:sz w:val="20"/>
          <w:szCs w:val="20"/>
          <w:color w:val="auto"/>
        </w:rPr>
      </w:pPr>
    </w:p>
    <w:p>
      <w:pPr>
        <w:ind w:left="440" w:right="100" w:firstLine="419"/>
        <w:spacing w:after="0" w:line="258" w:lineRule="auto"/>
        <w:tabs>
          <w:tab w:leader="none" w:pos="11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issues to all or substantially all holders of the Common Stock and/or the Series B-2 Preferred Stock any rights, options or warrants (other than in connection with a stockholder rights plan) entitling them, for a period of not more than 45 calendar days after the announcement date of such issuance, to subscribe for or purchase shares of the Common Stock at a price per share that is less than the average of the Last Reported Sale Prices of the Common Stock for the ten consecutive Trading Day period ending on, and including, the Trading Day immediately preceding the date of announcement of such issuance,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5349240" cy="4718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6">
                      <a:extLst>
                        <a:ext uri="{28A0092B-C50C-407E-A947-70E740481C1C}"/>
                      </a:extLst>
                    </a:blip>
                    <a:srcRect/>
                    <a:stretch>
                      <a:fillRect/>
                    </a:stretch>
                  </pic:blipFill>
                  <pic:spPr bwMode="auto">
                    <a:xfrm>
                      <a:off x="0" y="0"/>
                      <a:ext cx="534924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15"/>
          <w:szCs w:val="15"/>
          <w:color w:val="auto"/>
        </w:rPr>
        <w:t>0</w:t>
      </w:r>
      <w:r>
        <w:rPr>
          <w:rFonts w:ascii="Times New Roman" w:cs="Times New Roman" w:eastAsia="Times New Roman" w:hAnsi="Times New Roman"/>
          <w:sz w:val="18"/>
          <w:szCs w:val="18"/>
          <w:color w:val="auto"/>
        </w:rPr>
        <w:t xml:space="preserve"> = the Conversion Rate in effect immediately prior to the open of business on the Ex-Dividend Date for such issuance;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 the Conversion Rate in effect immediately after the open of business on such Ex-Dividend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15"/>
          <w:szCs w:val="15"/>
          <w:color w:val="auto"/>
        </w:rPr>
        <w:t>0</w:t>
      </w:r>
      <w:r>
        <w:rPr>
          <w:rFonts w:ascii="Times New Roman" w:cs="Times New Roman" w:eastAsia="Times New Roman" w:hAnsi="Times New Roman"/>
          <w:sz w:val="18"/>
          <w:szCs w:val="18"/>
          <w:color w:val="auto"/>
        </w:rPr>
        <w:t xml:space="preserve"> = the number of shares of Common Stock outstanding immediately prior to the open of business on such Ex-Dividend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 = the total number of shares of Common Stock issuable pursuant to such rights, options or warrants; and</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Y = the number of shares of Common Stock equal to the aggregate price payable to exercise such rights, options or warrants, divided by the average of the Last Reported Sale Prices of the Common Stock over the ten consecutive Trading Day period ending on, and including, the Trading Day immediately preceding the date of announcement of the issuance of such rights, options or warrants.</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Any increase made under this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shall be made successively whenever any such rights, options or warrants are issued and shall become effective immediately after the open of business on the Ex-Dividend Date for such issuance. To the extent that shares of the Common Stock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shares of Common Stock actually delivered. If such rights, options or warrants are not so issued, the Conversion Rate shall be decreased to the Conversion Rate that would then be in effect if such Ex-Dividend Date for such issuance had not occurred.</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in determining whether any rights, options or warrants entitle the holders to subscribe for or purchase shares of the Common Stock at less than such average of the Last Reported Sale Prices of the Common Stock for the ten consecutive Trading Day period ending on, and including, the Trading Day immediately preceding the date of announcement for such issuance,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Company in good faith and in a commercially reasonable manner.</w:t>
      </w:r>
    </w:p>
    <w:p>
      <w:pPr>
        <w:spacing w:after="0" w:line="79" w:lineRule="exact"/>
        <w:rPr>
          <w:sz w:val="20"/>
          <w:szCs w:val="20"/>
          <w:color w:val="auto"/>
        </w:rPr>
      </w:pPr>
    </w:p>
    <w:p>
      <w:pPr>
        <w:ind w:left="440" w:firstLine="419"/>
        <w:spacing w:after="0" w:line="258" w:lineRule="auto"/>
        <w:tabs>
          <w:tab w:leader="none" w:pos="110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distributes shares of its Capital Stock, evidences of its indebtedness, other assets or property of the Company or rights, options or warrants to acquire its Capital Stock or other securities, to all or substantially all holders of the Common Stock, excluding (i) dividends, distributions or issuances (including share splits) as to which an adjustment was effected (or would be required to be effected, notwithstanding the 1% Exception in </w:t>
      </w:r>
      <w:r>
        <w:rPr>
          <w:rFonts w:ascii="Times New Roman" w:cs="Times New Roman" w:eastAsia="Times New Roman" w:hAnsi="Times New Roman"/>
          <w:sz w:val="18"/>
          <w:szCs w:val="18"/>
          <w:u w:val="single" w:color="auto"/>
          <w:color w:val="auto"/>
        </w:rPr>
        <w:t>Section 11(j)</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(ii) dividends or distributions paid exclusively in cash that are also paid to the Holders of the Series B-1 Preferred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(iii) except as otherwise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31" w:name="page32"/>
    <w:bookmarkEnd w:id="31"/>
    <w:p>
      <w:pPr>
        <w:ind w:left="440"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described below, rights issued pursuant to a stockholder rights plan of the Company, (iv) distributions of Exchange Property in a Reorganization Event and (v) Spin-Offs, as to which the provisions set forth below in this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shall apply (any of such shares of Capital Stock, evidences of indebtedness, other assets or property or rights, options or warrants to acquire Capital Stock or other securities, the “</w:t>
      </w:r>
      <w:r>
        <w:rPr>
          <w:rFonts w:ascii="Times New Roman" w:cs="Times New Roman" w:eastAsia="Times New Roman" w:hAnsi="Times New Roman"/>
          <w:sz w:val="18"/>
          <w:szCs w:val="18"/>
          <w:b w:val="1"/>
          <w:bCs w:val="1"/>
          <w:i w:val="1"/>
          <w:iCs w:val="1"/>
          <w:color w:val="auto"/>
        </w:rPr>
        <w:t>Distributed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Property</w:t>
      </w:r>
      <w:r>
        <w:rPr>
          <w:rFonts w:ascii="Times New Roman" w:cs="Times New Roman" w:eastAsia="Times New Roman" w:hAnsi="Times New Roman"/>
          <w:sz w:val="18"/>
          <w:szCs w:val="18"/>
          <w:color w:val="auto"/>
        </w:rPr>
        <w:t>”),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219710</wp:posOffset>
            </wp:positionV>
            <wp:extent cx="5332095" cy="4800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9">
                      <a:extLst>
                        <a:ext uri="{28A0092B-C50C-407E-A947-70E740481C1C}"/>
                      </a:extLst>
                    </a:blip>
                    <a:srcRect/>
                    <a:stretch>
                      <a:fillRect/>
                    </a:stretch>
                  </pic:blipFill>
                  <pic:spPr bwMode="auto">
                    <a:xfrm>
                      <a:off x="0" y="0"/>
                      <a:ext cx="533209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right="1940"/>
        <w:spacing w:after="0" w:line="500" w:lineRule="auto"/>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15"/>
          <w:szCs w:val="15"/>
          <w:color w:val="auto"/>
        </w:rPr>
        <w:t>0</w:t>
      </w:r>
      <w:r>
        <w:rPr>
          <w:rFonts w:ascii="Times New Roman" w:cs="Times New Roman" w:eastAsia="Times New Roman" w:hAnsi="Times New Roman"/>
          <w:sz w:val="18"/>
          <w:szCs w:val="18"/>
          <w:color w:val="auto"/>
        </w:rPr>
        <w:t xml:space="preserve"> = the Conversion Rate in effect immediately prior to the open of business on the Ex-Dividend Date for such distribution; CR</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 the Conversion Rate in effect immediately after the open of business on such Ex-Dividend Date;</w:t>
      </w:r>
    </w:p>
    <w:p>
      <w:pPr>
        <w:spacing w:after="0" w:line="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15"/>
          <w:szCs w:val="15"/>
          <w:color w:val="auto"/>
        </w:rPr>
        <w:t>0</w:t>
      </w:r>
      <w:r>
        <w:rPr>
          <w:rFonts w:ascii="Times New Roman" w:cs="Times New Roman" w:eastAsia="Times New Roman" w:hAnsi="Times New Roman"/>
          <w:sz w:val="18"/>
          <w:szCs w:val="18"/>
          <w:color w:val="auto"/>
        </w:rPr>
        <w:t xml:space="preserve"> = the average of the Last Reported Sale Prices of the Common Stock over the ten consecutive Trading Day period ending on, and including, the Trading Day immediately preceding the Ex-Dividend Date for such distribution; and</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FMV = the fair market value (as determined by the Company in good faith and in a commercially reasonable manner) of the Distributed Property with respect to each outstanding share of the Common Stock on the Ex-Dividend Date for such distribution.</w:t>
      </w:r>
    </w:p>
    <w:p>
      <w:pPr>
        <w:spacing w:after="0" w:line="16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Any increase made under the portion of this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above shall become effective immediately after the open of business on the Ex-Dividend Date for such distribution. If such distribution is not so paid or made, the Conversion Rate shall be decreased to the Conversion Rate that would then be in effect if such distribution had not been declared. If the Company issues rights, options or warrants that are only exercisable on the occurrence of certain triggering events, then the Company shall not adjust the Conversion Rate pursuant to the clauses above until the earliest of these triggering events occurs, and the Company shall readjust the Conversion Rate to the extent that any of these rights, options or warrants are not exercised before they expire. In the case of any distribution of rights, options or warrants, to the extent any such rights, options or warrants expire unexercised, the Conversion Rate shall be immediately readjusted to the Conversion Rate that would then be in effect had the increase made for the distribution of such rights, options or warrants been made on the basis of delivery of only the number of shares of the Common Stock actually delivered on exercise of such rights, options or warrants. Notwithstanding the foregoing, if “FMV” (as defined above) is equal to or greater than “SP</w:t>
      </w:r>
      <w:r>
        <w:rPr>
          <w:rFonts w:ascii="Times New Roman" w:cs="Times New Roman" w:eastAsia="Times New Roman" w:hAnsi="Times New Roman"/>
          <w:sz w:val="15"/>
          <w:szCs w:val="15"/>
          <w:color w:val="auto"/>
        </w:rPr>
        <w:t>0</w:t>
      </w:r>
      <w:r>
        <w:rPr>
          <w:rFonts w:ascii="Times New Roman" w:cs="Times New Roman" w:eastAsia="Times New Roman" w:hAnsi="Times New Roman"/>
          <w:sz w:val="18"/>
          <w:szCs w:val="18"/>
          <w:color w:val="auto"/>
        </w:rPr>
        <w:t xml:space="preserve">” (as defined above), in lieu of the foregoing increase, each Holder of shares of Series B-1 Preferred Stock shall receive, in respect of each such share, at the same time and on the same terms as holders of the Common Stock, the amount and kind of Distributed Property such Holder would have received if such Holder owned a number of shares of Common Stock equal to the Conversion Rate in effect on the Ex-Dividend Date for the distribution. If the Company determines the “FMV” (as defined above) of any distribution for purposes of this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by reference to the actual or when-issued trading market for any securities, it shall in doing so</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0" w:right="479" w:bottom="1440" w:gutter="0" w:footer="0" w:header="0"/>
        </w:sectPr>
      </w:pPr>
    </w:p>
    <w:bookmarkStart w:id="32" w:name="page33"/>
    <w:bookmarkEnd w:id="32"/>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consider the prices in such market over the same period used in computing the Last Reported Sale Prices of the Common Stock over the ten consecutive Trading Day period ending on, and including, the Trading Day immediately preceding the Ex-Dividend Date for such distribution.</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With respect to an adjustment pursuant to this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where there has been a payment of a dividend or other distribution on the Common Stock of shares of Capital Stock of any class or series, or similar equity interest, of or relating to a Subsidiary or other business unit of the Company, that are, or, when issued, will be, listed or admitted for trading on a U.S. national securities exchange (a “</w:t>
      </w:r>
      <w:r>
        <w:rPr>
          <w:rFonts w:ascii="Times New Roman" w:cs="Times New Roman" w:eastAsia="Times New Roman" w:hAnsi="Times New Roman"/>
          <w:sz w:val="18"/>
          <w:szCs w:val="18"/>
          <w:b w:val="1"/>
          <w:bCs w:val="1"/>
          <w:i w:val="1"/>
          <w:iCs w:val="1"/>
          <w:color w:val="auto"/>
        </w:rPr>
        <w:t>Spin-Off</w:t>
      </w:r>
      <w:r>
        <w:rPr>
          <w:rFonts w:ascii="Times New Roman" w:cs="Times New Roman" w:eastAsia="Times New Roman" w:hAnsi="Times New Roman"/>
          <w:sz w:val="18"/>
          <w:szCs w:val="18"/>
          <w:color w:val="auto"/>
        </w:rPr>
        <w: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5349240" cy="4718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1">
                      <a:extLst>
                        <a:ext uri="{28A0092B-C50C-407E-A947-70E740481C1C}"/>
                      </a:extLst>
                    </a:blip>
                    <a:srcRect/>
                    <a:stretch>
                      <a:fillRect/>
                    </a:stretch>
                  </pic:blipFill>
                  <pic:spPr bwMode="auto">
                    <a:xfrm>
                      <a:off x="0" y="0"/>
                      <a:ext cx="534924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right="4520"/>
        <w:spacing w:after="0" w:line="530" w:lineRule="auto"/>
        <w:rPr>
          <w:sz w:val="20"/>
          <w:szCs w:val="20"/>
          <w:color w:val="auto"/>
        </w:rPr>
      </w:pPr>
      <w:r>
        <w:rPr>
          <w:rFonts w:ascii="Times New Roman" w:cs="Times New Roman" w:eastAsia="Times New Roman" w:hAnsi="Times New Roman"/>
          <w:sz w:val="17"/>
          <w:szCs w:val="17"/>
          <w:color w:val="auto"/>
        </w:rPr>
        <w:t>CR</w:t>
      </w:r>
      <w:r>
        <w:rPr>
          <w:rFonts w:ascii="Times New Roman" w:cs="Times New Roman" w:eastAsia="Times New Roman" w:hAnsi="Times New Roman"/>
          <w:sz w:val="14"/>
          <w:szCs w:val="14"/>
          <w:color w:val="auto"/>
        </w:rPr>
        <w:t>0</w:t>
      </w:r>
      <w:r>
        <w:rPr>
          <w:rFonts w:ascii="Times New Roman" w:cs="Times New Roman" w:eastAsia="Times New Roman" w:hAnsi="Times New Roman"/>
          <w:sz w:val="17"/>
          <w:szCs w:val="17"/>
          <w:color w:val="auto"/>
        </w:rPr>
        <w:t xml:space="preserve"> = the Conversion Rate in effect immediately prior to the end of the Valuation Period; CR</w:t>
      </w:r>
      <w:r>
        <w:rPr>
          <w:rFonts w:ascii="Times New Roman" w:cs="Times New Roman" w:eastAsia="Times New Roman" w:hAnsi="Times New Roman"/>
          <w:sz w:val="14"/>
          <w:szCs w:val="14"/>
          <w:color w:val="auto"/>
        </w:rPr>
        <w:t>1</w:t>
      </w:r>
      <w:r>
        <w:rPr>
          <w:rFonts w:ascii="Times New Roman" w:cs="Times New Roman" w:eastAsia="Times New Roman" w:hAnsi="Times New Roman"/>
          <w:sz w:val="17"/>
          <w:szCs w:val="17"/>
          <w:color w:val="auto"/>
        </w:rPr>
        <w:t xml:space="preserve"> = the Conversion Rate in effect immediately after the end of the Valuation Period;</w:t>
      </w:r>
    </w:p>
    <w:p>
      <w:pPr>
        <w:spacing w:after="0" w:line="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FMV</w:t>
      </w:r>
      <w:r>
        <w:rPr>
          <w:rFonts w:ascii="Times New Roman" w:cs="Times New Roman" w:eastAsia="Times New Roman" w:hAnsi="Times New Roman"/>
          <w:sz w:val="15"/>
          <w:szCs w:val="15"/>
          <w:color w:val="auto"/>
        </w:rPr>
        <w:t>0</w:t>
      </w:r>
      <w:r>
        <w:rPr>
          <w:rFonts w:ascii="Times New Roman" w:cs="Times New Roman" w:eastAsia="Times New Roman" w:hAnsi="Times New Roman"/>
          <w:sz w:val="18"/>
          <w:szCs w:val="18"/>
          <w:color w:val="auto"/>
        </w:rPr>
        <w:t xml:space="preserve"> = the average of the Last Reported Sale Prices of the Capital Stock or similar equity interest distributed to holders of the Common Stock applicable to one share of the Common Stock (determined by reference to the definition of Last Reported Sale Price as set forth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as if references therein to Common Stock were to such Capital Stock or similar equity interest) over the first ten consecutive Trading Day period after, and including, the Ex-Dividend Date of the Spin-Off (the “</w:t>
      </w:r>
      <w:r>
        <w:rPr>
          <w:rFonts w:ascii="Times New Roman" w:cs="Times New Roman" w:eastAsia="Times New Roman" w:hAnsi="Times New Roman"/>
          <w:sz w:val="18"/>
          <w:szCs w:val="18"/>
          <w:b w:val="1"/>
          <w:bCs w:val="1"/>
          <w:i w:val="1"/>
          <w:iCs w:val="1"/>
          <w:color w:val="auto"/>
        </w:rPr>
        <w:t>Valuation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there is no Last Reported Sale Price of the Capital Stock or similar equity interest distributed to the holders of the Common Stock on such Ex-Dividend Date, the “Valuation Period” shall be the first ten consecutive Trading Day period after, and including, the first Trading Day such Last Reported Sale Price is available; and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w:t>
      </w:r>
      <w:r>
        <w:rPr>
          <w:rFonts w:ascii="Times New Roman" w:cs="Times New Roman" w:eastAsia="Times New Roman" w:hAnsi="Times New Roman"/>
          <w:sz w:val="15"/>
          <w:szCs w:val="15"/>
          <w:color w:val="auto"/>
        </w:rPr>
        <w:t>0</w:t>
      </w:r>
      <w:r>
        <w:rPr>
          <w:rFonts w:ascii="Times New Roman" w:cs="Times New Roman" w:eastAsia="Times New Roman" w:hAnsi="Times New Roman"/>
          <w:sz w:val="18"/>
          <w:szCs w:val="18"/>
          <w:color w:val="auto"/>
        </w:rPr>
        <w:t xml:space="preserve"> = the average of the Last Reported Sale Prices of the Common Stock over the Valuation Period.</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adjustment to the Conversion Rate under the preceding paragraph shall occur at the close of business on the last Trading Day of the Valuation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relevant Conversion Date occurs during the Valuation Period, references to “ten” in the preceding paragraph shall be deemed to be replaced with such lesser number of Trading Days as have elapsed from, and including, the Ex-Dividend Date of such Spin-Off to, and including, the Conversion Date in determining the Conversion Rate. If any dividend or distribution that constitutes a Spin-Off is declared but not so paid or made, the Conversion Rate shall be immediately decreased, effective as of the date the Board of Directors determines not to pay or make such dividend or distribution, to the Conversion Rate that would then be in effect if such dividend or distribution had not been declared or announced.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33" w:name="page34"/>
    <w:bookmarkEnd w:id="33"/>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purposes of this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(and subject in all respect to </w:t>
      </w:r>
      <w:r>
        <w:rPr>
          <w:rFonts w:ascii="Times New Roman" w:cs="Times New Roman" w:eastAsia="Times New Roman" w:hAnsi="Times New Roman"/>
          <w:sz w:val="18"/>
          <w:szCs w:val="18"/>
          <w:u w:val="single" w:color="auto"/>
          <w:color w:val="auto"/>
        </w:rPr>
        <w:t>Section 11(h)</w:t>
      </w:r>
      <w:r>
        <w:rPr>
          <w:rFonts w:ascii="Times New Roman" w:cs="Times New Roman" w:eastAsia="Times New Roman" w:hAnsi="Times New Roman"/>
          <w:sz w:val="18"/>
          <w:szCs w:val="18"/>
          <w:color w:val="auto"/>
        </w:rPr>
        <w:t>), rights, options or warrants distributed by the Company to all holders of the Common Stock entitling them to subscribe for or purchase shares of the Company’s Capital Stock, including Common Stock (either initially or under certain circumstances), which rights, options or warrants, until the occurrence of a specified event or events (a “</w:t>
      </w:r>
      <w:r>
        <w:rPr>
          <w:rFonts w:ascii="Times New Roman" w:cs="Times New Roman" w:eastAsia="Times New Roman" w:hAnsi="Times New Roman"/>
          <w:sz w:val="18"/>
          <w:szCs w:val="18"/>
          <w:b w:val="1"/>
          <w:bCs w:val="1"/>
          <w:i w:val="1"/>
          <w:iCs w:val="1"/>
          <w:color w:val="auto"/>
        </w:rPr>
        <w:t>Trigger Event</w:t>
      </w:r>
      <w:r>
        <w:rPr>
          <w:rFonts w:ascii="Times New Roman" w:cs="Times New Roman" w:eastAsia="Times New Roman" w:hAnsi="Times New Roman"/>
          <w:sz w:val="18"/>
          <w:szCs w:val="18"/>
          <w:color w:val="auto"/>
        </w:rPr>
        <w:t xml:space="preserve">”) (i) are deemed to be transferred with such shares of the Common Stock, (ii) are not exercisable and (iii) are also issued in respect of future issuances of the Common Stock, shall be deemed not to have been distributed for purposes of this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(and no adjustment to the Conversion Rate under this</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shall be required) until the occurrence of the earliest Trigger Event, whereupon such rights, options or warrants shall be deemed to have been distributed and an appropriate adjustment (if any is required) to the Conversion Rate shall be made under this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If any such right, option or warrant, including any such existing rights, options or warrants distributed prior to the Original Issuance Date, are subject to events, 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was made, (A) in the case of any such rights, options or warrants that shall all have been purchased without exercise by any holders thereof, on such final redemption or purchase (1) the Conversion Rate shall be readjusted as if such rights, options or warrants had not been issued and (2) the Conversion Rate shall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 (B) in the case of such rights, options or warrants that shall have expired or been terminated without exercise by any holders thereof, the Conversion Rate shall be readjusted as if such rights, options and warrants had not been issued.</w:t>
      </w:r>
    </w:p>
    <w:p>
      <w:pPr>
        <w:spacing w:after="0" w:line="19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if any dividend or distribution to which this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is applicable also includes one or both of:</w:t>
      </w:r>
    </w:p>
    <w:p>
      <w:pPr>
        <w:spacing w:after="0" w:line="50" w:lineRule="exact"/>
        <w:rPr>
          <w:sz w:val="20"/>
          <w:szCs w:val="20"/>
          <w:color w:val="auto"/>
        </w:rPr>
      </w:pPr>
    </w:p>
    <w:p>
      <w:pPr>
        <w:ind w:left="740" w:hanging="304"/>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dividend or distribution of shares of Common Stock to which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is applicable (a “</w:t>
      </w:r>
      <w:r>
        <w:rPr>
          <w:rFonts w:ascii="Times New Roman" w:cs="Times New Roman" w:eastAsia="Times New Roman" w:hAnsi="Times New Roman"/>
          <w:sz w:val="18"/>
          <w:szCs w:val="18"/>
          <w:b w:val="1"/>
          <w:bCs w:val="1"/>
          <w:i w:val="1"/>
          <w:iCs w:val="1"/>
          <w:color w:val="auto"/>
        </w:rPr>
        <w:t>Clause A Distribution</w:t>
      </w:r>
      <w:r>
        <w:rPr>
          <w:rFonts w:ascii="Times New Roman" w:cs="Times New Roman" w:eastAsia="Times New Roman" w:hAnsi="Times New Roman"/>
          <w:sz w:val="18"/>
          <w:szCs w:val="18"/>
          <w:color w:val="auto"/>
        </w:rPr>
        <w:t>”); or</w:t>
      </w:r>
    </w:p>
    <w:p>
      <w:pPr>
        <w:spacing w:after="0" w:line="117" w:lineRule="exact"/>
        <w:rPr>
          <w:rFonts w:ascii="Times New Roman" w:cs="Times New Roman" w:eastAsia="Times New Roman" w:hAnsi="Times New Roman"/>
          <w:sz w:val="18"/>
          <w:szCs w:val="18"/>
          <w:color w:val="auto"/>
        </w:rPr>
      </w:pPr>
    </w:p>
    <w:p>
      <w:pPr>
        <w:ind w:left="720" w:hanging="284"/>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dividend or distribution of rights, options or warrants to which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is applicable (a “</w:t>
      </w:r>
      <w:r>
        <w:rPr>
          <w:rFonts w:ascii="Times New Roman" w:cs="Times New Roman" w:eastAsia="Times New Roman" w:hAnsi="Times New Roman"/>
          <w:sz w:val="18"/>
          <w:szCs w:val="18"/>
          <w:b w:val="1"/>
          <w:bCs w:val="1"/>
          <w:i w:val="1"/>
          <w:iCs w:val="1"/>
          <w:color w:val="auto"/>
        </w:rPr>
        <w:t>Clause B Distribution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 xml:space="preserve">then, in either case, (1) such dividend or distribution, other than the Clause A Distribution and/or Clause B Distribution, shall be deemed to be a dividend or distribution to which this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is applicable (a “</w:t>
      </w:r>
      <w:r>
        <w:rPr>
          <w:rFonts w:ascii="Times New Roman" w:cs="Times New Roman" w:eastAsia="Times New Roman" w:hAnsi="Times New Roman"/>
          <w:sz w:val="18"/>
          <w:szCs w:val="18"/>
          <w:b w:val="1"/>
          <w:bCs w:val="1"/>
          <w:i w:val="1"/>
          <w:iCs w:val="1"/>
          <w:color w:val="auto"/>
        </w:rPr>
        <w:t>Clause C Distribution</w:t>
      </w:r>
      <w:r>
        <w:rPr>
          <w:rFonts w:ascii="Times New Roman" w:cs="Times New Roman" w:eastAsia="Times New Roman" w:hAnsi="Times New Roman"/>
          <w:sz w:val="18"/>
          <w:szCs w:val="18"/>
          <w:color w:val="auto"/>
        </w:rPr>
        <w:t xml:space="preserve">”) and any Conversion Rate adjustment required by this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with respect to such Clause C Distribution shall then be made and (2) the Clause A Distribution and/or Clause B Distribution shall be deemed to immediately follow such Clause C Distribution and any Conversion Rate adjustment required by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and/or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34" w:name="page35"/>
    <w:bookmarkEnd w:id="34"/>
    <w:p>
      <w:pPr>
        <w:ind w:right="20"/>
        <w:spacing w:after="0" w:line="258"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11(b)</w:t>
      </w:r>
      <w:r>
        <w:rPr>
          <w:rFonts w:ascii="Times New Roman" w:cs="Times New Roman" w:eastAsia="Times New Roman" w:hAnsi="Times New Roman"/>
          <w:sz w:val="18"/>
          <w:szCs w:val="18"/>
          <w:color w:val="auto"/>
        </w:rPr>
        <w:t xml:space="preserve"> with respect thereto shall then be made, except that, if determined by the Company (I) the “Ex-Dividend Date” of the Clause A Distribution and/or Clause B Distribution shall be deemed to be the Ex-Dividend Date of the Clause C Distribution and (II) any shares of Common Stock included in the Clause A Distribution and/or Clause B Distribution shall be deemed not to be “outstanding immediately prior to the open of business on such Ex-Dividend Date or Effective Date” within the meaning of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or “outstanding immediately prior to the open of business on such Ex-Dividend Date” within the meaning of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440" w:firstLine="419"/>
        <w:spacing w:after="0" w:line="277" w:lineRule="auto"/>
        <w:tabs>
          <w:tab w:leader="none" w:pos="1118"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or any of its Subsidiaries make a payment in respect of a tender or exchange offer for the Common Stock that is subject to the then-applicable tender offer rules under the Exchange Act, other than an odd-lot tender offer, to the extent that the cash and value of any other consideration included in the payment per share of the Common Stock exceeds the average of the Last Reported Sale Prices of the Common Stock over the ten consecutive Trading Day period commencing on, and including, the Trading Day next succeeding the last date on which tenders or exchanges may be made pursuant to such tender or exchange offer,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5332095" cy="4883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4">
                      <a:extLst>
                        <a:ext uri="{28A0092B-C50C-407E-A947-70E740481C1C}"/>
                      </a:extLst>
                    </a:blip>
                    <a:srcRect/>
                    <a:stretch>
                      <a:fillRect/>
                    </a:stretch>
                  </pic:blipFill>
                  <pic:spPr bwMode="auto">
                    <a:xfrm>
                      <a:off x="0" y="0"/>
                      <a:ext cx="533209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15"/>
          <w:szCs w:val="15"/>
          <w:color w:val="auto"/>
        </w:rPr>
        <w:t>0</w:t>
      </w:r>
      <w:r>
        <w:rPr>
          <w:rFonts w:ascii="Times New Roman" w:cs="Times New Roman" w:eastAsia="Times New Roman" w:hAnsi="Times New Roman"/>
          <w:sz w:val="18"/>
          <w:szCs w:val="18"/>
          <w:color w:val="auto"/>
        </w:rPr>
        <w:t xml:space="preserve"> = the Conversion Rate in effect immediately prior to the close of business on the tenth Trading Day immediately following, and including, the Trading Day next succeeding the date such tender or exchange offer expires;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 the Conversion Rate in effect immediately after the close of business on the tenth Trading Day immediately following, and including, the Trading Day next succeeding the date such tender or exchange offer expires;</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AC = the aggregate value of all cash and any other consideration (as determined by the Company in good faith and in a commercially reasonable manner) paid or payable for shares of Common Stock purchased in such tender or exchange offer;</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15"/>
          <w:szCs w:val="15"/>
          <w:color w:val="auto"/>
        </w:rPr>
        <w:t>0</w:t>
      </w:r>
      <w:r>
        <w:rPr>
          <w:rFonts w:ascii="Times New Roman" w:cs="Times New Roman" w:eastAsia="Times New Roman" w:hAnsi="Times New Roman"/>
          <w:sz w:val="18"/>
          <w:szCs w:val="18"/>
          <w:color w:val="auto"/>
        </w:rPr>
        <w:t xml:space="preserve"> = the number of shares of Common Stock outstanding immediately prior to the date such tender or exchange offer expires (prior to giving effect to the purchase of all shares of Common Stock accepted for purchase or exchange in such tender or exchange offer);</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 the number of shares of Common Stock outstanding immediately after the date such tender or exchange offer expires (after giving effect to the purchase of all shares of Common Stock accepted for purchase or exchange in such tender or exchange offer); and</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 the average of the Last Reported Sale Prices of the Common Stock over the ten consecutive Trading Day period commencing on, and including, the Trading Day next succeeding the date such tender or exchange offer expires.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35" w:name="page36"/>
    <w:bookmarkEnd w:id="35"/>
    <w:p>
      <w:pPr>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adjustment to the Conversion Rate under this </w:t>
      </w:r>
      <w:r>
        <w:rPr>
          <w:rFonts w:ascii="Times New Roman" w:cs="Times New Roman" w:eastAsia="Times New Roman" w:hAnsi="Times New Roman"/>
          <w:sz w:val="17"/>
          <w:szCs w:val="17"/>
          <w:u w:val="single" w:color="auto"/>
          <w:color w:val="auto"/>
        </w:rPr>
        <w:t>Section 11(d)</w:t>
      </w:r>
      <w:r>
        <w:rPr>
          <w:rFonts w:ascii="Times New Roman" w:cs="Times New Roman" w:eastAsia="Times New Roman" w:hAnsi="Times New Roman"/>
          <w:sz w:val="17"/>
          <w:szCs w:val="17"/>
          <w:color w:val="auto"/>
        </w:rPr>
        <w:t xml:space="preserve"> shall occur at the close of business on the tenth Trading Day immediately following, and including, the Trading Day immediately following the expiration date of such tender or exchange offer expires; provided that if the relevant Conversion Date occurs during the ten Trading Days immediately following, and including, the Trading Day next succeeding the expiration date of any tender or exchange offer, references to “ten” or “tenth” in the preceding paragraph shall be deemed replaced with such lesser number of Trading Days as have elapsed from, and including, the Trading Day next succeeding the date that such tender or exchange offer expires to, and including, the Conversion Date in determining the Conversion Rate. For the avoidance of doubt, no adjustment under this </w:t>
      </w:r>
      <w:r>
        <w:rPr>
          <w:rFonts w:ascii="Times New Roman" w:cs="Times New Roman" w:eastAsia="Times New Roman" w:hAnsi="Times New Roman"/>
          <w:sz w:val="17"/>
          <w:szCs w:val="17"/>
          <w:u w:val="single" w:color="auto"/>
          <w:color w:val="auto"/>
        </w:rPr>
        <w:t>Section 11(d)</w:t>
      </w:r>
      <w:r>
        <w:rPr>
          <w:rFonts w:ascii="Times New Roman" w:cs="Times New Roman" w:eastAsia="Times New Roman" w:hAnsi="Times New Roman"/>
          <w:sz w:val="17"/>
          <w:szCs w:val="17"/>
          <w:color w:val="auto"/>
        </w:rPr>
        <w:t xml:space="preserve"> shall be made if such adjustment would result in a decrease in the Conversion Rate (other than, for the avoidance of doubt, any readjustment described in the immediately succeeding paragraph).</w:t>
      </w:r>
    </w:p>
    <w:p>
      <w:pPr>
        <w:spacing w:after="0" w:line="17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If the Company or one of its Subsidiaries is obligated to purchase the Common Stock pursuant to any such tender or exchange offer described in this </w:t>
      </w:r>
      <w:r>
        <w:rPr>
          <w:rFonts w:ascii="Times New Roman" w:cs="Times New Roman" w:eastAsia="Times New Roman" w:hAnsi="Times New Roman"/>
          <w:sz w:val="18"/>
          <w:szCs w:val="18"/>
          <w:u w:val="single" w:color="auto"/>
          <w:color w:val="auto"/>
        </w:rPr>
        <w:t>Section 11(d)</w:t>
      </w:r>
      <w:r>
        <w:rPr>
          <w:rFonts w:ascii="Times New Roman" w:cs="Times New Roman" w:eastAsia="Times New Roman" w:hAnsi="Times New Roman"/>
          <w:sz w:val="18"/>
          <w:szCs w:val="18"/>
          <w:color w:val="auto"/>
        </w:rPr>
        <w:t xml:space="preserve"> but the Company or such Subsidiary is permanently prevented by applicable law from effecting any such purchase or all such purchases are rescinded, the Conversion Rate shall be decreased to be the Conversion Rate that would then be in effect if such tender or exchange offer had not been made or had been made only in respect of the purchases that have been effected.</w:t>
      </w:r>
    </w:p>
    <w:p>
      <w:pPr>
        <w:spacing w:after="0" w:line="72" w:lineRule="exact"/>
        <w:rPr>
          <w:sz w:val="20"/>
          <w:szCs w:val="20"/>
          <w:color w:val="auto"/>
        </w:rPr>
      </w:pPr>
    </w:p>
    <w:p>
      <w:pPr>
        <w:ind w:left="440" w:right="60" w:firstLine="419"/>
        <w:spacing w:after="0" w:line="273" w:lineRule="auto"/>
        <w:tabs>
          <w:tab w:leader="none" w:pos="1108"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this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or any other provision of this Certificate of Designations, if (i) a Conversion Rate adjustment becomes effective on any Ex-Dividend Date, (ii) a Holder has converted its shares of Series B-1 Preferred Stock and the Conversion Date for such conversion occurs on or after such Ex-Dividend Date and on or prior to the related Record Date, (iii) the consideration due on such conversion includes any whole shares of Common Stock based on a Conversion Rate that is adjusted for such Ex-Dividend Date and (iv) such shares of Common Stock would be entitled to participate in such dividend, distribution, or other event giving rise to such adjustment, then the Conversion Rate adjustment relating to such Ex-Dividend Date shall not be made for such conversion, and, instead, the shares of Common Stock issuable on conversion on an unadjusted basis shall be entitled to participate in the related dividend, distribution or other event giving rise to such adjustment.</w:t>
      </w:r>
    </w:p>
    <w:p>
      <w:pPr>
        <w:spacing w:after="0" w:line="63" w:lineRule="exact"/>
        <w:rPr>
          <w:rFonts w:ascii="Times New Roman" w:cs="Times New Roman" w:eastAsia="Times New Roman" w:hAnsi="Times New Roman"/>
          <w:sz w:val="17"/>
          <w:szCs w:val="17"/>
          <w:color w:val="auto"/>
        </w:rPr>
      </w:pPr>
    </w:p>
    <w:p>
      <w:pPr>
        <w:ind w:left="440" w:right="560" w:firstLine="419"/>
        <w:spacing w:after="0" w:line="266" w:lineRule="auto"/>
        <w:tabs>
          <w:tab w:leader="none" w:pos="108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stated herein, the Company shall not adjust the Conversion Rate for the issuance of shares of the Common Stock or any securities convertible into or exchangeable for shares of the Common Stock or the right to purchase shares of the Common Stock or such convertible or exchangeable securities.</w:t>
      </w:r>
    </w:p>
    <w:p>
      <w:pPr>
        <w:spacing w:after="0" w:line="67"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11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those adjustments required by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11(d)</w:t>
      </w:r>
      <w:r>
        <w:rPr>
          <w:rFonts w:ascii="Times New Roman" w:cs="Times New Roman" w:eastAsia="Times New Roman" w:hAnsi="Times New Roman"/>
          <w:sz w:val="18"/>
          <w:szCs w:val="18"/>
          <w:color w:val="auto"/>
        </w:rPr>
        <w:t>, and to the extent permitted by applicable law and subject to the applicable rules of any exchange on which any of the Company’s securities are then listed, the Company from time to time may increase the Conversion Rate by any amount for a period of at least 20 Business Days if the Board determines that such increase would be in the Company’s best interest. In addition, to the extent permitted by applicable law and subject to the applicable rules of any exchange on which any of the Company’s securities are then listed, the Company may (but is not required to) increase the Conversion Rate to avoid or diminish income Tax to holders of Common Stock 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36" w:name="page37"/>
    <w:bookmarkEnd w:id="36"/>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rights to purchase Common Stock in connection with a dividend or distribution of shares of Common Stock (or rights to acquire shares of Common Stock) or similar event. Whenever the Conversion Rate is increased pursuant to either of the preceding two sentences, the Company shall deliver to the Holder of each share of Series B-1 Preferred Stock and the Conversion Agent a notice of the increase at least 15 days prior to the date the increased Conversion Rate takes effect, and such notice shall state the increased Conversion Rate and the period during which it will be in effect.</w:t>
      </w:r>
    </w:p>
    <w:p>
      <w:pPr>
        <w:spacing w:after="0" w:line="75" w:lineRule="exact"/>
        <w:rPr>
          <w:sz w:val="20"/>
          <w:szCs w:val="20"/>
          <w:color w:val="auto"/>
        </w:rPr>
      </w:pPr>
    </w:p>
    <w:p>
      <w:pPr>
        <w:ind w:firstLine="419"/>
        <w:spacing w:after="0" w:line="273" w:lineRule="auto"/>
        <w:tabs>
          <w:tab w:leader="none" w:pos="678"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Company has a stockholder rights plan in effect on conversion of any shares of Series B-1 Preferred Stock, each share of Common Stock, if any, issued on such conversion shall be entitled to receive the appropriate number of rights, if any, and the certificates representing the Common Stock issued on such conversion shall bear such legends, if any, in each case as may be provided by the terms of any such stockholder rights plan, as the same may be amended from time to time. However, if, prior to any conversion of shares of Series B-1 Preferred Stock, the rights have separated from the shares of Common Stock in accordance with the provisions of the applicable stockholder rights plan, the Conversion Rate shall be adjusted at the time of separation as if the Company distributed to all or substantially all holders of the Common Stock Distributed Property as provided in </w:t>
      </w:r>
      <w:r>
        <w:rPr>
          <w:rFonts w:ascii="Times New Roman" w:cs="Times New Roman" w:eastAsia="Times New Roman" w:hAnsi="Times New Roman"/>
          <w:sz w:val="17"/>
          <w:szCs w:val="17"/>
          <w:u w:val="single" w:color="auto"/>
          <w:color w:val="auto"/>
        </w:rPr>
        <w:t>Section 11(c)</w:t>
      </w:r>
      <w:r>
        <w:rPr>
          <w:rFonts w:ascii="Times New Roman" w:cs="Times New Roman" w:eastAsia="Times New Roman" w:hAnsi="Times New Roman"/>
          <w:sz w:val="17"/>
          <w:szCs w:val="17"/>
          <w:color w:val="auto"/>
        </w:rPr>
        <w:t>, subject to readjustment in the event of the expiration, termination or redemption of such rights.</w:t>
      </w:r>
    </w:p>
    <w:p>
      <w:pPr>
        <w:spacing w:after="0" w:line="63" w:lineRule="exact"/>
        <w:rPr>
          <w:rFonts w:ascii="Times New Roman" w:cs="Times New Roman" w:eastAsia="Times New Roman" w:hAnsi="Times New Roman"/>
          <w:sz w:val="17"/>
          <w:szCs w:val="17"/>
          <w:color w:val="auto"/>
        </w:rPr>
      </w:pPr>
    </w:p>
    <w:p>
      <w:pPr>
        <w:ind w:left="640" w:hanging="221"/>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the Conversion Rate shall not be adjusted:</w:t>
      </w:r>
    </w:p>
    <w:p>
      <w:pPr>
        <w:spacing w:after="0" w:line="117" w:lineRule="exact"/>
        <w:rPr>
          <w:rFonts w:ascii="Times New Roman" w:cs="Times New Roman" w:eastAsia="Times New Roman" w:hAnsi="Times New Roman"/>
          <w:sz w:val="18"/>
          <w:szCs w:val="18"/>
          <w:color w:val="auto"/>
        </w:rPr>
      </w:pPr>
    </w:p>
    <w:p>
      <w:pPr>
        <w:ind w:left="540" w:right="380" w:firstLine="408"/>
        <w:spacing w:after="0" w:line="282" w:lineRule="auto"/>
        <w:tabs>
          <w:tab w:leader="none" w:pos="115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issuance of shares of Common Stock at a price below the Conversion Price or otherwise, other than any such issuance described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540" w:right="120" w:firstLine="408"/>
        <w:spacing w:after="0" w:line="266" w:lineRule="auto"/>
        <w:tabs>
          <w:tab w:leader="none" w:pos="120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issuance of any shares of Common Stock pursuant to any present or future plan providing for the reinvestment of dividends or interest payable on the Company’s securities and the investment of additional optional amounts in shares of Common Stock under any plan;</w:t>
      </w:r>
    </w:p>
    <w:p>
      <w:pPr>
        <w:spacing w:after="0" w:line="67" w:lineRule="exact"/>
        <w:rPr>
          <w:rFonts w:ascii="Times New Roman" w:cs="Times New Roman" w:eastAsia="Times New Roman" w:hAnsi="Times New Roman"/>
          <w:sz w:val="18"/>
          <w:szCs w:val="18"/>
          <w:color w:val="auto"/>
        </w:rPr>
      </w:pPr>
    </w:p>
    <w:p>
      <w:pPr>
        <w:ind w:left="540" w:right="200" w:firstLine="408"/>
        <w:spacing w:after="0" w:line="261" w:lineRule="auto"/>
        <w:tabs>
          <w:tab w:leader="none" w:pos="125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issuance of any shares of Common Stock or options or rights to purchase those shares pursuant to any present or future employee, director or consultant benefit or incentive plan (including pursuant to any evergreen plan) or program of or assumed by the Company or any of the Company’s Subsidiaries or in connection with any such shares withheld by the Company for Tax withholding purposes;</w:t>
      </w:r>
    </w:p>
    <w:p>
      <w:pPr>
        <w:spacing w:after="0" w:line="71" w:lineRule="exact"/>
        <w:rPr>
          <w:rFonts w:ascii="Times New Roman" w:cs="Times New Roman" w:eastAsia="Times New Roman" w:hAnsi="Times New Roman"/>
          <w:sz w:val="18"/>
          <w:szCs w:val="18"/>
          <w:color w:val="auto"/>
        </w:rPr>
      </w:pPr>
    </w:p>
    <w:p>
      <w:pPr>
        <w:ind w:left="540" w:right="760" w:firstLine="408"/>
        <w:spacing w:after="0" w:line="282" w:lineRule="auto"/>
        <w:tabs>
          <w:tab w:leader="none" w:pos="124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issuance of any shares of Common Stock pursuant to any option, warrant, right or exercisable, exchangeable or convertible security not described in clause (ii) of this subsection and outstanding as of the Original Issuance Date;</w:t>
      </w:r>
    </w:p>
    <w:p>
      <w:pPr>
        <w:spacing w:after="0" w:line="9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20"/>
          </w:cols>
          <w:pgMar w:left="880" w:top="270" w:right="499" w:bottom="1440" w:gutter="0" w:footer="0" w:header="0"/>
        </w:sectPr>
      </w:pPr>
    </w:p>
    <w:bookmarkStart w:id="37" w:name="page38"/>
    <w:bookmarkEnd w:id="37"/>
    <w:p>
      <w:pPr>
        <w:ind w:left="540" w:right="600" w:firstLine="408"/>
        <w:spacing w:after="0" w:line="282" w:lineRule="auto"/>
        <w:tabs>
          <w:tab w:leader="none" w:pos="119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a tender offer by any party other than a tender offer by the Company or one or more of the Company’s Subsidiaries as described in </w:t>
      </w:r>
      <w:r>
        <w:rPr>
          <w:rFonts w:ascii="Times New Roman" w:cs="Times New Roman" w:eastAsia="Times New Roman" w:hAnsi="Times New Roman"/>
          <w:sz w:val="18"/>
          <w:szCs w:val="18"/>
          <w:u w:val="single" w:color="auto"/>
          <w:color w:val="auto"/>
        </w:rPr>
        <w:t>Section 11(d)</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540" w:right="140" w:firstLine="408"/>
        <w:spacing w:after="0" w:line="261" w:lineRule="auto"/>
        <w:tabs>
          <w:tab w:leader="none" w:pos="124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repurchase of any shares of the Common Stock pursuant to an open-market share repurchase program or other buy-back transaction (including, without limitation, through any structured or derivative transactions such as accelerated share repurchase transactions or similar forward derivatives), or other buy-back transaction, that is not a tender offer or exchange offer of the nature described under </w:t>
      </w:r>
      <w:r>
        <w:rPr>
          <w:rFonts w:ascii="Times New Roman" w:cs="Times New Roman" w:eastAsia="Times New Roman" w:hAnsi="Times New Roman"/>
          <w:sz w:val="18"/>
          <w:szCs w:val="18"/>
          <w:u w:val="single" w:color="auto"/>
          <w:color w:val="auto"/>
        </w:rPr>
        <w:t>Section 11(d)</w:t>
      </w:r>
      <w:r>
        <w:rPr>
          <w:rFonts w:ascii="Times New Roman" w:cs="Times New Roman" w:eastAsia="Times New Roman" w:hAnsi="Times New Roman"/>
          <w:sz w:val="18"/>
          <w:szCs w:val="18"/>
          <w:color w:val="auto"/>
        </w:rPr>
        <w:t>; or</w:t>
      </w:r>
    </w:p>
    <w:p>
      <w:pPr>
        <w:spacing w:after="0" w:line="71" w:lineRule="exact"/>
        <w:rPr>
          <w:rFonts w:ascii="Times New Roman" w:cs="Times New Roman" w:eastAsia="Times New Roman" w:hAnsi="Times New Roman"/>
          <w:sz w:val="18"/>
          <w:szCs w:val="18"/>
          <w:color w:val="auto"/>
        </w:rPr>
      </w:pPr>
    </w:p>
    <w:p>
      <w:pPr>
        <w:ind w:left="1300" w:hanging="352"/>
        <w:spacing w:after="0"/>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a change in the par value (or lack of par value) of the Common Stock.</w:t>
      </w:r>
    </w:p>
    <w:p>
      <w:pPr>
        <w:spacing w:after="0" w:line="117" w:lineRule="exact"/>
        <w:rPr>
          <w:rFonts w:ascii="Times New Roman" w:cs="Times New Roman" w:eastAsia="Times New Roman" w:hAnsi="Times New Roman"/>
          <w:sz w:val="18"/>
          <w:szCs w:val="18"/>
          <w:color w:val="auto"/>
        </w:rPr>
      </w:pPr>
    </w:p>
    <w:p>
      <w:pPr>
        <w:ind w:firstLine="419"/>
        <w:spacing w:after="0" w:line="254" w:lineRule="auto"/>
        <w:tabs>
          <w:tab w:leader="none" w:pos="63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adjust the Conversion Rate pursuant to the clauses above unless the adjustment would result in a change of at least 1% in the then effective Conversion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carry forward any adjustment to the Conversion Rate that the Company would otherwise have to make and take that adjustment into account in any subsequent adjustment. Notwithstanding the foregoing, all such carried-forward adjustments shall be made with respect to the Series B-1 Preferred Stock (i) in connection with any subsequent adjustment to the Conversion Rate of at least 1% of the Conversion Rate and (ii) regardless of whether the aggregate adjustment is less than 1% of the Conversion Rate, on the Conversion Date, in each case, unless the adjustment has already been made. The provisions described above in this </w:t>
      </w:r>
      <w:r>
        <w:rPr>
          <w:rFonts w:ascii="Times New Roman" w:cs="Times New Roman" w:eastAsia="Times New Roman" w:hAnsi="Times New Roman"/>
          <w:sz w:val="18"/>
          <w:szCs w:val="18"/>
          <w:u w:val="single" w:color="auto"/>
          <w:color w:val="auto"/>
        </w:rPr>
        <w:t>Section 11(j)</w:t>
      </w:r>
      <w:r>
        <w:rPr>
          <w:rFonts w:ascii="Times New Roman" w:cs="Times New Roman" w:eastAsia="Times New Roman" w:hAnsi="Times New Roman"/>
          <w:sz w:val="18"/>
          <w:szCs w:val="18"/>
          <w:color w:val="auto"/>
        </w:rPr>
        <w:t xml:space="preserve"> are referred to as the “</w:t>
      </w:r>
      <w:r>
        <w:rPr>
          <w:rFonts w:ascii="Times New Roman" w:cs="Times New Roman" w:eastAsia="Times New Roman" w:hAnsi="Times New Roman"/>
          <w:sz w:val="18"/>
          <w:szCs w:val="18"/>
          <w:b w:val="1"/>
          <w:bCs w:val="1"/>
          <w:i w:val="1"/>
          <w:iCs w:val="1"/>
          <w:color w:val="auto"/>
        </w:rPr>
        <w:t>1% Exception</w:t>
      </w:r>
      <w:r>
        <w:rPr>
          <w:rFonts w:ascii="Times New Roman" w:cs="Times New Roman" w:eastAsia="Times New Roman" w:hAnsi="Times New Roman"/>
          <w:sz w:val="18"/>
          <w:szCs w:val="18"/>
          <w:color w:val="auto"/>
        </w:rPr>
        <w:t xml:space="preserve">”. All calculations and other determinations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be made by the Company and shall be made to the nearest 1/10,000th of a share.</w:t>
      </w:r>
    </w:p>
    <w:p>
      <w:pPr>
        <w:spacing w:after="0" w:line="83" w:lineRule="exact"/>
        <w:rPr>
          <w:rFonts w:ascii="Times New Roman" w:cs="Times New Roman" w:eastAsia="Times New Roman" w:hAnsi="Times New Roman"/>
          <w:sz w:val="18"/>
          <w:szCs w:val="18"/>
          <w:color w:val="auto"/>
        </w:rPr>
      </w:pPr>
    </w:p>
    <w:p>
      <w:pPr>
        <w:ind w:right="80" w:firstLine="419"/>
        <w:spacing w:after="0" w:line="255" w:lineRule="auto"/>
        <w:tabs>
          <w:tab w:leader="none" w:pos="67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Conversion Rate is adjusted as herein provided, the Company shall promptly file with the Conversion Agent an Officers’ Certificate setting forth the Conversion Rate after such adjustment and setting forth a brief statement of the facts requiring such adjustment. Unless and until the Conversion Agent shall have received such Officers’ Certificate, the Conversion Agent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Failure to deliver such notice shall not affect the legality or validity of any such adjustment.</w:t>
      </w:r>
    </w:p>
    <w:p>
      <w:pPr>
        <w:spacing w:after="0" w:line="80" w:lineRule="exact"/>
        <w:rPr>
          <w:rFonts w:ascii="Times New Roman" w:cs="Times New Roman" w:eastAsia="Times New Roman" w:hAnsi="Times New Roman"/>
          <w:sz w:val="18"/>
          <w:szCs w:val="18"/>
          <w:color w:val="auto"/>
        </w:rPr>
      </w:pPr>
    </w:p>
    <w:p>
      <w:pPr>
        <w:jc w:val="both"/>
        <w:ind w:right="360" w:firstLine="419"/>
        <w:spacing w:after="0" w:line="261" w:lineRule="auto"/>
        <w:tabs>
          <w:tab w:leader="none" w:pos="63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the number of shares of Common Stock at any time outstanding shall not include shares of Common Stock held in the treasury of the Company so long as the Company does not pay any dividend or make any distribution on shares of Common Stock held in the treasury of the Company, but shall include shares of Common Stock issuable in respect of scrip certificates issued in lieu of fractions of shares of Common Stock.</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40"/>
          </w:cols>
          <w:pgMar w:left="880" w:top="270" w:right="479" w:bottom="1440" w:gutter="0" w:footer="0" w:header="0"/>
        </w:sectPr>
      </w:pPr>
    </w:p>
    <w:bookmarkStart w:id="38" w:name="page39"/>
    <w:bookmarkEnd w:id="3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12. </w:t>
      </w:r>
      <w:r>
        <w:rPr>
          <w:rFonts w:ascii="Times New Roman" w:cs="Times New Roman" w:eastAsia="Times New Roman" w:hAnsi="Times New Roman"/>
          <w:sz w:val="18"/>
          <w:szCs w:val="18"/>
          <w:u w:val="single" w:color="auto"/>
          <w:color w:val="auto"/>
        </w:rPr>
        <w:t>Reorganization Events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100" w:hanging="241"/>
        <w:spacing w:after="0"/>
        <w:tabs>
          <w:tab w:leader="none" w:pos="1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Reorganization Events</w:t>
      </w:r>
      <w:r>
        <w:rPr>
          <w:rFonts w:ascii="Times New Roman" w:cs="Times New Roman" w:eastAsia="Times New Roman" w:hAnsi="Times New Roman"/>
          <w:sz w:val="18"/>
          <w:szCs w:val="18"/>
          <w:color w:val="auto"/>
        </w:rPr>
        <w:t>. In the event of:</w:t>
      </w:r>
    </w:p>
    <w:p>
      <w:pPr>
        <w:spacing w:after="0" w:line="117" w:lineRule="exact"/>
        <w:rPr>
          <w:rFonts w:ascii="Times New Roman" w:cs="Times New Roman" w:eastAsia="Times New Roman" w:hAnsi="Times New Roman"/>
          <w:sz w:val="18"/>
          <w:szCs w:val="18"/>
          <w:color w:val="auto"/>
        </w:rPr>
      </w:pPr>
    </w:p>
    <w:p>
      <w:pPr>
        <w:ind w:left="980" w:right="80" w:firstLine="408"/>
        <w:spacing w:after="0" w:line="266" w:lineRule="auto"/>
        <w:tabs>
          <w:tab w:leader="none" w:pos="159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reclassification, statutory exchange, merger, consolidation or other similar business combination of the Company with or into another Person, in each case, pursuant to which at least a majority of the Common Stock is changed or converted into, or exchanged for, cash, securities or other property of the Company or another Person;</w:t>
      </w:r>
    </w:p>
    <w:p>
      <w:pPr>
        <w:spacing w:after="0" w:line="67" w:lineRule="exact"/>
        <w:rPr>
          <w:rFonts w:ascii="Times New Roman" w:cs="Times New Roman" w:eastAsia="Times New Roman" w:hAnsi="Times New Roman"/>
          <w:sz w:val="18"/>
          <w:szCs w:val="18"/>
          <w:color w:val="auto"/>
        </w:rPr>
      </w:pPr>
    </w:p>
    <w:p>
      <w:pPr>
        <w:ind w:left="980" w:right="240" w:firstLine="408"/>
        <w:spacing w:after="0" w:line="282" w:lineRule="auto"/>
        <w:tabs>
          <w:tab w:leader="none" w:pos="164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or conveyance to another Person of all or a majority of the property and assets of the Company, in each case pursuant to which the Common Stock is converted into cash, securities or other property; or</w:t>
      </w:r>
    </w:p>
    <w:p>
      <w:pPr>
        <w:spacing w:after="0" w:line="53" w:lineRule="exact"/>
        <w:rPr>
          <w:rFonts w:ascii="Times New Roman" w:cs="Times New Roman" w:eastAsia="Times New Roman" w:hAnsi="Times New Roman"/>
          <w:sz w:val="18"/>
          <w:szCs w:val="18"/>
          <w:color w:val="auto"/>
        </w:rPr>
      </w:pPr>
    </w:p>
    <w:p>
      <w:pPr>
        <w:ind w:left="980" w:right="80" w:firstLine="408"/>
        <w:spacing w:after="0" w:line="282" w:lineRule="auto"/>
        <w:tabs>
          <w:tab w:leader="none" w:pos="169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exchange of securities of the Company with another Person (other than in connection with a merger or acquisition) or reclassification, recapitalization or reorganization of the Common Stock into other securities;</w:t>
      </w:r>
    </w:p>
    <w:p>
      <w:pPr>
        <w:spacing w:after="0" w:line="15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(each, a “</w:t>
      </w:r>
      <w:r>
        <w:rPr>
          <w:rFonts w:ascii="Times New Roman" w:cs="Times New Roman" w:eastAsia="Times New Roman" w:hAnsi="Times New Roman"/>
          <w:sz w:val="18"/>
          <w:szCs w:val="18"/>
          <w:b w:val="1"/>
          <w:bCs w:val="1"/>
          <w:i w:val="1"/>
          <w:iCs w:val="1"/>
          <w:color w:val="auto"/>
        </w:rPr>
        <w:t>Reorganization Event</w:t>
      </w:r>
      <w:r>
        <w:rPr>
          <w:rFonts w:ascii="Times New Roman" w:cs="Times New Roman" w:eastAsia="Times New Roman" w:hAnsi="Times New Roman"/>
          <w:sz w:val="18"/>
          <w:szCs w:val="18"/>
          <w:color w:val="auto"/>
        </w:rPr>
        <w:t xml:space="preserve">”), each share of Series B-1 Preferred Stock outstanding immediately prior to such Reorganization Event shall, without the consent of the Holders and subject to </w:t>
      </w:r>
      <w:r>
        <w:rPr>
          <w:rFonts w:ascii="Times New Roman" w:cs="Times New Roman" w:eastAsia="Times New Roman" w:hAnsi="Times New Roman"/>
          <w:sz w:val="18"/>
          <w:szCs w:val="18"/>
          <w:u w:val="single" w:color="auto"/>
          <w:color w:val="auto"/>
        </w:rPr>
        <w:t>Section 12(d)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13(b)</w:t>
      </w:r>
      <w:r>
        <w:rPr>
          <w:rFonts w:ascii="Times New Roman" w:cs="Times New Roman" w:eastAsia="Times New Roman" w:hAnsi="Times New Roman"/>
          <w:sz w:val="18"/>
          <w:szCs w:val="18"/>
          <w:color w:val="auto"/>
        </w:rPr>
        <w:t>, remain outstanding but shall become convertible into the number, kind and amount of securities, cash and other property (the “</w:t>
      </w:r>
      <w:r>
        <w:rPr>
          <w:rFonts w:ascii="Times New Roman" w:cs="Times New Roman" w:eastAsia="Times New Roman" w:hAnsi="Times New Roman"/>
          <w:sz w:val="18"/>
          <w:szCs w:val="18"/>
          <w:b w:val="1"/>
          <w:bCs w:val="1"/>
          <w:i w:val="1"/>
          <w:iCs w:val="1"/>
          <w:color w:val="auto"/>
        </w:rPr>
        <w:t>Exchange Property</w:t>
      </w:r>
      <w:r>
        <w:rPr>
          <w:rFonts w:ascii="Times New Roman" w:cs="Times New Roman" w:eastAsia="Times New Roman" w:hAnsi="Times New Roman"/>
          <w:sz w:val="18"/>
          <w:szCs w:val="18"/>
          <w:color w:val="auto"/>
        </w:rPr>
        <w:t xml:space="preserve">”) (without any interest on such Exchange Property and without any right to dividends or distributions on such Exchange Property that have a record date that is prior to the applicable Conversion Date) that the Holder of such share of Series B-1 Preferred Stock would have received in such Reorganization Event had such Holder converted its shares of Series B-1 Preferred Stock into the applicable number of shares of Common Stock immediately prior to the effective date of the Reorganization Event using the Conversion Rate applicable immediately prior to the effective date of the Reorganization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shall not apply if such Holder is a Person with which the Company consolidated or into which the Company merged or which merged into the Company or to which such sale or transfer was made, as the case may be (any such Person, a “</w:t>
      </w:r>
      <w:r>
        <w:rPr>
          <w:rFonts w:ascii="Times New Roman" w:cs="Times New Roman" w:eastAsia="Times New Roman" w:hAnsi="Times New Roman"/>
          <w:sz w:val="18"/>
          <w:szCs w:val="18"/>
          <w:b w:val="1"/>
          <w:bCs w:val="1"/>
          <w:i w:val="1"/>
          <w:iCs w:val="1"/>
          <w:color w:val="auto"/>
        </w:rPr>
        <w:t>Constituent Person</w:t>
      </w:r>
      <w:r>
        <w:rPr>
          <w:rFonts w:ascii="Times New Roman" w:cs="Times New Roman" w:eastAsia="Times New Roman" w:hAnsi="Times New Roman"/>
          <w:sz w:val="18"/>
          <w:szCs w:val="18"/>
          <w:color w:val="auto"/>
        </w:rPr>
        <w:t xml:space="preserve">”), or an Affiliate of a Constituent Person, to the extent such Reorganization Event provides for different treatment of Common Stock held by such Constituent Persons or such Affiliate thereof. If the kind or amount of securities, cash and other property receivable on such Reorganization Event is not the same for each share of Common Stock held immediately prior to such Reorganization Event by a Person (other than a Constituent Person or an Affiliate thereof), then for the purpose of this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the kind and amount of securities, cash and other property receivable on conversion following such Reorganization Event shall be deemed to be the weighted average of the types and amounts of consideration received by the holders of Common Stock. For the avoidance of doubt, if any Reorganization Event constitutes a Change of Control, the provisions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also apply.</w:t>
      </w:r>
    </w:p>
    <w:p>
      <w:pPr>
        <w:spacing w:after="0" w:line="79" w:lineRule="exact"/>
        <w:rPr>
          <w:sz w:val="20"/>
          <w:szCs w:val="20"/>
          <w:color w:val="auto"/>
        </w:rPr>
      </w:pPr>
    </w:p>
    <w:p>
      <w:pPr>
        <w:ind w:left="440" w:firstLine="419"/>
        <w:spacing w:after="0" w:line="266" w:lineRule="auto"/>
        <w:tabs>
          <w:tab w:leader="none" w:pos="11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Successive Reorganization Events</w:t>
      </w:r>
      <w:r>
        <w:rPr>
          <w:rFonts w:ascii="Times New Roman" w:cs="Times New Roman" w:eastAsia="Times New Roman" w:hAnsi="Times New Roman"/>
          <w:sz w:val="18"/>
          <w:szCs w:val="18"/>
          <w:color w:val="auto"/>
        </w:rPr>
        <w:t xml:space="preserve">. The above provisions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shall similarly apply to successive Reorganization Events and the provisions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apply to any shares of Capital Stock (as though such Capital Stock were Common Stock) received by all the holders of the Common Stock in any such Reorganization Event.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440" w:top="270" w:right="439" w:bottom="1440" w:gutter="0" w:footer="0" w:header="0"/>
        </w:sectPr>
      </w:pPr>
    </w:p>
    <w:bookmarkStart w:id="39" w:name="page40"/>
    <w:bookmarkEnd w:id="39"/>
    <w:p>
      <w:pPr>
        <w:ind w:right="20" w:firstLine="419"/>
        <w:spacing w:after="0" w:line="266" w:lineRule="auto"/>
        <w:tabs>
          <w:tab w:leader="none" w:pos="66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Reorganization Event Notice</w:t>
      </w:r>
      <w:r>
        <w:rPr>
          <w:rFonts w:ascii="Times New Roman" w:cs="Times New Roman" w:eastAsia="Times New Roman" w:hAnsi="Times New Roman"/>
          <w:sz w:val="18"/>
          <w:szCs w:val="18"/>
          <w:color w:val="auto"/>
        </w:rPr>
        <w:t xml:space="preserve">. The Company (or any successor) shall, no less than 30 days prior to the anticipated effective date of any Reorganization Event, provide written notice to the Holders of such occurrence of such event and of the kind and amount of the cash, securities or other property that constitutes the Exchange Property. Failure to deliver such notice shall not affect the operation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firstLine="419"/>
        <w:spacing w:after="0" w:line="256" w:lineRule="auto"/>
        <w:tabs>
          <w:tab w:leader="none" w:pos="67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Reorganization Event Agreements</w:t>
      </w:r>
      <w:r>
        <w:rPr>
          <w:rFonts w:ascii="Times New Roman" w:cs="Times New Roman" w:eastAsia="Times New Roman" w:hAnsi="Times New Roman"/>
          <w:sz w:val="18"/>
          <w:szCs w:val="18"/>
          <w:color w:val="auto"/>
        </w:rPr>
        <w:t xml:space="preserve">. The Company shall not enter into any agreement for a transaction constituting a Reorganization Event unless (i) such agreement provides for or does not interfere with or prevent (as applicable) conversion of the Series B-1 Preferred Stock into the Exchange Property in a manner that is consistent with and gives effect to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and (ii) to the extent that the Company is not the surviving corporation in such Reorganization Event or shall be dissolved in connection with such Reorganization Event, proper provision shall be made in the agreements governing such Reorganization Event for the conversion of the Series B-1 Preferred Stock into Capital Stock of the Person surviving such Reorganization Event or such other continuing entity in such Reorganization Event.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2" w:lineRule="auto"/>
        <w:tabs>
          <w:tab w:leader="none" w:pos="66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Holders of shares of Series B-1 Preferred Stock shall be entitled to vote as a single class with the holders of the Common Stock and the holders of any other class or series of Capital Stock of the Company then entitled to vote with the Common Stock on all matters submitted to a vote of the holders of Common Stock (and, if applicable, holders of any other class or series of Capital Stock of the Company). The Holders shall be entitled to notice of any meeting of holders of Common Stock in accordance with the Certificate of Incorporation and Bylaws. Each Holder shall be entitled to the number of votes with respect to the shares of Series B-1 Preferred Stock held by such Holder equal to (i) the largest number of whole shares of Common Stock into which all shares of Series B-1 Preferred Stock could be converted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multiplied by </w:t>
      </w:r>
      <w:r>
        <w:rPr>
          <w:rFonts w:ascii="Times New Roman" w:cs="Times New Roman" w:eastAsia="Times New Roman" w:hAnsi="Times New Roman"/>
          <w:sz w:val="18"/>
          <w:szCs w:val="18"/>
          <w:color w:val="auto"/>
        </w:rPr>
        <w:t>(ii) (A) the number of shares of Series B-1 Preferred Stock held by such Holder</w:t>
      </w:r>
      <w:r>
        <w:rPr>
          <w:rFonts w:ascii="Times New Roman" w:cs="Times New Roman" w:eastAsia="Times New Roman" w:hAnsi="Times New Roman"/>
          <w:sz w:val="18"/>
          <w:szCs w:val="18"/>
          <w:i w:val="1"/>
          <w:iCs w:val="1"/>
          <w:color w:val="auto"/>
        </w:rPr>
        <w:t xml:space="preserve"> divided by </w:t>
      </w:r>
      <w:r>
        <w:rPr>
          <w:rFonts w:ascii="Times New Roman" w:cs="Times New Roman" w:eastAsia="Times New Roman" w:hAnsi="Times New Roman"/>
          <w:sz w:val="18"/>
          <w:szCs w:val="18"/>
          <w:color w:val="auto"/>
        </w:rPr>
        <w:t>(B) the aggregate number of issued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outstanding shares of Series B-1 Preferred Stock, in each case at and calculated as of the record date for the determination of stockholders entitled to vote or consent on such matters;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to the extent the Series B-1 Preferred Stock held by the Casdin Parties would, in the aggregate, represent voting rights with respect to more than 19.9% of the Company’s outstanding Common Stock (including the Series B-1 Preferred Stock on an as-converted basis) (the “</w:t>
      </w:r>
      <w:r>
        <w:rPr>
          <w:rFonts w:ascii="Times New Roman" w:cs="Times New Roman" w:eastAsia="Times New Roman" w:hAnsi="Times New Roman"/>
          <w:sz w:val="18"/>
          <w:szCs w:val="18"/>
          <w:b w:val="1"/>
          <w:bCs w:val="1"/>
          <w:i w:val="1"/>
          <w:iCs w:val="1"/>
          <w:color w:val="auto"/>
        </w:rPr>
        <w:t>Voting Threshold</w:t>
      </w:r>
      <w:r>
        <w:rPr>
          <w:rFonts w:ascii="Times New Roman" w:cs="Times New Roman" w:eastAsia="Times New Roman" w:hAnsi="Times New Roman"/>
          <w:sz w:val="18"/>
          <w:szCs w:val="18"/>
          <w:color w:val="auto"/>
        </w:rPr>
        <w:t>”), the Casdin Parties shall not be permitted to exercise the voting rights with respect to any shares of Series B-1 Preferred Stock held by them in excess of the Voting Threshold and the Chief Financial Officer or the General Counsel of the Company in office from time to time, each of them individually, with full power of substitution and resubstitution, shall exercise the voting rights with respect to such shares of Series B-1 Preferred Stock in excess of the Voting Threshold in a Neutral Manner.</w:t>
      </w:r>
    </w:p>
    <w:p>
      <w:pPr>
        <w:spacing w:after="0" w:line="13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540"/>
          </w:cols>
          <w:pgMar w:left="880" w:top="270" w:right="479" w:bottom="1440" w:gutter="0" w:footer="0" w:header="0"/>
        </w:sectPr>
      </w:pPr>
    </w:p>
    <w:bookmarkStart w:id="40" w:name="page41"/>
    <w:bookmarkEnd w:id="40"/>
    <w:p>
      <w:pPr>
        <w:ind w:right="20" w:firstLine="419"/>
        <w:spacing w:after="0" w:line="258" w:lineRule="auto"/>
        <w:tabs>
          <w:tab w:leader="none" w:pos="67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 Consent Rights</w:t>
      </w:r>
      <w:r>
        <w:rPr>
          <w:rFonts w:ascii="Times New Roman" w:cs="Times New Roman" w:eastAsia="Times New Roman" w:hAnsi="Times New Roman"/>
          <w:sz w:val="18"/>
          <w:szCs w:val="18"/>
          <w:color w:val="auto"/>
        </w:rPr>
        <w:t xml:space="preserve">. In addition to, and not in limitation of, </w:t>
      </w:r>
      <w:r>
        <w:rPr>
          <w:rFonts w:ascii="Times New Roman" w:cs="Times New Roman" w:eastAsia="Times New Roman" w:hAnsi="Times New Roman"/>
          <w:sz w:val="18"/>
          <w:szCs w:val="18"/>
          <w:u w:val="single" w:color="auto"/>
          <w:color w:val="auto"/>
        </w:rPr>
        <w:t>Section 13(a)</w:t>
      </w:r>
      <w:r>
        <w:rPr>
          <w:rFonts w:ascii="Times New Roman" w:cs="Times New Roman" w:eastAsia="Times New Roman" w:hAnsi="Times New Roman"/>
          <w:sz w:val="18"/>
          <w:szCs w:val="18"/>
          <w:color w:val="auto"/>
        </w:rPr>
        <w:t>, the vote or written approval or election of the Holders of at least 60% of the shares of Series B Preferred Stock outstanding at such time, voting or providing such approval or election together as a single class, and for the avoidance of doubt, without giving effect to limitations associated with the Voting Threshold, given in person or by proxy, either in writing without a meeting or by vote at any meeting called for the purpose, shall be necessary for, directly or indirectly, taking any of the following actions, whether or not such approval is required pursuant to the DGCL:</w:t>
      </w:r>
    </w:p>
    <w:p>
      <w:pPr>
        <w:spacing w:after="0" w:line="75" w:lineRule="exact"/>
        <w:rPr>
          <w:rFonts w:ascii="Times New Roman" w:cs="Times New Roman" w:eastAsia="Times New Roman" w:hAnsi="Times New Roman"/>
          <w:sz w:val="18"/>
          <w:szCs w:val="18"/>
          <w:color w:val="auto"/>
        </w:rPr>
      </w:pPr>
    </w:p>
    <w:p>
      <w:pPr>
        <w:ind w:left="540" w:firstLine="408"/>
        <w:spacing w:after="0" w:line="255" w:lineRule="auto"/>
        <w:tabs>
          <w:tab w:leader="none" w:pos="115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or alteration (whether by merger, consolidation or otherwise) of, or any supplement (whether by a certificate of designations or otherwise) to, the Certificate of Incorporation or any provision thereof, or any other action, to authorize or create, or increase the number of authorized or issued shares of, or any securities convertible into shares of, or reclassify any security into, or issue, any Parity Stock (other than Series B-2 Preferred Stock in connection with the Transactions) or Senior Stock or any other class or series of Capital Stock of the Company ranking senior to, or on a parity basis with, the Series B-1 Preferred Stock or Series B-2 Preferred Stock as to dividend rights or rights on the distribution of assets on any voluntary or involuntary liquidation, dissolution or winding up of the affairs of the Company;</w:t>
      </w:r>
    </w:p>
    <w:p>
      <w:pPr>
        <w:spacing w:after="0" w:line="80" w:lineRule="exact"/>
        <w:rPr>
          <w:rFonts w:ascii="Times New Roman" w:cs="Times New Roman" w:eastAsia="Times New Roman" w:hAnsi="Times New Roman"/>
          <w:sz w:val="18"/>
          <w:szCs w:val="18"/>
          <w:color w:val="auto"/>
        </w:rPr>
      </w:pPr>
    </w:p>
    <w:p>
      <w:pPr>
        <w:ind w:left="1220" w:hanging="272"/>
        <w:spacing w:after="0"/>
        <w:tabs>
          <w:tab w:leader="none" w:pos="12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or payment of any dividend or distribution on any Capital Stock of the Company;</w:t>
      </w:r>
    </w:p>
    <w:p>
      <w:pPr>
        <w:spacing w:after="0" w:line="117" w:lineRule="exact"/>
        <w:rPr>
          <w:rFonts w:ascii="Times New Roman" w:cs="Times New Roman" w:eastAsia="Times New Roman" w:hAnsi="Times New Roman"/>
          <w:sz w:val="18"/>
          <w:szCs w:val="18"/>
          <w:color w:val="auto"/>
        </w:rPr>
      </w:pPr>
    </w:p>
    <w:p>
      <w:pPr>
        <w:ind w:left="540" w:right="60" w:firstLine="408"/>
        <w:spacing w:after="0" w:line="256" w:lineRule="auto"/>
        <w:tabs>
          <w:tab w:leader="none" w:pos="125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redemption or other acquisition for consideration by the Company, directly or indirectly, of any Common Stock or other Junior Stock, except for (A) the “net” or “cashless” exercise of stock options or warrants, (B) the withholding or repurchase of Capital Stock to satisfy applicable tax withholding obligations arising in connection with exercised stock options or the vesting or settlement of restricted stock units or other stock awards or (C) settlement in cash of restricted stock units or other stock-based awards, in each case of (A) through (C), in the ordinary course of business pursuant to an existing equity plan of the Company or any equity plan approved by the Board;</w:t>
      </w:r>
    </w:p>
    <w:p>
      <w:pPr>
        <w:spacing w:after="0" w:line="79" w:lineRule="exact"/>
        <w:rPr>
          <w:rFonts w:ascii="Times New Roman" w:cs="Times New Roman" w:eastAsia="Times New Roman" w:hAnsi="Times New Roman"/>
          <w:sz w:val="18"/>
          <w:szCs w:val="18"/>
          <w:color w:val="auto"/>
        </w:rPr>
      </w:pPr>
    </w:p>
    <w:p>
      <w:pPr>
        <w:ind w:left="540" w:right="580" w:firstLine="408"/>
        <w:spacing w:after="0" w:line="282" w:lineRule="auto"/>
        <w:tabs>
          <w:tab w:leader="none" w:pos="124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or alteration (whether by merger, consolidation, operation of law or otherwise) to the rights, preferences, privileges or voting powers of the Series B-1 Preferred Stock or Series B-2 Preferred Stock; or</w:t>
      </w:r>
    </w:p>
    <w:p>
      <w:pPr>
        <w:spacing w:after="0" w:line="53" w:lineRule="exact"/>
        <w:rPr>
          <w:rFonts w:ascii="Times New Roman" w:cs="Times New Roman" w:eastAsia="Times New Roman" w:hAnsi="Times New Roman"/>
          <w:sz w:val="18"/>
          <w:szCs w:val="18"/>
          <w:color w:val="auto"/>
        </w:rPr>
      </w:pPr>
    </w:p>
    <w:p>
      <w:pPr>
        <w:ind w:left="540" w:right="280" w:firstLine="408"/>
        <w:spacing w:after="0" w:line="266" w:lineRule="auto"/>
        <w:tabs>
          <w:tab w:leader="none" w:pos="119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alteration or repeal (whether by merger, consolidation, operation of law or otherwise) of any provision of the Certificate of Incorporation (including this Certificate of Designations) or Bylaws that would have an adverse effect on the rights, preferences, privileges or voting power of the Series B-1 Preferred Stock.</w:t>
      </w:r>
    </w:p>
    <w:p>
      <w:pPr>
        <w:spacing w:after="0" w:line="67" w:lineRule="exact"/>
        <w:rPr>
          <w:rFonts w:ascii="Times New Roman" w:cs="Times New Roman" w:eastAsia="Times New Roman" w:hAnsi="Times New Roman"/>
          <w:sz w:val="18"/>
          <w:szCs w:val="18"/>
          <w:color w:val="auto"/>
        </w:rPr>
      </w:pPr>
    </w:p>
    <w:p>
      <w:pPr>
        <w:ind w:right="40" w:firstLine="419"/>
        <w:spacing w:after="0" w:line="261" w:lineRule="auto"/>
        <w:tabs>
          <w:tab w:leader="none" w:pos="66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 Consent Rights</w:t>
      </w:r>
      <w:r>
        <w:rPr>
          <w:rFonts w:ascii="Times New Roman" w:cs="Times New Roman" w:eastAsia="Times New Roman" w:hAnsi="Times New Roman"/>
          <w:sz w:val="18"/>
          <w:szCs w:val="18"/>
          <w:color w:val="auto"/>
        </w:rPr>
        <w:t>. For so long as the Casdin Preferred Percentage is equal to or greater than 7.5%, the vote or consent of at least a majority of the whole Board, including the Series B-1 Preferred Director, if such Series B-1 Director is then in office, either in writing without a meeting or by vote at any meeting, shall be necessary for, directly or indirectly, taking any of the following actions, whether or not such approval is required pursuant to the DGCL:</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540"/>
          </w:cols>
          <w:pgMar w:left="880" w:top="270" w:right="479" w:bottom="1440" w:gutter="0" w:footer="0" w:header="0"/>
        </w:sectPr>
      </w:pPr>
    </w:p>
    <w:bookmarkStart w:id="41" w:name="page42"/>
    <w:bookmarkEnd w:id="41"/>
    <w:p>
      <w:pPr>
        <w:ind w:left="-20" w:right="120" w:firstLine="408"/>
        <w:spacing w:after="0" w:line="261" w:lineRule="auto"/>
        <w:tabs>
          <w:tab w:leader="none" w:pos="59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any amendment, alteration, modification or repeal (whether by merger, consolidation, operation of law or otherwise) of any provision of the Certificate of Incorporation (including this Certificate of Designations) or Bylaws that increases the size of the Board above seven directors after the Original Issuance Date or (B) the authorization or adoption of any resolution that would have the effect of increasing the number of directors constituting the Board above seven directors;</w:t>
      </w:r>
    </w:p>
    <w:p>
      <w:pPr>
        <w:spacing w:after="0" w:line="71" w:lineRule="exact"/>
        <w:rPr>
          <w:rFonts w:ascii="Times New Roman" w:cs="Times New Roman" w:eastAsia="Times New Roman" w:hAnsi="Times New Roman"/>
          <w:sz w:val="18"/>
          <w:szCs w:val="18"/>
          <w:color w:val="auto"/>
        </w:rPr>
      </w:pPr>
    </w:p>
    <w:p>
      <w:pPr>
        <w:ind w:left="-20" w:right="180" w:firstLine="408"/>
        <w:spacing w:after="0" w:line="282" w:lineRule="auto"/>
        <w:tabs>
          <w:tab w:leader="none" w:pos="6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hiring, promotion, demotion or termination of the Chief Executive Officer (whether on an interim basis or otherwise) of the Company;</w:t>
      </w:r>
    </w:p>
    <w:p>
      <w:pPr>
        <w:spacing w:after="0" w:line="53" w:lineRule="exact"/>
        <w:rPr>
          <w:rFonts w:ascii="Times New Roman" w:cs="Times New Roman" w:eastAsia="Times New Roman" w:hAnsi="Times New Roman"/>
          <w:sz w:val="18"/>
          <w:szCs w:val="18"/>
          <w:color w:val="auto"/>
        </w:rPr>
      </w:pPr>
    </w:p>
    <w:p>
      <w:pPr>
        <w:ind w:left="-20" w:firstLine="408"/>
        <w:spacing w:after="0" w:line="252" w:lineRule="auto"/>
        <w:tabs>
          <w:tab w:leader="none" w:pos="69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or modifying (including by waiver) any transaction, agreement or arrangement with, or for the benefit of, any Related Person unless such transaction, agreement or arrangement has been approved by a majority of the disinterested directors of the Company; other than (A) employment or indemnification arrangements with directors (except in a manner that treats the Series B-1 Preferred Director materially differently from the other directors), officers or employees of the Company or any of its Subsidiaries and any benefit plans or employment benefits in the ordinary course of business, (B) routine non-compensatory employment matters such as invention assignment agreements in the ordinary course of business consistent with past practice, (C) transactions, agreements or arrangements involving less than $120,000 per year, (D) transactions, agreements or arrangements contemplated by the Casdin Purchase Agreement or the Viking Purchase Agreement, (E) transactions, agreements or arrangements approved by the Compensation Committee or the Nominating and Corporate Governance Committee of the Board in accordance with their charters as in effect as of the Original Issuance Date (or as may be amended from time to time by the Board (including the Series B-1 Preferred Director if such Series B-1 Director is then in office), (F) transactions pursuant to agreements already in effect (but excluding any modifications to such agreements) or (G) transactions, agreements or arrangements under the Company’s and its Subsidiaries’ benefit plans (including any assumed plans), including, without limitation, option exercises, vesting of restricted stock units, or otherwise, (1) the “net” or “cashless” exercise of stock options or warrants, (2) the withholding or repurchase of Capital Stock to satisfy applicable tax withholding obligations arising in connection with exercised stock options or the vesting or settlement of restricted stock units or other stock awards or (3) settlement in cash of restricted stock units or other stock-based awards, in each case of (1) through (3), in the ordinary course of business pursuant to the Company’s and its Subsidiaries’ equity plans (including any assumed plans);</w:t>
      </w:r>
    </w:p>
    <w:p>
      <w:pPr>
        <w:spacing w:after="0" w:line="85" w:lineRule="exact"/>
        <w:rPr>
          <w:rFonts w:ascii="Times New Roman" w:cs="Times New Roman" w:eastAsia="Times New Roman" w:hAnsi="Times New Roman"/>
          <w:sz w:val="18"/>
          <w:szCs w:val="18"/>
          <w:color w:val="auto"/>
        </w:rPr>
      </w:pPr>
    </w:p>
    <w:p>
      <w:pPr>
        <w:ind w:left="-20" w:right="500" w:firstLine="408"/>
        <w:spacing w:after="0" w:line="282" w:lineRule="auto"/>
        <w:tabs>
          <w:tab w:leader="none" w:pos="68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voluntary petition under any applicable federal or state bankruptcy or insolvency law effected by the Company or any Subsidiary of the Company;</w:t>
      </w:r>
    </w:p>
    <w:p>
      <w:pPr>
        <w:spacing w:after="0" w:line="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9980"/>
          </w:cols>
          <w:pgMar w:left="1440" w:top="270" w:right="479" w:bottom="1440" w:gutter="0" w:footer="0" w:header="0"/>
        </w:sectPr>
      </w:pPr>
    </w:p>
    <w:bookmarkStart w:id="42" w:name="page43"/>
    <w:bookmarkEnd w:id="42"/>
    <w:p>
      <w:pPr>
        <w:ind w:left="1200" w:hanging="252"/>
        <w:spacing w:after="0"/>
        <w:tabs>
          <w:tab w:leader="none" w:pos="12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change in the principal business of the Company or entry by the Company into any material new line of business; or</w:t>
      </w:r>
    </w:p>
    <w:p>
      <w:pPr>
        <w:spacing w:after="0" w:line="117" w:lineRule="exact"/>
        <w:rPr>
          <w:rFonts w:ascii="Times New Roman" w:cs="Times New Roman" w:eastAsia="Times New Roman" w:hAnsi="Times New Roman"/>
          <w:sz w:val="18"/>
          <w:szCs w:val="18"/>
          <w:color w:val="auto"/>
        </w:rPr>
      </w:pPr>
    </w:p>
    <w:p>
      <w:pPr>
        <w:ind w:left="540" w:firstLine="408"/>
        <w:spacing w:after="0" w:line="258" w:lineRule="auto"/>
        <w:tabs>
          <w:tab w:leader="none" w:pos="124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three years after the Original Issuance Date (or such shorter period ending immediately when the Casdin Preferred Percentage is less than 7.5%), (A) any acquisition (including by merger, consolidation or acquisition of stock or assets) of any assets, securities or property of any other Person or (B) any sale, lease, license, transfer or other disposition of any assets of the Company or any of its Subsidiaries (in each case other than acquisitions or dispositions of inventory or equipment in the ordinary course of business and consistent with past practice) for consideration in excess of $50,000,000 in the aggregate in any six month period.</w:t>
      </w:r>
    </w:p>
    <w:p>
      <w:pPr>
        <w:spacing w:after="0" w:line="75" w:lineRule="exact"/>
        <w:rPr>
          <w:rFonts w:ascii="Times New Roman" w:cs="Times New Roman" w:eastAsia="Times New Roman" w:hAnsi="Times New Roman"/>
          <w:sz w:val="18"/>
          <w:szCs w:val="18"/>
          <w:color w:val="auto"/>
        </w:rPr>
      </w:pPr>
    </w:p>
    <w:p>
      <w:pPr>
        <w:ind w:right="160" w:firstLine="419"/>
        <w:spacing w:after="0" w:line="266" w:lineRule="auto"/>
        <w:tabs>
          <w:tab w:leader="none" w:pos="67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Series B-1 Preferred Stock shall have one vote per share on any matter on which Holders of Series B-1 Preferred Stock are entitled to vote either (i) separately as a single class or (ii) together with Holders of the Series B-2 Preferred Stock as a single class, in each case whether at a meeting or by written approval or election, without giving effect to limitations associated with the Voting Threshold.</w:t>
      </w:r>
    </w:p>
    <w:p>
      <w:pPr>
        <w:spacing w:after="0" w:line="67" w:lineRule="exact"/>
        <w:rPr>
          <w:rFonts w:ascii="Times New Roman" w:cs="Times New Roman" w:eastAsia="Times New Roman" w:hAnsi="Times New Roman"/>
          <w:sz w:val="18"/>
          <w:szCs w:val="18"/>
          <w:color w:val="auto"/>
        </w:rPr>
      </w:pPr>
    </w:p>
    <w:p>
      <w:pPr>
        <w:ind w:right="80" w:firstLine="419"/>
        <w:spacing w:after="0" w:line="258" w:lineRule="auto"/>
        <w:tabs>
          <w:tab w:leader="none" w:pos="66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vote or written approval of the Holders of 75% of the shares of Series B-1 Preferred Stock outstanding at such time, voting together as a single class and, for the avoidance of doubt, without giving effect to limitations associated with the Voting Threshold, given in person or by proxy, either in writing without a meeting or by vote at any meeting called for the purpose, shall be sufficient to waive or amend the provisions of </w:t>
      </w:r>
      <w:r>
        <w:rPr>
          <w:rFonts w:ascii="Times New Roman" w:cs="Times New Roman" w:eastAsia="Times New Roman" w:hAnsi="Times New Roman"/>
          <w:sz w:val="18"/>
          <w:szCs w:val="18"/>
          <w:u w:val="single" w:color="auto"/>
          <w:color w:val="auto"/>
        </w:rPr>
        <w:t>Section 9(h)</w:t>
      </w:r>
      <w:r>
        <w:rPr>
          <w:rFonts w:ascii="Times New Roman" w:cs="Times New Roman" w:eastAsia="Times New Roman" w:hAnsi="Times New Roman"/>
          <w:sz w:val="18"/>
          <w:szCs w:val="18"/>
          <w:color w:val="auto"/>
        </w:rPr>
        <w:t xml:space="preserve"> of this Certificate of Designations, and any amendment or waiver of any of the provisions of </w:t>
      </w:r>
      <w:r>
        <w:rPr>
          <w:rFonts w:ascii="Times New Roman" w:cs="Times New Roman" w:eastAsia="Times New Roman" w:hAnsi="Times New Roman"/>
          <w:sz w:val="18"/>
          <w:szCs w:val="18"/>
          <w:u w:val="single" w:color="auto"/>
          <w:color w:val="auto"/>
        </w:rPr>
        <w:t>Section 9(h)</w:t>
      </w:r>
      <w:r>
        <w:rPr>
          <w:rFonts w:ascii="Times New Roman" w:cs="Times New Roman" w:eastAsia="Times New Roman" w:hAnsi="Times New Roman"/>
          <w:sz w:val="18"/>
          <w:szCs w:val="18"/>
          <w:color w:val="auto"/>
        </w:rPr>
        <w:t xml:space="preserve"> approved by such percentage of the Holders shall be binding on all of the Holders.</w:t>
      </w:r>
    </w:p>
    <w:p>
      <w:pPr>
        <w:spacing w:after="0" w:line="75" w:lineRule="exact"/>
        <w:rPr>
          <w:rFonts w:ascii="Times New Roman" w:cs="Times New Roman" w:eastAsia="Times New Roman" w:hAnsi="Times New Roman"/>
          <w:sz w:val="18"/>
          <w:szCs w:val="18"/>
          <w:color w:val="auto"/>
        </w:rPr>
      </w:pPr>
    </w:p>
    <w:p>
      <w:pPr>
        <w:ind w:firstLine="419"/>
        <w:spacing w:after="0" w:line="261" w:lineRule="auto"/>
        <w:tabs>
          <w:tab w:leader="none" w:pos="6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and notwithstanding anything to the contrary in the Certificate of Incorporation or Bylaws, to the fullest extent permitted by applicable law, the holders of Series B Preferred Stock shall have the exclusive approval, election and voting rights set forth in </w:t>
      </w:r>
      <w:r>
        <w:rPr>
          <w:rFonts w:ascii="Times New Roman" w:cs="Times New Roman" w:eastAsia="Times New Roman" w:hAnsi="Times New Roman"/>
          <w:sz w:val="18"/>
          <w:szCs w:val="18"/>
          <w:u w:val="single" w:color="auto"/>
          <w:color w:val="auto"/>
        </w:rPr>
        <w:t>Section 13(b)</w:t>
      </w:r>
      <w:r>
        <w:rPr>
          <w:rFonts w:ascii="Times New Roman" w:cs="Times New Roman" w:eastAsia="Times New Roman" w:hAnsi="Times New Roman"/>
          <w:sz w:val="18"/>
          <w:szCs w:val="18"/>
          <w:color w:val="auto"/>
        </w:rPr>
        <w:t xml:space="preserve"> and may effectuate such rights by delivering an approval, election or consent in writing or by electronic transmission of the requisite holders of the Series B Preferred Stock.</w:t>
      </w:r>
    </w:p>
    <w:p>
      <w:pPr>
        <w:spacing w:after="0" w:line="71" w:lineRule="exact"/>
        <w:rPr>
          <w:rFonts w:ascii="Times New Roman" w:cs="Times New Roman" w:eastAsia="Times New Roman" w:hAnsi="Times New Roman"/>
          <w:sz w:val="18"/>
          <w:szCs w:val="18"/>
          <w:color w:val="auto"/>
        </w:rPr>
      </w:pPr>
    </w:p>
    <w:p>
      <w:pPr>
        <w:ind w:right="80" w:firstLine="419"/>
        <w:spacing w:after="0" w:line="261" w:lineRule="auto"/>
        <w:tabs>
          <w:tab w:leader="none" w:pos="67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acquisition of shares of Series B-1 Preferred Stock, the Holder of such shares shall be deemed to irrevocably appoint as its proxy and attorney-in-fact, the Chief Financial Officer and the General Counsel of the Company in office from time to time, each of them individually, with full power of substitution and resubstitution, to consent, approve or vote any shares of Series B-1 Preferred Stock held by them in excess of the Voting Threshold as indicated in </w:t>
      </w:r>
      <w:r>
        <w:rPr>
          <w:rFonts w:ascii="Times New Roman" w:cs="Times New Roman" w:eastAsia="Times New Roman" w:hAnsi="Times New Roman"/>
          <w:sz w:val="18"/>
          <w:szCs w:val="18"/>
          <w:u w:val="single" w:color="auto"/>
          <w:color w:val="auto"/>
        </w:rPr>
        <w:t>Section 13(a)</w:t>
      </w:r>
      <w:r>
        <w:rPr>
          <w:rFonts w:ascii="Times New Roman" w:cs="Times New Roman" w:eastAsia="Times New Roman" w:hAnsi="Times New Roman"/>
          <w:sz w:val="18"/>
          <w:szCs w:val="18"/>
          <w:color w:val="auto"/>
        </w:rPr>
        <w:t xml:space="preserve"> with respect to any matters that must be voted in a Neutral Manner.</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560"/>
          </w:cols>
          <w:pgMar w:left="880" w:top="270"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14. </w:t>
      </w:r>
      <w:r>
        <w:rPr>
          <w:rFonts w:ascii="Times New Roman" w:cs="Times New Roman" w:eastAsia="Times New Roman" w:hAnsi="Times New Roman"/>
          <w:sz w:val="18"/>
          <w:szCs w:val="18"/>
          <w:u w:val="single" w:color="auto"/>
          <w:color w:val="auto"/>
        </w:rPr>
        <w:t>Series B-1 Preferred Director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68" w:lineRule="auto"/>
        <w:tabs>
          <w:tab w:leader="none" w:pos="668"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so long as the Casdin Preferred Percentage is equal to or greater than 7.5%, the Holders of a majority of the outstanding shares of Series B-1 Preferred Stock, voting separately as a single class, and for the avoidance of doubt, without giving effect to limitations associated with the Voting Threshold, shall be entitled, at each annual meeting of the stockholders of the Company or at any special meeting called for the purpose of electing directors, to nominate and elect one member of the Board (a “</w:t>
      </w:r>
      <w:r>
        <w:rPr>
          <w:rFonts w:ascii="Times New Roman" w:cs="Times New Roman" w:eastAsia="Times New Roman" w:hAnsi="Times New Roman"/>
          <w:sz w:val="17"/>
          <w:szCs w:val="17"/>
          <w:b w:val="1"/>
          <w:bCs w:val="1"/>
          <w:i w:val="1"/>
          <w:iCs w:val="1"/>
          <w:color w:val="auto"/>
        </w:rPr>
        <w:t>Series B-1 Preferred Director</w:t>
      </w:r>
      <w:r>
        <w:rPr>
          <w:rFonts w:ascii="Times New Roman" w:cs="Times New Roman" w:eastAsia="Times New Roman" w:hAnsi="Times New Roman"/>
          <w:sz w:val="17"/>
          <w:szCs w:val="17"/>
          <w:color w:val="auto"/>
        </w:rPr>
        <w:t xml:space="preserve">”). The Series B-1 Preferred Director shall not be subject to the classified board of directors provisions of Article V, Section 2 of the Certificate of Incorporation nor classified into Class I, Class II or Class III. The initial Series B-1 Preferred Director, designated by Casdin pursuant to </w:t>
      </w:r>
      <w:r>
        <w:rPr>
          <w:rFonts w:ascii="Times New Roman" w:cs="Times New Roman" w:eastAsia="Times New Roman" w:hAnsi="Times New Roman"/>
          <w:sz w:val="17"/>
          <w:szCs w:val="17"/>
          <w:u w:val="single" w:color="auto"/>
          <w:color w:val="auto"/>
        </w:rPr>
        <w:t>Section 14(b)</w:t>
      </w:r>
      <w:r>
        <w:rPr>
          <w:rFonts w:ascii="Times New Roman" w:cs="Times New Roman" w:eastAsia="Times New Roman" w:hAnsi="Times New Roman"/>
          <w:sz w:val="17"/>
          <w:szCs w:val="17"/>
          <w:color w:val="auto"/>
        </w:rPr>
        <w:t>, shall take office effective as of the Original Issuance Date. Each Series B-1 Preferred Director appointed or elected to the Board of Directors shall continue to hold office until the next annual meeting of the stockholders of the Company and until his or her successor is elected and qualified in accordance with this</w:t>
      </w:r>
    </w:p>
    <w:p>
      <w:pPr>
        <w:ind w:right="8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Section 14(a)</w:t>
      </w:r>
      <w:r>
        <w:rPr>
          <w:rFonts w:ascii="Times New Roman" w:cs="Times New Roman" w:eastAsia="Times New Roman" w:hAnsi="Times New Roman"/>
          <w:sz w:val="18"/>
          <w:szCs w:val="18"/>
          <w:color w:val="auto"/>
        </w:rPr>
        <w:t xml:space="preserve"> and the Bylaws or until such individual’s earlier resignation, death or removal. A majority of the outstanding shares of the Series B-1 Preferred Stock, voting separately as a single class, at a meeting called for such purpose shall have the sole right to remove the Series B-1 Preferred Director. Any vacancy created by the removal, resignation or death of the Series B-1 Preferred Director may be filled by a majority of the directors in office from time to time, but shall solely be filled with the approval of the holders of a majority of the outstanding shares of the Series B-1 Preferred Stock, voting as a single class and, for the avoidance of doubt, without giving effect to limitations associated with the Voting Threshold.</w:t>
      </w:r>
    </w:p>
    <w:p>
      <w:pPr>
        <w:spacing w:after="0" w:line="81" w:lineRule="exact"/>
        <w:rPr>
          <w:rFonts w:ascii="Times New Roman" w:cs="Times New Roman" w:eastAsia="Times New Roman" w:hAnsi="Times New Roman"/>
          <w:sz w:val="17"/>
          <w:szCs w:val="17"/>
          <w:color w:val="auto"/>
        </w:rPr>
      </w:pPr>
    </w:p>
    <w:p>
      <w:pPr>
        <w:ind w:right="860" w:firstLine="419"/>
        <w:spacing w:after="0" w:line="282" w:lineRule="auto"/>
        <w:tabs>
          <w:tab w:leader="none" w:pos="67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Series B-1 Preferred Director shall be Eli Casdin, who shall serve until the 2022 annual meeting of the Company’s stockholders or such individual’s earlier resignation, death or removal.</w:t>
      </w:r>
    </w:p>
    <w:p>
      <w:pPr>
        <w:spacing w:after="0" w:line="53" w:lineRule="exact"/>
        <w:rPr>
          <w:rFonts w:ascii="Times New Roman" w:cs="Times New Roman" w:eastAsia="Times New Roman" w:hAnsi="Times New Roman"/>
          <w:sz w:val="18"/>
          <w:szCs w:val="18"/>
          <w:color w:val="auto"/>
        </w:rPr>
      </w:pPr>
    </w:p>
    <w:p>
      <w:pPr>
        <w:ind w:right="180" w:firstLine="419"/>
        <w:spacing w:after="0" w:line="261" w:lineRule="auto"/>
        <w:tabs>
          <w:tab w:leader="none" w:pos="66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the provisions of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at each meeting of the Company’s stockholders at which the election of the Series B-1 Director is to be considered, the Board of Directors shall duly nominate the Series B-1 Preferred Director designated by the holders of a majority of the Series B-1 Preferred Stock for election to the Board of Directors by the holders of the Series B-1 Preferred Stock, subject to the terms and conditions of the Casdin Purchase Agreement.</w:t>
      </w:r>
    </w:p>
    <w:p>
      <w:pPr>
        <w:spacing w:after="0" w:line="71" w:lineRule="exact"/>
        <w:rPr>
          <w:rFonts w:ascii="Times New Roman" w:cs="Times New Roman" w:eastAsia="Times New Roman" w:hAnsi="Times New Roman"/>
          <w:sz w:val="18"/>
          <w:szCs w:val="18"/>
          <w:color w:val="auto"/>
        </w:rPr>
      </w:pPr>
    </w:p>
    <w:p>
      <w:pPr>
        <w:ind w:right="20" w:firstLine="419"/>
        <w:spacing w:after="0" w:line="258" w:lineRule="auto"/>
        <w:tabs>
          <w:tab w:leader="none" w:pos="67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rights of Casdin pursuant to the Casdin Purchase Agreement, after the Original Issuance Date, and subject to applicable Law and the listing standards of Relevant Exchange, the Series B-1 Preferred Director shall be offered the opportunity, with respect to each standing committee of the Board, at Casdin’s option, to sit on such committee. If the Series B-1 Preferred Director fails to satisfy the applicable qualifications under Law or stock exchange listing standard to sit on any committee of the Board, then the Board shall offer such Series B-1 Preferred Director the opportunity to attend (but not vote at) the meetings of such committee as an observer.</w:t>
      </w:r>
    </w:p>
    <w:p>
      <w:pPr>
        <w:spacing w:after="0" w:line="75" w:lineRule="exact"/>
        <w:rPr>
          <w:rFonts w:ascii="Times New Roman" w:cs="Times New Roman" w:eastAsia="Times New Roman" w:hAnsi="Times New Roman"/>
          <w:sz w:val="18"/>
          <w:szCs w:val="18"/>
          <w:color w:val="auto"/>
        </w:rPr>
      </w:pPr>
    </w:p>
    <w:p>
      <w:pPr>
        <w:ind w:right="40" w:firstLine="419"/>
        <w:spacing w:after="0" w:line="258" w:lineRule="auto"/>
        <w:tabs>
          <w:tab w:leader="none" w:pos="66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B-1 Preferred Director shall be entitled to receive similar compensation, benefits, reimbursement (including of reasonable travel expenses), indemnification and insurance coverage for his or her service as director as the other non-employee directors of the Company. For so long as the Company maintains directors and officers liability insurance, the Company shall include the Series B-1 Preferred Director as an “insured” for all purposes under such insurance policy for so long as the Series B-1 Preferred Director is a director of the Company and for the same period as for other former directors of the Company when the Series B-1 Preferred Director ceases to be a director of the Company.</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560"/>
          </w:cols>
          <w:pgMar w:left="880" w:top="270" w:right="459" w:bottom="1440" w:gutter="0" w:footer="0" w:header="0"/>
        </w:sectPr>
      </w:pPr>
    </w:p>
    <w:bookmarkStart w:id="44" w:name="page45"/>
    <w:bookmarkEnd w:id="44"/>
    <w:p>
      <w:pPr>
        <w:ind w:right="8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15.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Except as expressly provided in this Certificate of Designations, the shares of Series B-1 Preferred Stock shall not be redeemable or otherwise mature and the term of the Series B-1 Preferred Stock shall be perpetual.</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No Sinking Fund</w:t>
      </w:r>
      <w:r>
        <w:rPr>
          <w:rFonts w:ascii="Times New Roman" w:cs="Times New Roman" w:eastAsia="Times New Roman" w:hAnsi="Times New Roman"/>
          <w:sz w:val="18"/>
          <w:szCs w:val="18"/>
          <w:color w:val="auto"/>
        </w:rPr>
        <w:t>. Shares of Series B-1 Preferred Stock shall not be subject to or entitled to the operation of a retirement or sinking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w:t>
      </w:r>
    </w:p>
    <w:p>
      <w:pPr>
        <w:spacing w:after="0" w:line="20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Transfer Agent, Conversion Agent, Registrar and Paying Agent</w:t>
      </w:r>
      <w:r>
        <w:rPr>
          <w:rFonts w:ascii="Times New Roman" w:cs="Times New Roman" w:eastAsia="Times New Roman" w:hAnsi="Times New Roman"/>
          <w:sz w:val="18"/>
          <w:szCs w:val="18"/>
          <w:color w:val="auto"/>
        </w:rPr>
        <w:t>. The duly appointed Transfer Agent, Conversion Agent, Registrar and paying agent for the Series B-1 Preferred Stock shall be Computershare Trust Company, N.A. The Company may appoint any other Person reasonably satisfactory to the Holders to serve as Transfer Agent, Conversion Agent, Registrar or paying agent for the Series B-1 Preferred Stock and thereafter may remove or replace such other Person at any time, subject to the appointment of a replacement reasonably satisfactory to the Holders. On any such appointment or removal, the Company shall send notice thereof to the Holders.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Replacement Certificates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firstLine="419"/>
        <w:spacing w:after="0" w:line="258" w:lineRule="auto"/>
        <w:tabs>
          <w:tab w:leader="none" w:pos="110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Mutilated, Destroyed, Stolen and Lost Certificates</w:t>
      </w:r>
      <w:r>
        <w:rPr>
          <w:rFonts w:ascii="Times New Roman" w:cs="Times New Roman" w:eastAsia="Times New Roman" w:hAnsi="Times New Roman"/>
          <w:sz w:val="18"/>
          <w:szCs w:val="18"/>
          <w:color w:val="auto"/>
        </w:rPr>
        <w:t>. If physical certificates evidencing the Series B-1 Preferred Stock are issued, the Company shall replace any mutilated certificate at the Holder’s expense on surrender of that certificate to the Transfer Agent. The Company shall replace certificates that become destroyed, stolen or lost at the Holder’s expense on delivery to the Company and the Transfer Agent of reasonably satisfactory evidence that the certificate has been destroyed, stolen or lost, together with any reasonable indemnity that may be required by the Transfer Agent and the Company.</w:t>
      </w:r>
    </w:p>
    <w:p>
      <w:pPr>
        <w:spacing w:after="0" w:line="75" w:lineRule="exact"/>
        <w:rPr>
          <w:rFonts w:ascii="Times New Roman" w:cs="Times New Roman" w:eastAsia="Times New Roman" w:hAnsi="Times New Roman"/>
          <w:sz w:val="18"/>
          <w:szCs w:val="18"/>
          <w:color w:val="auto"/>
        </w:rPr>
      </w:pPr>
    </w:p>
    <w:p>
      <w:pPr>
        <w:ind w:left="440" w:right="20" w:firstLine="419"/>
        <w:spacing w:after="0" w:line="255" w:lineRule="auto"/>
        <w:tabs>
          <w:tab w:leader="none" w:pos="111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 Following Conversion</w:t>
      </w:r>
      <w:r>
        <w:rPr>
          <w:rFonts w:ascii="Times New Roman" w:cs="Times New Roman" w:eastAsia="Times New Roman" w:hAnsi="Times New Roman"/>
          <w:sz w:val="18"/>
          <w:szCs w:val="18"/>
          <w:color w:val="auto"/>
        </w:rPr>
        <w:t xml:space="preserve">. If physical certificates representing the Series B-1 Preferred Stock are issued, the Company shall not be required to issue replacement certificates representing shares of Series B-1 Preferred Stock on or after the Conversion Date applicable to such shares (except if any certificate for shares of Series B-1 Preferred Stock shall be surrendered for partial conversion, the Company shall, at its expense, execute and deliver to or on the written order of the Holder of the certificate so surrendered a new certificate for the shares of Series B-1 Preferred Stock not converted). In place of the delivery of a replacement certificate following the applicable Conversion Date, the Transfer Agent, on receipt of the satisfactory evidence and indemnity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shall deliver certificates representing the shares of Common Stock issuable on conversion of such shares of Series B-1 Preferred Stock formerly evidenced by the physical certificate.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70" w:right="479" w:bottom="1440" w:gutter="0" w:footer="0" w:header="0"/>
        </w:sectPr>
      </w:pPr>
    </w:p>
    <w:bookmarkStart w:id="45" w:name="page46"/>
    <w:bookmarkEnd w:id="4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419"/>
        <w:spacing w:after="0" w:line="254" w:lineRule="auto"/>
        <w:tabs>
          <w:tab w:leader="none" w:pos="110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Company and its paying agent shall be entitled to deduct or withhold on all applicable payments made to the relevant Holder whether in the form of cash or otherwise such Tax amounts as the Company reasonably determines are required to be deducted or withheld therefrom under any provision of applicable law (and, to the extent such amounts are paid to the relevant taxing authority in accordance with applicable law, such amounts shall be treated for all purposes of this Certificate of Designations as having been paid to the Person in respect of which such withholding was made); provided, for the avoidance of doubt, that if the Company determines that an amount is required to be deducted or withheld on any payment with respect to any Holder, the Company shall provide reasonable prior notice to such Holder in writing of its intent to deduct or withhold Taxes on such payment and shall reasonably cooperate with such Holder in obtaining any available exemption or reduction of such withholding</w:t>
      </w:r>
      <w:r>
        <w:rPr>
          <w:rFonts w:ascii="Times New Roman" w:cs="Times New Roman" w:eastAsia="Times New Roman" w:hAnsi="Times New Roman"/>
          <w:sz w:val="18"/>
          <w:szCs w:val="18"/>
          <w:u w:val="single" w:color="auto"/>
          <w:color w:val="auto"/>
        </w:rPr>
        <w:t>.</w:t>
      </w:r>
    </w:p>
    <w:p>
      <w:pPr>
        <w:spacing w:after="0" w:line="83" w:lineRule="exact"/>
        <w:rPr>
          <w:rFonts w:ascii="Times New Roman" w:cs="Times New Roman" w:eastAsia="Times New Roman" w:hAnsi="Times New Roman"/>
          <w:sz w:val="18"/>
          <w:szCs w:val="18"/>
          <w:color w:val="auto"/>
        </w:rPr>
      </w:pPr>
    </w:p>
    <w:p>
      <w:pPr>
        <w:ind w:left="440" w:firstLine="419"/>
        <w:spacing w:after="0" w:line="255" w:lineRule="auto"/>
        <w:tabs>
          <w:tab w:leader="none" w:pos="111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The Company shall pay any and all stock transfer, documentary, stamp and similar Taxes due on the issuance of shares of Series B-1 Preferred Stock or the issuance of shares of Common Stock on conversion of Series B-1 Preferred Stock pursuant hereto. However, in the case of conversion of Series B-1 Preferred Stock, the Company shall not be required to pay any such Tax that may be payable in respect of any transfer involved in the issuance or delivery of shares of Series B-1 Preferred Stock or Common Stock to a Beneficial Owner other than the initial Beneficial Owner of Series B-1 Preferred Stock (“</w:t>
      </w:r>
      <w:r>
        <w:rPr>
          <w:rFonts w:ascii="Times New Roman" w:cs="Times New Roman" w:eastAsia="Times New Roman" w:hAnsi="Times New Roman"/>
          <w:sz w:val="18"/>
          <w:szCs w:val="18"/>
          <w:b w:val="1"/>
          <w:bCs w:val="1"/>
          <w:i w:val="1"/>
          <w:iCs w:val="1"/>
          <w:color w:val="auto"/>
        </w:rPr>
        <w:t>Third Party Transfer Taxes</w:t>
      </w:r>
      <w:r>
        <w:rPr>
          <w:rFonts w:ascii="Times New Roman" w:cs="Times New Roman" w:eastAsia="Times New Roman" w:hAnsi="Times New Roman"/>
          <w:sz w:val="18"/>
          <w:szCs w:val="18"/>
          <w:color w:val="auto"/>
        </w:rPr>
        <w:t>”), and shall not be required to make any such issuance, delivery or payment unless and until the Person requesting such issuance, delivery or payment has paid to the Company the amount of any such Tax or has established, to the reasonable satisfaction of the Company, that such Tax has been paid or is not payable.</w:t>
      </w:r>
    </w:p>
    <w:p>
      <w:pPr>
        <w:spacing w:after="0" w:line="80" w:lineRule="exact"/>
        <w:rPr>
          <w:rFonts w:ascii="Times New Roman" w:cs="Times New Roman" w:eastAsia="Times New Roman" w:hAnsi="Times New Roman"/>
          <w:sz w:val="18"/>
          <w:szCs w:val="18"/>
          <w:color w:val="auto"/>
        </w:rPr>
      </w:pPr>
    </w:p>
    <w:p>
      <w:pPr>
        <w:ind w:left="440" w:right="20" w:firstLine="419"/>
        <w:spacing w:after="0" w:line="254" w:lineRule="auto"/>
        <w:tabs>
          <w:tab w:leader="none" w:pos="110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It is intended that (i) the Series B-1 Preferred Stock shall not be treated as “preferred stock” for purposes of Section 305 of the Code and the Treasury Regulations promulgated thereunder, and (ii) as a consequence, no difference between the purchase price paid for the Series B-1 Preferred Stock and the Liquidation Preference thereof shall, by reason of Section 305(b)(4) of the Code or Treasury Regulations Section 1.305-5, be treated as a distribution of property until paid in cash. The Company and Holders (and their respective affiliates) shall file all Tax Returns in a manner consistent with the foregoing intended Tax treatment and shall not take any Tax position that is inconsistent with such intended Tax treatment except in connection with, or as required by, any of the following: (A) a change in relevant law or official guidance from a Taxing authority occurring after the Original Issuance Date, (B) after the Original Issuance Date, the promulgation of relevant final U.S. Treasury Regulations addressing instruments similar to the Series B-1 Preferred Stock (from and after the effective date of such regulations), (C) an amendment to the terms of this Certificate of Designations or (D) a “determination” within the meaning of section 1313(a) of the Code.</w:t>
      </w:r>
    </w:p>
    <w:p>
      <w:pPr>
        <w:spacing w:after="0" w:line="188"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referred to herein shall be in writing and, unless otherwise specified herein, all notices hereunder shall be deemed to have been given on the earlier of receipt thereof or three Business Days after the mailing thereof if sent by registered or certified mail with postage prepaid, or by private courier service, or the date of such delivery, if delivered by electronic mail (provided that no bounceback or similar “undeliverable” message is received by such sender), addressed: (a) if to the Company, to its office at Standard BioTools Inc., 2 Tower Place, Suite 2000, South San Francisco, California 94080 (Attention: General</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440" w:top="270" w:right="439" w:bottom="1440" w:gutter="0" w:footer="0" w:header="0"/>
        </w:sectPr>
      </w:pPr>
    </w:p>
    <w:bookmarkStart w:id="46" w:name="page47"/>
    <w:bookmarkEnd w:id="46"/>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Counsel) (or such e-mail address as specified by the Company, in the case of delivery by electronic mail), (b) if to any Holder, to such Holder at the address (or email address, in the case of delivery by electronic mail) of such Holder as listed in the stock record books of the Company (which may include the records of the Transfer Agent) or (c) to such other address (or email address, in the case of delivery by electronic mail) as the Company or any such Holder, as the case may be, shall have designated by notice similarly given.</w:t>
      </w:r>
    </w:p>
    <w:p>
      <w:pPr>
        <w:spacing w:after="0" w:line="180"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Facts Ascertainable</w:t>
      </w:r>
      <w:r>
        <w:rPr>
          <w:rFonts w:ascii="Times New Roman" w:cs="Times New Roman" w:eastAsia="Times New Roman" w:hAnsi="Times New Roman"/>
          <w:sz w:val="18"/>
          <w:szCs w:val="18"/>
          <w:color w:val="auto"/>
        </w:rPr>
        <w:t>. When the terms of this Certificate of Designations refer to a specific agreement or other document to determine the meaning or operation of a provision hereof, the Secretary of the Company shall maintain a copy of such agreement or document at the principal executive offices of the Company and a copy thereof shall be provided free of charge to any Holder who makes a request therefor. The Secretary of the Company shall also maintain a written record of the Issuance Date and the number of shares of Series B-1 Preferred Stock issued to a Holder and the date of each such issuance, and shall furnish such written record free of charge to any Holder who makes a request therefor.</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Notwithstanding any provision in this Certificate of Designations to the contrary, any provision contained herein and any right of the Holders of shares of Series B-1 Preferred Stock granted hereunder may be waived as to all shares of Series B-1 Preferred Stock (and the Holders thereof) on the vote or written approval or election of the Holders of a majority of the shares of Series B-1 Preferred Stock then outstanding and, for the avoidance of doubt, without giving effect to limitations associated with the Voting Threshold.</w:t>
      </w:r>
    </w:p>
    <w:p>
      <w:pPr>
        <w:spacing w:after="0" w:line="180"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of the Series B-1 Preferred Stock set forth herein is invalid, unlawful or incapable of being enforced by reason of any rule of law or public policy, all other terms set forth herein which can be given effect without the invalid, unlawful or unenforceable term shall, nevertheless, remain in full force and effect, and no term herein set forth shall be deemed dependent on any other such term unless so expressed herein.</w:t>
      </w:r>
    </w:p>
    <w:p>
      <w:pPr>
        <w:spacing w:after="0" w:line="180"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Business Opportunities</w:t>
      </w:r>
      <w:r>
        <w:rPr>
          <w:rFonts w:ascii="Times New Roman" w:cs="Times New Roman" w:eastAsia="Times New Roman" w:hAnsi="Times New Roman"/>
          <w:sz w:val="18"/>
          <w:szCs w:val="18"/>
          <w:color w:val="auto"/>
        </w:rPr>
        <w:t>. To the fullest extent permitted by Section 122(17) of the DGCL (or any successor provision) and except as may be otherwise expressly agreed in writing by the Company and the Casdin Parties, the Company, on behalf of itself and its Subsidiaries, renounces any interest or expectancy of the Company and its Subsidiaries in, or in being offered an opportunity to participate in, business opportunities, that are from time to time presented to the Casdin Parties or any of their respective officers, representatives, directors, agents, stockholders, members, partners, Affiliates, Subsidiaries (other than the Company and its Subsidiaries), or any of their respective designees on the Company’s Board and/or any of their respective representatives who, from time to time, may act as officers of the Company, even if the opportunity is one that the Company or its Subsidiaries might reasonably be deemed to have pursued or had the ability or desire to pursue if granted the opportunity to do so, and no such person shall be liable to the Company or any of its Subsidiaries for breach of any fiduciary or other duty, as a director or officer or otherwise, by reason of the fact that such person pursues or acquires such business opportunity, directs such business opportunity to another person or fails to present such business opportunity, or information regarding such business opportunity, to the Company or its Subsidiaries unless, in the case of any such person who is a director or officer of the Company, such business opportunity is expressly offered to such director or officer in his or her capacity as a director or officer of the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0"/>
          </w:cols>
          <w:pgMar w:left="440" w:top="270" w:right="479" w:bottom="1440" w:gutter="0" w:footer="0" w:header="0"/>
        </w:sectPr>
      </w:pPr>
    </w:p>
    <w:bookmarkStart w:id="47" w:name="page48"/>
    <w:bookmarkEnd w:id="4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Company. Any Person purchasing or otherwise acquiring any interest in any shares of Capital Stock of the Company shall be deemed to have notice of and consented to the provisions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Neither the alteration, amendment or repeal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nor the adoption of any provision of the Certificate of Incorporation or this Certificate of Designations inconsistent with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nor, to the fullest extent permitted by Delaware law, any modification of law, shall eliminate or reduce the effect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in respect of any business opportunity first identified or any other matter occurring, or any cause of action, suit or claim that, but for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would accrue or arise, prior to such alteration, amendment, repeal, adoption or modification. If any provision or provisions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be held to be invalid, illegal or unenforceable as applied to any circumstance for any reason whatsoever: (a) the validity, legality and enforceability of such provisions in any other circumstance and of the remaining provisions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(including, without limitation, each portion of any paragraph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containing any such provision held to be invalid, illegal or unenforceable that is not itself held to be invalid, illegal or unenforceable) shall not in any way be affected or impaired thereby and (b) to the fullest extent possible, the provisions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(including, without limitation, each such portion of any paragraph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containing any such provision held to be invalid, illegal or unenforceable) shall be construed so as to permit the Company to protect its directors, officers, employees and agents from personal liability in respect of their good faith service to or for the benefit of the Company to the fullest extent permitted by law.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not limit any protections or defenses available to, or indemnification or advancement rights of, any director, officer, employee or agent of the Company under the Certificate of Incorporation, the Bylaws, any other agreement between the Company and such director, officer, employee or agent or applicable law.</w:t>
      </w:r>
    </w:p>
    <w:p>
      <w:pPr>
        <w:spacing w:after="0" w:line="1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40"/>
          </w:cols>
          <w:pgMar w:left="440" w:top="270" w:right="5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Certificate of Designations to be executed this 1st day of April, 2022.</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STANDARD BIOTOOLS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Vikram Jog</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Certificate of Designations</w:t>
      </w:r>
      <w:r>
        <w:rPr>
          <w:rFonts w:ascii="Times New Roman" w:cs="Times New Roman" w:eastAsia="Times New Roman" w:hAnsi="Times New Roman"/>
          <w:sz w:val="18"/>
          <w:szCs w:val="18"/>
          <w:color w:val="auto"/>
        </w:rPr>
        <w:t>]</w:t>
      </w:r>
    </w:p>
    <w:p>
      <w:pPr>
        <w:sectPr>
          <w:pgSz w:w="11900" w:h="16838" w:orient="portrait"/>
          <w:cols w:equalWidth="0" w:num="1">
            <w:col w:w="9579"/>
          </w:cols>
          <w:pgMar w:left="880" w:top="270" w:right="1440" w:bottom="1440" w:gutter="0" w:footer="0" w:header="0"/>
        </w:sectPr>
      </w:pPr>
    </w:p>
    <w:bookmarkStart w:id="49" w:name="page50"/>
    <w:bookmarkEnd w:id="4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CONVERSION 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is made to the Certificate of Designations of Series B-1 Convertible Preferred Stock, par value $0.001, of Standard BioTools Inc. (the</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 of Designations</w:t>
      </w:r>
      <w:r>
        <w:rPr>
          <w:rFonts w:ascii="Times New Roman" w:cs="Times New Roman" w:eastAsia="Times New Roman" w:hAnsi="Times New Roman"/>
          <w:sz w:val="18"/>
          <w:szCs w:val="18"/>
          <w:color w:val="auto"/>
        </w:rPr>
        <w:t>”). In accordance with and pursuant to the Certificate of Designations, the undersigned hereby elects to convert the number of shares of Series B-1 Convertible Preferred Stock, par value $0.001 per share (the “</w:t>
      </w:r>
      <w:r>
        <w:rPr>
          <w:rFonts w:ascii="Times New Roman" w:cs="Times New Roman" w:eastAsia="Times New Roman" w:hAnsi="Times New Roman"/>
          <w:sz w:val="18"/>
          <w:szCs w:val="18"/>
          <w:b w:val="1"/>
          <w:bCs w:val="1"/>
          <w:i w:val="1"/>
          <w:iCs w:val="1"/>
          <w:color w:val="auto"/>
        </w:rPr>
        <w:t>Series B-1 Preferred Stock</w:t>
      </w:r>
      <w:r>
        <w:rPr>
          <w:rFonts w:ascii="Times New Roman" w:cs="Times New Roman" w:eastAsia="Times New Roman" w:hAnsi="Times New Roman"/>
          <w:sz w:val="18"/>
          <w:szCs w:val="18"/>
          <w:color w:val="auto"/>
        </w:rPr>
        <w:t>”), of Standard BioTools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indicated below into shares of Common Stock, par value $0.001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the Company, [as of the date specified below // on // immediately prior to[, and subject to the occurrence of,] [•]].</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Conversion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17145</wp:posOffset>
            </wp:positionV>
            <wp:extent cx="539178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539178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Series B-1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2954655</wp:posOffset>
            </wp:positionH>
            <wp:positionV relativeFrom="paragraph">
              <wp:posOffset>17145</wp:posOffset>
            </wp:positionV>
            <wp:extent cx="40373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certificate no(s). of Series B-1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3177540</wp:posOffset>
            </wp:positionH>
            <wp:positionV relativeFrom="paragraph">
              <wp:posOffset>17145</wp:posOffset>
            </wp:positionV>
            <wp:extent cx="38144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ID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17145</wp:posOffset>
            </wp:positionV>
            <wp:extent cx="55632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556323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confirm the following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17145</wp:posOffset>
            </wp:positionV>
            <wp:extent cx="50660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506603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17145</wp:posOffset>
            </wp:positionV>
            <wp:extent cx="61976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17145</wp:posOffset>
            </wp:positionV>
            <wp:extent cx="47148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4714875" cy="8255"/>
                    </a:xfrm>
                    <a:prstGeom prst="rect">
                      <a:avLst/>
                    </a:prstGeom>
                    <a:noFill/>
                  </pic:spPr>
                </pic:pic>
              </a:graphicData>
            </a:graphic>
          </wp:anchor>
        </w:drawing>
      </w:r>
    </w:p>
    <w:p>
      <w:pPr>
        <w:spacing w:after="0" w:line="21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Please issue the shares of Common Stock into which the shares of Series B-1 Preferred Stock are being converted in the following name and to the following address: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17145</wp:posOffset>
            </wp:positionV>
            <wp:extent cx="66090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660908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17145</wp:posOffset>
            </wp:positionV>
            <wp:extent cx="64979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17145</wp:posOffset>
            </wp:positionV>
            <wp:extent cx="60775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607758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17145</wp:posOffset>
            </wp:positionV>
            <wp:extent cx="66433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664337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17145</wp:posOffset>
            </wp:positionV>
            <wp:extent cx="62236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6223635"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17145</wp:posOffset>
            </wp:positionV>
            <wp:extent cx="67805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17145</wp:posOffset>
            </wp:positionV>
            <wp:extent cx="67119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671195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17145</wp:posOffset>
            </wp:positionV>
            <wp:extent cx="66433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664337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17145</wp:posOffset>
            </wp:positionV>
            <wp:extent cx="46202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462026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Code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17145</wp:posOffset>
            </wp:positionV>
            <wp:extent cx="42005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4200525"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Instructions for cash payment in lieu of fractional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3040380</wp:posOffset>
            </wp:positionH>
            <wp:positionV relativeFrom="paragraph">
              <wp:posOffset>17145</wp:posOffset>
            </wp:positionV>
            <wp:extent cx="39516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ectPr>
          <w:pgSz w:w="11900" w:h="16838" w:orient="portrait"/>
          <w:cols w:equalWidth="0" w:num="1">
            <w:col w:w="10920"/>
          </w:cols>
          <w:pgMar w:left="440" w:top="266" w:right="5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3.7</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DESIGNATIONS OF RIGHTS, PREFERENCES AND PRIVILEGES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SERIES B-2 CONVERTIBLE PREFERRED STOCK, PAR VALUE $0.001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STANDARD BIOTOOLS INC.</w:t>
      </w:r>
    </w:p>
    <w:p>
      <w:pPr>
        <w:spacing w:after="0" w:line="20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Pursuant to Section 151(g) of the General Corporation Law of the State of Delaware (as amended, supplemented or restated from time to time,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STANDARD BIOTOOLS INC., a corporation organized and existing under the laws of the State of Delaware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accordance with the provisions of Section 103 of the DGCL, DOES HEREBY CERTIFY:</w:t>
      </w:r>
    </w:p>
    <w:p>
      <w:pPr>
        <w:spacing w:after="0" w:line="176"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That, the Eighth Amended and Restated Certificate of Incorporation of the Company, as filed with the Secretary of State of the State of Delaware on February 15, 2011 (as amended, including without limitation, by the Certificate of Amendment to the Eighth Amended and Restated Certificate of Incorporation of the Company filed with the Secretary of State of the State of Delaware on April 1, 2022 prior to the filing of this Certificate of Designations,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authorizes the issuance of 410,000,000 shares of capital stock, consisting of 400,000,000 shares of Common Stock, par value $0.001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10,000,000 shares of Preferred Stock, par value $0.001 per share (“</w:t>
      </w:r>
      <w:r>
        <w:rPr>
          <w:rFonts w:ascii="Times New Roman" w:cs="Times New Roman" w:eastAsia="Times New Roman" w:hAnsi="Times New Roman"/>
          <w:sz w:val="18"/>
          <w:szCs w:val="18"/>
          <w:b w:val="1"/>
          <w:bCs w:val="1"/>
          <w:i w:val="1"/>
          <w:iCs w:val="1"/>
          <w:color w:val="auto"/>
        </w:rPr>
        <w:t>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That, subject to the provisions of the Certificate of Incorporation,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is authorized to fix by resolution the designations, powers, preferences and rights, and the qualifications, limitations or restrictions, of any wholly unissued series of Preferred Stock, including to fix the number of shares constituting any such series.</w:t>
      </w:r>
    </w:p>
    <w:p>
      <w:pPr>
        <w:spacing w:after="0" w:line="175" w:lineRule="exact"/>
        <w:rPr>
          <w:sz w:val="20"/>
          <w:szCs w:val="20"/>
          <w:color w:val="auto"/>
        </w:rPr>
      </w:pPr>
    </w:p>
    <w:p>
      <w:pPr>
        <w:jc w:val="both"/>
        <w:ind w:right="80" w:firstLine="440"/>
        <w:spacing w:after="0" w:line="282" w:lineRule="auto"/>
        <w:rPr>
          <w:sz w:val="20"/>
          <w:szCs w:val="20"/>
          <w:color w:val="auto"/>
        </w:rPr>
      </w:pPr>
      <w:r>
        <w:rPr>
          <w:rFonts w:ascii="Times New Roman" w:cs="Times New Roman" w:eastAsia="Times New Roman" w:hAnsi="Times New Roman"/>
          <w:sz w:val="18"/>
          <w:szCs w:val="18"/>
          <w:color w:val="auto"/>
        </w:rPr>
        <w:t>That, pursuant to the authority conferred on the Board by the Certificate of Incorporation, the Board, on February 17, 2022, adopted the following resolution designating a new series of Preferred Stock as “Series B-2 Convertible Preferred Stock”:</w:t>
      </w:r>
    </w:p>
    <w:p>
      <w:pPr>
        <w:spacing w:after="0" w:line="162" w:lineRule="exact"/>
        <w:rPr>
          <w:sz w:val="20"/>
          <w:szCs w:val="20"/>
          <w:color w:val="auto"/>
        </w:rPr>
      </w:pPr>
    </w:p>
    <w:p>
      <w:pPr>
        <w:jc w:val="both"/>
        <w:ind w:right="80" w:firstLine="440"/>
        <w:spacing w:after="0" w:line="261" w:lineRule="auto"/>
        <w:rPr>
          <w:sz w:val="20"/>
          <w:szCs w:val="20"/>
          <w:color w:val="auto"/>
        </w:rPr>
      </w:pPr>
      <w:r>
        <w:rPr>
          <w:rFonts w:ascii="Times New Roman" w:cs="Times New Roman" w:eastAsia="Times New Roman" w:hAnsi="Times New Roman"/>
          <w:sz w:val="18"/>
          <w:szCs w:val="18"/>
          <w:color w:val="auto"/>
        </w:rPr>
        <w:t>RESOLVED, that, pursuant to the authority vested in the Board in accordance with the provisions of Article IV of the Certificate of Incorporation and the provisions of Section 151 of the DGCL, a series of Preferred Stock of the Company is hereby created and authorized, and the number of shares to be included in such series out of the authorized and unissued shares of Preferred Stock, and the designations, powers, preferences and rights, and the qualifications, limitations or restrictions of the shares of Preferred Stock included in such series, shall be as follows:</w:t>
      </w:r>
    </w:p>
    <w:p>
      <w:pPr>
        <w:spacing w:after="0" w:line="18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Designation and Number of Shares</w:t>
      </w:r>
      <w:r>
        <w:rPr>
          <w:rFonts w:ascii="Times New Roman" w:cs="Times New Roman" w:eastAsia="Times New Roman" w:hAnsi="Times New Roman"/>
          <w:sz w:val="18"/>
          <w:szCs w:val="18"/>
          <w:color w:val="auto"/>
        </w:rPr>
        <w:t>. The shares of such series of Preferred Stock shall be designated as “Series B-2 Convertible Preferred Stock” (the “</w:t>
      </w:r>
      <w:r>
        <w:rPr>
          <w:rFonts w:ascii="Times New Roman" w:cs="Times New Roman" w:eastAsia="Times New Roman" w:hAnsi="Times New Roman"/>
          <w:sz w:val="18"/>
          <w:szCs w:val="18"/>
          <w:b w:val="1"/>
          <w:bCs w:val="1"/>
          <w:i w:val="1"/>
          <w:iCs w:val="1"/>
          <w:color w:val="auto"/>
        </w:rPr>
        <w:t>Series B-2 Preferred Stock</w:t>
      </w:r>
      <w:r>
        <w:rPr>
          <w:rFonts w:ascii="Times New Roman" w:cs="Times New Roman" w:eastAsia="Times New Roman" w:hAnsi="Times New Roman"/>
          <w:sz w:val="18"/>
          <w:szCs w:val="18"/>
          <w:color w:val="auto"/>
        </w:rPr>
        <w:t>”). The number of authorized shares constituting the Series B-2 Preferred Stock shall be 128,267. That number from time to time may be increased (but not above the total number of authorized shares of the class of Preferred Stock of the Company) or decreased (but not below the number of shares of Series B-2 Preferred Stock then outstanding) by further resolution duly adopted by the Board, or any duly authorized committee thereof, and by the filing of a certificate pursuant to the provisions of the DGCL stating that such increase or decrease, as applicable, has been so authorized. The Company shall not have the authority to issue fractional shares of Series B-2 Preferred Stock.</w:t>
      </w:r>
    </w:p>
    <w:p>
      <w:pPr>
        <w:sectPr>
          <w:pgSz w:w="11900" w:h="16838" w:orient="portrait"/>
          <w:cols w:equalWidth="0" w:num="1">
            <w:col w:w="11020"/>
          </w:cols>
          <w:pgMar w:left="440" w:top="117" w:right="439" w:bottom="1440" w:gutter="0" w:footer="0" w:header="0"/>
        </w:sectPr>
      </w:pPr>
    </w:p>
    <w:bookmarkStart w:id="51" w:name="page52"/>
    <w:bookmarkEnd w:id="51"/>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 </w:t>
      </w:r>
      <w:r>
        <w:rPr>
          <w:rFonts w:ascii="Times New Roman" w:cs="Times New Roman" w:eastAsia="Times New Roman" w:hAnsi="Times New Roman"/>
          <w:sz w:val="18"/>
          <w:szCs w:val="18"/>
          <w:u w:val="single" w:color="auto"/>
          <w:color w:val="auto"/>
        </w:rPr>
        <w:t>Ranking</w:t>
      </w:r>
      <w:r>
        <w:rPr>
          <w:rFonts w:ascii="Times New Roman" w:cs="Times New Roman" w:eastAsia="Times New Roman" w:hAnsi="Times New Roman"/>
          <w:sz w:val="18"/>
          <w:szCs w:val="18"/>
          <w:color w:val="auto"/>
        </w:rPr>
        <w:t>. Except as otherwise provided herein, the Series B-2 Preferred Stock shall rank, with respect to dividend rights and rights on the distribution of assets on any voluntary or involuntary liquidation, dissolution or winding up of the affairs of the Company:</w:t>
      </w:r>
    </w:p>
    <w:p>
      <w:pPr>
        <w:spacing w:after="0" w:line="54" w:lineRule="exact"/>
        <w:rPr>
          <w:sz w:val="20"/>
          <w:szCs w:val="20"/>
          <w:color w:val="auto"/>
        </w:rPr>
      </w:pPr>
    </w:p>
    <w:p>
      <w:pPr>
        <w:ind w:left="444" w:right="40" w:firstLine="419"/>
        <w:spacing w:after="0" w:line="261" w:lineRule="auto"/>
        <w:tabs>
          <w:tab w:leader="none" w:pos="111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 parity basis with the Series B-1 Preferred Stock and, subject to </w:t>
      </w:r>
      <w:r>
        <w:rPr>
          <w:rFonts w:ascii="Times New Roman" w:cs="Times New Roman" w:eastAsia="Times New Roman" w:hAnsi="Times New Roman"/>
          <w:sz w:val="18"/>
          <w:szCs w:val="18"/>
          <w:u w:val="single" w:color="auto"/>
          <w:color w:val="auto"/>
        </w:rPr>
        <w:t>Section 13(b)</w:t>
      </w:r>
      <w:r>
        <w:rPr>
          <w:rFonts w:ascii="Times New Roman" w:cs="Times New Roman" w:eastAsia="Times New Roman" w:hAnsi="Times New Roman"/>
          <w:sz w:val="18"/>
          <w:szCs w:val="18"/>
          <w:color w:val="auto"/>
        </w:rPr>
        <w:t>, each other class or series of Capital Stock of the Company hereafter authorized, classified or reclassified, the terms of which expressly provide that such class or series ranks on a parity basis with the Series B-2 Preferred Stock as to dividend rights and rights on the distribution of assets on any voluntary or involuntary liquidation, dissolution or winding up of the affairs of the Company (such Capital Stock, “</w:t>
      </w:r>
      <w:r>
        <w:rPr>
          <w:rFonts w:ascii="Times New Roman" w:cs="Times New Roman" w:eastAsia="Times New Roman" w:hAnsi="Times New Roman"/>
          <w:sz w:val="18"/>
          <w:szCs w:val="18"/>
          <w:b w:val="1"/>
          <w:bCs w:val="1"/>
          <w:i w:val="1"/>
          <w:iCs w:val="1"/>
          <w:color w:val="auto"/>
        </w:rPr>
        <w:t>Parity Stock</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44" w:right="260" w:firstLine="419"/>
        <w:spacing w:after="0" w:line="261" w:lineRule="auto"/>
        <w:tabs>
          <w:tab w:leader="none" w:pos="112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13(b)</w:t>
      </w:r>
      <w:r>
        <w:rPr>
          <w:rFonts w:ascii="Times New Roman" w:cs="Times New Roman" w:eastAsia="Times New Roman" w:hAnsi="Times New Roman"/>
          <w:sz w:val="18"/>
          <w:szCs w:val="18"/>
          <w:color w:val="auto"/>
        </w:rPr>
        <w:t>, junior to each other class or series of Capital Stock of the Company hereafter authorized, classified or reclassified, the terms of which expressly provide that such class or series ranks senior to the Series B Preferred Stock as to dividend rights and rights on the distribution of assets on any voluntary or involuntary liquidation, dissolution or winding up of the affairs of the Company (such Capital Stock, “</w:t>
      </w:r>
      <w:r>
        <w:rPr>
          <w:rFonts w:ascii="Times New Roman" w:cs="Times New Roman" w:eastAsia="Times New Roman" w:hAnsi="Times New Roman"/>
          <w:sz w:val="18"/>
          <w:szCs w:val="18"/>
          <w:b w:val="1"/>
          <w:bCs w:val="1"/>
          <w:i w:val="1"/>
          <w:iCs w:val="1"/>
          <w:color w:val="auto"/>
        </w:rPr>
        <w:t>Senior Stock</w:t>
      </w:r>
      <w:r>
        <w:rPr>
          <w:rFonts w:ascii="Times New Roman" w:cs="Times New Roman" w:eastAsia="Times New Roman" w:hAnsi="Times New Roman"/>
          <w:sz w:val="18"/>
          <w:szCs w:val="18"/>
          <w:color w:val="auto"/>
        </w:rPr>
        <w:t>”); and</w:t>
      </w:r>
    </w:p>
    <w:p>
      <w:pPr>
        <w:spacing w:after="0" w:line="71" w:lineRule="exact"/>
        <w:rPr>
          <w:rFonts w:ascii="Times New Roman" w:cs="Times New Roman" w:eastAsia="Times New Roman" w:hAnsi="Times New Roman"/>
          <w:sz w:val="18"/>
          <w:szCs w:val="18"/>
          <w:color w:val="auto"/>
        </w:rPr>
      </w:pPr>
    </w:p>
    <w:p>
      <w:pPr>
        <w:ind w:left="444" w:right="260" w:firstLine="419"/>
        <w:spacing w:after="0" w:line="258" w:lineRule="auto"/>
        <w:tabs>
          <w:tab w:leader="none" w:pos="111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the Common Stock, each other currently existing class or series of Capital Stock of the Company (other than the Series B-1 Preferred Stock) and each class or series of Capital Stock of the Company hereafter authorized, classified or reclassified, the terms of which do not expressly provide that such class or series ranks on a parity basis with or senior to the Series B-2 Preferred Stock as to dividend rights and rights on the distribution of assets on any voluntary or involuntary liquidation, dissolution or winding up of the affairs of the Company (such Capital Stock, “</w:t>
      </w:r>
      <w:r>
        <w:rPr>
          <w:rFonts w:ascii="Times New Roman" w:cs="Times New Roman" w:eastAsia="Times New Roman" w:hAnsi="Times New Roman"/>
          <w:sz w:val="18"/>
          <w:szCs w:val="18"/>
          <w:b w:val="1"/>
          <w:bCs w:val="1"/>
          <w:i w:val="1"/>
          <w:iCs w:val="1"/>
          <w:color w:val="auto"/>
        </w:rPr>
        <w:t>Junior Stock</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(a) As used in this Agreement, the following terms shall have the meanings ascribed to them below:</w:t>
      </w:r>
    </w:p>
    <w:p>
      <w:pPr>
        <w:spacing w:after="0" w:line="221" w:lineRule="exact"/>
        <w:rPr>
          <w:sz w:val="20"/>
          <w:szCs w:val="20"/>
          <w:color w:val="auto"/>
        </w:rPr>
      </w:pPr>
    </w:p>
    <w:p>
      <w:pPr>
        <w:jc w:val="both"/>
        <w:ind w:left="4" w:right="18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Affiliate</w:t>
      </w:r>
      <w:r>
        <w:rPr>
          <w:rFonts w:ascii="Times New Roman" w:cs="Times New Roman" w:eastAsia="Times New Roman" w:hAnsi="Times New Roman"/>
          <w:sz w:val="17"/>
          <w:szCs w:val="17"/>
          <w:color w:val="auto"/>
        </w:rPr>
        <w:t xml:space="preserve">” means, with respect to any Person, any other Person that, directly or indirectly, controls, is controlled by or is under common control with such Person;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 the Company and its Subsidiaries shall not be deemed to be Affiliates of any Investor Party or any of its Affiliates,</w:t>
      </w:r>
    </w:p>
    <w:p>
      <w:pPr>
        <w:spacing w:after="0" w:line="1" w:lineRule="exact"/>
        <w:rPr>
          <w:sz w:val="20"/>
          <w:szCs w:val="20"/>
          <w:color w:val="auto"/>
        </w:rPr>
      </w:pPr>
    </w:p>
    <w:p>
      <w:pPr>
        <w:ind w:left="4" w:hanging="4"/>
        <w:spacing w:after="0" w:line="252" w:lineRule="auto"/>
        <w:tabs>
          <w:tab w:leader="none" w:pos="26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companies” (as such term is customarily used among institutional investors) in which any Investor Party or any of its Affiliates has an investment (whether as debt or equity) shall not be deemed an Affiliate of such Investor Party and (iii) no Investor Party shall be deemed to be an Affiliate of any other Investor Party solely as a result of the Transactions.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or policies of that Person, whether through the ownership of voting securities or partnership or other ownership interests, by contract or otherwise.</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52" w:name="page53"/>
    <w:bookmarkEnd w:id="52"/>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Beneficially Own</w:t>
      </w:r>
      <w:r>
        <w:rPr>
          <w:rFonts w:ascii="Times New Roman" w:cs="Times New Roman" w:eastAsia="Times New Roman" w:hAnsi="Times New Roman"/>
          <w:sz w:val="18"/>
          <w:szCs w:val="18"/>
          <w:color w:val="auto"/>
        </w:rPr>
        <w:t>” means, with respect to any securities, having “beneficial ownership” of such securities (as determined pursuant to Rule 13d-3 under the Exchange Act), and the terms “Beneficial Ownership” and “Beneficial Owner” shall have correlative meanings.</w:t>
      </w:r>
    </w:p>
    <w:p>
      <w:pPr>
        <w:spacing w:after="0" w:line="155"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weekday that is not a day on which banking institutions in New York, New York are authorized or required by law, regulation or executive order to be closed.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means the Amended and Restated Bylaws of the Company, as may be amended from time to time.</w:t>
      </w:r>
    </w:p>
    <w:p>
      <w:pPr>
        <w:spacing w:after="0" w:line="225" w:lineRule="exact"/>
        <w:rPr>
          <w:sz w:val="20"/>
          <w:szCs w:val="20"/>
          <w:color w:val="auto"/>
        </w:rPr>
      </w:pPr>
    </w:p>
    <w:p>
      <w:pPr>
        <w:ind w:right="6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Stock</w:t>
      </w:r>
      <w:r>
        <w:rPr>
          <w:rFonts w:ascii="Times New Roman" w:cs="Times New Roman" w:eastAsia="Times New Roman" w:hAnsi="Times New Roman"/>
          <w:sz w:val="18"/>
          <w:szCs w:val="18"/>
          <w:color w:val="auto"/>
        </w:rPr>
        <w:t>” means, with respect to any Person, any and all shares of, interests in, rights to purchase, warrants to purchase, options for, participations in or other equivalents of or interests in (however designated) stock issued by such Person.</w:t>
      </w:r>
    </w:p>
    <w:p>
      <w:pPr>
        <w:spacing w:after="0" w:line="15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Casdin</w:t>
      </w:r>
      <w:r>
        <w:rPr>
          <w:rFonts w:ascii="Times New Roman" w:cs="Times New Roman" w:eastAsia="Times New Roman" w:hAnsi="Times New Roman"/>
          <w:sz w:val="18"/>
          <w:szCs w:val="18"/>
          <w:color w:val="auto"/>
        </w:rPr>
        <w:t>” means, collectively, Casdin Private Growth Equity Fund II, L.P., a Delaware limited partnership and Casdin Partners Master Fund, L.P., a Cayman Islands exempted limited partnership.</w:t>
      </w:r>
    </w:p>
    <w:p>
      <w:pPr>
        <w:spacing w:after="0" w:line="155"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Casdin Parties</w:t>
      </w:r>
      <w:r>
        <w:rPr>
          <w:rFonts w:ascii="Times New Roman" w:cs="Times New Roman" w:eastAsia="Times New Roman" w:hAnsi="Times New Roman"/>
          <w:sz w:val="18"/>
          <w:szCs w:val="18"/>
          <w:color w:val="auto"/>
        </w:rPr>
        <w:t>” means Casdin and each Permitted Transferee of Casdin to whom shares of Series B-1 Preferred Stock or Common Stock are Transferred pursuant to Section 6.15(b) of the Casdin Purchase Agreement.</w:t>
      </w:r>
    </w:p>
    <w:p>
      <w:pPr>
        <w:spacing w:after="0" w:line="15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Casdin Purchase Agreement</w:t>
      </w:r>
      <w:r>
        <w:rPr>
          <w:rFonts w:ascii="Times New Roman" w:cs="Times New Roman" w:eastAsia="Times New Roman" w:hAnsi="Times New Roman"/>
          <w:sz w:val="18"/>
          <w:szCs w:val="18"/>
          <w:color w:val="auto"/>
        </w:rPr>
        <w:t>” means the Series B-1 Convertible Preferred Stock Purchase Agreement by and between the Company and Casdin, dated as of January 23, 2022, as it may be amended, modified or supplemented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Certificate of Designations</w:t>
      </w:r>
      <w:r>
        <w:rPr>
          <w:rFonts w:ascii="Times New Roman" w:cs="Times New Roman" w:eastAsia="Times New Roman" w:hAnsi="Times New Roman"/>
          <w:sz w:val="17"/>
          <w:szCs w:val="17"/>
          <w:color w:val="auto"/>
        </w:rPr>
        <w:t>” means this Certificate of Designations relating to the Series B-2 Preferred Stock, as it may be amended from time to</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3" w:lineRule="exact"/>
        <w:rPr>
          <w:sz w:val="20"/>
          <w:szCs w:val="20"/>
          <w:color w:val="auto"/>
        </w:rPr>
      </w:pPr>
    </w:p>
    <w:p>
      <w:pPr>
        <w:ind w:right="7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of one of the following, whether in a single transaction or a series of transactions, directly or indirectly:</w:t>
      </w:r>
    </w:p>
    <w:p>
      <w:pPr>
        <w:spacing w:after="0" w:line="51" w:lineRule="exact"/>
        <w:rPr>
          <w:sz w:val="20"/>
          <w:szCs w:val="20"/>
          <w:color w:val="auto"/>
        </w:rPr>
      </w:pPr>
    </w:p>
    <w:p>
      <w:pPr>
        <w:ind w:left="440" w:firstLine="419"/>
        <w:spacing w:after="0" w:line="255" w:lineRule="auto"/>
        <w:tabs>
          <w:tab w:leader="none" w:pos="107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or “group” (as such terms are used in Sections </w:t>
      </w:r>
      <w:r>
        <w:rPr>
          <w:rFonts w:ascii="Times New Roman" w:cs="Times New Roman" w:eastAsia="Times New Roman" w:hAnsi="Times New Roman"/>
          <w:sz w:val="18"/>
          <w:szCs w:val="18"/>
          <w:u w:val="single" w:color="auto"/>
          <w:color w:val="auto"/>
        </w:rPr>
        <w:t>13(d)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14(d)</w:t>
      </w:r>
      <w:r>
        <w:rPr>
          <w:rFonts w:ascii="Times New Roman" w:cs="Times New Roman" w:eastAsia="Times New Roman" w:hAnsi="Times New Roman"/>
          <w:sz w:val="18"/>
          <w:szCs w:val="18"/>
          <w:color w:val="auto"/>
        </w:rPr>
        <w:t xml:space="preserve"> of the Exchange Act) is or becomes the Beneficial Owner, directly or indirectly, of a majority of the total voting power of the Voting Stock of the Company, other than as a result of a transaction, or a series of related transactions, in which (A) the holders of securities that represented 100% of the Voting Stock of the Company immediately prior to such transaction are the same as the holders of securities that represent at least a majority of the Voting Stock of the surviving Person or its Parent Entity immediately following such transaction and (B) the holders of securities that represented 100% of the Voting Stock of the Company immediately prior to such transaction own directly or indirectly Voting Stock of the surviving Person or its Parent Entity in substantially the same proportion to each other as immediately prior to such transaction;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53" w:name="page54"/>
    <w:bookmarkEnd w:id="53"/>
    <w:p>
      <w:pPr>
        <w:ind w:left="440" w:firstLine="419"/>
        <w:spacing w:after="0" w:line="253" w:lineRule="auto"/>
        <w:tabs>
          <w:tab w:leader="none" w:pos="112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merger or consolidation of the Company with or into another Person or the merger of another Person with or into the Company, or the sale, transfer, license or lease of all or substantially all of the assets of the Company (determined on a consolidated basis), whether in a single transaction or a series of related transactions, to another Person, or any recapitalization, reclassification or other transaction in which all or substantially all of the Common Stock is exchanged for or converted into cash, securities or other property, other than (A) in the case of a merger or consolidation, a transaction, or a series of related transactions, following which holders of securities that represented 100% of the Voting Stock of the Company immediately prior to such transaction own directly or indirectly (in substantially the same proportion to each other as immediately prior to such transaction, other than changes in proportionality as a result of any cash/stock election provided under the terms of the definitive agreement regarding such transaction) at least a majority of the voting power of the Voting Stock of the surviving Person or Parent Entity in such merger or consolidation transaction immediately after such transaction or (B) in the case of a sale, transfer, license or lease of all or substantially all of the assets of the Company, to a Subsidiary or a Person that becomes a Subsidiary of the Company; or</w:t>
      </w:r>
    </w:p>
    <w:p>
      <w:pPr>
        <w:spacing w:after="0" w:line="86"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7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or shares of any other Capital Stock into which the Series B-2 Preferred Stock is convertible are not listed for trading on any U.S. national securities exchange or cease to be traded in contemplation of a delisting.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avoidance of doubt, the Transactions shall not constitute a Change of Control.</w:t>
      </w:r>
    </w:p>
    <w:p>
      <w:pPr>
        <w:spacing w:after="0" w:line="221"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 Purchase Date</w:t>
      </w:r>
      <w:r>
        <w:rPr>
          <w:rFonts w:ascii="Times New Roman" w:cs="Times New Roman" w:eastAsia="Times New Roman" w:hAnsi="Times New Roman"/>
          <w:sz w:val="18"/>
          <w:szCs w:val="18"/>
          <w:color w:val="auto"/>
        </w:rPr>
        <w:t xml:space="preserve">” means, with respect to a share of Series B-2 Preferred Stock, (i) in the case of a conversion pursuant to </w:t>
      </w:r>
      <w:r>
        <w:rPr>
          <w:rFonts w:ascii="Times New Roman" w:cs="Times New Roman" w:eastAsia="Times New Roman" w:hAnsi="Times New Roman"/>
          <w:sz w:val="18"/>
          <w:szCs w:val="18"/>
          <w:u w:val="single" w:color="auto"/>
          <w:color w:val="auto"/>
        </w:rPr>
        <w:t>Section 9(a)(i)</w:t>
      </w:r>
      <w:r>
        <w:rPr>
          <w:rFonts w:ascii="Times New Roman" w:cs="Times New Roman" w:eastAsia="Times New Roman" w:hAnsi="Times New Roman"/>
          <w:sz w:val="18"/>
          <w:szCs w:val="18"/>
          <w:color w:val="auto"/>
        </w:rPr>
        <w:t>, the date on which the Company issues the shares of Common Stock on conversion of such share and (ii) in the case of a Change of Control Put, the date on which the Company makes the payment in full of the Change of Control Put Price for such share to the Holder thereof or to the Transfer Agent, irrevocably, for the benefit of such Holder.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close of business</w:t>
      </w:r>
      <w:r>
        <w:rPr>
          <w:rFonts w:ascii="Times New Roman" w:cs="Times New Roman" w:eastAsia="Times New Roman" w:hAnsi="Times New Roman"/>
          <w:sz w:val="18"/>
          <w:szCs w:val="18"/>
          <w:color w:val="auto"/>
        </w:rPr>
        <w:t>” means 5:00 p.m. (New York City time) on any Business Day.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Conversion Agent</w:t>
      </w:r>
      <w:r>
        <w:rPr>
          <w:rFonts w:ascii="Times New Roman" w:cs="Times New Roman" w:eastAsia="Times New Roman" w:hAnsi="Times New Roman"/>
          <w:sz w:val="18"/>
          <w:szCs w:val="18"/>
          <w:color w:val="auto"/>
        </w:rPr>
        <w:t>” means the Transfer Agent, acting in its capacity as conversion agent for the Series B-2 Preferred Stock, and its successors and assigns.</w:t>
      </w:r>
    </w:p>
    <w:p>
      <w:pPr>
        <w:spacing w:after="0" w:line="15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Conversion Price</w:t>
      </w:r>
      <w:r>
        <w:rPr>
          <w:rFonts w:ascii="Times New Roman" w:cs="Times New Roman" w:eastAsia="Times New Roman" w:hAnsi="Times New Roman"/>
          <w:sz w:val="18"/>
          <w:szCs w:val="18"/>
          <w:color w:val="auto"/>
        </w:rPr>
        <w:t xml:space="preserve">” means, for each share of Series B-2 Preferred Stock at any time, a dollar amount equal to the Liquidation Preference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by </w:t>
      </w:r>
      <w:r>
        <w:rPr>
          <w:rFonts w:ascii="Times New Roman" w:cs="Times New Roman" w:eastAsia="Times New Roman" w:hAnsi="Times New Roman"/>
          <w:sz w:val="18"/>
          <w:szCs w:val="18"/>
          <w:color w:val="auto"/>
        </w:rPr>
        <w:t>the Conversion Rate as of such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Conversion Rate</w:t>
      </w:r>
      <w:r>
        <w:rPr>
          <w:rFonts w:ascii="Times New Roman" w:cs="Times New Roman" w:eastAsia="Times New Roman" w:hAnsi="Times New Roman"/>
          <w:sz w:val="18"/>
          <w:szCs w:val="18"/>
          <w:color w:val="auto"/>
        </w:rPr>
        <w:t xml:space="preserve">” means 294.1176, subject to adjustment in accordance with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first date on which the shares of Common Stock trade on the applicable exchange or in the applicable market, regular way, reflecting the relevant share split or share combination, as applicable.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54" w:name="page55"/>
    <w:bookmarkEnd w:id="54"/>
    <w:p>
      <w:pPr>
        <w:ind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Ex-Dividend Date</w:t>
      </w:r>
      <w:r>
        <w:rPr>
          <w:rFonts w:ascii="Times New Roman" w:cs="Times New Roman" w:eastAsia="Times New Roman" w:hAnsi="Times New Roman"/>
          <w:sz w:val="18"/>
          <w:szCs w:val="18"/>
          <w:color w:val="auto"/>
        </w:rPr>
        <w:t>” means the first date on which shares of Common Stock trade on the applicable exchange or in the applicable market, regular way, without the right to receive the issuance, dividend or distribution in question, from the Company or, if applicable, from the seller of Common Stock on such exchange or market (in the form of due bills or otherwise) as determined by such exchange or market. For the avoidance of doubt, any alternative trading convention on the applicable exchange or market in respect of shares of Common Stock under a separate ticker symbol or CUSIP number shall not be considered “regular way” for the purposes of this definition and the “Effective Date” definition.</w:t>
      </w:r>
    </w:p>
    <w:p>
      <w:pPr>
        <w:spacing w:after="0" w:line="179"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or any similar successor federal statute and the rules and regulations thereunder, all as the same shall be in effect from time to time.</w:t>
      </w:r>
    </w:p>
    <w:p>
      <w:pPr>
        <w:spacing w:after="0" w:line="155" w:lineRule="exact"/>
        <w:rPr>
          <w:sz w:val="20"/>
          <w:szCs w:val="20"/>
          <w:color w:val="auto"/>
        </w:rPr>
      </w:pPr>
    </w:p>
    <w:p>
      <w:pPr>
        <w:jc w:val="both"/>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Authority</w:t>
      </w:r>
      <w:r>
        <w:rPr>
          <w:rFonts w:ascii="Times New Roman" w:cs="Times New Roman" w:eastAsia="Times New Roman" w:hAnsi="Times New Roman"/>
          <w:sz w:val="18"/>
          <w:szCs w:val="18"/>
          <w:color w:val="auto"/>
        </w:rPr>
        <w:t>” means any government, political subdivision, governmental, administrative or regulatory entity or body, department, commission, board, agency or instrumentality, or other legislative, executive or judicial governmental entity, and any court, tribunal, judicial or arbitral body, in each case whether federal, national, state, county, municipal, provincial, local, foreign or multinational.</w:t>
      </w:r>
    </w:p>
    <w:p>
      <w:pPr>
        <w:spacing w:after="0" w:line="171" w:lineRule="exact"/>
        <w:rPr>
          <w:sz w:val="20"/>
          <w:szCs w:val="20"/>
          <w:color w:val="auto"/>
        </w:rPr>
      </w:pPr>
    </w:p>
    <w:p>
      <w:pPr>
        <w:ind w:firstLine="440"/>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Holder</w:t>
      </w:r>
      <w:r>
        <w:rPr>
          <w:rFonts w:ascii="Times New Roman" w:cs="Times New Roman" w:eastAsia="Times New Roman" w:hAnsi="Times New Roman"/>
          <w:sz w:val="17"/>
          <w:szCs w:val="17"/>
          <w:color w:val="auto"/>
        </w:rPr>
        <w:t xml:space="preserve">” means a Person in whose name shares of the Series B-2 Preferred Stock are registered, which Person shall be treated by the Company, Transfer Agent, Registrar, paying agent and Conversion Agent as the absolute owner of the shares of Series B-2 Preferred Stock for the purpose of making payment and settling conversions and for all other purposes;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to the fullest extent permitted by law, (a) no Person that has received shares of Series B-2 Preferred Stock in violation of the Viking Purchase Agreement shall be a Holder, (b) the Transfer Agent, Registrar, paying agent and Conversion Agent, as applicable, shall not, unless directed otherwise by the Company, recognize any such Person as a Holder and (c) the Person in whose name the shares of the Series B-2 Preferred Stock were registered immediately prior to such transfer shall remain the Holder of such shares.</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Investor Parties</w:t>
      </w:r>
      <w:r>
        <w:rPr>
          <w:rFonts w:ascii="Times New Roman" w:cs="Times New Roman" w:eastAsia="Times New Roman" w:hAnsi="Times New Roman"/>
          <w:sz w:val="18"/>
          <w:szCs w:val="18"/>
          <w:color w:val="auto"/>
        </w:rPr>
        <w:t>” means, collectively, the Casdin Parties and the Viking Parties.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Issuance Date</w:t>
      </w:r>
      <w:r>
        <w:rPr>
          <w:rFonts w:ascii="Times New Roman" w:cs="Times New Roman" w:eastAsia="Times New Roman" w:hAnsi="Times New Roman"/>
          <w:sz w:val="18"/>
          <w:szCs w:val="18"/>
          <w:color w:val="auto"/>
        </w:rPr>
        <w:t>” means, with respect to any share of Series B-2 Preferred Stock, the date of issuance of such share.</w:t>
      </w:r>
    </w:p>
    <w:p>
      <w:pPr>
        <w:spacing w:after="0" w:line="22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Last Reported Sale Price</w:t>
      </w:r>
      <w:r>
        <w:rPr>
          <w:rFonts w:ascii="Times New Roman" w:cs="Times New Roman" w:eastAsia="Times New Roman" w:hAnsi="Times New Roman"/>
          <w:sz w:val="18"/>
          <w:szCs w:val="18"/>
          <w:color w:val="auto"/>
        </w:rPr>
        <w:t>” of the Common Stock (or other security for which a closing sale price must be determined)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Stock (or such other security) is traded. If the Common Stock (or such other security) is not listed for trading on a U.S. national or regional securities exchange on the relevant date, the “Last Reported Sale Price” shall be the last quoted bid price for the Common Stock (or such other security) in the over-the-counter market on the relevant date as reported by OTC Markets Group Inc. or a similar organization. If the Common Stock (or such other security) is not so quoted, the “Last Reported Sale Price” shall be the average of the mid-point of the last bid and ask prices per share of the Common Stock (or such other security) on the relevant date from each of at least three nationally recognized independent investment banking firms selected by the Company for this purpose. The “Last Reported Sale Price” shall be determined without regard to after-hours trading or any other trading outside of the regular trading session hours.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55" w:name="page56"/>
    <w:bookmarkEnd w:id="55"/>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Law</w:t>
      </w:r>
      <w:r>
        <w:rPr>
          <w:rFonts w:ascii="Times New Roman" w:cs="Times New Roman" w:eastAsia="Times New Roman" w:hAnsi="Times New Roman"/>
          <w:sz w:val="18"/>
          <w:szCs w:val="18"/>
          <w:color w:val="auto"/>
        </w:rPr>
        <w:t>” means any federal, national, state, county, municipal, provincial, local, foreign or multinational law, act, statute, constitution, common law, ordinance, code, decree, writ, order, judgment, injunction, rule, regulation, ruling or requirement issued, enacted, adopted, promulgated, implemented or otherwise put into effect by or under the authority of any Governmental Authority.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Liquidation Preference</w:t>
      </w:r>
      <w:r>
        <w:rPr>
          <w:rFonts w:ascii="Times New Roman" w:cs="Times New Roman" w:eastAsia="Times New Roman" w:hAnsi="Times New Roman"/>
          <w:sz w:val="18"/>
          <w:szCs w:val="18"/>
          <w:color w:val="auto"/>
        </w:rPr>
        <w:t>” means, with respect to any share of Series B-2 Preferred Stock, as of any date, $1,000 per share.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Mandatory Conversion Price</w:t>
      </w:r>
      <w:r>
        <w:rPr>
          <w:rFonts w:ascii="Times New Roman" w:cs="Times New Roman" w:eastAsia="Times New Roman" w:hAnsi="Times New Roman"/>
          <w:sz w:val="18"/>
          <w:szCs w:val="18"/>
          <w:color w:val="auto"/>
        </w:rPr>
        <w:t>” means, at any time, 250% of the Conversion Price as of such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Market Disruption Event</w:t>
      </w:r>
      <w:r>
        <w:rPr>
          <w:rFonts w:ascii="Times New Roman" w:cs="Times New Roman" w:eastAsia="Times New Roman" w:hAnsi="Times New Roman"/>
          <w:sz w:val="18"/>
          <w:szCs w:val="18"/>
          <w:color w:val="auto"/>
        </w:rPr>
        <w:t>” means any of the following events:</w:t>
      </w:r>
    </w:p>
    <w:p>
      <w:pPr>
        <w:spacing w:after="0" w:line="121" w:lineRule="exact"/>
        <w:rPr>
          <w:sz w:val="20"/>
          <w:szCs w:val="20"/>
          <w:color w:val="auto"/>
        </w:rPr>
      </w:pPr>
    </w:p>
    <w:p>
      <w:pPr>
        <w:ind w:left="440" w:right="60" w:firstLine="419"/>
        <w:spacing w:after="0" w:line="256" w:lineRule="auto"/>
        <w:tabs>
          <w:tab w:leader="none" w:pos="107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suspension of, or limitation imposed on, trading of the Common Stock or options contracts relating to the Common Stock by any exchange or quotation system on which the Last Reported Sale Price is determined pursuant to the definition of “Last Reported Sale Price” (the “</w:t>
      </w:r>
      <w:r>
        <w:rPr>
          <w:rFonts w:ascii="Times New Roman" w:cs="Times New Roman" w:eastAsia="Times New Roman" w:hAnsi="Times New Roman"/>
          <w:sz w:val="18"/>
          <w:szCs w:val="18"/>
          <w:b w:val="1"/>
          <w:bCs w:val="1"/>
          <w:i w:val="1"/>
          <w:iCs w:val="1"/>
          <w:color w:val="auto"/>
        </w:rPr>
        <w:t>Relevant Exchange</w:t>
      </w:r>
      <w:r>
        <w:rPr>
          <w:rFonts w:ascii="Times New Roman" w:cs="Times New Roman" w:eastAsia="Times New Roman" w:hAnsi="Times New Roman"/>
          <w:sz w:val="18"/>
          <w:szCs w:val="18"/>
          <w:color w:val="auto"/>
        </w:rPr>
        <w:t>”) during the one-hour period prior to the close of trading for the regular trading session on the Relevant Exchange (or for purposes of determining the VWAP per share of Common Stock, any period or periods aggregating one half-hour or longer during the regular trading session on the relevant day) whether by reason of movements in price exceeding limits permitted by the Relevant Exchange or otherwise; or</w:t>
      </w:r>
    </w:p>
    <w:p>
      <w:pPr>
        <w:spacing w:after="0" w:line="79" w:lineRule="exact"/>
        <w:rPr>
          <w:rFonts w:ascii="Times New Roman" w:cs="Times New Roman" w:eastAsia="Times New Roman" w:hAnsi="Times New Roman"/>
          <w:sz w:val="18"/>
          <w:szCs w:val="18"/>
          <w:color w:val="auto"/>
        </w:rPr>
      </w:pPr>
    </w:p>
    <w:p>
      <w:pPr>
        <w:ind w:left="440" w:right="140" w:firstLine="419"/>
        <w:spacing w:after="0" w:line="258" w:lineRule="auto"/>
        <w:tabs>
          <w:tab w:leader="none" w:pos="112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that disrupts or impairs (as determined by the Company in its reasonable discretion) the ability of market participants during the one-hour period prior to the close of trading for the regular trading session on the Relevant Exchange (or for purposes of determining the VWAP per share of Common Stock, any period or periods aggregating one half-hour or longer during the regular trading session on the relevant day) to effect transactions in, or obtain market values for, the Common Stock on the Relevant Exchange or to effect transactions in, or obtain market values for, options contracts relating to the Common Stock on the Relevant Exchange.</w:t>
      </w:r>
    </w:p>
    <w:p>
      <w:pPr>
        <w:spacing w:after="0" w:line="179"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Stock Market and any successor stock exchange or inter-dealer quotation system operated by the Nasdaq Stock Market or any successor thereto.</w:t>
      </w:r>
    </w:p>
    <w:p>
      <w:pPr>
        <w:spacing w:after="0" w:line="15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Neutral Manner</w:t>
      </w:r>
      <w:r>
        <w:rPr>
          <w:rFonts w:ascii="Times New Roman" w:cs="Times New Roman" w:eastAsia="Times New Roman" w:hAnsi="Times New Roman"/>
          <w:sz w:val="18"/>
          <w:szCs w:val="18"/>
          <w:color w:val="auto"/>
        </w:rPr>
        <w:t>” means in the same proportion as the outstanding Common Stock (excluding any and all Common Stock Beneficially Owned, directly or indirectly, by the Investor Parties) voted on the relevant matters.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Officers’ Certificate</w:t>
      </w:r>
      <w:r>
        <w:rPr>
          <w:rFonts w:ascii="Times New Roman" w:cs="Times New Roman" w:eastAsia="Times New Roman" w:hAnsi="Times New Roman"/>
          <w:sz w:val="18"/>
          <w:szCs w:val="18"/>
          <w:color w:val="auto"/>
        </w:rPr>
        <w:t>” means a certificate signed by the Chief Executive Officer, the Chief Financial Officer or the Secretary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Original Issuance Date</w:t>
      </w:r>
      <w:r>
        <w:rPr>
          <w:rFonts w:ascii="Times New Roman" w:cs="Times New Roman" w:eastAsia="Times New Roman" w:hAnsi="Times New Roman"/>
          <w:sz w:val="18"/>
          <w:szCs w:val="18"/>
          <w:color w:val="auto"/>
        </w:rPr>
        <w:t>” means the Closing Date, as defined in the Viking Purchase Agreement.</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66" w:right="499" w:bottom="1440" w:gutter="0" w:footer="0" w:header="0"/>
        </w:sectPr>
      </w:pPr>
    </w:p>
    <w:bookmarkStart w:id="56" w:name="page57"/>
    <w:bookmarkEnd w:id="5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Parent Entity</w:t>
      </w:r>
      <w:r>
        <w:rPr>
          <w:rFonts w:ascii="Times New Roman" w:cs="Times New Roman" w:eastAsia="Times New Roman" w:hAnsi="Times New Roman"/>
          <w:sz w:val="18"/>
          <w:szCs w:val="18"/>
          <w:color w:val="auto"/>
        </w:rPr>
        <w:t>” means, with respect to any Person, any other Person of which such first Person is a direct or indirect wholly owned Subsidiary.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Transferee</w:t>
      </w:r>
      <w:r>
        <w:rPr>
          <w:rFonts w:ascii="Times New Roman" w:cs="Times New Roman" w:eastAsia="Times New Roman" w:hAnsi="Times New Roman"/>
          <w:sz w:val="18"/>
          <w:szCs w:val="18"/>
          <w:color w:val="auto"/>
        </w:rPr>
        <w:t>” has the meaning set forth in the Casdin Purchase Agreement or the Viking Purchase Agreement, as applicable.</w:t>
      </w:r>
    </w:p>
    <w:p>
      <w:pPr>
        <w:spacing w:after="0" w:line="22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corporation, estate, partnership, joint venture, association, joint-stock company, limited liability company, trust, series, unincorporated organization or any other entity.</w:t>
      </w:r>
    </w:p>
    <w:p>
      <w:pPr>
        <w:spacing w:after="0" w:line="15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means, with respect to any dividend, distribution or other transaction or event in which holders of Common Stock have the right to receive any cash, securities or other property or in which Common Stock is exchanged for or converted into any combination of cash, securities or other property, the date fixed for determination of holders of Common Stock entitled to receive such cash, securities or other property (whether such date is fixed by the Board or a duly authorized committee thereof or by statute, contract or otherwise).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Registrar</w:t>
      </w:r>
      <w:r>
        <w:rPr>
          <w:rFonts w:ascii="Times New Roman" w:cs="Times New Roman" w:eastAsia="Times New Roman" w:hAnsi="Times New Roman"/>
          <w:sz w:val="18"/>
          <w:szCs w:val="18"/>
          <w:color w:val="auto"/>
        </w:rPr>
        <w:t>” means the Transfer Agent, acting in its capacity as registrar for the Series B-2 Preferred Stock, and its successors and assigns.</w:t>
      </w:r>
    </w:p>
    <w:p>
      <w:pPr>
        <w:spacing w:after="0" w:line="22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Rights Agreement</w:t>
      </w:r>
      <w:r>
        <w:rPr>
          <w:rFonts w:ascii="Times New Roman" w:cs="Times New Roman" w:eastAsia="Times New Roman" w:hAnsi="Times New Roman"/>
          <w:sz w:val="18"/>
          <w:szCs w:val="18"/>
          <w:color w:val="auto"/>
        </w:rPr>
        <w:t>” means the Registration Rights Agreement by and among the Company and the purchasers party thereto dated as of January 23, 2022 as it may be amended, supplemented or otherwise modified from time to time.</w:t>
      </w:r>
    </w:p>
    <w:p>
      <w:pPr>
        <w:spacing w:after="0" w:line="155"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Person</w:t>
      </w:r>
      <w:r>
        <w:rPr>
          <w:rFonts w:ascii="Times New Roman" w:cs="Times New Roman" w:eastAsia="Times New Roman" w:hAnsi="Times New Roman"/>
          <w:sz w:val="18"/>
          <w:szCs w:val="18"/>
          <w:color w:val="auto"/>
        </w:rPr>
        <w:t>” means (a) any executive officer of the Company, (b) any director of the Company or any Affiliate of such director and (c) any Person that, together with its Affiliates, holds 5% of more of the outstanding shares of Common Stock (measured on an as-converted basis).</w:t>
      </w:r>
    </w:p>
    <w:p>
      <w:pPr>
        <w:spacing w:after="0" w:line="15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 or any similar successor federal statute and the rules and regulations thereunder, all as the same shall be in effect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B Preferred Stock</w:t>
      </w:r>
      <w:r>
        <w:rPr>
          <w:rFonts w:ascii="Times New Roman" w:cs="Times New Roman" w:eastAsia="Times New Roman" w:hAnsi="Times New Roman"/>
          <w:sz w:val="18"/>
          <w:szCs w:val="18"/>
          <w:color w:val="auto"/>
        </w:rPr>
        <w:t>” means, collectively, the Series B-1 Preferred Stock and the Series B-2 Preferred Stock.</w:t>
      </w:r>
    </w:p>
    <w:p>
      <w:pPr>
        <w:spacing w:after="0" w:line="225"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B-1 Certificate of Designations</w:t>
      </w:r>
      <w:r>
        <w:rPr>
          <w:rFonts w:ascii="Times New Roman" w:cs="Times New Roman" w:eastAsia="Times New Roman" w:hAnsi="Times New Roman"/>
          <w:sz w:val="18"/>
          <w:szCs w:val="18"/>
          <w:color w:val="auto"/>
        </w:rPr>
        <w:t>” means the Certificate of Designations relating to the Series B-1 Preferred Stock, as it may be amended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B-1 Preferred Stock</w:t>
      </w:r>
      <w:r>
        <w:rPr>
          <w:rFonts w:ascii="Times New Roman" w:cs="Times New Roman" w:eastAsia="Times New Roman" w:hAnsi="Times New Roman"/>
          <w:sz w:val="18"/>
          <w:szCs w:val="18"/>
          <w:color w:val="auto"/>
        </w:rPr>
        <w:t>” means the Series B-1 Convertible Preferred Stock of the Company.</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any Person, any corporation of which a majority of the total voting power of shares of stock entitled to vote in the election of directors, managers or trustees thereof is at the time owned or controlled, directly or indirectly, by such Person or one or more of the other Subsidiaries of such Person or a combination thereof or any partnership, limited liability company, trust, association or other business entity of which a majority of the partnership, limited liability company, trust, association or other similar ownership interest is at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57" w:name="page58"/>
    <w:bookmarkEnd w:id="57"/>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time owned or controlled, directly or indirectly, by such Person or one or more Subsidiaries of such Person or a combination thereof. For purposes of this definition, a Person is deemed to have a majority ownership interest in a partnership, limited liability company, trust, association or other business entity if such Person is allocated a majority of the gains or losses of such partnership, limited liability company, trust, association or other business entity or is or controls the managing director, managing member or general (or equivalent) partner of such partnership, limited liability company, trust, association or other business entity.</w:t>
      </w:r>
    </w:p>
    <w:p>
      <w:pPr>
        <w:spacing w:after="0" w:line="179"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 means any taxes and similar assessments, fees, and other governmental charges imposed by any Governmental Authority, including income, profits, gross receipts, net proceeds, ad valorem, value added, turnover, sales, use, property, personal property (tangible and intangible), stamp, excise, duty, franchise, capital stock, transfer, payroll, employment, severance, and estimated tax, together with any interest and any penalties, additions to tax or additional amounts imposed by any Governmental Authority, whether disputed or not.</w:t>
      </w:r>
    </w:p>
    <w:p>
      <w:pPr>
        <w:spacing w:after="0" w:line="176" w:lineRule="exact"/>
        <w:rPr>
          <w:sz w:val="20"/>
          <w:szCs w:val="20"/>
          <w:color w:val="auto"/>
        </w:rPr>
      </w:pPr>
    </w:p>
    <w:p>
      <w:pPr>
        <w:ind w:right="8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Return</w:t>
      </w:r>
      <w:r>
        <w:rPr>
          <w:rFonts w:ascii="Times New Roman" w:cs="Times New Roman" w:eastAsia="Times New Roman" w:hAnsi="Times New Roman"/>
          <w:sz w:val="18"/>
          <w:szCs w:val="18"/>
          <w:color w:val="auto"/>
        </w:rPr>
        <w:t>” means any return, estimates, report, statement, information return or other document (including any related or supporting information such as a schedule or attachment thereto) filed or required to be filed with any Governmental Authority in connection with the determination, assessment, collection or administration of any Taxes, including any amendment thereof.</w:t>
      </w:r>
    </w:p>
    <w:p>
      <w:pPr>
        <w:spacing w:after="0" w:line="171"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 Business Day on which the Relevant Exchange is scheduled to be open for business and on which there has not occurred a Market Disruption Event.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has the meaning set forth in the Viking Purchase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has the meaning set forth in the Casdin Purchase Agreement or the Viking Purchase Agreement, as applicable.</w:t>
      </w:r>
    </w:p>
    <w:p>
      <w:pPr>
        <w:spacing w:after="0" w:line="22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 Agent</w:t>
      </w:r>
      <w:r>
        <w:rPr>
          <w:rFonts w:ascii="Times New Roman" w:cs="Times New Roman" w:eastAsia="Times New Roman" w:hAnsi="Times New Roman"/>
          <w:sz w:val="18"/>
          <w:szCs w:val="18"/>
          <w:color w:val="auto"/>
        </w:rPr>
        <w:t>” means the Person acting as transfer agent, Registrar and paying agent and Conversion Agent for the Series B-2 Preferred Stock and its successors and assigns. The initial Transfer Agent shall be Computershare Trust Company, N.A.</w:t>
      </w:r>
    </w:p>
    <w:p>
      <w:pPr>
        <w:spacing w:after="0" w:line="15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Viking</w:t>
      </w:r>
      <w:r>
        <w:rPr>
          <w:rFonts w:ascii="Times New Roman" w:cs="Times New Roman" w:eastAsia="Times New Roman" w:hAnsi="Times New Roman"/>
          <w:sz w:val="18"/>
          <w:szCs w:val="18"/>
          <w:color w:val="auto"/>
        </w:rPr>
        <w:t>” means, collectively, Viking Global Opportunities Illiquid Investments Sub-Master LP, a Cayman Islands exempted limited partnership and Viking Global Opportunities Drawdown (Aggregator) LP, a Cayman Islands exempted limited partnership.</w:t>
      </w:r>
    </w:p>
    <w:p>
      <w:pPr>
        <w:spacing w:after="0" w:line="155"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Viking Parties</w:t>
      </w:r>
      <w:r>
        <w:rPr>
          <w:rFonts w:ascii="Times New Roman" w:cs="Times New Roman" w:eastAsia="Times New Roman" w:hAnsi="Times New Roman"/>
          <w:sz w:val="18"/>
          <w:szCs w:val="18"/>
          <w:color w:val="auto"/>
        </w:rPr>
        <w:t>” means Viking and each Permitted Transferee of Viking to whom shares of Series B-2 Preferred Stock or Common Stock are Transferred pursuant to Section 6.15(b) of the Viking Purchase Agreement.</w:t>
      </w:r>
    </w:p>
    <w:p>
      <w:pPr>
        <w:spacing w:after="0" w:line="155" w:lineRule="exact"/>
        <w:rPr>
          <w:sz w:val="20"/>
          <w:szCs w:val="20"/>
          <w:color w:val="auto"/>
        </w:rPr>
      </w:pPr>
    </w:p>
    <w:p>
      <w:pPr>
        <w:ind w:right="2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Viking Preferred Percentage</w:t>
      </w:r>
      <w:r>
        <w:rPr>
          <w:rFonts w:ascii="Times New Roman" w:cs="Times New Roman" w:eastAsia="Times New Roman" w:hAnsi="Times New Roman"/>
          <w:sz w:val="18"/>
          <w:szCs w:val="18"/>
          <w:color w:val="auto"/>
        </w:rPr>
        <w:t xml:space="preserve">” means, as of any time, (a) the number of shares of Common Stock into which the shares of Series B-2 Preferred Stock beneficially owned by the Viking Parties are convertible (without regard to any limitations on conversion)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total number of shares of Common Stock issued and outstanding, in each case as of such time and assuming that all shares of Series B Preferred Stock outstanding are converted into shares of Common Stock (without regard to any limitations on conversion).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58" w:name="page59"/>
    <w:bookmarkEnd w:id="58"/>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Viking Purchase Agreement</w:t>
      </w:r>
      <w:r>
        <w:rPr>
          <w:rFonts w:ascii="Times New Roman" w:cs="Times New Roman" w:eastAsia="Times New Roman" w:hAnsi="Times New Roman"/>
          <w:sz w:val="18"/>
          <w:szCs w:val="18"/>
          <w:color w:val="auto"/>
        </w:rPr>
        <w:t>” means the Series B-2 Convertible Preferred Stock Purchase Agreement by and between the Company and Viking, dated as of January 23, 2022, as it may be amended, modified or supplemented from time to time.</w:t>
      </w:r>
    </w:p>
    <w:p>
      <w:pPr>
        <w:spacing w:after="0" w:line="155"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Voting Stock</w:t>
      </w:r>
      <w:r>
        <w:rPr>
          <w:rFonts w:ascii="Times New Roman" w:cs="Times New Roman" w:eastAsia="Times New Roman" w:hAnsi="Times New Roman"/>
          <w:sz w:val="18"/>
          <w:szCs w:val="18"/>
          <w:color w:val="auto"/>
        </w:rPr>
        <w:t>” means (i) with respect to the Company, the Common Stock, the Series B Preferred Stock (subject to the limitations set forth herein) and any other Capital Stock of the Company having the right to vote generally in any election of directors of the Board and (ii) with respect to any other Person, all Capital Stock of such Person having the right to vote generally in any election of directors of the board of directors of such Person or other similar governing body.</w:t>
      </w:r>
    </w:p>
    <w:p>
      <w:pPr>
        <w:spacing w:after="0" w:line="176"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w:t>
      </w:r>
      <w:r>
        <w:rPr>
          <w:rFonts w:ascii="Times New Roman" w:cs="Times New Roman" w:eastAsia="Times New Roman" w:hAnsi="Times New Roman"/>
          <w:sz w:val="18"/>
          <w:szCs w:val="18"/>
          <w:color w:val="auto"/>
        </w:rPr>
        <w:t>” means, for any Trading Days, the per share volume-weighted average price of the Common Stock as displayed under the heading “Bloomberg VWAP” on Bloomberg page “FLDM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reasonably determined, using a volume-weighted average method, by a nationally recognized independent investment banking firm retained for this purpose by the Company). The “VWAP” shall be determined without regard to after-hours trading or any other trading outside of the regular trading session trading hours.</w:t>
      </w:r>
    </w:p>
    <w:p>
      <w:pPr>
        <w:spacing w:after="0" w:line="7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 The following terms have the meanings set forth in the Sections referenced below: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Term</w:t>
            </w:r>
          </w:p>
        </w:tc>
        <w:tc>
          <w:tcPr>
            <w:tcW w:w="7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Section</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1% Exception</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11(j)</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Board</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Change of Control Call</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9(e)</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Change of Control Effective Date</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9(c)</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Change of Control Election Notice</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9(b)</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Change of Control Put</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9(a)</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Change of Control Put Price</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9(a)</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Clause A Distribution</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11(c)(A)</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Clause B Distribution</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11(c)(B)</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Clause C Distribution</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11(c)(B)</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Constituent Person</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12(a)(iii)</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Conversion Date</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8(a)</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Conversion Notice</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8(a)(i)</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DGCL</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Distributed Property</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11(c)</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Exchange Property</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12(a)(iii)</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Final Change of Control Notice</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9(c)</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Junior Stock</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2(b)</w:t>
            </w: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Mandatory Conversion</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7(a)</w:t>
            </w:r>
          </w:p>
        </w:tc>
      </w:tr>
      <w:tr>
        <w:trPr>
          <w:trHeight w:val="365"/>
        </w:trPr>
        <w:tc>
          <w:tcPr>
            <w:tcW w:w="3980" w:type="dxa"/>
            <w:vAlign w:val="bottom"/>
          </w:tcPr>
          <w:p>
            <w:pPr>
              <w:spacing w:after="0"/>
              <w:rPr>
                <w:sz w:val="24"/>
                <w:szCs w:val="24"/>
                <w:color w:val="auto"/>
              </w:rPr>
            </w:pPr>
          </w:p>
        </w:tc>
        <w:tc>
          <w:tcPr>
            <w:tcW w:w="7040" w:type="dxa"/>
            <w:vAlign w:val="bottom"/>
          </w:tcPr>
          <w:p>
            <w:pPr>
              <w:jc w:val="right"/>
              <w:ind w:right="5391"/>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020"/>
          </w:cols>
          <w:pgMar w:left="440" w:top="266" w:right="439" w:bottom="1440" w:gutter="0" w:footer="0" w:header="0"/>
        </w:sectPr>
      </w:pPr>
    </w:p>
    <w:bookmarkStart w:id="59" w:name="page60"/>
    <w:bookmarkEnd w:id="5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Mandatory Conversion Date</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7(a)</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Notice of Mandatory Conversion</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7(b)</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Notice of Redemption</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10(b)</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Parity Stock</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2(a)</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Redemption</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10(a)</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Redemption Date</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10(b)</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Redemption Price</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10(a)</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Reorganization Event</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12(a)(iii)</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Senior Stock</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2(b)</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Series B-2 Preferred Director</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14(a)</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Spin-Off</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11(c)</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Third Party Transfer Taxes</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19(b)</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Trigger Event</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11(c)</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Valuation Period</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11(c)</w:t>
            </w: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Voting Threshold</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13(a)</w:t>
            </w:r>
          </w:p>
        </w:tc>
      </w:tr>
    </w:tbl>
    <w:p>
      <w:pPr>
        <w:spacing w:after="0" w:line="198"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xml:space="preserve">. Subject to the provisions of this Certificate of Designations (including </w:t>
      </w:r>
      <w:r>
        <w:rPr>
          <w:rFonts w:ascii="Times New Roman" w:cs="Times New Roman" w:eastAsia="Times New Roman" w:hAnsi="Times New Roman"/>
          <w:sz w:val="18"/>
          <w:szCs w:val="18"/>
          <w:u w:val="single" w:color="auto"/>
          <w:color w:val="auto"/>
        </w:rPr>
        <w:t>Section 13(b)</w:t>
      </w:r>
      <w:r>
        <w:rPr>
          <w:rFonts w:ascii="Times New Roman" w:cs="Times New Roman" w:eastAsia="Times New Roman" w:hAnsi="Times New Roman"/>
          <w:sz w:val="18"/>
          <w:szCs w:val="18"/>
          <w:color w:val="auto"/>
        </w:rPr>
        <w:t xml:space="preserve">), dividends may be declared by the Board or any duly authorized committee thereof on any Junior Stock from time to time. The Holders shall fully participate, on an as-converted basis (without regard to any limitations on conversion), in any dividends declared and paid or distributions on the Common Stock as if the Series B-2 Preferred Stock were, though the Series B-2 Preferred Stock shall not be, converted, at the Conversion Rate in effect on the Record Date for such dividend or distribution,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into shares of Common Stock (without regard to any limitations on conversion) immediately prior to such Record Date, as and when paid with respect to the Common Stock and using the same Record Date as is used for the Common Stock. No dividend shall be declared or paid on the Series B-1 Preferred Stock unless a dividend in an equal amount per share is also declared or paid (as applicable) on the Series B-2 Preferred Stock.</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Liquidation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20" w:firstLine="419"/>
        <w:spacing w:after="0" w:line="254" w:lineRule="auto"/>
        <w:tabs>
          <w:tab w:leader="none" w:pos="110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xml:space="preserve">. In the event of any voluntary or involuntary liquidation, dissolution or winding up of the affairs of the Company, the Holders shall be entitled, out of assets legally available therefor, before any distribution or payment out of the assets of the Company may be made to or set aside for the holders of any Junior Stock, and subject to the rights of the holders of any Senior Stock or Parity Stock and the rights of the Company’s existing and future creditors, to receive in full a liquidating distribution in cash in the amount per share of Series B-2 Preferred Stock equal to the greater of (i) the Liquidation Preference with respect to such share of Series B-2 Preferred Stock as of the date of such voluntary or involuntary liquidation, dissolution or winding up of the affairs of the Company and (ii) the amount per share of Series B-2 Preferred Stock that such Holders would have received had all holders of Series B Preferred Stock, immediately prior to such voluntary or involuntary liquidation, dissolution or winding up of the affairs of the Company, converted all shares of Series B Preferred Stock into Common Stock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of the Series B-1 Certificate of Designations, as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60" w:name="page61"/>
    <w:bookmarkEnd w:id="60"/>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applicable (without regard to any of the limitations on convertibility contained therein)). Holders shall not be entitled to any further payments in the event of any such voluntary or involuntary liquidation, dissolution or winding up of the affairs of the Company other than what is expressly provided for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and shall have no right or claim to any of the Company’s remaining assets.</w:t>
      </w:r>
    </w:p>
    <w:p>
      <w:pPr>
        <w:spacing w:after="0" w:line="68" w:lineRule="exact"/>
        <w:rPr>
          <w:sz w:val="20"/>
          <w:szCs w:val="20"/>
          <w:color w:val="auto"/>
        </w:rPr>
      </w:pPr>
    </w:p>
    <w:p>
      <w:pPr>
        <w:ind w:firstLine="419"/>
        <w:spacing w:after="0" w:line="256" w:lineRule="auto"/>
        <w:tabs>
          <w:tab w:leader="none" w:pos="67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Payment</w:t>
      </w:r>
      <w:r>
        <w:rPr>
          <w:rFonts w:ascii="Times New Roman" w:cs="Times New Roman" w:eastAsia="Times New Roman" w:hAnsi="Times New Roman"/>
          <w:sz w:val="18"/>
          <w:szCs w:val="18"/>
          <w:color w:val="auto"/>
        </w:rPr>
        <w:t xml:space="preserve">. If in connection with any distribution described in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the assets of the Company or proceeds therefrom are not sufficient to pay in full the aggregate liquidating distributions required to be paid pursuant to (i)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to all Holders, (ii)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of the Series B-1 Certificate of Designations to all holders of the Series B-1 Preferred Stock, and (iii) the liquidating distributions payable to all holders of any other Parity Stock, the amounts distributed to the Holders, the holders of the Series B-1 Preferred Stock and to the holders of all other Parity Stock shall be paid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 respective aggregate liquidating distributions to which they would otherwise be entitled if all amounts payable thereon were paid in full.</w:t>
      </w:r>
    </w:p>
    <w:p>
      <w:pPr>
        <w:spacing w:after="0" w:line="79" w:lineRule="exact"/>
        <w:rPr>
          <w:rFonts w:ascii="Times New Roman" w:cs="Times New Roman" w:eastAsia="Times New Roman" w:hAnsi="Times New Roman"/>
          <w:sz w:val="18"/>
          <w:szCs w:val="18"/>
          <w:color w:val="auto"/>
        </w:rPr>
      </w:pPr>
    </w:p>
    <w:p>
      <w:pPr>
        <w:ind w:right="120" w:firstLine="419"/>
        <w:spacing w:after="0" w:line="254" w:lineRule="auto"/>
        <w:tabs>
          <w:tab w:leader="none" w:pos="66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Consolidation and Sale of Assets Not Liquidation</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the sale, conveyance, lease, exchange or transfer (for cash, shares of stock, securities or other consideration) of all or substantially all of the property and assets of the Company shall not be deemed a voluntary or involuntary liquidation, dissolution or winding up of the affairs of the Company, nor shall the merger, consolidation, statutory exchange or any other business combination transaction of the Company into or with any other Person or the merger, consolidation, statutory exchange or any other business combination transaction of any other Person into or with the Company or a Subsidiary of the Company be deemed to be a voluntary or involuntary liquidation, dissolution or winding up of the affairs of the Company, and the holders of Series B Preferred Stock shall not be entitled to any payments pursuant to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herein or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of the Series B-1 Certificate of Designations on account of such sale, conveyance, lease, exchange or transfer.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Right of the Holders to Convert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71" w:lineRule="auto"/>
        <w:tabs>
          <w:tab w:leader="none" w:pos="668"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Holder shall have the right, at such Holder’s option, subject to the conversion procedures set forth in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to convert each share of such Holder’s Series B-2 Preferred Stock at any time into a number of shares of Common Stock equal to the Conversion Rate;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each Holder shall receive cash in lieu of any fractional shares or as otherwise set out in </w:t>
      </w:r>
      <w:r>
        <w:rPr>
          <w:rFonts w:ascii="Times New Roman" w:cs="Times New Roman" w:eastAsia="Times New Roman" w:hAnsi="Times New Roman"/>
          <w:sz w:val="17"/>
          <w:szCs w:val="17"/>
          <w:u w:val="single" w:color="auto"/>
          <w:color w:val="auto"/>
        </w:rPr>
        <w:t>Section 8(f)</w:t>
      </w:r>
      <w:r>
        <w:rPr>
          <w:rFonts w:ascii="Times New Roman" w:cs="Times New Roman" w:eastAsia="Times New Roman" w:hAnsi="Times New Roman"/>
          <w:sz w:val="17"/>
          <w:szCs w:val="17"/>
          <w:color w:val="auto"/>
        </w:rPr>
        <w:t xml:space="preserve">. The right of conversion may be exercised as to all or any portion of such Holder’s Series B-2 Preferred Stock from time to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each case, no right of conversion may be exercised by a Holder and its Affiliates in respect of fewer than 10,000 shares of Series B-2 Preferred Stock (unless (i) such conversion relates to all shares of Series B-2 Preferred Stock held by such Holder or (ii) with respect to Viking and its Affiliates, such lesser number of shares of Series B-2 Preferred Stock as Viking and its Affiliates represent is required so that, immediately following such conversion, Viking and its Affiliates would not beneficially own shares of Common Stock in excess of the Cap);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neither Viking nor its Affiliates shall be entitled to convert shares of its Series B-2 Preferred Stock unless such conversion would not result in Viking, together with its Affiliates,</w:t>
      </w:r>
    </w:p>
    <w:p>
      <w:pPr>
        <w:spacing w:after="0" w:line="10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40"/>
          </w:cols>
          <w:pgMar w:left="880" w:top="270" w:right="479" w:bottom="1440" w:gutter="0" w:footer="0" w:header="0"/>
        </w:sectPr>
      </w:pPr>
    </w:p>
    <w:bookmarkStart w:id="61" w:name="page62"/>
    <w:bookmarkEnd w:id="61"/>
    <w:p>
      <w:pPr>
        <w:ind w:right="1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beneficially owning more than 9.5% of the outstanding shares of the Company’s Common Stock (the “</w:t>
      </w:r>
      <w:r>
        <w:rPr>
          <w:rFonts w:ascii="Times New Roman" w:cs="Times New Roman" w:eastAsia="Times New Roman" w:hAnsi="Times New Roman"/>
          <w:sz w:val="18"/>
          <w:szCs w:val="18"/>
          <w:u w:val="single" w:color="auto"/>
          <w:color w:val="auto"/>
        </w:rPr>
        <w:t>Cap</w:t>
      </w:r>
      <w:r>
        <w:rPr>
          <w:rFonts w:ascii="Times New Roman" w:cs="Times New Roman" w:eastAsia="Times New Roman" w:hAnsi="Times New Roman"/>
          <w:sz w:val="18"/>
          <w:szCs w:val="18"/>
          <w:color w:val="auto"/>
        </w:rPr>
        <w:t xml:space="preserve">”) (it being understood that this Cap shall only apply with respect to a voluntary conversion pursuant to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and not pursuant to any other section in this Certificate of Designations, even if such section references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For so long Viking holds any shares of Series B-2 Preferred Stock, any amendment or waiver of this Cap shall require the approval of (i) Viking and (ii) the Company. In addition to any requirements contained in this Certificate of Designations, in connection with a voluntary conversion pursuant to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by Viking or its Affiliates, the Holder requesting conversion shall represent (which may be included in the Conversion Notice), and the Company shall be entitled to rely upon such representation without independent investigation, that the issuance of such shares of Common Stock to such Holder pursuant to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will not result in Viking, together with its Affiliates, beneficially owning outstanding shares of the Company’s Common Stock in excess of the Cap. Any shares of Common Stock issued to Viking and its Affiliates pursuant to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in reliance on the representation described herein shall be validly issued, fully paid and non-assessable. This Cap shall only apply for so long as Viking represents to the Company that Viking or any of its Affiliates holds shares of Series B-2 Preferred Stock.</w:t>
      </w:r>
    </w:p>
    <w:p>
      <w:pPr>
        <w:spacing w:after="0" w:line="84" w:lineRule="exact"/>
        <w:rPr>
          <w:sz w:val="20"/>
          <w:szCs w:val="20"/>
          <w:color w:val="auto"/>
        </w:rPr>
      </w:pPr>
    </w:p>
    <w:p>
      <w:pPr>
        <w:ind w:firstLine="419"/>
        <w:spacing w:after="0" w:line="255" w:lineRule="auto"/>
        <w:tabs>
          <w:tab w:leader="none" w:pos="67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at all times reserve and keep available out of its authorized and unissued Common Stock, solely for issuance on the conversion of the Series B-2 Preferred Stock, such number of shares of Common Stock as shall from time to time be issuable on the conversion to Common Stock of all the shares of Series B-2 Preferred Stock then outstanding (without regard to any limitations on conversion). The Company shall use its reasonable best efforts to maintain the listing on the NASDAQ of such number of shares of Common Stock as shall from time to time be issuable on the conversion of all the shares of Series B-2 Preferred Stock then outstanding (without regard to any limitations on conversion). Any shares of Common Stock issued on conversion of Series B-2 Preferred Stock shall be duly authorized, validly issued, fully paid and nonassessable and shall not be subject to preemptive rights or subscription rights of any other stockholder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Mandatory Conversion by the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19"/>
        <w:spacing w:after="0" w:line="255" w:lineRule="auto"/>
        <w:tabs>
          <w:tab w:leader="none" w:pos="66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five year anniversary of the Original Issuance Date, if the Last Reported Sale Price of the Common Stock was greater than the Mandatory Conversion Price for at least twenty consecutive Trading Days immediately preceding the date of the Notice of Mandatory Conversion, the Company may elect to convert (a “</w:t>
      </w:r>
      <w:r>
        <w:rPr>
          <w:rFonts w:ascii="Times New Roman" w:cs="Times New Roman" w:eastAsia="Times New Roman" w:hAnsi="Times New Roman"/>
          <w:sz w:val="18"/>
          <w:szCs w:val="18"/>
          <w:b w:val="1"/>
          <w:bCs w:val="1"/>
          <w:i w:val="1"/>
          <w:iCs w:val="1"/>
          <w:color w:val="auto"/>
        </w:rPr>
        <w:t>Mandatory Conversion</w:t>
      </w:r>
      <w:r>
        <w:rPr>
          <w:rFonts w:ascii="Times New Roman" w:cs="Times New Roman" w:eastAsia="Times New Roman" w:hAnsi="Times New Roman"/>
          <w:sz w:val="18"/>
          <w:szCs w:val="18"/>
          <w:color w:val="auto"/>
        </w:rPr>
        <w:t xml:space="preserve">”) all, but not less than all, of the outstanding shares of Series B Preferred Stock into shares of Common Stock without regard to any limitations on conversion (the date selected by the Company for any Mandatory Conversion pursuant to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and in accordance with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Mandatory Conversion Date</w:t>
      </w:r>
      <w:r>
        <w:rPr>
          <w:rFonts w:ascii="Times New Roman" w:cs="Times New Roman" w:eastAsia="Times New Roman" w:hAnsi="Times New Roman"/>
          <w:sz w:val="18"/>
          <w:szCs w:val="18"/>
          <w:color w:val="auto"/>
        </w:rPr>
        <w:t xml:space="preserve">”). In the case of a Mandatory Conversion, each share of Series B-2 Preferred Stock then outstanding shall be converted into (A) a whole number of shares of Common Stock at the Conversion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cash in lieu of fractional shares or as otherwise set forth in </w:t>
      </w:r>
      <w:r>
        <w:rPr>
          <w:rFonts w:ascii="Times New Roman" w:cs="Times New Roman" w:eastAsia="Times New Roman" w:hAnsi="Times New Roman"/>
          <w:sz w:val="18"/>
          <w:szCs w:val="18"/>
          <w:u w:val="single" w:color="auto"/>
          <w:color w:val="auto"/>
        </w:rPr>
        <w:t>Section 8(f)</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20"/>
          </w:cols>
          <w:pgMar w:left="880" w:top="270" w:right="499" w:bottom="1440" w:gutter="0" w:footer="0" w:header="0"/>
        </w:sectPr>
      </w:pPr>
    </w:p>
    <w:bookmarkStart w:id="62" w:name="page63"/>
    <w:bookmarkEnd w:id="62"/>
    <w:p>
      <w:pPr>
        <w:ind w:right="40" w:firstLine="419"/>
        <w:spacing w:after="0" w:line="274" w:lineRule="auto"/>
        <w:tabs>
          <w:tab w:leader="none" w:pos="678"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Mandatory Conversion</w:t>
      </w:r>
      <w:r>
        <w:rPr>
          <w:rFonts w:ascii="Times New Roman" w:cs="Times New Roman" w:eastAsia="Times New Roman" w:hAnsi="Times New Roman"/>
          <w:sz w:val="17"/>
          <w:szCs w:val="17"/>
          <w:color w:val="auto"/>
        </w:rPr>
        <w:t xml:space="preserve">. If the Company elects to effect a Mandatory Conversion, the Company shall, within five Business Days following the completion of the applicable period of 20 Trading Days referred to in </w:t>
      </w:r>
      <w:r>
        <w:rPr>
          <w:rFonts w:ascii="Times New Roman" w:cs="Times New Roman" w:eastAsia="Times New Roman" w:hAnsi="Times New Roman"/>
          <w:sz w:val="17"/>
          <w:szCs w:val="17"/>
          <w:u w:val="single" w:color="auto"/>
          <w:color w:val="auto"/>
        </w:rPr>
        <w:t>Section 7(a)</w:t>
      </w:r>
      <w:r>
        <w:rPr>
          <w:rFonts w:ascii="Times New Roman" w:cs="Times New Roman" w:eastAsia="Times New Roman" w:hAnsi="Times New Roman"/>
          <w:sz w:val="17"/>
          <w:szCs w:val="17"/>
          <w:color w:val="auto"/>
        </w:rPr>
        <w:t>, provide notice of such Mandatory Conversion to each Holder (such notice, a “</w:t>
      </w:r>
      <w:r>
        <w:rPr>
          <w:rFonts w:ascii="Times New Roman" w:cs="Times New Roman" w:eastAsia="Times New Roman" w:hAnsi="Times New Roman"/>
          <w:sz w:val="17"/>
          <w:szCs w:val="17"/>
          <w:b w:val="1"/>
          <w:bCs w:val="1"/>
          <w:i w:val="1"/>
          <w:iCs w:val="1"/>
          <w:color w:val="auto"/>
        </w:rPr>
        <w:t>Notice of Mandatory Conversion</w:t>
      </w:r>
      <w:r>
        <w:rPr>
          <w:rFonts w:ascii="Times New Roman" w:cs="Times New Roman" w:eastAsia="Times New Roman" w:hAnsi="Times New Roman"/>
          <w:sz w:val="17"/>
          <w:szCs w:val="17"/>
          <w:color w:val="auto"/>
        </w:rPr>
        <w:t>”). For the avoidance of doubt, a Notice of Mandatory Conversion shall not limit a Holder’s right to convert its shares of Series B-2 Preferred Stock on any Conversion Date prior to the Mandatory Conversion Date. The Mandatory Conversion Date selected by the Company shall be no less than ten Business Days and no more than 20 Business Days after the date on which the Company provides the Notice of Mandatory Conversion to the Holders. The Notice of Mandatory Conversion shall specify:</w:t>
      </w:r>
    </w:p>
    <w:p>
      <w:pPr>
        <w:spacing w:after="0" w:line="64" w:lineRule="exact"/>
        <w:rPr>
          <w:rFonts w:ascii="Times New Roman" w:cs="Times New Roman" w:eastAsia="Times New Roman" w:hAnsi="Times New Roman"/>
          <w:sz w:val="17"/>
          <w:szCs w:val="17"/>
          <w:color w:val="auto"/>
        </w:rPr>
      </w:pPr>
    </w:p>
    <w:p>
      <w:pPr>
        <w:ind w:left="1160" w:hanging="212"/>
        <w:spacing w:after="0"/>
        <w:tabs>
          <w:tab w:leader="none" w:pos="11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Mandatory Conversion Date selected by the Company;</w:t>
      </w:r>
    </w:p>
    <w:p>
      <w:pPr>
        <w:spacing w:after="0" w:line="117" w:lineRule="exact"/>
        <w:rPr>
          <w:rFonts w:ascii="Times New Roman" w:cs="Times New Roman" w:eastAsia="Times New Roman" w:hAnsi="Times New Roman"/>
          <w:sz w:val="18"/>
          <w:szCs w:val="18"/>
          <w:color w:val="auto"/>
        </w:rPr>
      </w:pPr>
    </w:p>
    <w:p>
      <w:pPr>
        <w:ind w:left="1220" w:hanging="272"/>
        <w:spacing w:after="0"/>
        <w:tabs>
          <w:tab w:leader="none" w:pos="12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procedures a Holder must follow for issuance of the shares of Common Stock pursuant to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540" w:right="420" w:firstLine="408"/>
        <w:spacing w:after="0" w:line="282" w:lineRule="auto"/>
        <w:tabs>
          <w:tab w:leader="none" w:pos="125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Rate as anticipated to be in effect on the Mandatory Conversion Date and the number of shares of Common Stock to be issued to the Holder on conversion of each share of Series B-2 Preferred Stock held by such Holder.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Conversion Procedures and Effect of Conversion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140" w:firstLine="419"/>
        <w:spacing w:after="0" w:line="266" w:lineRule="auto"/>
        <w:tabs>
          <w:tab w:leader="none" w:pos="66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Procedure</w:t>
      </w:r>
      <w:r>
        <w:rPr>
          <w:rFonts w:ascii="Times New Roman" w:cs="Times New Roman" w:eastAsia="Times New Roman" w:hAnsi="Times New Roman"/>
          <w:sz w:val="18"/>
          <w:szCs w:val="18"/>
          <w:color w:val="auto"/>
        </w:rPr>
        <w:t xml:space="preserve">. A Holder must do each of the following in order to convert shares of Series B-2 Preferred Stock pursuant to this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(the first Business Day on which such Holder has complied with all such procedures (including the satisfaction of any conditions to conversion set forth in the Conversion Notice), the “</w:t>
      </w:r>
      <w:r>
        <w:rPr>
          <w:rFonts w:ascii="Times New Roman" w:cs="Times New Roman" w:eastAsia="Times New Roman" w:hAnsi="Times New Roman"/>
          <w:sz w:val="18"/>
          <w:szCs w:val="18"/>
          <w:b w:val="1"/>
          <w:bCs w:val="1"/>
          <w:i w:val="1"/>
          <w:iCs w:val="1"/>
          <w:color w:val="auto"/>
        </w:rPr>
        <w:t>Conversion Date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40" w:firstLine="408"/>
        <w:spacing w:after="0" w:line="261" w:lineRule="auto"/>
        <w:tabs>
          <w:tab w:leader="none" w:pos="115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conversion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complete and manually sign the conversion notice provided by the Conversion Agent, a form of which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together with such additional information as the Conversion Agent may reasonably require (the “</w:t>
      </w:r>
      <w:r>
        <w:rPr>
          <w:rFonts w:ascii="Times New Roman" w:cs="Times New Roman" w:eastAsia="Times New Roman" w:hAnsi="Times New Roman"/>
          <w:sz w:val="18"/>
          <w:szCs w:val="18"/>
          <w:b w:val="1"/>
          <w:bCs w:val="1"/>
          <w:i w:val="1"/>
          <w:iCs w:val="1"/>
          <w:color w:val="auto"/>
        </w:rPr>
        <w:t>Conversion Notice</w:t>
      </w:r>
      <w:r>
        <w:rPr>
          <w:rFonts w:ascii="Times New Roman" w:cs="Times New Roman" w:eastAsia="Times New Roman" w:hAnsi="Times New Roman"/>
          <w:sz w:val="18"/>
          <w:szCs w:val="18"/>
          <w:color w:val="auto"/>
        </w:rPr>
        <w:t xml:space="preserve">”), and deliver such notice to the Conversion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Conversion Notice may be conditional on the completion of a Change of Control or other condition, transaction or event as such Holder may specify;</w:t>
      </w:r>
    </w:p>
    <w:p>
      <w:pPr>
        <w:spacing w:after="0" w:line="71" w:lineRule="exact"/>
        <w:rPr>
          <w:rFonts w:ascii="Times New Roman" w:cs="Times New Roman" w:eastAsia="Times New Roman" w:hAnsi="Times New Roman"/>
          <w:sz w:val="18"/>
          <w:szCs w:val="18"/>
          <w:color w:val="auto"/>
        </w:rPr>
      </w:pPr>
    </w:p>
    <w:p>
      <w:pPr>
        <w:ind w:left="540" w:right="140" w:firstLine="408"/>
        <w:spacing w:after="0" w:line="282" w:lineRule="auto"/>
        <w:tabs>
          <w:tab w:leader="none" w:pos="120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Conversion Agent the certificate or certificates (if any) representing the shares of Series B-2 Preferred Stock to be converted;</w:t>
      </w:r>
    </w:p>
    <w:p>
      <w:pPr>
        <w:spacing w:after="0" w:line="53"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furnish appropriate endorsements and transfer documents; and</w:t>
      </w:r>
    </w:p>
    <w:p>
      <w:pPr>
        <w:spacing w:after="0" w:line="117"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pay the amount of any Third Party Transfer Taxes.</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70" w:right="459" w:bottom="1440" w:gutter="0" w:footer="0" w:header="0"/>
        </w:sectPr>
      </w:pPr>
    </w:p>
    <w:bookmarkStart w:id="63" w:name="page64"/>
    <w:bookmarkEnd w:id="63"/>
    <w:p>
      <w:pPr>
        <w:ind w:right="8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the forgoing, with respect to a Mandatory Conversion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the Conversion Date shall mean the Mandatory Conversion Date, regardless of whether the foregoing has occurred or been complied with.</w:t>
      </w:r>
    </w:p>
    <w:p>
      <w:pPr>
        <w:spacing w:after="0" w:line="54" w:lineRule="exact"/>
        <w:rPr>
          <w:sz w:val="20"/>
          <w:szCs w:val="20"/>
          <w:color w:val="auto"/>
        </w:rPr>
      </w:pPr>
    </w:p>
    <w:p>
      <w:pPr>
        <w:jc w:val="both"/>
        <w:ind w:left="440" w:right="60" w:firstLine="419"/>
        <w:spacing w:after="0" w:line="266" w:lineRule="auto"/>
        <w:tabs>
          <w:tab w:leader="none" w:pos="111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Conversion</w:t>
      </w:r>
      <w:r>
        <w:rPr>
          <w:rFonts w:ascii="Times New Roman" w:cs="Times New Roman" w:eastAsia="Times New Roman" w:hAnsi="Times New Roman"/>
          <w:sz w:val="18"/>
          <w:szCs w:val="18"/>
          <w:color w:val="auto"/>
        </w:rPr>
        <w:t>. Effective immediately prior to the close of business on the Conversion Date applicable to any shares of Series B-2 Preferred Stock, such shares of Series B-2 Preferred Stock shall cease to be outstanding and the corresponding shares of Common Stock pursuant to the conversion shall be issued and outstanding.</w:t>
      </w:r>
    </w:p>
    <w:p>
      <w:pPr>
        <w:spacing w:after="0" w:line="67" w:lineRule="exact"/>
        <w:rPr>
          <w:rFonts w:ascii="Times New Roman" w:cs="Times New Roman" w:eastAsia="Times New Roman" w:hAnsi="Times New Roman"/>
          <w:sz w:val="18"/>
          <w:szCs w:val="18"/>
          <w:color w:val="auto"/>
        </w:rPr>
      </w:pPr>
    </w:p>
    <w:p>
      <w:pPr>
        <w:ind w:left="440" w:right="20" w:firstLine="419"/>
        <w:spacing w:after="0" w:line="252" w:lineRule="auto"/>
        <w:tabs>
          <w:tab w:leader="none" w:pos="110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Holder of Underlying Securities as of Conversion Date</w:t>
      </w:r>
      <w:r>
        <w:rPr>
          <w:rFonts w:ascii="Times New Roman" w:cs="Times New Roman" w:eastAsia="Times New Roman" w:hAnsi="Times New Roman"/>
          <w:sz w:val="18"/>
          <w:szCs w:val="18"/>
          <w:color w:val="auto"/>
        </w:rPr>
        <w:t xml:space="preserve">. The Person or Persons entitled to receive the Common Stock and, to the extent applicable, cash, securities or other property issuable on conversion of Series B-2 Preferred Stock on a Conversion Date shall be treated for all purposes as the record holder(s) of such shares of Common Stock and/or cash, securities or other property as of the close of business on such Conversion Date. As promptly as practicable on or after the Conversion Date and, if applicable, compliance by the applicable Holder with the relevant procedures contained in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(and in any event no later than three Trading Days thereafter;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written notice from the Holder in accordance with </w:t>
      </w:r>
      <w:r>
        <w:rPr>
          <w:rFonts w:ascii="Times New Roman" w:cs="Times New Roman" w:eastAsia="Times New Roman" w:hAnsi="Times New Roman"/>
          <w:sz w:val="18"/>
          <w:szCs w:val="18"/>
          <w:u w:val="single" w:color="auto"/>
          <w:color w:val="auto"/>
        </w:rPr>
        <w:t>Section 8(a)(i)</w:t>
      </w:r>
      <w:r>
        <w:rPr>
          <w:rFonts w:ascii="Times New Roman" w:cs="Times New Roman" w:eastAsia="Times New Roman" w:hAnsi="Times New Roman"/>
          <w:sz w:val="18"/>
          <w:szCs w:val="18"/>
          <w:color w:val="auto"/>
        </w:rPr>
        <w:t xml:space="preserve"> specifies a date of delivery for any shares of Common Stock, such shares shall be delivered on the date so specified, which shall be no earlier than the second Business Day and no later than the seventh Business Day following the date of such notice), the Company shall issue the number of whole shares of Common Stock issuable on conversion (and deliver payment of cash in lieu of fractional shares or as otherwise set out in </w:t>
      </w:r>
      <w:r>
        <w:rPr>
          <w:rFonts w:ascii="Times New Roman" w:cs="Times New Roman" w:eastAsia="Times New Roman" w:hAnsi="Times New Roman"/>
          <w:sz w:val="18"/>
          <w:szCs w:val="18"/>
          <w:u w:val="single" w:color="auto"/>
          <w:color w:val="auto"/>
        </w:rPr>
        <w:t>Section 8(f)</w:t>
      </w:r>
      <w:r>
        <w:rPr>
          <w:rFonts w:ascii="Times New Roman" w:cs="Times New Roman" w:eastAsia="Times New Roman" w:hAnsi="Times New Roman"/>
          <w:sz w:val="18"/>
          <w:szCs w:val="18"/>
          <w:color w:val="auto"/>
        </w:rPr>
        <w:t xml:space="preserve">) and, to the extent applicable, any cash, securities or other property issuable thereon. Such delivery of shares of Common Stock, securities or other property shall be made by book-entry or, at the request of the Holder, by delivering a notice to the Conversion Agent, through the facilities of The Depositary Trust Company or in certificated form. Any such certificate or certificates shall be delivered by the Company to the appropriate Holder on a book-entry basis, through the facilities of The Depositary Trust Company, or by mailing certificates evidencing the shares to the Holders, in each case at their respective addresses as set forth in the Conversion Notice (in the case of a conversion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or as set forth in the records of the Company or in a notice from the Holder to the Conversion Agent, as applicable (in the case of Mandatory Conversion). In the event that a Holder shall not by written notice designate the name in which shares of Common Stock (and payments of cash in lieu of fractional shares) and, to the extent applicable, cash, securities or other property to be delivered on conversion of shares of Series B-2 Preferred Stock should be registered or paid, or the manner in which such shares, cash, securities or other property should be delivered, the Company shall be entitled to register and deliver such shares, securities or other property, and make such payment, in the name of the Holder and in the manner shown on the records of the Company.</w:t>
      </w:r>
    </w:p>
    <w:p>
      <w:pPr>
        <w:spacing w:after="0" w:line="82" w:lineRule="exact"/>
        <w:rPr>
          <w:rFonts w:ascii="Times New Roman" w:cs="Times New Roman" w:eastAsia="Times New Roman" w:hAnsi="Times New Roman"/>
          <w:sz w:val="18"/>
          <w:szCs w:val="18"/>
          <w:color w:val="auto"/>
        </w:rPr>
      </w:pPr>
    </w:p>
    <w:p>
      <w:pPr>
        <w:ind w:left="440" w:firstLine="419"/>
        <w:spacing w:after="0" w:line="258" w:lineRule="auto"/>
        <w:tabs>
          <w:tab w:leader="none" w:pos="111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Converted or Reacquired Shares</w:t>
      </w:r>
      <w:r>
        <w:rPr>
          <w:rFonts w:ascii="Times New Roman" w:cs="Times New Roman" w:eastAsia="Times New Roman" w:hAnsi="Times New Roman"/>
          <w:sz w:val="18"/>
          <w:szCs w:val="18"/>
          <w:color w:val="auto"/>
        </w:rPr>
        <w:t>. Shares of Series B-2 Preferred Stock converted in accordance with this Certificate of Designations, or otherwise acquired by the Company or any of its Subsidiaries in any manner whatsoever, shall not be reissued as shares of Series B-2 Preferred Stock and shall be retired promptly after the conversion or acquisition thereof. All such shares shall, on their retirement and any filing required by the DGCL, become authorized but unissued shares of Preferred Stock, without designation as to series until such shares are once more designated as part of a particular series by the Board pursuant to the provisions of the Certificate of Incorporation.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64" w:name="page65"/>
    <w:bookmarkEnd w:id="64"/>
    <w:p>
      <w:pPr>
        <w:ind w:left="4" w:right="20" w:firstLine="419"/>
        <w:spacing w:after="0" w:line="266" w:lineRule="auto"/>
        <w:tabs>
          <w:tab w:leader="none" w:pos="67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Partial Conversion</w:t>
      </w:r>
      <w:r>
        <w:rPr>
          <w:rFonts w:ascii="Times New Roman" w:cs="Times New Roman" w:eastAsia="Times New Roman" w:hAnsi="Times New Roman"/>
          <w:sz w:val="18"/>
          <w:szCs w:val="18"/>
          <w:color w:val="auto"/>
        </w:rPr>
        <w:t>. In case any certificate for shares of Series B-2 Preferred Stock shall be surrendered for partial conversion, the Company shall, at its expense, execute and deliver to or on the written order of the Holder of the certificate so surrendered a new certificate for the shares of Series B-2 Preferred Stock not converted.</w:t>
      </w:r>
    </w:p>
    <w:p>
      <w:pPr>
        <w:spacing w:after="0" w:line="67" w:lineRule="exact"/>
        <w:rPr>
          <w:rFonts w:ascii="Times New Roman" w:cs="Times New Roman" w:eastAsia="Times New Roman" w:hAnsi="Times New Roman"/>
          <w:sz w:val="18"/>
          <w:szCs w:val="18"/>
          <w:color w:val="auto"/>
        </w:rPr>
      </w:pPr>
    </w:p>
    <w:p>
      <w:pPr>
        <w:ind w:left="4" w:right="280" w:firstLine="419"/>
        <w:spacing w:after="0" w:line="276" w:lineRule="auto"/>
        <w:tabs>
          <w:tab w:leader="none" w:pos="651"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Fractional Shares</w:t>
      </w:r>
      <w:r>
        <w:rPr>
          <w:rFonts w:ascii="Times New Roman" w:cs="Times New Roman" w:eastAsia="Times New Roman" w:hAnsi="Times New Roman"/>
          <w:sz w:val="17"/>
          <w:szCs w:val="17"/>
          <w:color w:val="auto"/>
        </w:rPr>
        <w:t>. No fractional shares of Common Stock shall be delivered to the Holders on conversion of shares of Series B-2 Preferred Stock. In lieu of fractional shares otherwise issuable, each Holder shall be entitled to receive, at the Company’s sole discretion, either</w:t>
      </w:r>
    </w:p>
    <w:p>
      <w:pPr>
        <w:ind w:left="4" w:right="20" w:hanging="4"/>
        <w:spacing w:after="0" w:line="252" w:lineRule="auto"/>
        <w:tabs>
          <w:tab w:leader="none" w:pos="21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lieu of delivering any fractional share of Common Stock issuable on conversion based on the VWAP of the Common Stock for the relevant Conversion Date (or, if such Conversion Date is not a Trading Day, the next following Trading Day) or (ii) one additional whole share of fully paid and nonassessable Common Stock. In order to determine whether the number of shares of Common Stock to be delivered to a Holder on the conversion of such Holder’s shares of Series B-2 Preferred Stock would include a fractional share, such determination shall be based on the aggregate number of shares of Series B-2 Preferred Stock of such Holder that are being converted and/or issued on any single Conversion Date or Change of Control Purchase Date.</w:t>
      </w:r>
    </w:p>
    <w:p>
      <w:pPr>
        <w:spacing w:after="0" w:line="1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19"/>
        <w:spacing w:after="0" w:line="253" w:lineRule="auto"/>
        <w:tabs>
          <w:tab w:leader="none" w:pos="67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 Put</w:t>
      </w:r>
      <w:r>
        <w:rPr>
          <w:rFonts w:ascii="Times New Roman" w:cs="Times New Roman" w:eastAsia="Times New Roman" w:hAnsi="Times New Roman"/>
          <w:sz w:val="18"/>
          <w:szCs w:val="18"/>
          <w:color w:val="auto"/>
        </w:rPr>
        <w:t xml:space="preserve">. In the event of a Change of Control, each Holder of outstanding shares of Series B-2 Preferred Stock may, at such Holder’s election, (i) effective as of immediately prior to the Change of Control Effective Date, convert all or a portion of its shares of Series B-2 Preferred Stock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(without regard to any limitations on conversion) or (ii) require the Company to purchase all of such Holder’s shares of Series B-2 Preferred Stock that have not been so converted at a purchase price per share of Series B-2 Preferred Stock (a “</w:t>
      </w:r>
      <w:r>
        <w:rPr>
          <w:rFonts w:ascii="Times New Roman" w:cs="Times New Roman" w:eastAsia="Times New Roman" w:hAnsi="Times New Roman"/>
          <w:sz w:val="18"/>
          <w:szCs w:val="18"/>
          <w:b w:val="1"/>
          <w:bCs w:val="1"/>
          <w:i w:val="1"/>
          <w:iCs w:val="1"/>
          <w:color w:val="auto"/>
        </w:rPr>
        <w:t>Change of Control Put</w:t>
      </w:r>
      <w:r>
        <w:rPr>
          <w:rFonts w:ascii="Times New Roman" w:cs="Times New Roman" w:eastAsia="Times New Roman" w:hAnsi="Times New Roman"/>
          <w:sz w:val="18"/>
          <w:szCs w:val="18"/>
          <w:color w:val="auto"/>
        </w:rPr>
        <w:t>”) for an amount in cash (in the case of clause (A)) or the applicable consideration (in the case of clause (B)) for each such share of Series B-2 Preferred Stock (the “</w:t>
      </w:r>
      <w:r>
        <w:rPr>
          <w:rFonts w:ascii="Times New Roman" w:cs="Times New Roman" w:eastAsia="Times New Roman" w:hAnsi="Times New Roman"/>
          <w:sz w:val="18"/>
          <w:szCs w:val="18"/>
          <w:b w:val="1"/>
          <w:bCs w:val="1"/>
          <w:i w:val="1"/>
          <w:iCs w:val="1"/>
          <w:color w:val="auto"/>
        </w:rPr>
        <w:t>Change of Control Put Price</w:t>
      </w:r>
      <w:r>
        <w:rPr>
          <w:rFonts w:ascii="Times New Roman" w:cs="Times New Roman" w:eastAsia="Times New Roman" w:hAnsi="Times New Roman"/>
          <w:sz w:val="18"/>
          <w:szCs w:val="18"/>
          <w:color w:val="auto"/>
        </w:rPr>
        <w:t>”) equal to, at the Holder’s election (or if the Holder does not so elect, the greater of, as determined by the Board acting in good faith) (A) the Liquidation Preference of such share of Series B-2 Preferred Stock or</w:t>
      </w:r>
    </w:p>
    <w:p>
      <w:pPr>
        <w:spacing w:after="0" w:line="2" w:lineRule="exact"/>
        <w:rPr>
          <w:rFonts w:ascii="Times New Roman" w:cs="Times New Roman" w:eastAsia="Times New Roman" w:hAnsi="Times New Roman"/>
          <w:sz w:val="18"/>
          <w:szCs w:val="18"/>
          <w:color w:val="auto"/>
        </w:rPr>
      </w:pPr>
    </w:p>
    <w:p>
      <w:pPr>
        <w:ind w:left="4" w:right="40" w:hanging="4"/>
        <w:spacing w:after="0" w:line="252" w:lineRule="auto"/>
        <w:tabs>
          <w:tab w:leader="none" w:pos="28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cash and/or other assets such Holder would have received in the transaction constituting a Change of Control had such Holder, immediately prior to such Change of Control, converted such share of Series B-2 Preferred Stock into Common Stock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but without regard to any of the limitations on convertibility contained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kind or amount of securities, cash and other property receivable in such transaction is not the same for each share of Common Stock held immediately prior to such transaction by a Person, then the kind and amount of securities, cash and other property receivable on Change of Control Put following such transaction shall be deemed to be the weighted average of the types and amounts of consideration received by all holders of Common Stock). The Company shall not take any action that would be reasonably</w:t>
      </w:r>
    </w:p>
    <w:p>
      <w:pPr>
        <w:spacing w:after="0" w:line="121"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84"/>
          </w:cols>
          <w:pgMar w:left="876" w:top="270" w:right="439" w:bottom="1440" w:gutter="0" w:footer="0" w:header="0"/>
        </w:sectPr>
      </w:pPr>
    </w:p>
    <w:bookmarkStart w:id="65" w:name="page66"/>
    <w:bookmarkEnd w:id="65"/>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expected to impair the Company’s ability to pay the Change of Control Put Price when due, including by investing available funds in illiquid assets. For clarity, but subject to </w:t>
      </w:r>
      <w:r>
        <w:rPr>
          <w:rFonts w:ascii="Times New Roman" w:cs="Times New Roman" w:eastAsia="Times New Roman" w:hAnsi="Times New Roman"/>
          <w:sz w:val="18"/>
          <w:szCs w:val="18"/>
          <w:u w:val="single" w:color="auto"/>
          <w:color w:val="auto"/>
        </w:rPr>
        <w:t>Section 9(e)</w:t>
      </w:r>
      <w:r>
        <w:rPr>
          <w:rFonts w:ascii="Times New Roman" w:cs="Times New Roman" w:eastAsia="Times New Roman" w:hAnsi="Times New Roman"/>
          <w:sz w:val="18"/>
          <w:szCs w:val="18"/>
          <w:color w:val="auto"/>
        </w:rPr>
        <w:t>, any shares of Series B-2 Preferred Stock that a Holder does not convert as set forth in clause (i) above or subject to the Change of Control Put as set forth in clause (ii) above shall remain outstanding as provided herein.</w:t>
      </w:r>
    </w:p>
    <w:p>
      <w:pPr>
        <w:spacing w:after="0" w:line="68" w:lineRule="exact"/>
        <w:rPr>
          <w:sz w:val="20"/>
          <w:szCs w:val="20"/>
          <w:color w:val="auto"/>
        </w:rPr>
      </w:pPr>
    </w:p>
    <w:p>
      <w:pPr>
        <w:ind w:firstLine="419"/>
        <w:spacing w:after="0" w:line="253" w:lineRule="auto"/>
        <w:tabs>
          <w:tab w:leader="none" w:pos="67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Change of Control Notice</w:t>
      </w:r>
      <w:r>
        <w:rPr>
          <w:rFonts w:ascii="Times New Roman" w:cs="Times New Roman" w:eastAsia="Times New Roman" w:hAnsi="Times New Roman"/>
          <w:sz w:val="18"/>
          <w:szCs w:val="18"/>
          <w:color w:val="auto"/>
        </w:rPr>
        <w:t>. On or before the 20th Business Day prior to the date on which the Company anticipates consummating a Change of Control (or, if later, promptly after the Company discovers that a Change of Control may occur), a written notice (the “</w:t>
      </w:r>
      <w:r>
        <w:rPr>
          <w:rFonts w:ascii="Times New Roman" w:cs="Times New Roman" w:eastAsia="Times New Roman" w:hAnsi="Times New Roman"/>
          <w:sz w:val="18"/>
          <w:szCs w:val="18"/>
          <w:b w:val="1"/>
          <w:bCs w:val="1"/>
          <w:i w:val="1"/>
          <w:iCs w:val="1"/>
          <w:color w:val="auto"/>
        </w:rPr>
        <w:t>Initial 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 Control Notice</w:t>
      </w:r>
      <w:r>
        <w:rPr>
          <w:rFonts w:ascii="Times New Roman" w:cs="Times New Roman" w:eastAsia="Times New Roman" w:hAnsi="Times New Roman"/>
          <w:sz w:val="18"/>
          <w:szCs w:val="18"/>
          <w:color w:val="auto"/>
        </w:rPr>
        <w:t>”) shall be sent by or on behalf of the Company to the Holders as they appear in the records of the Company, which notice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contain (i) the date on which the Change of Control is anticipated to be effected (or, if applicable, the date on which a Schedule TO or other schedule, form or report disclosing a Change of Control was filed), (ii) a description of the material terms and conditions of the Change of Control and (iii) the then-applicable Conversion Rate. No later than the later of (x) ten Business Days prior to the Change of Control Effective Date as set forth in the Initial Change of Control Notice and (y) the 20th Business Day following receipt of the applicable Initial Change of Control Notice, any Holder that desires to exercise its rights pursuant to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shall notify the Company in writing thereof (a “</w:t>
      </w:r>
      <w:r>
        <w:rPr>
          <w:rFonts w:ascii="Times New Roman" w:cs="Times New Roman" w:eastAsia="Times New Roman" w:hAnsi="Times New Roman"/>
          <w:sz w:val="18"/>
          <w:szCs w:val="18"/>
          <w:b w:val="1"/>
          <w:bCs w:val="1"/>
          <w:i w:val="1"/>
          <w:iCs w:val="1"/>
          <w:color w:val="auto"/>
        </w:rPr>
        <w:t>Change of Control Election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and shall specify (A) whether such Holder is electing to exercise its rights pursuant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9(a)(i)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9(a)(ii)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both, and (B)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of shares of Series B-2 Preferred Stock subject thereto.</w:t>
      </w:r>
    </w:p>
    <w:p>
      <w:pPr>
        <w:spacing w:after="0" w:line="82" w:lineRule="exact"/>
        <w:rPr>
          <w:rFonts w:ascii="Times New Roman" w:cs="Times New Roman" w:eastAsia="Times New Roman" w:hAnsi="Times New Roman"/>
          <w:sz w:val="18"/>
          <w:szCs w:val="18"/>
          <w:color w:val="auto"/>
        </w:rPr>
      </w:pPr>
    </w:p>
    <w:p>
      <w:pPr>
        <w:jc w:val="both"/>
        <w:ind w:right="120" w:firstLine="419"/>
        <w:spacing w:after="0" w:line="268" w:lineRule="auto"/>
        <w:tabs>
          <w:tab w:leader="none" w:pos="66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Final Change of Control Notice</w:t>
      </w:r>
      <w:r>
        <w:rPr>
          <w:rFonts w:ascii="Times New Roman" w:cs="Times New Roman" w:eastAsia="Times New Roman" w:hAnsi="Times New Roman"/>
          <w:sz w:val="18"/>
          <w:szCs w:val="18"/>
          <w:color w:val="auto"/>
        </w:rPr>
        <w:t>. Within ten days prior to the effective date of the Change of Control (the “</w:t>
      </w:r>
      <w:r>
        <w:rPr>
          <w:rFonts w:ascii="Times New Roman" w:cs="Times New Roman" w:eastAsia="Times New Roman" w:hAnsi="Times New Roman"/>
          <w:sz w:val="18"/>
          <w:szCs w:val="18"/>
          <w:b w:val="1"/>
          <w:bCs w:val="1"/>
          <w:i w:val="1"/>
          <w:iCs w:val="1"/>
          <w:color w:val="auto"/>
        </w:rPr>
        <w:t>Change of Control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a final written notice (the “</w:t>
      </w:r>
      <w:r>
        <w:rPr>
          <w:rFonts w:ascii="Times New Roman" w:cs="Times New Roman" w:eastAsia="Times New Roman" w:hAnsi="Times New Roman"/>
          <w:sz w:val="18"/>
          <w:szCs w:val="18"/>
          <w:b w:val="1"/>
          <w:bCs w:val="1"/>
          <w:i w:val="1"/>
          <w:iCs w:val="1"/>
          <w:color w:val="auto"/>
        </w:rPr>
        <w:t>Final Change of Control Notice</w:t>
      </w:r>
      <w:r>
        <w:rPr>
          <w:rFonts w:ascii="Times New Roman" w:cs="Times New Roman" w:eastAsia="Times New Roman" w:hAnsi="Times New Roman"/>
          <w:sz w:val="18"/>
          <w:szCs w:val="18"/>
          <w:color w:val="auto"/>
        </w:rPr>
        <w:t>”) shall be sent by or on behalf of the Company to the Holders as they appear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records of the Company on the Business Day immediately prior to the date such notice is sent, which notice shall contain:</w:t>
      </w:r>
    </w:p>
    <w:p>
      <w:pPr>
        <w:spacing w:after="0" w:line="66"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setting forth in reasonable detail the calculation of the Change of Control Put Price with respect to such Holder;</w:t>
      </w:r>
    </w:p>
    <w:p>
      <w:pPr>
        <w:spacing w:after="0" w:line="117" w:lineRule="exact"/>
        <w:rPr>
          <w:rFonts w:ascii="Times New Roman" w:cs="Times New Roman" w:eastAsia="Times New Roman" w:hAnsi="Times New Roman"/>
          <w:sz w:val="18"/>
          <w:szCs w:val="18"/>
          <w:color w:val="auto"/>
        </w:rPr>
      </w:pPr>
    </w:p>
    <w:p>
      <w:pPr>
        <w:ind w:left="540" w:right="280" w:firstLine="408"/>
        <w:spacing w:after="0" w:line="266" w:lineRule="auto"/>
        <w:tabs>
          <w:tab w:leader="none" w:pos="120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Change of Control Purchase Date, which shall be no later than ten Business Days after such notice is 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reasonable amount of time shall be provided between delivery of such notice and the Change of Control Purchase Date to allow such Holder to comply with the instructions delivered pursuant to </w:t>
      </w:r>
      <w:r>
        <w:rPr>
          <w:rFonts w:ascii="Times New Roman" w:cs="Times New Roman" w:eastAsia="Times New Roman" w:hAnsi="Times New Roman"/>
          <w:sz w:val="18"/>
          <w:szCs w:val="18"/>
          <w:u w:val="single" w:color="auto"/>
          <w:color w:val="auto"/>
        </w:rPr>
        <w:t>Section 9(c)(iii)</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instructions that a Holder must follow to receive the Change of Control Put Price in connection with such Change of Control.</w:t>
      </w:r>
    </w:p>
    <w:p>
      <w:pPr>
        <w:spacing w:after="0" w:line="117" w:lineRule="exact"/>
        <w:rPr>
          <w:rFonts w:ascii="Times New Roman" w:cs="Times New Roman" w:eastAsia="Times New Roman" w:hAnsi="Times New Roman"/>
          <w:sz w:val="18"/>
          <w:szCs w:val="18"/>
          <w:color w:val="auto"/>
        </w:rPr>
      </w:pPr>
    </w:p>
    <w:p>
      <w:pPr>
        <w:ind w:right="80" w:firstLine="419"/>
        <w:spacing w:after="0" w:line="266" w:lineRule="auto"/>
        <w:tabs>
          <w:tab w:leader="none" w:pos="67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 Put Procedure</w:t>
      </w:r>
      <w:r>
        <w:rPr>
          <w:rFonts w:ascii="Times New Roman" w:cs="Times New Roman" w:eastAsia="Times New Roman" w:hAnsi="Times New Roman"/>
          <w:sz w:val="18"/>
          <w:szCs w:val="18"/>
          <w:color w:val="auto"/>
        </w:rPr>
        <w:t xml:space="preserve">. To receive the Change of Control Put Price, a Holder must surrender to the Transfer Agent in accordance with the instructions delivered pursuant to </w:t>
      </w:r>
      <w:r>
        <w:rPr>
          <w:rFonts w:ascii="Times New Roman" w:cs="Times New Roman" w:eastAsia="Times New Roman" w:hAnsi="Times New Roman"/>
          <w:sz w:val="18"/>
          <w:szCs w:val="18"/>
          <w:u w:val="single" w:color="auto"/>
          <w:color w:val="auto"/>
        </w:rPr>
        <w:t>Section 9(c)(iii)</w:t>
      </w:r>
      <w:r>
        <w:rPr>
          <w:rFonts w:ascii="Times New Roman" w:cs="Times New Roman" w:eastAsia="Times New Roman" w:hAnsi="Times New Roman"/>
          <w:sz w:val="18"/>
          <w:szCs w:val="18"/>
          <w:color w:val="auto"/>
        </w:rPr>
        <w:t>, the certificates representing the shares of Series B-2 Preferred Stock to be repurchased by the Company or lost stock affidavits therefor, to the extent applicable.</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0"/>
          </w:cols>
          <w:pgMar w:left="880" w:top="270" w:right="459" w:bottom="1440" w:gutter="0" w:footer="0" w:header="0"/>
        </w:sectPr>
      </w:pPr>
    </w:p>
    <w:bookmarkStart w:id="66" w:name="page67"/>
    <w:bookmarkEnd w:id="66"/>
    <w:p>
      <w:pPr>
        <w:ind w:firstLine="419"/>
        <w:spacing w:after="0" w:line="268" w:lineRule="auto"/>
        <w:tabs>
          <w:tab w:leader="none" w:pos="667"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 of Control Call</w:t>
      </w:r>
      <w:r>
        <w:rPr>
          <w:rFonts w:ascii="Times New Roman" w:cs="Times New Roman" w:eastAsia="Times New Roman" w:hAnsi="Times New Roman"/>
          <w:sz w:val="17"/>
          <w:szCs w:val="17"/>
          <w:color w:val="auto"/>
        </w:rPr>
        <w:t xml:space="preserve">. In the event of a Change of Control following which the Company merges with another person and is not the surviving corporation or the Common Stock is no longer listed on a U.S. national securities exchange, if a Holder has not delivered a Change of Control Election Notice in accordance with </w:t>
      </w:r>
      <w:r>
        <w:rPr>
          <w:rFonts w:ascii="Times New Roman" w:cs="Times New Roman" w:eastAsia="Times New Roman" w:hAnsi="Times New Roman"/>
          <w:sz w:val="17"/>
          <w:szCs w:val="17"/>
          <w:u w:val="single" w:color="auto"/>
          <w:color w:val="auto"/>
        </w:rPr>
        <w:t>Section 9(a)</w:t>
      </w:r>
      <w:r>
        <w:rPr>
          <w:rFonts w:ascii="Times New Roman" w:cs="Times New Roman" w:eastAsia="Times New Roman" w:hAnsi="Times New Roman"/>
          <w:sz w:val="17"/>
          <w:szCs w:val="17"/>
          <w:color w:val="auto"/>
        </w:rPr>
        <w:t xml:space="preserve"> within the time specified therein or has delivered a Change of Control Election Notice for less than all of its shares of Series B-2 Preferred Stock, the Company may elect to redeem (a “</w:t>
      </w:r>
      <w:r>
        <w:rPr>
          <w:rFonts w:ascii="Times New Roman" w:cs="Times New Roman" w:eastAsia="Times New Roman" w:hAnsi="Times New Roman"/>
          <w:sz w:val="17"/>
          <w:szCs w:val="17"/>
          <w:b w:val="1"/>
          <w:bCs w:val="1"/>
          <w:i w:val="1"/>
          <w:iCs w:val="1"/>
          <w:color w:val="auto"/>
        </w:rPr>
        <w:t>Change of Control Call</w:t>
      </w:r>
      <w:r>
        <w:rPr>
          <w:rFonts w:ascii="Times New Roman" w:cs="Times New Roman" w:eastAsia="Times New Roman" w:hAnsi="Times New Roman"/>
          <w:sz w:val="17"/>
          <w:szCs w:val="17"/>
          <w:color w:val="auto"/>
        </w:rPr>
        <w:t xml:space="preserve">”), subject to the right of such Holders to convert the Series B-2 Preferred Stock pursuant to </w:t>
      </w:r>
      <w:r>
        <w:rPr>
          <w:rFonts w:ascii="Times New Roman" w:cs="Times New Roman" w:eastAsia="Times New Roman" w:hAnsi="Times New Roman"/>
          <w:sz w:val="17"/>
          <w:szCs w:val="17"/>
          <w:u w:val="single" w:color="auto"/>
          <w:color w:val="auto"/>
        </w:rPr>
        <w:t>Section 6(a)</w:t>
      </w:r>
      <w:r>
        <w:rPr>
          <w:rFonts w:ascii="Times New Roman" w:cs="Times New Roman" w:eastAsia="Times New Roman" w:hAnsi="Times New Roman"/>
          <w:sz w:val="17"/>
          <w:szCs w:val="17"/>
          <w:color w:val="auto"/>
        </w:rPr>
        <w:t xml:space="preserve"> at any time prior to any such redemption, all of such Holders’ shares of Series B-2 Preferred Stock that are not subject to the Change of Control Election Notice (if any) at a redemption price per share, payable in cash, equal to the Change of Control Put Price. In order to elect a Change of Control Call, the Company must send an irrevocable notice of such election at the same time as the Initial Change of Control Notice, which notice shall contain the anticipated redemption date (which shall be contingent upon the closing of the Change of Control transaction or if the Change of Control transaction has already occurred, such date as elected by the Company no less than 30 nor more than 60 calendar days following the date of such notice), instructions for Holders to receive the Change of Control Put Price, the amount of the Change of Control Put Price, and the last date for a Holder to convert its shares of Series B-2 Preferred Stock in advance of the Change of Control Call (which shall be the Business Day immediately preceding the redemption date). The Company shall not have the right to elect a Change of Control Call unless, as of the date of delivery of notice of a Change of Control Call, it has set aside sufficient funds legally available for the payment of the full Change of Control Put Price for all outstanding shares of Series B-2 Preferred Stock.</w:t>
      </w:r>
    </w:p>
    <w:p>
      <w:pPr>
        <w:spacing w:after="0" w:line="75" w:lineRule="exact"/>
        <w:rPr>
          <w:rFonts w:ascii="Times New Roman" w:cs="Times New Roman" w:eastAsia="Times New Roman" w:hAnsi="Times New Roman"/>
          <w:sz w:val="17"/>
          <w:szCs w:val="17"/>
          <w:color w:val="auto"/>
        </w:rPr>
      </w:pPr>
    </w:p>
    <w:p>
      <w:pPr>
        <w:jc w:val="both"/>
        <w:ind w:right="140" w:firstLine="419"/>
        <w:spacing w:after="0" w:line="266" w:lineRule="auto"/>
        <w:tabs>
          <w:tab w:leader="none" w:pos="64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on Change of Control Put/Call</w:t>
      </w:r>
      <w:r>
        <w:rPr>
          <w:rFonts w:ascii="Times New Roman" w:cs="Times New Roman" w:eastAsia="Times New Roman" w:hAnsi="Times New Roman"/>
          <w:sz w:val="18"/>
          <w:szCs w:val="18"/>
          <w:color w:val="auto"/>
        </w:rPr>
        <w:t>. On a Change of Control Put or a Change of Control Call, the Company (or its successor) shall deliver or cause to be delivered to the Holder by wire transfer of immediately available funds, the Change of Control Put Price for such Holder’s shares of Series B-2 Preferred Stock.</w:t>
      </w:r>
    </w:p>
    <w:p>
      <w:pPr>
        <w:spacing w:after="0" w:line="67" w:lineRule="exact"/>
        <w:rPr>
          <w:rFonts w:ascii="Times New Roman" w:cs="Times New Roman" w:eastAsia="Times New Roman" w:hAnsi="Times New Roman"/>
          <w:sz w:val="18"/>
          <w:szCs w:val="18"/>
          <w:color w:val="auto"/>
        </w:rPr>
      </w:pPr>
    </w:p>
    <w:p>
      <w:pPr>
        <w:ind w:right="40" w:firstLine="419"/>
        <w:spacing w:after="0" w:line="266" w:lineRule="auto"/>
        <w:tabs>
          <w:tab w:leader="none" w:pos="67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Shares</w:t>
      </w:r>
      <w:r>
        <w:rPr>
          <w:rFonts w:ascii="Times New Roman" w:cs="Times New Roman" w:eastAsia="Times New Roman" w:hAnsi="Times New Roman"/>
          <w:sz w:val="18"/>
          <w:szCs w:val="18"/>
          <w:color w:val="auto"/>
        </w:rPr>
        <w:t>. Until a share of Series B-2 Preferred Stock is purchased by the payment in full of the applicable Change of Control Put Price, such share of Series B-2 Preferred Stock shall remain outstanding and shall be entitled to all of the powers, designations, preferences and other rights provided herein.</w:t>
      </w:r>
    </w:p>
    <w:p>
      <w:pPr>
        <w:spacing w:after="0" w:line="67" w:lineRule="exact"/>
        <w:rPr>
          <w:rFonts w:ascii="Times New Roman" w:cs="Times New Roman" w:eastAsia="Times New Roman" w:hAnsi="Times New Roman"/>
          <w:sz w:val="18"/>
          <w:szCs w:val="18"/>
          <w:color w:val="auto"/>
        </w:rPr>
      </w:pPr>
    </w:p>
    <w:p>
      <w:pPr>
        <w:ind w:right="40" w:firstLine="419"/>
        <w:spacing w:after="0" w:line="254" w:lineRule="auto"/>
        <w:tabs>
          <w:tab w:leader="none" w:pos="67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 Agreements</w:t>
      </w:r>
      <w:r>
        <w:rPr>
          <w:rFonts w:ascii="Times New Roman" w:cs="Times New Roman" w:eastAsia="Times New Roman" w:hAnsi="Times New Roman"/>
          <w:sz w:val="18"/>
          <w:szCs w:val="18"/>
          <w:color w:val="auto"/>
        </w:rPr>
        <w:t xml:space="preserve">. The Company shall not enter into any agreement for, or otherwise willingly engage in, a transaction constituting a Change of Control unless (i) such agreement provides for or does not interfere with or prevent (as applicable) the exercise by the Holders of their Change of Control Put and payment in full of the Change of Control Put Price after payments required pursuant to any credit agreement, indenture or similar agreement evidencing indebtedness for borrowed money specified in </w:t>
      </w:r>
      <w:r>
        <w:rPr>
          <w:rFonts w:ascii="Times New Roman" w:cs="Times New Roman" w:eastAsia="Times New Roman" w:hAnsi="Times New Roman"/>
          <w:sz w:val="18"/>
          <w:szCs w:val="18"/>
          <w:u w:val="single" w:color="auto"/>
          <w:color w:val="auto"/>
        </w:rPr>
        <w:t>Section 9(l)</w:t>
      </w:r>
      <w:r>
        <w:rPr>
          <w:rFonts w:ascii="Times New Roman" w:cs="Times New Roman" w:eastAsia="Times New Roman" w:hAnsi="Times New Roman"/>
          <w:sz w:val="18"/>
          <w:szCs w:val="18"/>
          <w:color w:val="auto"/>
        </w:rPr>
        <w:t xml:space="preserve"> below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(ii) the acquiring or surviving Person in such Change of Control represents or covenants, in form and substance reasonably satisfactory to the Board acting in good faith, that at the closing of such Change of Control such Person shall have sufficient funds (which may include, without limitation, cash and cash equivalents on the Company’s balance sheet, the proceeds of any debt or equity financing, available lines of credit or uncalled capital</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40"/>
          </w:cols>
          <w:pgMar w:left="880" w:top="270" w:right="479" w:bottom="1440" w:gutter="0" w:footer="0" w:header="0"/>
        </w:sectPr>
      </w:pPr>
    </w:p>
    <w:bookmarkStart w:id="67" w:name="page68"/>
    <w:bookmarkEnd w:id="67"/>
    <w:p>
      <w:pPr>
        <w:ind w:right="3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commitments) to consummate such Change of Control and the payment of the Change of Control Put Price in respect of shares of Series B-2 Preferred Stock that have not been converted into Common Stock prior to the Change of Control Effective Date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after all payments required to be made by the Company pursuant to any credit agreement, indenture or similar agreement evidencing indebtedness for borrowed money have been made.</w:t>
      </w:r>
    </w:p>
    <w:p>
      <w:pPr>
        <w:spacing w:after="0" w:line="72" w:lineRule="exact"/>
        <w:rPr>
          <w:sz w:val="20"/>
          <w:szCs w:val="20"/>
          <w:color w:val="auto"/>
        </w:rPr>
      </w:pPr>
    </w:p>
    <w:p>
      <w:pPr>
        <w:ind w:right="120" w:firstLine="419"/>
        <w:spacing w:after="0" w:line="261" w:lineRule="auto"/>
        <w:tabs>
          <w:tab w:leader="none" w:pos="63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Change of Control Put/Call</w:t>
      </w:r>
      <w:r>
        <w:rPr>
          <w:rFonts w:ascii="Times New Roman" w:cs="Times New Roman" w:eastAsia="Times New Roman" w:hAnsi="Times New Roman"/>
          <w:sz w:val="18"/>
          <w:szCs w:val="18"/>
          <w:color w:val="auto"/>
        </w:rPr>
        <w:t>. On full payment of the Change of Control Put Price for any shares of Series B-2 Preferred Stock subject to a Change of Control Put or Change of Control Call, such shares of Series B-2 Preferred Stock shall no longer be deemed to be outstanding for any purpose and all rights (except the right to receive the Change of Control Put Price) of the Holder of such shares of Series B-2 Preferred Stock shall cease and terminate with respect to such shares.</w:t>
      </w:r>
    </w:p>
    <w:p>
      <w:pPr>
        <w:spacing w:after="0" w:line="71" w:lineRule="exact"/>
        <w:rPr>
          <w:rFonts w:ascii="Times New Roman" w:cs="Times New Roman" w:eastAsia="Times New Roman" w:hAnsi="Times New Roman"/>
          <w:sz w:val="18"/>
          <w:szCs w:val="18"/>
          <w:color w:val="auto"/>
        </w:rPr>
      </w:pPr>
    </w:p>
    <w:p>
      <w:pPr>
        <w:ind w:right="20" w:firstLine="419"/>
        <w:spacing w:after="0" w:line="258" w:lineRule="auto"/>
        <w:tabs>
          <w:tab w:leader="none" w:pos="63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Withdrawal of Election for Change of Control Put</w:t>
      </w:r>
      <w:r>
        <w:rPr>
          <w:rFonts w:ascii="Times New Roman" w:cs="Times New Roman" w:eastAsia="Times New Roman" w:hAnsi="Times New Roman"/>
          <w:sz w:val="18"/>
          <w:szCs w:val="18"/>
          <w:color w:val="auto"/>
        </w:rPr>
        <w:t>. Notwithstanding anything to the contrary herein, any Holder’s Change of Control Election Notice may be withdrawn (in whole or in part) by means of a written notice of withdrawal delivered to the Company at any time prior to the close of business on the fourth Business Day immediately succeeding the date of delivery of a Final Change of Control Notice (or, if earlier, the close of business on the second Business Day immediately preceding the relevant Change of Control Purchase Date), specifying the number of shares of Series B-2 Preferred Stock with respect to which such notice of withdrawal is being submitted.</w:t>
      </w:r>
    </w:p>
    <w:p>
      <w:pPr>
        <w:spacing w:after="0" w:line="75"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above provisions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similarly apply to successive Changes of Control (or anticipated Changes of Control).</w:t>
      </w:r>
    </w:p>
    <w:p>
      <w:pPr>
        <w:spacing w:after="0" w:line="117" w:lineRule="exact"/>
        <w:rPr>
          <w:rFonts w:ascii="Times New Roman" w:cs="Times New Roman" w:eastAsia="Times New Roman" w:hAnsi="Times New Roman"/>
          <w:sz w:val="18"/>
          <w:szCs w:val="18"/>
          <w:color w:val="auto"/>
        </w:rPr>
      </w:pPr>
    </w:p>
    <w:p>
      <w:pPr>
        <w:ind w:firstLine="419"/>
        <w:spacing w:after="0" w:line="274" w:lineRule="auto"/>
        <w:tabs>
          <w:tab w:leader="none" w:pos="638"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the avoidance of doubt, and not in limitation of the rights in this section, in the event of a Change of Control Put, the Company shall be permitted to pay the Change of Control Put Price required above in cash following the prior payment in full in cash all obligations of the Company and its Subsidiaries under any credit agreement, indenture or similar agreement evidencing indebtedness for borrowed money (including the termination of all commitments to lend, to the extent required by such credit agreement, indenture or similar agreement), which requires prior payment of the obligations thereunder (and termination of commitments thereunder, if applicable) as a condition to the payment of such Change of Control Put Price in cash. Nothing contained in this </w:t>
      </w:r>
      <w:r>
        <w:rPr>
          <w:rFonts w:ascii="Times New Roman" w:cs="Times New Roman" w:eastAsia="Times New Roman" w:hAnsi="Times New Roman"/>
          <w:sz w:val="17"/>
          <w:szCs w:val="17"/>
          <w:u w:val="single" w:color="auto"/>
          <w:color w:val="auto"/>
        </w:rPr>
        <w:t>Section 9(l)</w:t>
      </w:r>
      <w:r>
        <w:rPr>
          <w:rFonts w:ascii="Times New Roman" w:cs="Times New Roman" w:eastAsia="Times New Roman" w:hAnsi="Times New Roman"/>
          <w:sz w:val="17"/>
          <w:szCs w:val="17"/>
          <w:color w:val="auto"/>
        </w:rPr>
        <w:t xml:space="preserve"> shall limit a Holder’s right to pursue any remedies available to it hereunder.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Redemption at the Option of the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419"/>
        <w:spacing w:after="0" w:line="289" w:lineRule="auto"/>
        <w:tabs>
          <w:tab w:leader="none" w:pos="668"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after the seventh anniversary of the Original Issuance Date, the Company shall have the right (but not the obligation) to redeem all (but not less than all) of the then-outstanding shares of Series B Preferred Stock, at a redemption price per share of Series B Preferred Stock (payable by the Company in cash) equal to the Liquidation Preference (a “</w:t>
      </w:r>
      <w:r>
        <w:rPr>
          <w:rFonts w:ascii="Times New Roman" w:cs="Times New Roman" w:eastAsia="Times New Roman" w:hAnsi="Times New Roman"/>
          <w:sz w:val="17"/>
          <w:szCs w:val="17"/>
          <w:b w:val="1"/>
          <w:bCs w:val="1"/>
          <w:i w:val="1"/>
          <w:iCs w:val="1"/>
          <w:color w:val="auto"/>
        </w:rPr>
        <w:t>Redemption</w:t>
      </w:r>
      <w:r>
        <w:rPr>
          <w:rFonts w:ascii="Times New Roman" w:cs="Times New Roman" w:eastAsia="Times New Roman" w:hAnsi="Times New Roman"/>
          <w:sz w:val="17"/>
          <w:szCs w:val="17"/>
          <w:color w:val="auto"/>
        </w:rPr>
        <w:t>” and such amount, the “</w:t>
      </w:r>
      <w:r>
        <w:rPr>
          <w:rFonts w:ascii="Times New Roman" w:cs="Times New Roman" w:eastAsia="Times New Roman" w:hAnsi="Times New Roman"/>
          <w:sz w:val="17"/>
          <w:szCs w:val="17"/>
          <w:b w:val="1"/>
          <w:bCs w:val="1"/>
          <w:i w:val="1"/>
          <w:iCs w:val="1"/>
          <w:color w:val="auto"/>
        </w:rPr>
        <w:t>Redemption Price</w:t>
      </w:r>
      <w:r>
        <w:rPr>
          <w:rFonts w:ascii="Times New Roman" w:cs="Times New Roman" w:eastAsia="Times New Roman" w:hAnsi="Times New Roman"/>
          <w:sz w:val="17"/>
          <w:szCs w:val="17"/>
          <w:color w:val="auto"/>
        </w:rPr>
        <w:t>”).</w:t>
      </w:r>
    </w:p>
    <w:p>
      <w:pPr>
        <w:spacing w:after="0" w:line="9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60"/>
          </w:cols>
          <w:pgMar w:left="880" w:top="270" w:right="459" w:bottom="1440" w:gutter="0" w:footer="0" w:header="0"/>
        </w:sectPr>
      </w:pPr>
    </w:p>
    <w:bookmarkStart w:id="68" w:name="page69"/>
    <w:bookmarkEnd w:id="68"/>
    <w:p>
      <w:pPr>
        <w:ind w:left="440" w:right="120" w:firstLine="419"/>
        <w:spacing w:after="0" w:line="273" w:lineRule="auto"/>
        <w:tabs>
          <w:tab w:leader="none" w:pos="1118"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any Redemption, a written notice (a “</w:t>
      </w:r>
      <w:r>
        <w:rPr>
          <w:rFonts w:ascii="Times New Roman" w:cs="Times New Roman" w:eastAsia="Times New Roman" w:hAnsi="Times New Roman"/>
          <w:sz w:val="17"/>
          <w:szCs w:val="17"/>
          <w:b w:val="1"/>
          <w:bCs w:val="1"/>
          <w:i w:val="1"/>
          <w:iCs w:val="1"/>
          <w:color w:val="auto"/>
        </w:rPr>
        <w:t>Notice of Redemption</w:t>
      </w:r>
      <w:r>
        <w:rPr>
          <w:rFonts w:ascii="Times New Roman" w:cs="Times New Roman" w:eastAsia="Times New Roman" w:hAnsi="Times New Roman"/>
          <w:sz w:val="17"/>
          <w:szCs w:val="17"/>
          <w:color w:val="auto"/>
        </w:rPr>
        <w:t>”) shall be sent by or on behalf of the Company to each Holder as they appear in the records of the Company at least ten days and not more than 60 days before the date fixed for such redemption (the “</w:t>
      </w:r>
      <w:r>
        <w:rPr>
          <w:rFonts w:ascii="Times New Roman" w:cs="Times New Roman" w:eastAsia="Times New Roman" w:hAnsi="Times New Roman"/>
          <w:sz w:val="17"/>
          <w:szCs w:val="17"/>
          <w:b w:val="1"/>
          <w:bCs w:val="1"/>
          <w:i w:val="1"/>
          <w:iCs w:val="1"/>
          <w:color w:val="auto"/>
        </w:rPr>
        <w:t>Redemption Date</w:t>
      </w:r>
      <w:r>
        <w:rPr>
          <w:rFonts w:ascii="Times New Roman" w:cs="Times New Roman" w:eastAsia="Times New Roman" w:hAnsi="Times New Roman"/>
          <w:sz w:val="17"/>
          <w:szCs w:val="17"/>
          <w:color w:val="auto"/>
        </w:rPr>
        <w:t>”). The Notice of Redemption shall specify (i) the Redemption Date, (ii) the total number of shares of Series B-2 Preferred Stock to be redeemed from the applicable Holder, (iii) the amount per share payable to such Holder and (iv) the procedures that such Holders of shares of Series B-2 Preferred Stock must follow in order to receive the Redemption Price for their shares of Series B-2 Preferred Stock to be redeemed. The Company shall deliver or cause to be delivered to each Holder that has complied with the instructions set forth in such Notice of Redemption, cash by wire transfer in an amount equal to the Redemption Price for each share of Series B-2 Preferred Stock held by such Holder.</w:t>
      </w:r>
    </w:p>
    <w:p>
      <w:pPr>
        <w:spacing w:after="0" w:line="67" w:lineRule="exact"/>
        <w:rPr>
          <w:rFonts w:ascii="Times New Roman" w:cs="Times New Roman" w:eastAsia="Times New Roman" w:hAnsi="Times New Roman"/>
          <w:sz w:val="17"/>
          <w:szCs w:val="17"/>
          <w:color w:val="auto"/>
        </w:rPr>
      </w:pPr>
    </w:p>
    <w:p>
      <w:pPr>
        <w:ind w:left="440" w:firstLine="419"/>
        <w:spacing w:after="0" w:line="266" w:lineRule="auto"/>
        <w:tabs>
          <w:tab w:leader="none" w:pos="110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any Redemption, each Holder of outstanding shares of Series B-2 Preferred Stock may, at such Holder’s election, effective prior to such Redemption on a date designated by the Holder, convert all or a portion of its shares of Series B-2 Preferred Stock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(following a Notice of Redemption, without regard to any limitations on conversion).</w:t>
      </w:r>
    </w:p>
    <w:p>
      <w:pPr>
        <w:spacing w:after="0" w:line="67"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1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full payment of the Redemption Price for all shares of Series B-2 Preferred Stock subject to a Redemption, such shares of Series B-2 Preferred Stock shall no longer be deemed to be outstanding for any purpose and all rights (except the right to receive the Redemption Price) of the Holder of such shares of Series B-2 Preferred Stock shall cease and terminate with respect to such shares.</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Adjustment of Conversion Rate</w:t>
      </w:r>
      <w:r>
        <w:rPr>
          <w:rFonts w:ascii="Times New Roman" w:cs="Times New Roman" w:eastAsia="Times New Roman" w:hAnsi="Times New Roman"/>
          <w:sz w:val="18"/>
          <w:szCs w:val="18"/>
          <w:color w:val="auto"/>
        </w:rPr>
        <w:t xml:space="preserve">. The Conversion Rate shall be adjusted from time to time by the Company if any of the following events occurs, except that the Company shall not make any adjustments to the Conversion Rate if Holders of the Series B-2 Preferred Stock participate (other than in the case of a share split or share combination or a tender or exchange offer), at the same time and on the same terms as holders of the Common Stock and solely as a result of holding the Series B-2 Preferred Stock, in any of the transactions described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without having to convert their shares of Series B-2 Preferred Stock, as if they held a number of shares of Common Stock equal to the Conversion Rate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number of shares of Series B-2 Preferred Stock held by such Holder.</w:t>
      </w:r>
    </w:p>
    <w:p>
      <w:pPr>
        <w:spacing w:after="0" w:line="79" w:lineRule="exact"/>
        <w:rPr>
          <w:sz w:val="20"/>
          <w:szCs w:val="20"/>
          <w:color w:val="auto"/>
        </w:rPr>
      </w:pPr>
    </w:p>
    <w:p>
      <w:pPr>
        <w:ind w:left="440" w:right="480" w:firstLine="419"/>
        <w:spacing w:after="0" w:line="282" w:lineRule="auto"/>
        <w:tabs>
          <w:tab w:leader="none" w:pos="110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exclusively issues shares of Common Stock as a dividend or distribution on shares of the Common Stock, or if the Company effects a share split or share combination,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208280</wp:posOffset>
            </wp:positionV>
            <wp:extent cx="5332095" cy="4800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533209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66" w:right="479" w:bottom="1440" w:gutter="0" w:footer="0" w:header="0"/>
        </w:sectPr>
      </w:pPr>
    </w:p>
    <w:bookmarkStart w:id="69" w:name="page70"/>
    <w:bookmarkEnd w:id="69"/>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w:t>
      </w:r>
      <w:r>
        <w:rPr>
          <w:rFonts w:ascii="Times New Roman" w:cs="Times New Roman" w:eastAsia="Times New Roman" w:hAnsi="Times New Roman"/>
          <w:sz w:val="15"/>
          <w:szCs w:val="15"/>
          <w:color w:val="auto"/>
        </w:rPr>
        <w:t>0</w:t>
      </w:r>
      <w:r>
        <w:rPr>
          <w:rFonts w:ascii="Times New Roman" w:cs="Times New Roman" w:eastAsia="Times New Roman" w:hAnsi="Times New Roman"/>
          <w:sz w:val="18"/>
          <w:szCs w:val="18"/>
          <w:color w:val="auto"/>
        </w:rPr>
        <w:t xml:space="preserve"> = the Conversion Rate in effect immediately prior to the open of business on the Ex-Dividend Date of such dividend or distribution, or immediately prior to the open of business on the Effective Date of such share split or share combination, as applicable;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 the Conversion Rate in effect immediately after the open of business on such Ex-Dividend Date or Effective Date;</w:t>
      </w:r>
    </w:p>
    <w:p>
      <w:pPr>
        <w:spacing w:after="0" w:line="22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15"/>
          <w:szCs w:val="15"/>
          <w:color w:val="auto"/>
        </w:rPr>
        <w:t>0</w:t>
      </w:r>
      <w:r>
        <w:rPr>
          <w:rFonts w:ascii="Times New Roman" w:cs="Times New Roman" w:eastAsia="Times New Roman" w:hAnsi="Times New Roman"/>
          <w:sz w:val="18"/>
          <w:szCs w:val="18"/>
          <w:color w:val="auto"/>
        </w:rPr>
        <w:t xml:space="preserve"> = the number of shares of Common Stock outstanding immediately prior to the open of business on such Ex-Dividend Date or Effective Date (before giving effect to any such dividend, distribution, split or combination); and</w:t>
      </w:r>
    </w:p>
    <w:p>
      <w:pPr>
        <w:spacing w:after="0" w:line="162"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 the number of shares of Common Stock outstanding immediately after giving effect to such dividend, distribution, share split or share combination.</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Any adjustment made under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is declared but not so paid or made, the Conversion Rate shall be immediately readjusted, effective as of the date the Board determines not to pay such dividend or distribution, to the Conversion Rate that would then be in effect if such dividend or distribution had not been declared.</w:t>
      </w:r>
    </w:p>
    <w:p>
      <w:pPr>
        <w:spacing w:after="0" w:line="75" w:lineRule="exact"/>
        <w:rPr>
          <w:sz w:val="20"/>
          <w:szCs w:val="20"/>
          <w:color w:val="auto"/>
        </w:rPr>
      </w:pPr>
    </w:p>
    <w:p>
      <w:pPr>
        <w:ind w:left="440" w:right="100" w:firstLine="419"/>
        <w:spacing w:after="0" w:line="258" w:lineRule="auto"/>
        <w:tabs>
          <w:tab w:leader="none" w:pos="111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issues to all or substantially all holders of the Common Stock and/or the Series B-1 Preferred Stock any rights, options or warrants (other than in connection with a stockholder rights plan) entitling them, for a period of not more than 45 calendar days after the announcement date of such issuance, to subscribe for or purchase shares of the Common Stock at a price per share that is less than the average of the Last Reported Sale Prices of the Common Stock for the ten consecutive Trading Day period ending on, and including, the Trading Day immediately preceding the date of announcement of such issuance,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145415</wp:posOffset>
            </wp:positionV>
            <wp:extent cx="5349240" cy="4718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534924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15"/>
          <w:szCs w:val="15"/>
          <w:color w:val="auto"/>
        </w:rPr>
        <w:t>0</w:t>
      </w:r>
      <w:r>
        <w:rPr>
          <w:rFonts w:ascii="Times New Roman" w:cs="Times New Roman" w:eastAsia="Times New Roman" w:hAnsi="Times New Roman"/>
          <w:sz w:val="18"/>
          <w:szCs w:val="18"/>
          <w:color w:val="auto"/>
        </w:rPr>
        <w:t xml:space="preserve"> = the Conversion Rate in effect immediately prior to the open of business on the Ex-Dividend Date for such issuance;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 the Conversion Rate in effect immediately after the open of business on such Ex-Dividend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15"/>
          <w:szCs w:val="15"/>
          <w:color w:val="auto"/>
        </w:rPr>
        <w:t>0</w:t>
      </w:r>
      <w:r>
        <w:rPr>
          <w:rFonts w:ascii="Times New Roman" w:cs="Times New Roman" w:eastAsia="Times New Roman" w:hAnsi="Times New Roman"/>
          <w:sz w:val="18"/>
          <w:szCs w:val="18"/>
          <w:color w:val="auto"/>
        </w:rPr>
        <w:t xml:space="preserve"> = the number of shares of Common Stock outstanding immediately prior to the open of business on such Ex-Dividend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 = the total number of shares of Common Stock issuable pursuant to such rights, options or warrants; and</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70" w:name="page71"/>
    <w:bookmarkEnd w:id="70"/>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 = the number of shares of Common Stock equal to the aggregate price payable to exercise such rights, options or warrants, divided by the average of the Last Reported Sale Prices of the Common Stock over the ten consecutive Trading Day period ending on, and including, the Trading Day immediately preceding the date of announcement of the issuance of such rights, options or warrants.</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Any increase made under this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shall be made successively whenever any such rights, options or warrants are issued and shall become effective immediately after the open of business on the Ex-Dividend Date for such issuance. To the extent that shares of the Common Stock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shares of Common Stock actually delivered. If such rights, options or warrants are not so issued, the Conversion Rate shall be decreased to the Conversion Rate that would then be in effect if such Ex-Dividend Date for such issuance had not occurred.</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in determining whether any rights, options or warrants entitle the holders to subscribe for or purchase shares of the Common Stock at less than such average of the Last Reported Sale Prices of the Common Stock for the ten consecutive Trading Day period ending on, and including, the Trading Day immediately preceding the date of announcement for such issuance,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Company in good faith and in a commercially reasonable manner.</w:t>
      </w:r>
    </w:p>
    <w:p>
      <w:pPr>
        <w:spacing w:after="0" w:line="79" w:lineRule="exact"/>
        <w:rPr>
          <w:sz w:val="20"/>
          <w:szCs w:val="20"/>
          <w:color w:val="auto"/>
        </w:rPr>
      </w:pPr>
    </w:p>
    <w:p>
      <w:pPr>
        <w:ind w:left="440" w:firstLine="419"/>
        <w:spacing w:after="0" w:line="254" w:lineRule="auto"/>
        <w:tabs>
          <w:tab w:leader="none" w:pos="110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distributes shares of its Capital Stock, evidences of its indebtedness, other assets or property of the Company or rights, options or warrants to acquire its Capital Stock or other securities, to all or substantially all holders of the Common Stock, excluding (i) dividends, distributions or issuances (including share splits) as to which an adjustment was effected (or would be required to be effected, notwithstanding the 1% Exception in </w:t>
      </w:r>
      <w:r>
        <w:rPr>
          <w:rFonts w:ascii="Times New Roman" w:cs="Times New Roman" w:eastAsia="Times New Roman" w:hAnsi="Times New Roman"/>
          <w:sz w:val="18"/>
          <w:szCs w:val="18"/>
          <w:u w:val="single" w:color="auto"/>
          <w:color w:val="auto"/>
        </w:rPr>
        <w:t>Section 11(j)</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(ii) dividends or distributions paid exclusively in cash that are also paid to the Holders of the Series B-2 Preferred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(iii) except as otherwise described below, rights issued pursuant to a stockholder rights plan of the Company, (iv) distributions of Exchange Property in a Reorganization Event and (v) Spin-Offs, as to which the provisions set forth below in this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shall apply (any of such shares of Capital Stock, evidences of indebtedness, other assets or property or rights, options or warrants to acquire Capital Stock or other securities, the “</w:t>
      </w:r>
      <w:r>
        <w:rPr>
          <w:rFonts w:ascii="Times New Roman" w:cs="Times New Roman" w:eastAsia="Times New Roman" w:hAnsi="Times New Roman"/>
          <w:sz w:val="18"/>
          <w:szCs w:val="18"/>
          <w:b w:val="1"/>
          <w:bCs w:val="1"/>
          <w:i w:val="1"/>
          <w:iCs w:val="1"/>
          <w:color w:val="auto"/>
        </w:rPr>
        <w:t>Distributed Property</w:t>
      </w:r>
      <w:r>
        <w:rPr>
          <w:rFonts w:ascii="Times New Roman" w:cs="Times New Roman" w:eastAsia="Times New Roman" w:hAnsi="Times New Roman"/>
          <w:sz w:val="18"/>
          <w:szCs w:val="18"/>
          <w:color w:val="auto"/>
        </w:rPr>
        <w:t>”),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148590</wp:posOffset>
            </wp:positionV>
            <wp:extent cx="5332095" cy="4800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533209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71" w:name="page72"/>
    <w:bookmarkEnd w:id="71"/>
    <w:p>
      <w:pPr>
        <w:ind w:right="1940"/>
        <w:spacing w:after="0" w:line="50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w:t>
      </w:r>
      <w:r>
        <w:rPr>
          <w:rFonts w:ascii="Times New Roman" w:cs="Times New Roman" w:eastAsia="Times New Roman" w:hAnsi="Times New Roman"/>
          <w:sz w:val="15"/>
          <w:szCs w:val="15"/>
          <w:color w:val="auto"/>
        </w:rPr>
        <w:t>0</w:t>
      </w:r>
      <w:r>
        <w:rPr>
          <w:rFonts w:ascii="Times New Roman" w:cs="Times New Roman" w:eastAsia="Times New Roman" w:hAnsi="Times New Roman"/>
          <w:sz w:val="18"/>
          <w:szCs w:val="18"/>
          <w:color w:val="auto"/>
        </w:rPr>
        <w:t xml:space="preserve"> = the Conversion Rate in effect immediately prior to the open of business on the Ex-Dividend Date for such distribution; CR</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 the Conversion Rate in effect immediately after the open of business on such Ex-Dividend Date;</w:t>
      </w:r>
    </w:p>
    <w:p>
      <w:pPr>
        <w:spacing w:after="0" w:line="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15"/>
          <w:szCs w:val="15"/>
          <w:color w:val="auto"/>
        </w:rPr>
        <w:t>0</w:t>
      </w:r>
      <w:r>
        <w:rPr>
          <w:rFonts w:ascii="Times New Roman" w:cs="Times New Roman" w:eastAsia="Times New Roman" w:hAnsi="Times New Roman"/>
          <w:sz w:val="18"/>
          <w:szCs w:val="18"/>
          <w:color w:val="auto"/>
        </w:rPr>
        <w:t xml:space="preserve"> = the average of the Last Reported Sale Prices of the Common Stock over the ten consecutive Trading Day period ending on, and including, the Trading Day immediately preceding the Ex-Dividend Date for such distribution; and</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FMV = the fair market value (as determined by the Company in good faith and in a commercially reasonable manner) of the Distributed Property with respect to each outstanding share of the Common Stock on the Ex-Dividend Date for such distribution.</w:t>
      </w:r>
    </w:p>
    <w:p>
      <w:pPr>
        <w:spacing w:after="0" w:line="16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 xml:space="preserve">Any increase made under the portion of this </w:t>
      </w:r>
      <w:r>
        <w:rPr>
          <w:rFonts w:ascii="Times New Roman" w:cs="Times New Roman" w:eastAsia="Times New Roman" w:hAnsi="Times New Roman"/>
          <w:sz w:val="17"/>
          <w:szCs w:val="17"/>
          <w:u w:val="single" w:color="auto"/>
          <w:color w:val="auto"/>
        </w:rPr>
        <w:t>Section 11(c)</w:t>
      </w:r>
      <w:r>
        <w:rPr>
          <w:rFonts w:ascii="Times New Roman" w:cs="Times New Roman" w:eastAsia="Times New Roman" w:hAnsi="Times New Roman"/>
          <w:sz w:val="17"/>
          <w:szCs w:val="17"/>
          <w:color w:val="auto"/>
        </w:rPr>
        <w:t xml:space="preserve"> above shall become effective immediately after the open of business on the Ex-Dividend Date for such distribution. If such distribution is not so paid or made, the Conversion Rate shall be decreased to the Conversion Rate that would then be in effect if such distribution had not been declared. If the Company issues rights, options or warrants that are only exercisable on the occurrence of certain triggering events, then the Company shall not adjust the Conversion Rate pursuant to the clauses above until the earliest of these triggering events occurs, and the Company shall readjust the Conversion Rate to the extent that any of these rights, options or warrants are not exercised before they expire. In the case of any distribution of rights, options or warrants, to the extent any such rights, options or warrants expire unexercised, the Conversion Rate shall be immediately readjusted to the Conversion Rate that would then be in effect had the increase made for the distribution of such rights, options or warrants been made on the basis of delivery of only the number of shares of the Common Stock actually delivered on exercise of such rights, options or warrants. Notwithstanding the foregoing, if “FMV” (as defined above) is equal to or greater than “SP</w:t>
      </w:r>
      <w:r>
        <w:rPr>
          <w:rFonts w:ascii="Times New Roman" w:cs="Times New Roman" w:eastAsia="Times New Roman" w:hAnsi="Times New Roman"/>
          <w:sz w:val="14"/>
          <w:szCs w:val="14"/>
          <w:color w:val="auto"/>
        </w:rPr>
        <w:t>0</w:t>
      </w:r>
      <w:r>
        <w:rPr>
          <w:rFonts w:ascii="Times New Roman" w:cs="Times New Roman" w:eastAsia="Times New Roman" w:hAnsi="Times New Roman"/>
          <w:sz w:val="17"/>
          <w:szCs w:val="17"/>
          <w:color w:val="auto"/>
        </w:rPr>
        <w:t xml:space="preserve">” (as defined above), in lieu of the foregoing increase, each Holder of shares of Series B-2 Preferred Stock shall receive, in respect of each such share, at the same time and on the same terms as holders of the Common Stock, the amount and kind of Distributed Property such Holder would have received if such Holder owned a number of shares of Common Stock equal to the Conversion Rate in effect on the Ex-Dividend Date for the distribution. If the Company determines the “FMV” (as defined above) of any distribution for purposes of this </w:t>
      </w:r>
      <w:r>
        <w:rPr>
          <w:rFonts w:ascii="Times New Roman" w:cs="Times New Roman" w:eastAsia="Times New Roman" w:hAnsi="Times New Roman"/>
          <w:sz w:val="17"/>
          <w:szCs w:val="17"/>
          <w:u w:val="single" w:color="auto"/>
          <w:color w:val="auto"/>
        </w:rPr>
        <w:t>Section 11(c)</w:t>
      </w:r>
      <w:r>
        <w:rPr>
          <w:rFonts w:ascii="Times New Roman" w:cs="Times New Roman" w:eastAsia="Times New Roman" w:hAnsi="Times New Roman"/>
          <w:sz w:val="17"/>
          <w:szCs w:val="17"/>
          <w:color w:val="auto"/>
        </w:rPr>
        <w:t xml:space="preserve"> by reference to the actual or when-issued trading market for any securities, it shall in doing so consider the prices in such market over the same period used in computing the Last Reported Sale Prices of the Common Stock over the ten consecutive Trading Day period ending on, and including, the Trading Day immediately preceding the Ex-Dividend Date for such distribution.</w:t>
      </w:r>
    </w:p>
    <w:p>
      <w:pPr>
        <w:spacing w:after="0" w:line="18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With respect to an adjustment pursuant to this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where there has been a payment of a dividend or other distribution on the Common Stock of shares of Capital Stock of any class or series, or similar equity interest, of or relating to a Subsidiary or other business unit of the Company, that are, or, when issued, will be, listed or admitted for trading on a U.S. national securities exchange (a “</w:t>
      </w:r>
      <w:r>
        <w:rPr>
          <w:rFonts w:ascii="Times New Roman" w:cs="Times New Roman" w:eastAsia="Times New Roman" w:hAnsi="Times New Roman"/>
          <w:sz w:val="18"/>
          <w:szCs w:val="18"/>
          <w:b w:val="1"/>
          <w:bCs w:val="1"/>
          <w:i w:val="1"/>
          <w:iCs w:val="1"/>
          <w:color w:val="auto"/>
        </w:rPr>
        <w:t>Spin-Off</w:t>
      </w:r>
      <w:r>
        <w:rPr>
          <w:rFonts w:ascii="Times New Roman" w:cs="Times New Roman" w:eastAsia="Times New Roman" w:hAnsi="Times New Roman"/>
          <w:sz w:val="18"/>
          <w:szCs w:val="18"/>
          <w:color w:val="auto"/>
        </w:rPr>
        <w: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142875</wp:posOffset>
            </wp:positionV>
            <wp:extent cx="5349240" cy="4718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534924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w:t>
      </w:r>
    </w:p>
    <w:p>
      <w:pPr>
        <w:spacing w:after="0" w:line="225" w:lineRule="exact"/>
        <w:rPr>
          <w:sz w:val="20"/>
          <w:szCs w:val="20"/>
          <w:color w:val="auto"/>
        </w:rPr>
      </w:pPr>
    </w:p>
    <w:p>
      <w:pPr>
        <w:ind w:right="4520"/>
        <w:spacing w:after="0" w:line="530" w:lineRule="auto"/>
        <w:rPr>
          <w:sz w:val="20"/>
          <w:szCs w:val="20"/>
          <w:color w:val="auto"/>
        </w:rPr>
      </w:pPr>
      <w:r>
        <w:rPr>
          <w:rFonts w:ascii="Times New Roman" w:cs="Times New Roman" w:eastAsia="Times New Roman" w:hAnsi="Times New Roman"/>
          <w:sz w:val="17"/>
          <w:szCs w:val="17"/>
          <w:color w:val="auto"/>
        </w:rPr>
        <w:t>CR</w:t>
      </w:r>
      <w:r>
        <w:rPr>
          <w:rFonts w:ascii="Times New Roman" w:cs="Times New Roman" w:eastAsia="Times New Roman" w:hAnsi="Times New Roman"/>
          <w:sz w:val="14"/>
          <w:szCs w:val="14"/>
          <w:color w:val="auto"/>
        </w:rPr>
        <w:t>0</w:t>
      </w:r>
      <w:r>
        <w:rPr>
          <w:rFonts w:ascii="Times New Roman" w:cs="Times New Roman" w:eastAsia="Times New Roman" w:hAnsi="Times New Roman"/>
          <w:sz w:val="17"/>
          <w:szCs w:val="17"/>
          <w:color w:val="auto"/>
        </w:rPr>
        <w:t xml:space="preserve"> = the Conversion Rate in effect immediately prior to the end of the Valuation Period; CR</w:t>
      </w:r>
      <w:r>
        <w:rPr>
          <w:rFonts w:ascii="Times New Roman" w:cs="Times New Roman" w:eastAsia="Times New Roman" w:hAnsi="Times New Roman"/>
          <w:sz w:val="14"/>
          <w:szCs w:val="14"/>
          <w:color w:val="auto"/>
        </w:rPr>
        <w:t>1</w:t>
      </w:r>
      <w:r>
        <w:rPr>
          <w:rFonts w:ascii="Times New Roman" w:cs="Times New Roman" w:eastAsia="Times New Roman" w:hAnsi="Times New Roman"/>
          <w:sz w:val="17"/>
          <w:szCs w:val="17"/>
          <w:color w:val="auto"/>
        </w:rPr>
        <w:t xml:space="preserve"> = the Conversion Rate in effect immediately after the end of the Valuation Period;</w:t>
      </w:r>
    </w:p>
    <w:p>
      <w:pPr>
        <w:spacing w:after="0" w:line="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FMV</w:t>
      </w:r>
      <w:r>
        <w:rPr>
          <w:rFonts w:ascii="Times New Roman" w:cs="Times New Roman" w:eastAsia="Times New Roman" w:hAnsi="Times New Roman"/>
          <w:sz w:val="15"/>
          <w:szCs w:val="15"/>
          <w:color w:val="auto"/>
        </w:rPr>
        <w:t>0</w:t>
      </w:r>
      <w:r>
        <w:rPr>
          <w:rFonts w:ascii="Times New Roman" w:cs="Times New Roman" w:eastAsia="Times New Roman" w:hAnsi="Times New Roman"/>
          <w:sz w:val="18"/>
          <w:szCs w:val="18"/>
          <w:color w:val="auto"/>
        </w:rPr>
        <w:t xml:space="preserve"> = the average of the Last Reported Sale Prices of the Capital Stock or similar equity interest distributed to holders of the Common Stock applicable to one share of the Common Stock (determined by reference to the definition of Last Reported Sale Price as set forth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as if references therein to Common Stock were to such Capital Stock or similar equity interest) over the first ten consecutive Trading Day period after, and including, the Ex-Dividend Date of the Spin-Off (the “</w:t>
      </w:r>
      <w:r>
        <w:rPr>
          <w:rFonts w:ascii="Times New Roman" w:cs="Times New Roman" w:eastAsia="Times New Roman" w:hAnsi="Times New Roman"/>
          <w:sz w:val="18"/>
          <w:szCs w:val="18"/>
          <w:b w:val="1"/>
          <w:bCs w:val="1"/>
          <w:i w:val="1"/>
          <w:iCs w:val="1"/>
          <w:color w:val="auto"/>
        </w:rPr>
        <w:t>Valuation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there is no Last Reported Sale Price of the Capital Stock or similar equity interest distributed to the holders of the Common Stock on such Ex-Dividend Date, the “Valuation Period” shall be the first ten consecutive Trading Day period after, and including, the first Trading Day such Last Reported Sale Price is available; and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w:t>
      </w:r>
      <w:r>
        <w:rPr>
          <w:rFonts w:ascii="Times New Roman" w:cs="Times New Roman" w:eastAsia="Times New Roman" w:hAnsi="Times New Roman"/>
          <w:sz w:val="15"/>
          <w:szCs w:val="15"/>
          <w:color w:val="auto"/>
        </w:rPr>
        <w:t>0</w:t>
      </w:r>
      <w:r>
        <w:rPr>
          <w:rFonts w:ascii="Times New Roman" w:cs="Times New Roman" w:eastAsia="Times New Roman" w:hAnsi="Times New Roman"/>
          <w:sz w:val="18"/>
          <w:szCs w:val="18"/>
          <w:color w:val="auto"/>
        </w:rPr>
        <w:t xml:space="preserve"> = the average of the Last Reported Sale Prices of the Common Stock over the Valuation Period.</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adjustment to the Conversion Rate under the preceding paragraph shall occur at the close of business on the last Trading Day of the Valuation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relevant Conversion Date occurs during the Valuation Period, references to “ten” in the preceding paragraph shall be deemed to be replaced with such lesser number of Trading Days as have elapsed from, and including, the Ex-Dividend Date of such Spin-Off to, and including, the Conversion Date in determining the Conversion Rate. If any dividend or distribution that constitutes a Spin-Off is declared but not so paid or made, the Conversion Rate shall be immediately decreased, effective as of the date the Board of Directors determines not to pay or make such dividend or distribution, to the Conversion Rate that would then be in effect if such dividend or distribution had not been declared or announced.</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(and subject in all respect to </w:t>
      </w:r>
      <w:r>
        <w:rPr>
          <w:rFonts w:ascii="Times New Roman" w:cs="Times New Roman" w:eastAsia="Times New Roman" w:hAnsi="Times New Roman"/>
          <w:sz w:val="18"/>
          <w:szCs w:val="18"/>
          <w:u w:val="single" w:color="auto"/>
          <w:color w:val="auto"/>
        </w:rPr>
        <w:t>Section 11(h)</w:t>
      </w:r>
      <w:r>
        <w:rPr>
          <w:rFonts w:ascii="Times New Roman" w:cs="Times New Roman" w:eastAsia="Times New Roman" w:hAnsi="Times New Roman"/>
          <w:sz w:val="18"/>
          <w:szCs w:val="18"/>
          <w:color w:val="auto"/>
        </w:rPr>
        <w:t>), rights, options or warrants distributed by the Company to all holders of the Common Stock entitling them to subscribe for or purchase shares of the Company’s Capital Stock, including Common Stock (either initially or under certain circumstances), which rights, options or warrants, until the occurrence of a specified event or events (a “</w:t>
      </w:r>
      <w:r>
        <w:rPr>
          <w:rFonts w:ascii="Times New Roman" w:cs="Times New Roman" w:eastAsia="Times New Roman" w:hAnsi="Times New Roman"/>
          <w:sz w:val="18"/>
          <w:szCs w:val="18"/>
          <w:b w:val="1"/>
          <w:bCs w:val="1"/>
          <w:i w:val="1"/>
          <w:iCs w:val="1"/>
          <w:color w:val="auto"/>
        </w:rPr>
        <w:t>Trigger Event</w:t>
      </w:r>
      <w:r>
        <w:rPr>
          <w:rFonts w:ascii="Times New Roman" w:cs="Times New Roman" w:eastAsia="Times New Roman" w:hAnsi="Times New Roman"/>
          <w:sz w:val="18"/>
          <w:szCs w:val="18"/>
          <w:color w:val="auto"/>
        </w:rPr>
        <w:t xml:space="preserve">”) (i) are deemed to be transferred with such shares of the Common Stock, (ii) are not exercisable and (iii) are also issued in respect of future issuances of the Common Stock, shall be deemed not to have been distributed for purposes of this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(and no adjustment to the Conversion Rate under this</w:t>
      </w:r>
    </w:p>
    <w:p>
      <w:pPr>
        <w:spacing w:after="0" w:line="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shall be required) until the occurrence of the earliest Trigger Event, whereupon such rights, options or warrants shall be deemed to have been distributed and an appropriate adjustment (if any is required) to the Conversion Rate shall be made under this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If any such right, option or warrant, including any such existing rights, options or warrants distributed prior to the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73" w:name="page74"/>
    <w:bookmarkEnd w:id="73"/>
    <w:p>
      <w:pPr>
        <w:ind w:left="4"/>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Original Issuance Date, are subject to events, 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w:t>
      </w:r>
      <w:r>
        <w:rPr>
          <w:rFonts w:ascii="Times New Roman" w:cs="Times New Roman" w:eastAsia="Times New Roman" w:hAnsi="Times New Roman"/>
          <w:sz w:val="17"/>
          <w:szCs w:val="17"/>
          <w:u w:val="single" w:color="auto"/>
          <w:color w:val="auto"/>
        </w:rPr>
        <w:t>Section 11(c)</w:t>
      </w:r>
      <w:r>
        <w:rPr>
          <w:rFonts w:ascii="Times New Roman" w:cs="Times New Roman" w:eastAsia="Times New Roman" w:hAnsi="Times New Roman"/>
          <w:sz w:val="17"/>
          <w:szCs w:val="17"/>
          <w:color w:val="auto"/>
        </w:rPr>
        <w:t xml:space="preserve"> was made, (A) in the case of any such rights, options or warrants that shall all have been purchased without exercise by any holders thereof, on such final redemption or purchase (1) the Conversion Rate shall be readjusted as if such rights, options or warrants had not been issued and</w:t>
      </w:r>
    </w:p>
    <w:p>
      <w:pPr>
        <w:ind w:left="4" w:right="40" w:hanging="4"/>
        <w:spacing w:after="0" w:line="253" w:lineRule="auto"/>
        <w:tabs>
          <w:tab w:leader="none" w:pos="25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Rate shall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 (B) in the case of such rights, options or warrants that shall have expired or been terminated without exercise by any holders thereof, the Conversion Rate shall be readjusted as if such rights, options and warrants had not been issued.</w:t>
      </w:r>
    </w:p>
    <w:p>
      <w:pPr>
        <w:spacing w:after="0" w:line="187"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if any dividend or distribution to which this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is applicable also includes one or both of:</w:t>
      </w:r>
    </w:p>
    <w:p>
      <w:pPr>
        <w:spacing w:after="0" w:line="63" w:lineRule="exact"/>
        <w:rPr>
          <w:sz w:val="20"/>
          <w:szCs w:val="20"/>
          <w:color w:val="auto"/>
        </w:rPr>
      </w:pPr>
    </w:p>
    <w:p>
      <w:pPr>
        <w:ind w:left="964" w:hanging="532"/>
        <w:spacing w:after="0"/>
        <w:tabs>
          <w:tab w:leader="none" w:pos="96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dividend or distribution of shares of Common Stock to which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is applicable (a “</w:t>
      </w:r>
      <w:r>
        <w:rPr>
          <w:rFonts w:ascii="Times New Roman" w:cs="Times New Roman" w:eastAsia="Times New Roman" w:hAnsi="Times New Roman"/>
          <w:sz w:val="18"/>
          <w:szCs w:val="18"/>
          <w:b w:val="1"/>
          <w:bCs w:val="1"/>
          <w:i w:val="1"/>
          <w:iCs w:val="1"/>
          <w:color w:val="auto"/>
        </w:rPr>
        <w:t>Clause A Distribution</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dividend or distribution of rights, options or warrants to which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is applicable (a “</w:t>
      </w:r>
      <w:r>
        <w:rPr>
          <w:rFonts w:ascii="Times New Roman" w:cs="Times New Roman" w:eastAsia="Times New Roman" w:hAnsi="Times New Roman"/>
          <w:sz w:val="18"/>
          <w:szCs w:val="18"/>
          <w:b w:val="1"/>
          <w:bCs w:val="1"/>
          <w:i w:val="1"/>
          <w:iCs w:val="1"/>
          <w:color w:val="auto"/>
        </w:rPr>
        <w:t>Clause B Distribution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 xml:space="preserve">then, in either case, (1) such dividend or distribution, other than the Clause A Distribution and/or Clause B Distribution, shall be deemed to be a dividend or distribution to which this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is applicable (a “</w:t>
      </w:r>
      <w:r>
        <w:rPr>
          <w:rFonts w:ascii="Times New Roman" w:cs="Times New Roman" w:eastAsia="Times New Roman" w:hAnsi="Times New Roman"/>
          <w:sz w:val="18"/>
          <w:szCs w:val="18"/>
          <w:b w:val="1"/>
          <w:bCs w:val="1"/>
          <w:i w:val="1"/>
          <w:iCs w:val="1"/>
          <w:color w:val="auto"/>
        </w:rPr>
        <w:t>Clause C Distribution</w:t>
      </w:r>
      <w:r>
        <w:rPr>
          <w:rFonts w:ascii="Times New Roman" w:cs="Times New Roman" w:eastAsia="Times New Roman" w:hAnsi="Times New Roman"/>
          <w:sz w:val="18"/>
          <w:szCs w:val="18"/>
          <w:color w:val="auto"/>
        </w:rPr>
        <w:t xml:space="preserve">”) and any Conversion Rate adjustment required by this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with respect to such Clause C Distribution shall then be made and (2) the Clause A Distribution and/or Clause B Distribution shall be deemed to immediately follow such Clause C Distribution and any Conversion Rate adjustment required by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with respect thereto shall then be made, except that, if determined by the Company (I) the “Ex-Dividend Date” of the Clause A Distribution and/or Clause B Distribution shall be deemed to be the Ex-Dividend Date of the Clause C Distribution and (II) any shares of Common Stock included in the Clause A Distribution and/or Clause B Distribution shall be deemed not to be “outstanding immediately prior to the open of business on such Ex-Dividend Date or Effective Date” within the meaning of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or “outstanding immediately prior to the open of business on such Ex-Dividend Date” within the meaning of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w:t>
      </w:r>
    </w:p>
    <w:p>
      <w:pPr>
        <w:spacing w:after="0" w:line="24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64"/>
          </w:cols>
          <w:pgMar w:left="436" w:top="270" w:right="499" w:bottom="1440" w:gutter="0" w:footer="0" w:header="0"/>
        </w:sectPr>
      </w:pPr>
    </w:p>
    <w:bookmarkStart w:id="74" w:name="page75"/>
    <w:bookmarkEnd w:id="74"/>
    <w:p>
      <w:pPr>
        <w:ind w:left="440" w:firstLine="419"/>
        <w:spacing w:after="0" w:line="277" w:lineRule="auto"/>
        <w:tabs>
          <w:tab w:leader="none" w:pos="1118"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Company or any of its Subsidiaries make a payment in respect of a tender or exchange offer for the Common Stock that is subject to the then-applicable tender offer rules under the Exchange Act, other than an odd-lot tender offer, to the extent that the cash and value of any other consideration included in the payment per share of the Common Stock exceeds the average of the Last Reported Sale Prices of the Common Stock over the ten consecutive Trading Day period commencing on, and including, the Trading Day next succeeding the last date on which tenders or exchanges may be made pursuant to such tender or exchange offer,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135255</wp:posOffset>
            </wp:positionV>
            <wp:extent cx="5332095" cy="4889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7">
                      <a:extLst>
                        <a:ext uri="{28A0092B-C50C-407E-A947-70E740481C1C}"/>
                      </a:extLst>
                    </a:blip>
                    <a:srcRect/>
                    <a:stretch>
                      <a:fillRect/>
                    </a:stretch>
                  </pic:blipFill>
                  <pic:spPr bwMode="auto">
                    <a:xfrm>
                      <a:off x="0" y="0"/>
                      <a:ext cx="533209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15"/>
          <w:szCs w:val="15"/>
          <w:color w:val="auto"/>
        </w:rPr>
        <w:t>0</w:t>
      </w:r>
      <w:r>
        <w:rPr>
          <w:rFonts w:ascii="Times New Roman" w:cs="Times New Roman" w:eastAsia="Times New Roman" w:hAnsi="Times New Roman"/>
          <w:sz w:val="18"/>
          <w:szCs w:val="18"/>
          <w:color w:val="auto"/>
        </w:rPr>
        <w:t xml:space="preserve"> = the Conversion Rate in effect immediately prior to the close of business on the tenth Trading Day immediately following, and including, the Trading Day next succeeding the date such tender or exchange offer expires;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 the Conversion Rate in effect immediately after the close of business on the tenth Trading Day immediately following, and including, the Trading Day next succeeding the date such tender or exchange offer expires;</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AC = the aggregate value of all cash and any other consideration (as determined by the Company in good faith and in a commercially reasonable manner) paid or payable for shares of Common Stock purchased in such tender or exchange offer;</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15"/>
          <w:szCs w:val="15"/>
          <w:color w:val="auto"/>
        </w:rPr>
        <w:t>0</w:t>
      </w:r>
      <w:r>
        <w:rPr>
          <w:rFonts w:ascii="Times New Roman" w:cs="Times New Roman" w:eastAsia="Times New Roman" w:hAnsi="Times New Roman"/>
          <w:sz w:val="18"/>
          <w:szCs w:val="18"/>
          <w:color w:val="auto"/>
        </w:rPr>
        <w:t xml:space="preserve"> = the number of shares of Common Stock outstanding immediately prior to the date such tender or exchange offer expires (prior to giving effect to the purchase of all shares of Common Stock accepted for purchase or exchange in such tender or exchange offer);</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 the number of shares of Common Stock outstanding immediately after the date such tender or exchange offer expires (after giving effect to the purchase of all shares of Common Stock accepted for purchase or exchange in such tender or exchange offer); and</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 the average of the Last Reported Sale Prices of the Common Stock over the ten consecutive Trading Day period commencing on, and including, the Trading Day next succeeding the date such tender or exchange offer expires.</w:t>
      </w:r>
    </w:p>
    <w:p>
      <w:pPr>
        <w:spacing w:after="0" w:line="16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 xml:space="preserve">The adjustment to the Conversion Rate under this </w:t>
      </w:r>
      <w:r>
        <w:rPr>
          <w:rFonts w:ascii="Times New Roman" w:cs="Times New Roman" w:eastAsia="Times New Roman" w:hAnsi="Times New Roman"/>
          <w:sz w:val="17"/>
          <w:szCs w:val="17"/>
          <w:u w:val="single" w:color="auto"/>
          <w:color w:val="auto"/>
        </w:rPr>
        <w:t>Section 11(d)</w:t>
      </w:r>
      <w:r>
        <w:rPr>
          <w:rFonts w:ascii="Times New Roman" w:cs="Times New Roman" w:eastAsia="Times New Roman" w:hAnsi="Times New Roman"/>
          <w:sz w:val="17"/>
          <w:szCs w:val="17"/>
          <w:color w:val="auto"/>
        </w:rPr>
        <w:t xml:space="preserve"> shall occur at the close of business on the tenth Trading Day immediately following, and including, the Trading Day immediately following the expiration date of such tender or exchange offer expires; provided that if the relevant Conversion Date occurs during the ten Trading Days immediately following, and including, the Trading Day next succeeding the expiration date of any tender or exchange offer, references to “ten” or “tenth” in the preceding paragraph shall be deemed replaced with such lesser number of Trading Days as have elapsed from, and including, the Trading Day next succeeding the date that such tender or exchange offer expires to, and including, the Conversion Date in determining the Conversion Rate. For the avoidance of doubt, no adjustment under this </w:t>
      </w:r>
      <w:r>
        <w:rPr>
          <w:rFonts w:ascii="Times New Roman" w:cs="Times New Roman" w:eastAsia="Times New Roman" w:hAnsi="Times New Roman"/>
          <w:sz w:val="17"/>
          <w:szCs w:val="17"/>
          <w:u w:val="single" w:color="auto"/>
          <w:color w:val="auto"/>
        </w:rPr>
        <w:t>Section 11(d))</w:t>
      </w:r>
      <w:r>
        <w:rPr>
          <w:rFonts w:ascii="Times New Roman" w:cs="Times New Roman" w:eastAsia="Times New Roman" w:hAnsi="Times New Roman"/>
          <w:sz w:val="17"/>
          <w:szCs w:val="17"/>
          <w:color w:val="auto"/>
        </w:rPr>
        <w:t xml:space="preserve"> shall be made if such adjustment would result in a decrease in the Conversion Rate (other than, for the avoidance of doubt, any readjustment described in the immediately succeeding paragraph).</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75" w:name="page76"/>
    <w:bookmarkEnd w:id="75"/>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the Company or one of its Subsidiaries is obligated to purchase the Common Stock pursuant to any such tender or exchange offer described in this </w:t>
      </w:r>
      <w:r>
        <w:rPr>
          <w:rFonts w:ascii="Times New Roman" w:cs="Times New Roman" w:eastAsia="Times New Roman" w:hAnsi="Times New Roman"/>
          <w:sz w:val="18"/>
          <w:szCs w:val="18"/>
          <w:u w:val="single" w:color="auto"/>
          <w:color w:val="auto"/>
        </w:rPr>
        <w:t>Section 11(d)</w:t>
      </w:r>
      <w:r>
        <w:rPr>
          <w:rFonts w:ascii="Times New Roman" w:cs="Times New Roman" w:eastAsia="Times New Roman" w:hAnsi="Times New Roman"/>
          <w:sz w:val="18"/>
          <w:szCs w:val="18"/>
          <w:color w:val="auto"/>
        </w:rPr>
        <w:t xml:space="preserve"> but the Company or such Subsidiary is permanently prevented by applicable law from effecting any such purchase or all such purchases are rescinded, the Conversion Rate shall be decreased to be the Conversion Rate that would then be in effect if such tender or exchange offer had not been made or had been made only in respect of the purchases that have been effected.</w:t>
      </w:r>
    </w:p>
    <w:p>
      <w:pPr>
        <w:spacing w:after="0" w:line="72" w:lineRule="exact"/>
        <w:rPr>
          <w:sz w:val="20"/>
          <w:szCs w:val="20"/>
          <w:color w:val="auto"/>
        </w:rPr>
      </w:pPr>
    </w:p>
    <w:p>
      <w:pPr>
        <w:ind w:left="440" w:right="20" w:firstLine="419"/>
        <w:spacing w:after="0" w:line="273" w:lineRule="auto"/>
        <w:tabs>
          <w:tab w:leader="none" w:pos="1108"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this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or any other provision of this Certificate of Designations, if (i) a Conversion Rate adjustment becomes effective on any Ex-Dividend Date, (ii) a Holder has converted its shares of Series B-2 Preferred Stock and the Conversion Date for such conversion occurs on or after such Ex-Dividend Date and on or prior to the related Record Date, (iii) the consideration due on such conversion includes any whole shares of Common Stock based on a Conversion Rate that is adjusted for such Ex-Dividend Date and (iv) such shares of Common Stock would be entitled to participate in such dividend, distribution, or other event giving rise to such adjustment, then the Conversion Rate adjustment relating to such Ex-Dividend Date shall not be made for such conversion, and, instead, the shares of Common Stock issuable on conversion on an unadjusted basis shall be entitled to participate in the related dividend, distribution or other event giving rise to such adjustment.</w:t>
      </w:r>
    </w:p>
    <w:p>
      <w:pPr>
        <w:spacing w:after="0" w:line="63" w:lineRule="exact"/>
        <w:rPr>
          <w:rFonts w:ascii="Times New Roman" w:cs="Times New Roman" w:eastAsia="Times New Roman" w:hAnsi="Times New Roman"/>
          <w:sz w:val="17"/>
          <w:szCs w:val="17"/>
          <w:color w:val="auto"/>
        </w:rPr>
      </w:pPr>
    </w:p>
    <w:p>
      <w:pPr>
        <w:ind w:left="440" w:right="520" w:firstLine="419"/>
        <w:spacing w:after="0" w:line="266" w:lineRule="auto"/>
        <w:tabs>
          <w:tab w:leader="none" w:pos="108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stated herein, the Company shall not adjust the Conversion Rate for the issuance of shares of the Common Stock or any securities convertible into or exchangeable for shares of the Common Stock or the right to purchase shares of the Common Stock or such convertible or exchangeable securities.</w:t>
      </w:r>
    </w:p>
    <w:p>
      <w:pPr>
        <w:spacing w:after="0" w:line="67" w:lineRule="exact"/>
        <w:rPr>
          <w:rFonts w:ascii="Times New Roman" w:cs="Times New Roman" w:eastAsia="Times New Roman" w:hAnsi="Times New Roman"/>
          <w:sz w:val="18"/>
          <w:szCs w:val="18"/>
          <w:color w:val="auto"/>
        </w:rPr>
      </w:pPr>
    </w:p>
    <w:p>
      <w:pPr>
        <w:ind w:left="440" w:firstLine="419"/>
        <w:spacing w:after="0" w:line="253" w:lineRule="auto"/>
        <w:tabs>
          <w:tab w:leader="none" w:pos="111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those adjustments required by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11(d)</w:t>
      </w:r>
      <w:r>
        <w:rPr>
          <w:rFonts w:ascii="Times New Roman" w:cs="Times New Roman" w:eastAsia="Times New Roman" w:hAnsi="Times New Roman"/>
          <w:sz w:val="18"/>
          <w:szCs w:val="18"/>
          <w:color w:val="auto"/>
        </w:rPr>
        <w:t>, and to the extent permitted by applicable law and subject to the applicable rules of any exchange on which any of the Company’s securities are then listed, the Company from time to time may increase the Conversion Rate by any amount for a period of at least 20 Business Days if the Board determines that such increase would be in the Company’s best interest. In addition, to the extent permitted by applicable law and subject to the applicable rules of any exchange on which any of the Company’s securities are then listed, the Company may (but is not required to) increase the Conversion Rate to avoid or diminish income Tax to holders of Common Stock or rights to purchase Common Stock in connection with a dividend or distribution of shares of Common Stock (or rights to acquire shares of Common Stock) or similar event. Whenever the Conversion Rate is increased pursuant to either of the preceding two sentences, the Company shall deliver to the Holder of each share of Series B-2 Preferred Stock and the Conversion Agent a notice of the increase at least 15 days prior to the date the increased Conversion Rate takes effect, and such notice shall state the increased Conversion Rate and the period during which it will be in effect.</w:t>
      </w:r>
    </w:p>
    <w:p>
      <w:pPr>
        <w:spacing w:after="0" w:line="1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440" w:top="270" w:right="499" w:bottom="1440" w:gutter="0" w:footer="0" w:header="0"/>
        </w:sectPr>
      </w:pPr>
    </w:p>
    <w:bookmarkStart w:id="76" w:name="page77"/>
    <w:bookmarkEnd w:id="76"/>
    <w:p>
      <w:pPr>
        <w:ind w:firstLine="419"/>
        <w:spacing w:after="0" w:line="273" w:lineRule="auto"/>
        <w:tabs>
          <w:tab w:leader="none" w:pos="678"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Company has a stockholder rights plan in effect on conversion of any shares of Series B-2 Preferred Stock, each share of Common Stock, if any, issued on such conversion shall be entitled to receive the appropriate number of rights, if any, and the certificates representing the Common Stock issued on such conversion shall bear such legends, if any, in each case as may be provided by the terms of any such stockholder rights plan, as the same may be amended from time to time. However, if, prior to any conversion of shares of Series B-2 Preferred Stock, the rights have separated from the shares of Common Stock in accordance with the provisions of the applicable stockholder rights plan, the Conversion Rate shall be adjusted at the time of separation as if the Company distributed to all or substantially all holders of the Common Stock Distributed Property as provided in </w:t>
      </w:r>
      <w:r>
        <w:rPr>
          <w:rFonts w:ascii="Times New Roman" w:cs="Times New Roman" w:eastAsia="Times New Roman" w:hAnsi="Times New Roman"/>
          <w:sz w:val="17"/>
          <w:szCs w:val="17"/>
          <w:u w:val="single" w:color="auto"/>
          <w:color w:val="auto"/>
        </w:rPr>
        <w:t>Section 11(c)</w:t>
      </w:r>
      <w:r>
        <w:rPr>
          <w:rFonts w:ascii="Times New Roman" w:cs="Times New Roman" w:eastAsia="Times New Roman" w:hAnsi="Times New Roman"/>
          <w:sz w:val="17"/>
          <w:szCs w:val="17"/>
          <w:color w:val="auto"/>
        </w:rPr>
        <w:t>, subject to readjustment in the event of the expiration, termination or redemption of such rights.</w:t>
      </w:r>
    </w:p>
    <w:p>
      <w:pPr>
        <w:spacing w:after="0" w:line="63" w:lineRule="exact"/>
        <w:rPr>
          <w:rFonts w:ascii="Times New Roman" w:cs="Times New Roman" w:eastAsia="Times New Roman" w:hAnsi="Times New Roman"/>
          <w:sz w:val="17"/>
          <w:szCs w:val="17"/>
          <w:color w:val="auto"/>
        </w:rPr>
      </w:pPr>
    </w:p>
    <w:p>
      <w:pPr>
        <w:ind w:left="640" w:hanging="221"/>
        <w:spacing w:after="0"/>
        <w:tabs>
          <w:tab w:leader="none" w:pos="6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the Conversion Rate shall not be adjusted:</w:t>
      </w:r>
    </w:p>
    <w:p>
      <w:pPr>
        <w:spacing w:after="0" w:line="117" w:lineRule="exact"/>
        <w:rPr>
          <w:rFonts w:ascii="Times New Roman" w:cs="Times New Roman" w:eastAsia="Times New Roman" w:hAnsi="Times New Roman"/>
          <w:sz w:val="18"/>
          <w:szCs w:val="18"/>
          <w:color w:val="auto"/>
        </w:rPr>
      </w:pPr>
    </w:p>
    <w:p>
      <w:pPr>
        <w:ind w:left="540" w:right="380" w:firstLine="408"/>
        <w:spacing w:after="0" w:line="282" w:lineRule="auto"/>
        <w:tabs>
          <w:tab w:leader="none" w:pos="115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issuance of shares of Common Stock at a price below the Conversion Price or otherwise, other than any such issuance described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540" w:right="120" w:firstLine="408"/>
        <w:spacing w:after="0" w:line="266" w:lineRule="auto"/>
        <w:tabs>
          <w:tab w:leader="none" w:pos="120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issuance of any shares of Common Stock pursuant to any present or future plan providing for the reinvestment of dividends or interest payable on the Company’s securities and the investment of additional optional amounts in shares of Common Stock under any plan;</w:t>
      </w:r>
    </w:p>
    <w:p>
      <w:pPr>
        <w:spacing w:after="0" w:line="67" w:lineRule="exact"/>
        <w:rPr>
          <w:rFonts w:ascii="Times New Roman" w:cs="Times New Roman" w:eastAsia="Times New Roman" w:hAnsi="Times New Roman"/>
          <w:sz w:val="18"/>
          <w:szCs w:val="18"/>
          <w:color w:val="auto"/>
        </w:rPr>
      </w:pPr>
    </w:p>
    <w:p>
      <w:pPr>
        <w:ind w:left="540" w:right="200" w:firstLine="408"/>
        <w:spacing w:after="0" w:line="261" w:lineRule="auto"/>
        <w:tabs>
          <w:tab w:leader="none" w:pos="125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issuance of any shares of Common Stock or options or rights to purchase those shares pursuant to any present or future employee, director or consultant benefit or incentive plan (including pursuant to any evergreen plan) or program of or assumed by the Company or any of the Company’s Subsidiaries or in connection with any such shares withheld by the Company for Tax withholding purposes;</w:t>
      </w:r>
    </w:p>
    <w:p>
      <w:pPr>
        <w:spacing w:after="0" w:line="71" w:lineRule="exact"/>
        <w:rPr>
          <w:rFonts w:ascii="Times New Roman" w:cs="Times New Roman" w:eastAsia="Times New Roman" w:hAnsi="Times New Roman"/>
          <w:sz w:val="18"/>
          <w:szCs w:val="18"/>
          <w:color w:val="auto"/>
        </w:rPr>
      </w:pPr>
    </w:p>
    <w:p>
      <w:pPr>
        <w:ind w:left="540" w:right="760" w:firstLine="408"/>
        <w:spacing w:after="0" w:line="282" w:lineRule="auto"/>
        <w:tabs>
          <w:tab w:leader="none" w:pos="124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issuance of any shares of Common Stock pursuant to any option, warrant, right or exercisable, exchangeable or convertible security not described in clause (ii) of this subsection and outstanding as of the Original Issuance Date;</w:t>
      </w:r>
    </w:p>
    <w:p>
      <w:pPr>
        <w:spacing w:after="0" w:line="53" w:lineRule="exact"/>
        <w:rPr>
          <w:rFonts w:ascii="Times New Roman" w:cs="Times New Roman" w:eastAsia="Times New Roman" w:hAnsi="Times New Roman"/>
          <w:sz w:val="18"/>
          <w:szCs w:val="18"/>
          <w:color w:val="auto"/>
        </w:rPr>
      </w:pPr>
    </w:p>
    <w:p>
      <w:pPr>
        <w:ind w:left="540" w:right="580" w:firstLine="408"/>
        <w:spacing w:after="0" w:line="282" w:lineRule="auto"/>
        <w:tabs>
          <w:tab w:leader="none" w:pos="119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 tender offer by any party other than a tender offer by the Company or one or more of the Company’s Subsidiaries as described in </w:t>
      </w:r>
      <w:r>
        <w:rPr>
          <w:rFonts w:ascii="Times New Roman" w:cs="Times New Roman" w:eastAsia="Times New Roman" w:hAnsi="Times New Roman"/>
          <w:sz w:val="18"/>
          <w:szCs w:val="18"/>
          <w:u w:val="single" w:color="auto"/>
          <w:color w:val="auto"/>
        </w:rPr>
        <w:t>Section 11(d)</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540" w:right="120" w:firstLine="408"/>
        <w:spacing w:after="0" w:line="261" w:lineRule="auto"/>
        <w:tabs>
          <w:tab w:leader="none" w:pos="124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repurchase of any shares of the Common Stock pursuant to an open-market share repurchase program or other buy-back transaction (including, without limitation, through any structured or derivative transactions such as accelerated share repurchase transactions or similar forward derivatives), or other buy-back transaction, that is not a tender offer or exchange offer of the nature described under </w:t>
      </w:r>
      <w:r>
        <w:rPr>
          <w:rFonts w:ascii="Times New Roman" w:cs="Times New Roman" w:eastAsia="Times New Roman" w:hAnsi="Times New Roman"/>
          <w:sz w:val="18"/>
          <w:szCs w:val="18"/>
          <w:u w:val="single" w:color="auto"/>
          <w:color w:val="auto"/>
        </w:rPr>
        <w:t>Section 11(d)</w:t>
      </w:r>
      <w:r>
        <w:rPr>
          <w:rFonts w:ascii="Times New Roman" w:cs="Times New Roman" w:eastAsia="Times New Roman" w:hAnsi="Times New Roman"/>
          <w:sz w:val="18"/>
          <w:szCs w:val="18"/>
          <w:color w:val="auto"/>
        </w:rPr>
        <w:t>; or</w:t>
      </w:r>
    </w:p>
    <w:p>
      <w:pPr>
        <w:spacing w:after="0" w:line="71" w:lineRule="exact"/>
        <w:rPr>
          <w:rFonts w:ascii="Times New Roman" w:cs="Times New Roman" w:eastAsia="Times New Roman" w:hAnsi="Times New Roman"/>
          <w:sz w:val="18"/>
          <w:szCs w:val="18"/>
          <w:color w:val="auto"/>
        </w:rPr>
      </w:pPr>
    </w:p>
    <w:p>
      <w:pPr>
        <w:ind w:left="1300" w:hanging="352"/>
        <w:spacing w:after="0"/>
        <w:tabs>
          <w:tab w:leader="none" w:pos="13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a change in the par value (or lack of par value) of the Common Stock.</w:t>
      </w:r>
    </w:p>
    <w:p>
      <w:pPr>
        <w:spacing w:after="0" w:line="15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20"/>
          </w:cols>
          <w:pgMar w:left="880" w:top="270" w:right="499" w:bottom="1440" w:gutter="0" w:footer="0" w:header="0"/>
        </w:sectPr>
      </w:pPr>
    </w:p>
    <w:bookmarkStart w:id="77" w:name="page78"/>
    <w:bookmarkEnd w:id="77"/>
    <w:p>
      <w:pPr>
        <w:ind w:firstLine="419"/>
        <w:spacing w:after="0" w:line="254" w:lineRule="auto"/>
        <w:tabs>
          <w:tab w:leader="none" w:pos="63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shall not adjust the Conversion Rate pursuant to the clauses above unless the adjustment would result in a change of at least 1% in the then effective Conversion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carry forward any adjustment to the Conversion Rate that the Company would otherwise have to make and take that adjustment into account in any subsequent adjustment. Notwithstanding the foregoing, all such carried-forward adjustments shall be made with respect to the Series B-2 Preferred Stock (i) in connection with any subsequent adjustment to the Conversion Rate of at least 1% of the Conversion Rate and (ii) regardless of whether the aggregate adjustment is less than 1% of the Conversion Rate, on the Conversion Date, in each case, unless the adjustment has already been made. The provisions described above in this </w:t>
      </w:r>
      <w:r>
        <w:rPr>
          <w:rFonts w:ascii="Times New Roman" w:cs="Times New Roman" w:eastAsia="Times New Roman" w:hAnsi="Times New Roman"/>
          <w:sz w:val="18"/>
          <w:szCs w:val="18"/>
          <w:u w:val="single" w:color="auto"/>
          <w:color w:val="auto"/>
        </w:rPr>
        <w:t>Section 11(j)</w:t>
      </w:r>
      <w:r>
        <w:rPr>
          <w:rFonts w:ascii="Times New Roman" w:cs="Times New Roman" w:eastAsia="Times New Roman" w:hAnsi="Times New Roman"/>
          <w:sz w:val="18"/>
          <w:szCs w:val="18"/>
          <w:color w:val="auto"/>
        </w:rPr>
        <w:t xml:space="preserve"> are referred to as the “</w:t>
      </w:r>
      <w:r>
        <w:rPr>
          <w:rFonts w:ascii="Times New Roman" w:cs="Times New Roman" w:eastAsia="Times New Roman" w:hAnsi="Times New Roman"/>
          <w:sz w:val="18"/>
          <w:szCs w:val="18"/>
          <w:b w:val="1"/>
          <w:bCs w:val="1"/>
          <w:i w:val="1"/>
          <w:iCs w:val="1"/>
          <w:color w:val="auto"/>
        </w:rPr>
        <w:t>1% Exception</w:t>
      </w:r>
      <w:r>
        <w:rPr>
          <w:rFonts w:ascii="Times New Roman" w:cs="Times New Roman" w:eastAsia="Times New Roman" w:hAnsi="Times New Roman"/>
          <w:sz w:val="18"/>
          <w:szCs w:val="18"/>
          <w:color w:val="auto"/>
        </w:rPr>
        <w:t xml:space="preserve">”. All calculations and other determinations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be made by the Company and shall be made to the nearest 1/10,000th of a share.</w:t>
      </w:r>
    </w:p>
    <w:p>
      <w:pPr>
        <w:spacing w:after="0" w:line="83" w:lineRule="exact"/>
        <w:rPr>
          <w:rFonts w:ascii="Times New Roman" w:cs="Times New Roman" w:eastAsia="Times New Roman" w:hAnsi="Times New Roman"/>
          <w:sz w:val="18"/>
          <w:szCs w:val="18"/>
          <w:color w:val="auto"/>
        </w:rPr>
      </w:pPr>
    </w:p>
    <w:p>
      <w:pPr>
        <w:ind w:right="80" w:firstLine="419"/>
        <w:spacing w:after="0" w:line="255" w:lineRule="auto"/>
        <w:tabs>
          <w:tab w:leader="none" w:pos="67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Conversion Rate is adjusted as herein provided, the Company shall promptly file with the Conversion Agent an Officers’ Certificate setting forth the Conversion Rate after such adjustment and setting forth a brief statement of the facts requiring such adjustment. Unless and until the Conversion Agent shall have received such Officers’ Certificate, the Conversion Agent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Failure to deliver such notice shall not affect the legality or validity of any such adjustment.</w:t>
      </w:r>
    </w:p>
    <w:p>
      <w:pPr>
        <w:spacing w:after="0" w:line="80" w:lineRule="exact"/>
        <w:rPr>
          <w:rFonts w:ascii="Times New Roman" w:cs="Times New Roman" w:eastAsia="Times New Roman" w:hAnsi="Times New Roman"/>
          <w:sz w:val="18"/>
          <w:szCs w:val="18"/>
          <w:color w:val="auto"/>
        </w:rPr>
      </w:pPr>
    </w:p>
    <w:p>
      <w:pPr>
        <w:jc w:val="both"/>
        <w:ind w:right="360" w:firstLine="419"/>
        <w:spacing w:after="0" w:line="261" w:lineRule="auto"/>
        <w:tabs>
          <w:tab w:leader="none" w:pos="63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the number of shares of Common Stock at any time outstanding shall not include shares of Common Stock held in the treasury of the Company so long as the Company does not pay any dividend or make any distribution on shares of Common Stock held in the treasury of the Company, but shall include shares of Common Stock issuable in respect of scrip certificates issued in lieu of fractions of shares of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Reorganization Events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hanging="241"/>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w:t>
      </w:r>
    </w:p>
    <w:p>
      <w:pPr>
        <w:spacing w:after="0" w:line="117" w:lineRule="exact"/>
        <w:rPr>
          <w:rFonts w:ascii="Times New Roman" w:cs="Times New Roman" w:eastAsia="Times New Roman" w:hAnsi="Times New Roman"/>
          <w:sz w:val="18"/>
          <w:szCs w:val="18"/>
          <w:color w:val="auto"/>
        </w:rPr>
      </w:pPr>
    </w:p>
    <w:p>
      <w:pPr>
        <w:ind w:left="540" w:right="40" w:firstLine="408"/>
        <w:spacing w:after="0" w:line="266" w:lineRule="auto"/>
        <w:tabs>
          <w:tab w:leader="none" w:pos="115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reclassification, statutory exchange, merger, consolidation or other similar business combination of the Company with or into another Person, in each case, pursuant to which at least a majority of the Common Stock is changed or converted into, or exchanged for, cash, securities or other property of the Company or another Person;</w:t>
      </w:r>
    </w:p>
    <w:p>
      <w:pPr>
        <w:spacing w:after="0" w:line="67" w:lineRule="exact"/>
        <w:rPr>
          <w:rFonts w:ascii="Times New Roman" w:cs="Times New Roman" w:eastAsia="Times New Roman" w:hAnsi="Times New Roman"/>
          <w:sz w:val="18"/>
          <w:szCs w:val="18"/>
          <w:color w:val="auto"/>
        </w:rPr>
      </w:pPr>
    </w:p>
    <w:p>
      <w:pPr>
        <w:ind w:left="540" w:right="200" w:firstLine="408"/>
        <w:spacing w:after="0" w:line="282" w:lineRule="auto"/>
        <w:tabs>
          <w:tab w:leader="none" w:pos="120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or conveyance to another Person of all or a majority of the property and assets of the Company, in each case pursuant to which the Common Stock is converted into cash, securities or other property; or</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540"/>
          </w:cols>
          <w:pgMar w:left="880" w:top="270" w:right="479" w:bottom="1440" w:gutter="0" w:footer="0" w:header="0"/>
        </w:sectPr>
      </w:pPr>
    </w:p>
    <w:bookmarkStart w:id="78" w:name="page79"/>
    <w:bookmarkEnd w:id="78"/>
    <w:p>
      <w:pPr>
        <w:ind w:left="980" w:right="80" w:firstLine="408"/>
        <w:spacing w:after="0" w:line="282" w:lineRule="auto"/>
        <w:tabs>
          <w:tab w:leader="none" w:pos="169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statutory exchange of securities of the Company with another Person (other than in connection with a merger or acquisition) or reclassification, recapitalization or reorganization of the Common Stock into other securities;</w:t>
      </w:r>
    </w:p>
    <w:p>
      <w:pPr>
        <w:spacing w:after="0" w:line="15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(each, a “</w:t>
      </w:r>
      <w:r>
        <w:rPr>
          <w:rFonts w:ascii="Times New Roman" w:cs="Times New Roman" w:eastAsia="Times New Roman" w:hAnsi="Times New Roman"/>
          <w:sz w:val="18"/>
          <w:szCs w:val="18"/>
          <w:b w:val="1"/>
          <w:bCs w:val="1"/>
          <w:i w:val="1"/>
          <w:iCs w:val="1"/>
          <w:color w:val="auto"/>
        </w:rPr>
        <w:t>Reorganization Event</w:t>
      </w:r>
      <w:r>
        <w:rPr>
          <w:rFonts w:ascii="Times New Roman" w:cs="Times New Roman" w:eastAsia="Times New Roman" w:hAnsi="Times New Roman"/>
          <w:sz w:val="18"/>
          <w:szCs w:val="18"/>
          <w:color w:val="auto"/>
        </w:rPr>
        <w:t xml:space="preserve">”), each share of Series B-2 Preferred Stock outstanding immediately prior to such Reorganization Event shall, without the consent of the Holders and subject to </w:t>
      </w:r>
      <w:r>
        <w:rPr>
          <w:rFonts w:ascii="Times New Roman" w:cs="Times New Roman" w:eastAsia="Times New Roman" w:hAnsi="Times New Roman"/>
          <w:sz w:val="18"/>
          <w:szCs w:val="18"/>
          <w:u w:val="single" w:color="auto"/>
          <w:color w:val="auto"/>
        </w:rPr>
        <w:t>Section 12(d)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13(b)</w:t>
      </w:r>
      <w:r>
        <w:rPr>
          <w:rFonts w:ascii="Times New Roman" w:cs="Times New Roman" w:eastAsia="Times New Roman" w:hAnsi="Times New Roman"/>
          <w:sz w:val="18"/>
          <w:szCs w:val="18"/>
          <w:color w:val="auto"/>
        </w:rPr>
        <w:t>, remain outstanding but shall become convertible into the number, kind and amount of securities, cash and other property (the “</w:t>
      </w:r>
      <w:r>
        <w:rPr>
          <w:rFonts w:ascii="Times New Roman" w:cs="Times New Roman" w:eastAsia="Times New Roman" w:hAnsi="Times New Roman"/>
          <w:sz w:val="18"/>
          <w:szCs w:val="18"/>
          <w:b w:val="1"/>
          <w:bCs w:val="1"/>
          <w:i w:val="1"/>
          <w:iCs w:val="1"/>
          <w:color w:val="auto"/>
        </w:rPr>
        <w:t>Exchange Property</w:t>
      </w:r>
      <w:r>
        <w:rPr>
          <w:rFonts w:ascii="Times New Roman" w:cs="Times New Roman" w:eastAsia="Times New Roman" w:hAnsi="Times New Roman"/>
          <w:sz w:val="18"/>
          <w:szCs w:val="18"/>
          <w:color w:val="auto"/>
        </w:rPr>
        <w:t xml:space="preserve">”) (without any interest on such Exchange Property and without any right to dividends or distributions on such Exchange Property that have a record date that is prior to the applicable Conversion Date) that the Holder of such share of Series B-2 Preferred Stock would have received in such Reorganization Event had such Holder converted its shares of Series B-2 Preferred Stock into the applicable number of shares of Common Stock immediately prior to the effective date of the Reorganization Event using the Conversion Rate applicable immediately prior to the effective date of the Reorganization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shall not apply if such Holder is a Person with which the Company consolidated or into which the Company merged or which merged into the Company or to which such sale or transfer was made, as the case may be (any such Person, a “</w:t>
      </w:r>
      <w:r>
        <w:rPr>
          <w:rFonts w:ascii="Times New Roman" w:cs="Times New Roman" w:eastAsia="Times New Roman" w:hAnsi="Times New Roman"/>
          <w:sz w:val="18"/>
          <w:szCs w:val="18"/>
          <w:b w:val="1"/>
          <w:bCs w:val="1"/>
          <w:i w:val="1"/>
          <w:iCs w:val="1"/>
          <w:color w:val="auto"/>
        </w:rPr>
        <w:t>Constituent Person</w:t>
      </w:r>
      <w:r>
        <w:rPr>
          <w:rFonts w:ascii="Times New Roman" w:cs="Times New Roman" w:eastAsia="Times New Roman" w:hAnsi="Times New Roman"/>
          <w:sz w:val="18"/>
          <w:szCs w:val="18"/>
          <w:color w:val="auto"/>
        </w:rPr>
        <w:t xml:space="preserve">”), or an Affiliate of a Constituent Person, to the extent such Reorganization Event provides for different treatment of Common Stock held by such Constituent Persons or such Affiliate thereof. If the kind or amount of securities, cash and other property receivable on such Reorganization Event is not the same for each share of Common Stock held immediately prior to such Reorganization Event by a Person (other than a Constituent Person or an Affiliate thereof), then for the purpose of this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the kind and amount of securities, cash and other property receivable on conversion following such Reorganization Event shall be deemed to be the weighted average of the types and amounts of consideration received by the holders of Common Stock. For the avoidance of doubt, if any Reorganization Event constitutes a Change of Control, the provisions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also apply.</w:t>
      </w:r>
    </w:p>
    <w:p>
      <w:pPr>
        <w:spacing w:after="0" w:line="79" w:lineRule="exact"/>
        <w:rPr>
          <w:sz w:val="20"/>
          <w:szCs w:val="20"/>
          <w:color w:val="auto"/>
        </w:rPr>
      </w:pPr>
    </w:p>
    <w:p>
      <w:pPr>
        <w:ind w:left="440" w:firstLine="419"/>
        <w:spacing w:after="0" w:line="266" w:lineRule="auto"/>
        <w:tabs>
          <w:tab w:leader="none" w:pos="111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Successive Reorganization Events</w:t>
      </w:r>
      <w:r>
        <w:rPr>
          <w:rFonts w:ascii="Times New Roman" w:cs="Times New Roman" w:eastAsia="Times New Roman" w:hAnsi="Times New Roman"/>
          <w:sz w:val="18"/>
          <w:szCs w:val="18"/>
          <w:color w:val="auto"/>
        </w:rPr>
        <w:t xml:space="preserve">. The above provisions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shall similarly apply to successive Reorganization Events and the provisions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apply to any shares of Capital Stock (as though such Capital Stock were Common Stock) received by all the holders of the Common Stock in any such Reorganization Event.</w:t>
      </w:r>
    </w:p>
    <w:p>
      <w:pPr>
        <w:spacing w:after="0" w:line="67"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0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Reorganization Event Notice</w:t>
      </w:r>
      <w:r>
        <w:rPr>
          <w:rFonts w:ascii="Times New Roman" w:cs="Times New Roman" w:eastAsia="Times New Roman" w:hAnsi="Times New Roman"/>
          <w:sz w:val="18"/>
          <w:szCs w:val="18"/>
          <w:color w:val="auto"/>
        </w:rPr>
        <w:t xml:space="preserve">. The Company (or any successor) shall, no less than 30 days prior to the anticipated effective date of any Reorganization Event, provide written notice to the Holders of such occurrence of such event and of the kind and amount of the cash, securities or other property that constitutes the Exchange Property. Failure to deliver such notice shall not affect the operation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1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Reorganization Event Agreements</w:t>
      </w:r>
      <w:r>
        <w:rPr>
          <w:rFonts w:ascii="Times New Roman" w:cs="Times New Roman" w:eastAsia="Times New Roman" w:hAnsi="Times New Roman"/>
          <w:sz w:val="18"/>
          <w:szCs w:val="18"/>
          <w:color w:val="auto"/>
        </w:rPr>
        <w:t xml:space="preserve">. The Company shall not enter into any agreement for a transaction constituting a Reorganization Event unless (i) such agreement provides for or does not interfere with or prevent (as applicable) conversion of the Series B-2 Preferred Stock into the Exchange Property in a manner that is consistent with and gives effect to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and (ii) to the extent that the Company is not the surviving corporation in such Reorganization Event or shall be dissolved in connection with such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440" w:top="270" w:right="439" w:bottom="1440" w:gutter="0" w:footer="0" w:header="0"/>
        </w:sectPr>
      </w:pPr>
    </w:p>
    <w:bookmarkStart w:id="79" w:name="page80"/>
    <w:bookmarkEnd w:id="79"/>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Reorganization Event, proper provision shall be made in the agreements governing such Reorganization Event for the conversion of the Series B-2 Preferred Stock into Capital Stock of the Person surviving such Reorganization Event or such other continuing entity in such Reorganization Event.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2" w:lineRule="auto"/>
        <w:tabs>
          <w:tab w:leader="none" w:pos="66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Holders of shares of Series B-2 Preferred Stock shall be entitled to vote as a single class with the holders of the Common Stock and the holders of any other class or series of Capital Stock of the Company then entitled to vote with the Common Stock on all matters submitted to a vote of the holders of Common Stock (and, if applicable, holders of any other class or series of Capital Stock of the Company). The Holders shall be entitled to notice of any meeting of holders of Common Stock in accordance with the Certificate of Incorporation and Bylaws. Each Holder shall be entitled to the number of votes with respect to the shares of Series B-2 Preferred Stock held by such Holder equal to (i) the largest number of whole shares of Common Stock into which all shares of Series B-2 Preferred Stock could be converted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(for the avoidance of doubt, without regard to any limitations on conversion)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(A) the number of shares of Series B-2 Preferred Stock held by such Holder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aggregate number of issued and outstanding shares of Series B-2 Preferred Stock, in each case at and calculated as of the record date for the determination of stockholders entitled to vote or consent on such matters;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to the extent the Series B-2 Preferred Stock held by the Viking Parties would, in the aggregate, represent voting rights with respect to more than 19.9% of the Company’s outstanding Common Stock (including the Series B-2 Preferred Stock on an as-converted basis) (the “</w:t>
      </w:r>
      <w:r>
        <w:rPr>
          <w:rFonts w:ascii="Times New Roman" w:cs="Times New Roman" w:eastAsia="Times New Roman" w:hAnsi="Times New Roman"/>
          <w:sz w:val="18"/>
          <w:szCs w:val="18"/>
          <w:b w:val="1"/>
          <w:bCs w:val="1"/>
          <w:i w:val="1"/>
          <w:iCs w:val="1"/>
          <w:color w:val="auto"/>
        </w:rPr>
        <w:t>Voting Threshold</w:t>
      </w:r>
      <w:r>
        <w:rPr>
          <w:rFonts w:ascii="Times New Roman" w:cs="Times New Roman" w:eastAsia="Times New Roman" w:hAnsi="Times New Roman"/>
          <w:sz w:val="18"/>
          <w:szCs w:val="18"/>
          <w:color w:val="auto"/>
        </w:rPr>
        <w:t>”), the Viking Parties shall not be permitted to exercise the voting rights with respect to any shares of Series B-2 Preferred Stock held by them in excess of the Voting Threshold and the Chief Financial Officer or the General Counsel of the Company in office from time to time, each of them individually, with full power of substitution and resubstitution, shall exercise the voting rights with respect to such shares of Series B-2 Preferred Stock in excess of the Voting Threshold in a Neutral Manner.</w:t>
      </w:r>
    </w:p>
    <w:p>
      <w:pPr>
        <w:spacing w:after="0" w:line="87" w:lineRule="exact"/>
        <w:rPr>
          <w:rFonts w:ascii="Times New Roman" w:cs="Times New Roman" w:eastAsia="Times New Roman" w:hAnsi="Times New Roman"/>
          <w:sz w:val="18"/>
          <w:szCs w:val="18"/>
          <w:color w:val="auto"/>
        </w:rPr>
      </w:pPr>
    </w:p>
    <w:p>
      <w:pPr>
        <w:ind w:right="40" w:firstLine="419"/>
        <w:spacing w:after="0" w:line="258" w:lineRule="auto"/>
        <w:tabs>
          <w:tab w:leader="none" w:pos="67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Consent Rights</w:t>
      </w:r>
      <w:r>
        <w:rPr>
          <w:rFonts w:ascii="Times New Roman" w:cs="Times New Roman" w:eastAsia="Times New Roman" w:hAnsi="Times New Roman"/>
          <w:sz w:val="18"/>
          <w:szCs w:val="18"/>
          <w:color w:val="auto"/>
        </w:rPr>
        <w:t xml:space="preserve">. In addition to, and not in limitation of, </w:t>
      </w:r>
      <w:r>
        <w:rPr>
          <w:rFonts w:ascii="Times New Roman" w:cs="Times New Roman" w:eastAsia="Times New Roman" w:hAnsi="Times New Roman"/>
          <w:sz w:val="18"/>
          <w:szCs w:val="18"/>
          <w:u w:val="single" w:color="auto"/>
          <w:color w:val="auto"/>
        </w:rPr>
        <w:t>Section 13(a)</w:t>
      </w:r>
      <w:r>
        <w:rPr>
          <w:rFonts w:ascii="Times New Roman" w:cs="Times New Roman" w:eastAsia="Times New Roman" w:hAnsi="Times New Roman"/>
          <w:sz w:val="18"/>
          <w:szCs w:val="18"/>
          <w:color w:val="auto"/>
        </w:rPr>
        <w:t>, the vote or written approval or election of the Holders of at least 60% of the shares of Series B Preferred Stock outstanding at such time, voting or providing such approval or election together as a single class, and for the avoidance of doubt, without giving effect to limitations associated with the Cap or the Voting Threshold, given in person or by proxy, either in writing without a meeting or by vote at any meeting called for the purpose, shall be necessary for, directly or indirectly, taking any of the following actions, whether or not such approval is required pursuant to the DGCL:</w:t>
      </w:r>
    </w:p>
    <w:p>
      <w:pPr>
        <w:spacing w:after="0" w:line="75" w:lineRule="exact"/>
        <w:rPr>
          <w:rFonts w:ascii="Times New Roman" w:cs="Times New Roman" w:eastAsia="Times New Roman" w:hAnsi="Times New Roman"/>
          <w:sz w:val="18"/>
          <w:szCs w:val="18"/>
          <w:color w:val="auto"/>
        </w:rPr>
      </w:pPr>
    </w:p>
    <w:p>
      <w:pPr>
        <w:ind w:left="540" w:right="140" w:firstLine="408"/>
        <w:spacing w:after="0" w:line="261" w:lineRule="auto"/>
        <w:tabs>
          <w:tab w:leader="none" w:pos="1156"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or alteration (whether by merger, consolidation or otherwise) of, or any supplement (whether by a certificate of designations or otherwise) to, the Certificate of Incorporation or any provision thereof, or any other action, to authorize or create, or increase the number of authorized or issued shares of, or any securities convertible into shares of, or reclassify any security into, or issue, any Parity Stock (other than Series B-1 Preferred Stock in</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560"/>
          </w:cols>
          <w:pgMar w:left="880" w:top="270" w:right="459" w:bottom="1440" w:gutter="0" w:footer="0" w:header="0"/>
        </w:sectPr>
      </w:pPr>
    </w:p>
    <w:bookmarkStart w:id="80" w:name="page81"/>
    <w:bookmarkEnd w:id="80"/>
    <w:p>
      <w:pPr>
        <w:jc w:val="both"/>
        <w:ind w:left="540"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connection with the Transactions) or Senior Stock or any other class or series of Capital Stock of the Company ranking senior to, or on a parity basis with, the Series B-1 Preferred Stock or Series B-2 Preferred Stock as to dividend rights or rights on the distribution of assets on any voluntary or involuntary liquidation, dissolution or winding up of the affairs of the Company;</w:t>
      </w:r>
    </w:p>
    <w:p>
      <w:pPr>
        <w:spacing w:after="0" w:line="68" w:lineRule="exact"/>
        <w:rPr>
          <w:sz w:val="20"/>
          <w:szCs w:val="20"/>
          <w:color w:val="auto"/>
        </w:rPr>
      </w:pPr>
    </w:p>
    <w:p>
      <w:pPr>
        <w:ind w:left="1220" w:hanging="272"/>
        <w:spacing w:after="0"/>
        <w:tabs>
          <w:tab w:leader="none" w:pos="12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or payment of any dividend or distribution on any Capital Stock of the Company;</w:t>
      </w:r>
    </w:p>
    <w:p>
      <w:pPr>
        <w:spacing w:after="0" w:line="117" w:lineRule="exact"/>
        <w:rPr>
          <w:rFonts w:ascii="Times New Roman" w:cs="Times New Roman" w:eastAsia="Times New Roman" w:hAnsi="Times New Roman"/>
          <w:sz w:val="18"/>
          <w:szCs w:val="18"/>
          <w:color w:val="auto"/>
        </w:rPr>
      </w:pPr>
    </w:p>
    <w:p>
      <w:pPr>
        <w:ind w:left="540" w:firstLine="408"/>
        <w:spacing w:after="0" w:line="256" w:lineRule="auto"/>
        <w:tabs>
          <w:tab w:leader="none" w:pos="125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redemption or other acquisition for consideration by the Company, directly or indirectly, of any Common Stock or other Junior Stock, except for (A) the “net” or “cashless” exercise of stock options or warrants, (B) the withholding or repurchase of Capital Stock to satisfy applicable tax withholding obligations arising in connection with exercised stock options or the vesting or settlement of restricted stock units or other stock awards or (C) settlement in cash of restricted stock units or other stock-based awards, in each case of (A) through (C), in the ordinary course of business pursuant to an existing equity plan of the Company or any equity plan approved by the Board;</w:t>
      </w:r>
    </w:p>
    <w:p>
      <w:pPr>
        <w:spacing w:after="0" w:line="79" w:lineRule="exact"/>
        <w:rPr>
          <w:rFonts w:ascii="Times New Roman" w:cs="Times New Roman" w:eastAsia="Times New Roman" w:hAnsi="Times New Roman"/>
          <w:sz w:val="18"/>
          <w:szCs w:val="18"/>
          <w:color w:val="auto"/>
        </w:rPr>
      </w:pPr>
    </w:p>
    <w:p>
      <w:pPr>
        <w:ind w:left="540" w:right="520" w:firstLine="408"/>
        <w:spacing w:after="0" w:line="282" w:lineRule="auto"/>
        <w:tabs>
          <w:tab w:leader="none" w:pos="124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or alteration (whether by merger, consolidation, operation of law or otherwise) to the rights, preferences, privileges or voting powers of the Series B-1 Preferred Stock or Series B-2 Preferred Stock; or</w:t>
      </w:r>
    </w:p>
    <w:p>
      <w:pPr>
        <w:spacing w:after="0" w:line="53" w:lineRule="exact"/>
        <w:rPr>
          <w:rFonts w:ascii="Times New Roman" w:cs="Times New Roman" w:eastAsia="Times New Roman" w:hAnsi="Times New Roman"/>
          <w:sz w:val="18"/>
          <w:szCs w:val="18"/>
          <w:color w:val="auto"/>
        </w:rPr>
      </w:pPr>
    </w:p>
    <w:p>
      <w:pPr>
        <w:ind w:left="540" w:right="220" w:firstLine="408"/>
        <w:spacing w:after="0" w:line="266" w:lineRule="auto"/>
        <w:tabs>
          <w:tab w:leader="none" w:pos="119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alteration or repeal (whether by merger, consolidation, operation of law or otherwise) of any provision of the Certificate of Incorporation (including this Certificate of Designations) or Bylaws that would have an adverse effect on the rights, preferences, privileges or voting power of the Series B-2 Preferred Stock.</w:t>
      </w:r>
    </w:p>
    <w:p>
      <w:pPr>
        <w:spacing w:after="0" w:line="67" w:lineRule="exact"/>
        <w:rPr>
          <w:rFonts w:ascii="Times New Roman" w:cs="Times New Roman" w:eastAsia="Times New Roman" w:hAnsi="Times New Roman"/>
          <w:sz w:val="18"/>
          <w:szCs w:val="18"/>
          <w:color w:val="auto"/>
        </w:rPr>
      </w:pPr>
    </w:p>
    <w:p>
      <w:pPr>
        <w:ind w:firstLine="419"/>
        <w:spacing w:after="0" w:line="261" w:lineRule="auto"/>
        <w:tabs>
          <w:tab w:leader="none" w:pos="66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 Consent Rights</w:t>
      </w:r>
      <w:r>
        <w:rPr>
          <w:rFonts w:ascii="Times New Roman" w:cs="Times New Roman" w:eastAsia="Times New Roman" w:hAnsi="Times New Roman"/>
          <w:sz w:val="18"/>
          <w:szCs w:val="18"/>
          <w:color w:val="auto"/>
        </w:rPr>
        <w:t>. For so long as the Viking Preferred Percentage is equal to or greater than 7.5%, the vote or consent of at least a majority of the whole Board, including the Series B-2 Preferred Director, if such Series B-2 Director is then in office, either in writing without a meeting or by vote at any meeting, shall be necessary for, directly or indirectly, taking any of the following actions, whether or not such approval is required pursuant to the DGCL:</w:t>
      </w:r>
    </w:p>
    <w:p>
      <w:pPr>
        <w:spacing w:after="0" w:line="71" w:lineRule="exact"/>
        <w:rPr>
          <w:rFonts w:ascii="Times New Roman" w:cs="Times New Roman" w:eastAsia="Times New Roman" w:hAnsi="Times New Roman"/>
          <w:sz w:val="18"/>
          <w:szCs w:val="18"/>
          <w:color w:val="auto"/>
        </w:rPr>
      </w:pPr>
    </w:p>
    <w:p>
      <w:pPr>
        <w:ind w:left="540" w:right="60" w:firstLine="408"/>
        <w:spacing w:after="0" w:line="261" w:lineRule="auto"/>
        <w:tabs>
          <w:tab w:leader="none" w:pos="115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amendment, alteration, modification or repeal (whether by merger, consolidation, operation of law or otherwise) of any provision of the Certificate of Incorporation (including this Certificate of Designations) or Bylaws that increases the size of the Board above seven directors after the Original Issuance Date or (B) the authorization or adoption of any resolution that would have the effect of increasing the number of directors constituting the Board above seven directors;</w:t>
      </w:r>
    </w:p>
    <w:p>
      <w:pPr>
        <w:spacing w:after="0" w:line="71" w:lineRule="exact"/>
        <w:rPr>
          <w:rFonts w:ascii="Times New Roman" w:cs="Times New Roman" w:eastAsia="Times New Roman" w:hAnsi="Times New Roman"/>
          <w:sz w:val="18"/>
          <w:szCs w:val="18"/>
          <w:color w:val="auto"/>
        </w:rPr>
      </w:pPr>
    </w:p>
    <w:p>
      <w:pPr>
        <w:ind w:left="540" w:right="120" w:firstLine="408"/>
        <w:spacing w:after="0" w:line="282" w:lineRule="auto"/>
        <w:tabs>
          <w:tab w:leader="none" w:pos="120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hiring, promotion, demotion or termination of the Chief Executive Officer (whether on an interim basis or otherwise) of the Company;</w:t>
      </w:r>
    </w:p>
    <w:p>
      <w:pPr>
        <w:spacing w:after="0" w:line="9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480"/>
          </w:cols>
          <w:pgMar w:left="880" w:top="270" w:right="539" w:bottom="1440" w:gutter="0" w:footer="0" w:header="0"/>
        </w:sectPr>
      </w:pPr>
    </w:p>
    <w:bookmarkStart w:id="81" w:name="page82"/>
    <w:bookmarkEnd w:id="81"/>
    <w:p>
      <w:pPr>
        <w:ind w:left="-20" w:right="20" w:firstLine="408"/>
        <w:spacing w:after="0" w:line="252" w:lineRule="auto"/>
        <w:tabs>
          <w:tab w:leader="none" w:pos="69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entering into or modifying (including by waiver) any transaction, agreement or arrangement with, or for the benefit of, any Related Person unless such transaction, agreement or arrangement has been approved by a majority of the disinterested directors of the Company; other than (A) employment or indemnification arrangements with directors (except in a manner that treats the Series B-2 Preferred Director materially differently from the other directors), officers or employees of the Company or any of its Subsidiaries and any benefit plans or employment benefits in the ordinary course of business, (B) routine non-compensatory employment matters such as invention assignment agreements in the ordinary course of business consistent with past practice, (C) transactions, agreements or arrangements involving less than $120,000 per year, (D) transactions, agreements or arrangements contemplated by the Casdin Purchase Agreement or the Viking Purchase Agreement, (E) transactions, agreements or arrangements approved by the Compensation Committee or the Nominating and Corporate Governance Committee of the Board in accordance with their charters as in effect as of the Original Issuance Date (or as may be amended from time to time by the Board (including the Series B-2 Preferred Director if such Series B-2 Director is then in office)), (F) transactions pursuant to agreements already in effect (but excluding any modifications to such agreements) or (G) transactions, agreements or arrangements under the Company’s and its Subsidiaries’ benefit plans (including any assumed plans), including, without limitation, option exercises, vesting of restricted stock units, or otherwise, (1) the “net” or “cashless” exercise of stock options or warrants, (2) the withholding or repurchase of Capital Stock to satisfy applicable tax withholding obligations arising in connection with exercised stock options or the vesting or settlement of restricted stock units or other stock awards or (3) settlement in cash of restricted stock units or other stock-based awards, in each case of (1) through (3), in the ordinary course of business pursuant to the Company’s and its Subsidiaries’ equity plans (including any assumed plans);</w:t>
      </w:r>
    </w:p>
    <w:p>
      <w:pPr>
        <w:spacing w:after="0" w:line="85" w:lineRule="exact"/>
        <w:rPr>
          <w:rFonts w:ascii="Times New Roman" w:cs="Times New Roman" w:eastAsia="Times New Roman" w:hAnsi="Times New Roman"/>
          <w:sz w:val="18"/>
          <w:szCs w:val="18"/>
          <w:color w:val="auto"/>
        </w:rPr>
      </w:pPr>
    </w:p>
    <w:p>
      <w:pPr>
        <w:ind w:left="-20" w:right="520" w:firstLine="408"/>
        <w:spacing w:after="0" w:line="282" w:lineRule="auto"/>
        <w:tabs>
          <w:tab w:leader="none" w:pos="68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voluntary petition under any applicable federal or state bankruptcy or insolvency law effected by the Company or any Subsidiary of the Company;</w:t>
      </w:r>
    </w:p>
    <w:p>
      <w:pPr>
        <w:spacing w:after="0" w:line="53" w:lineRule="exact"/>
        <w:rPr>
          <w:rFonts w:ascii="Times New Roman" w:cs="Times New Roman" w:eastAsia="Times New Roman" w:hAnsi="Times New Roman"/>
          <w:sz w:val="18"/>
          <w:szCs w:val="18"/>
          <w:color w:val="auto"/>
        </w:rPr>
      </w:pPr>
    </w:p>
    <w:p>
      <w:pPr>
        <w:ind w:left="640" w:hanging="252"/>
        <w:spacing w:after="0"/>
        <w:tabs>
          <w:tab w:leader="none" w:pos="6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principal business of the Company or entry by the Company into any material new line of business; or</w:t>
      </w:r>
    </w:p>
    <w:p>
      <w:pPr>
        <w:spacing w:after="0" w:line="117" w:lineRule="exact"/>
        <w:rPr>
          <w:rFonts w:ascii="Times New Roman" w:cs="Times New Roman" w:eastAsia="Times New Roman" w:hAnsi="Times New Roman"/>
          <w:sz w:val="18"/>
          <w:szCs w:val="18"/>
          <w:color w:val="auto"/>
        </w:rPr>
      </w:pPr>
    </w:p>
    <w:p>
      <w:pPr>
        <w:ind w:left="-20" w:firstLine="408"/>
        <w:spacing w:after="0" w:line="258" w:lineRule="auto"/>
        <w:tabs>
          <w:tab w:leader="none" w:pos="68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three years after the Original Issuance Date (or such shorter period ending immediately when the Viking Preferred Percentage is less than 7.5%), (A) any acquisition (including by merger, consolidation or acquisition of stock or assets) of any assets, securities or property of any other Person or (B) any sale, lease, license, transfer or other disposition of any assets of the Company or any of its Subsidiaries (in each case other than acquisitions or dispositions of inventory or equipment in the ordinary course of business and consistent with past practice) for consideration in excess of $50,000,000 in the aggregate in any six month period.</w:t>
      </w:r>
    </w:p>
    <w:p>
      <w:pPr>
        <w:spacing w:after="0" w:line="11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000"/>
          </w:cols>
          <w:pgMar w:left="1440" w:top="270" w:right="459" w:bottom="1440" w:gutter="0" w:footer="0" w:header="0"/>
        </w:sectPr>
      </w:pPr>
    </w:p>
    <w:bookmarkStart w:id="82" w:name="page83"/>
    <w:bookmarkEnd w:id="82"/>
    <w:p>
      <w:pPr>
        <w:ind w:right="100" w:firstLine="419"/>
        <w:spacing w:after="0" w:line="289" w:lineRule="auto"/>
        <w:tabs>
          <w:tab w:leader="none" w:pos="678"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Holder of Series B-2 Preferred Stock shall have one vote per share on any matter on which Holders of Series B-2 Preferred Stock are entitled to vote either (i) separately as a single class or (ii) together with Holders of the Series B-1 Preferred Stock as a single class, in each case whether at a meeting or by written approval or election, without giving effect to limitations associated with the Cap or the Voting Threshold.</w:t>
      </w:r>
    </w:p>
    <w:p>
      <w:pPr>
        <w:spacing w:after="0" w:line="49" w:lineRule="exact"/>
        <w:rPr>
          <w:rFonts w:ascii="Times New Roman" w:cs="Times New Roman" w:eastAsia="Times New Roman" w:hAnsi="Times New Roman"/>
          <w:sz w:val="17"/>
          <w:szCs w:val="17"/>
          <w:color w:val="auto"/>
        </w:rPr>
      </w:pPr>
    </w:p>
    <w:p>
      <w:pPr>
        <w:ind w:right="100" w:firstLine="419"/>
        <w:spacing w:after="0" w:line="258" w:lineRule="auto"/>
        <w:tabs>
          <w:tab w:leader="none" w:pos="66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vote or written approval of the Holders of 75% of the shares of Series B-2 Preferred Stock outstanding at such time, voting together as a single class and, for the avoidance of doubt, without giving effect to limitations associated with the Cap or the Voting Threshold, given in person or by proxy, either in writing without a meeting or by vote at any meeting called for the purpose, shall be sufficient to waive or amend the provisions of </w:t>
      </w:r>
      <w:r>
        <w:rPr>
          <w:rFonts w:ascii="Times New Roman" w:cs="Times New Roman" w:eastAsia="Times New Roman" w:hAnsi="Times New Roman"/>
          <w:sz w:val="18"/>
          <w:szCs w:val="18"/>
          <w:u w:val="single" w:color="auto"/>
          <w:color w:val="auto"/>
        </w:rPr>
        <w:t>Section 9(h)</w:t>
      </w:r>
      <w:r>
        <w:rPr>
          <w:rFonts w:ascii="Times New Roman" w:cs="Times New Roman" w:eastAsia="Times New Roman" w:hAnsi="Times New Roman"/>
          <w:sz w:val="18"/>
          <w:szCs w:val="18"/>
          <w:color w:val="auto"/>
        </w:rPr>
        <w:t xml:space="preserve"> of this Certificate of Designations, and any amendment or waiver of any of the provisions of </w:t>
      </w:r>
      <w:r>
        <w:rPr>
          <w:rFonts w:ascii="Times New Roman" w:cs="Times New Roman" w:eastAsia="Times New Roman" w:hAnsi="Times New Roman"/>
          <w:sz w:val="18"/>
          <w:szCs w:val="18"/>
          <w:u w:val="single" w:color="auto"/>
          <w:color w:val="auto"/>
        </w:rPr>
        <w:t>Section 9(h)</w:t>
      </w:r>
      <w:r>
        <w:rPr>
          <w:rFonts w:ascii="Times New Roman" w:cs="Times New Roman" w:eastAsia="Times New Roman" w:hAnsi="Times New Roman"/>
          <w:sz w:val="18"/>
          <w:szCs w:val="18"/>
          <w:color w:val="auto"/>
        </w:rPr>
        <w:t xml:space="preserve"> approved by such percentage of the Holders shall be binding on all of the Holders.</w:t>
      </w:r>
    </w:p>
    <w:p>
      <w:pPr>
        <w:spacing w:after="0" w:line="75" w:lineRule="exact"/>
        <w:rPr>
          <w:rFonts w:ascii="Times New Roman" w:cs="Times New Roman" w:eastAsia="Times New Roman" w:hAnsi="Times New Roman"/>
          <w:sz w:val="18"/>
          <w:szCs w:val="18"/>
          <w:color w:val="auto"/>
        </w:rPr>
      </w:pPr>
    </w:p>
    <w:p>
      <w:pPr>
        <w:ind w:firstLine="419"/>
        <w:spacing w:after="0" w:line="261" w:lineRule="auto"/>
        <w:tabs>
          <w:tab w:leader="none" w:pos="64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and notwithstanding anything to the contrary in the Certificate of Incorporation or Bylaws, to the fullest extent permitted by applicable law, the holders of Series B Preferred Stock shall have the exclusive approval, election and voting rights set forth in </w:t>
      </w:r>
      <w:r>
        <w:rPr>
          <w:rFonts w:ascii="Times New Roman" w:cs="Times New Roman" w:eastAsia="Times New Roman" w:hAnsi="Times New Roman"/>
          <w:sz w:val="18"/>
          <w:szCs w:val="18"/>
          <w:u w:val="single" w:color="auto"/>
          <w:color w:val="auto"/>
        </w:rPr>
        <w:t>Section 13(b)</w:t>
      </w:r>
      <w:r>
        <w:rPr>
          <w:rFonts w:ascii="Times New Roman" w:cs="Times New Roman" w:eastAsia="Times New Roman" w:hAnsi="Times New Roman"/>
          <w:sz w:val="18"/>
          <w:szCs w:val="18"/>
          <w:color w:val="auto"/>
        </w:rPr>
        <w:t xml:space="preserve"> and may effectuate such rights by delivering an approval, election or consent in writing or by electronic transmission of the requisite holders of the Series B Preferred Stock.</w:t>
      </w:r>
    </w:p>
    <w:p>
      <w:pPr>
        <w:spacing w:after="0" w:line="71" w:lineRule="exact"/>
        <w:rPr>
          <w:rFonts w:ascii="Times New Roman" w:cs="Times New Roman" w:eastAsia="Times New Roman" w:hAnsi="Times New Roman"/>
          <w:sz w:val="18"/>
          <w:szCs w:val="18"/>
          <w:color w:val="auto"/>
        </w:rPr>
      </w:pPr>
    </w:p>
    <w:p>
      <w:pPr>
        <w:ind w:right="80" w:firstLine="419"/>
        <w:spacing w:after="0" w:line="261" w:lineRule="auto"/>
        <w:tabs>
          <w:tab w:leader="none" w:pos="67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acquisition of shares of Series B-2 Preferred Stock, the Holder of such shares shall be deemed to irrevocably appoint as its proxy and attorney-in-fact, the Chief Financial Officer and the General Counsel of the Company in office from time to time, each of them individually, with full power of substitution and resubstitution, to consent, approve or vote any shares of Series B-2 Preferred Stock held by them in excess of the Voting Threshold as indicated in </w:t>
      </w:r>
      <w:r>
        <w:rPr>
          <w:rFonts w:ascii="Times New Roman" w:cs="Times New Roman" w:eastAsia="Times New Roman" w:hAnsi="Times New Roman"/>
          <w:sz w:val="18"/>
          <w:szCs w:val="18"/>
          <w:u w:val="single" w:color="auto"/>
          <w:color w:val="auto"/>
        </w:rPr>
        <w:t>Section 13(a)</w:t>
      </w:r>
      <w:r>
        <w:rPr>
          <w:rFonts w:ascii="Times New Roman" w:cs="Times New Roman" w:eastAsia="Times New Roman" w:hAnsi="Times New Roman"/>
          <w:sz w:val="18"/>
          <w:szCs w:val="18"/>
          <w:color w:val="auto"/>
        </w:rPr>
        <w:t xml:space="preserve"> with respect to any matters that must be voted in a Neutral Manner.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Series B-2 Preferred Director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19"/>
        <w:spacing w:after="0" w:line="254" w:lineRule="auto"/>
        <w:tabs>
          <w:tab w:leader="none" w:pos="66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the Viking Preferred Percentage is equal to or greater than 7.5%, the Holders of a majority of the outstanding shares of Series B-2 Preferred Stock, voting separately as a single class, and for the avoidance of doubt, without giving effect to limitations associated with the Cap or the Voting Threshold, shall be entitled, at each annual meeting of the stockholders of the Company or at any special meeting called for the purpose of electing directors, to nominate and elect one member of the Board (a “</w:t>
      </w:r>
      <w:r>
        <w:rPr>
          <w:rFonts w:ascii="Times New Roman" w:cs="Times New Roman" w:eastAsia="Times New Roman" w:hAnsi="Times New Roman"/>
          <w:sz w:val="18"/>
          <w:szCs w:val="18"/>
          <w:b w:val="1"/>
          <w:bCs w:val="1"/>
          <w:i w:val="1"/>
          <w:iCs w:val="1"/>
          <w:color w:val="auto"/>
        </w:rPr>
        <w:t>Series B-2 Preferred Director</w:t>
      </w:r>
      <w:r>
        <w:rPr>
          <w:rFonts w:ascii="Times New Roman" w:cs="Times New Roman" w:eastAsia="Times New Roman" w:hAnsi="Times New Roman"/>
          <w:sz w:val="18"/>
          <w:szCs w:val="18"/>
          <w:color w:val="auto"/>
        </w:rPr>
        <w:t xml:space="preserve">”). The Series B-2 Preferred Director shall not be subject to the classified board of directors provisions of Article V, Section 2 of the Certificate of Incorporation nor classified into Class I, Class II or Class III. The initial Series B-2 Preferred Director, designated by Viking pursuant to </w:t>
      </w:r>
      <w:r>
        <w:rPr>
          <w:rFonts w:ascii="Times New Roman" w:cs="Times New Roman" w:eastAsia="Times New Roman" w:hAnsi="Times New Roman"/>
          <w:sz w:val="18"/>
          <w:szCs w:val="18"/>
          <w:u w:val="single" w:color="auto"/>
          <w:color w:val="auto"/>
        </w:rPr>
        <w:t>Section 14(b)</w:t>
      </w:r>
      <w:r>
        <w:rPr>
          <w:rFonts w:ascii="Times New Roman" w:cs="Times New Roman" w:eastAsia="Times New Roman" w:hAnsi="Times New Roman"/>
          <w:sz w:val="18"/>
          <w:szCs w:val="18"/>
          <w:color w:val="auto"/>
        </w:rPr>
        <w:t xml:space="preserve">, shall take office effective as of the Original Issuance Date. Each Series B-2 Preferred Director appointed or elected to the Board of Directors shall continue to hold office until the next annual meeting of the stockholders of the Company and until his or her successor is elected and qualified in accordance with this </w:t>
      </w:r>
      <w:r>
        <w:rPr>
          <w:rFonts w:ascii="Times New Roman" w:cs="Times New Roman" w:eastAsia="Times New Roman" w:hAnsi="Times New Roman"/>
          <w:sz w:val="18"/>
          <w:szCs w:val="18"/>
          <w:u w:val="single" w:color="auto"/>
          <w:color w:val="auto"/>
        </w:rPr>
        <w:t>Section 14(a)</w:t>
      </w:r>
      <w:r>
        <w:rPr>
          <w:rFonts w:ascii="Times New Roman" w:cs="Times New Roman" w:eastAsia="Times New Roman" w:hAnsi="Times New Roman"/>
          <w:sz w:val="18"/>
          <w:szCs w:val="18"/>
          <w:color w:val="auto"/>
        </w:rPr>
        <w:t xml:space="preserve"> and the Bylaws or until such individual’s</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560"/>
          </w:cols>
          <w:pgMar w:left="880" w:top="270" w:right="459" w:bottom="1440" w:gutter="0" w:footer="0" w:header="0"/>
        </w:sectPr>
      </w:pPr>
    </w:p>
    <w:bookmarkStart w:id="83" w:name="page84"/>
    <w:bookmarkEnd w:id="83"/>
    <w:p>
      <w:pPr>
        <w:ind w:left="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earlier resignation, death or removal. A majority of the outstanding shares of the Series B-2 Preferred Stock, voting separately as a single class, at a meeting called for such purpose shall have the sole right to remove the Series B-2 Preferred Director. Any vacancy created by the removal, resignation or death of the Series B-2 Preferred Director may be filled by a majority of the directors in office from time to time, but shall solely be filled with the approval of the holders of a majority of the outstanding shares of the Series B-2 Preferred Stock, voting as a single class and, for the avoidance of doubt, without giving effect to limitations associated with the Cap or the Voting Threshold.</w:t>
      </w:r>
    </w:p>
    <w:p>
      <w:pPr>
        <w:spacing w:after="0" w:line="75" w:lineRule="exact"/>
        <w:rPr>
          <w:sz w:val="20"/>
          <w:szCs w:val="20"/>
          <w:color w:val="auto"/>
        </w:rPr>
      </w:pPr>
    </w:p>
    <w:p>
      <w:pPr>
        <w:ind w:left="440" w:right="240" w:firstLine="419"/>
        <w:spacing w:after="0" w:line="282" w:lineRule="auto"/>
        <w:tabs>
          <w:tab w:leader="none" w:pos="111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Series B-2 Preferred Director shall be Dr, Martin Madaus, who shall serve until the 2022 annual meeting of the Company’s stockholders or such individual’s earlier resignation, death or removal.</w:t>
      </w:r>
    </w:p>
    <w:p>
      <w:pPr>
        <w:spacing w:after="0" w:line="53" w:lineRule="exact"/>
        <w:rPr>
          <w:rFonts w:ascii="Times New Roman" w:cs="Times New Roman" w:eastAsia="Times New Roman" w:hAnsi="Times New Roman"/>
          <w:sz w:val="18"/>
          <w:szCs w:val="18"/>
          <w:color w:val="auto"/>
        </w:rPr>
      </w:pPr>
    </w:p>
    <w:p>
      <w:pPr>
        <w:ind w:left="440" w:right="180" w:firstLine="419"/>
        <w:spacing w:after="0" w:line="261" w:lineRule="auto"/>
        <w:tabs>
          <w:tab w:leader="none" w:pos="110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the provisions of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at each meeting of the Company’s stockholders at which the election of the Series B-2 Director is to be considered, the Board of Directors shall duly nominate the Series B-2 Preferred Director designated by the holders of a majority of the Series B-2 Preferred Stock for election to the Board of Directors by the holders of the Series B-2 Preferred Stock, subject to the terms and conditions of the Viking Purchase Agreement.</w:t>
      </w:r>
    </w:p>
    <w:p>
      <w:pPr>
        <w:spacing w:after="0" w:line="71" w:lineRule="exact"/>
        <w:rPr>
          <w:rFonts w:ascii="Times New Roman" w:cs="Times New Roman" w:eastAsia="Times New Roman" w:hAnsi="Times New Roman"/>
          <w:sz w:val="18"/>
          <w:szCs w:val="18"/>
          <w:color w:val="auto"/>
        </w:rPr>
      </w:pPr>
    </w:p>
    <w:p>
      <w:pPr>
        <w:ind w:left="440" w:right="20" w:firstLine="419"/>
        <w:spacing w:after="0" w:line="258" w:lineRule="auto"/>
        <w:tabs>
          <w:tab w:leader="none" w:pos="111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rights of Viking pursuant to the Viking Purchase Agreement, after the Original Issuance Date, and subject to applicable Law and the listing standards of Relevant Exchange, the Series B-2 Preferred Director shall be offered the opportunity, with respect to each standing committee of the Board, at Viking’s option, to sit on such committee. If the Series B-2 Preferred Director fails to satisfy the applicable qualifications under Law or stock exchange listing standard to sit on any committee of the Board, then the Board shall offer such Series B-2 Preferred Director the opportunity to attend (but not vote at) the meetings of such committee as an observer.</w:t>
      </w:r>
    </w:p>
    <w:p>
      <w:pPr>
        <w:spacing w:after="0" w:line="75" w:lineRule="exact"/>
        <w:rPr>
          <w:rFonts w:ascii="Times New Roman" w:cs="Times New Roman" w:eastAsia="Times New Roman" w:hAnsi="Times New Roman"/>
          <w:sz w:val="18"/>
          <w:szCs w:val="18"/>
          <w:color w:val="auto"/>
        </w:rPr>
      </w:pPr>
    </w:p>
    <w:p>
      <w:pPr>
        <w:ind w:left="440" w:right="40" w:firstLine="419"/>
        <w:spacing w:after="0" w:line="258" w:lineRule="auto"/>
        <w:tabs>
          <w:tab w:leader="none" w:pos="110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B-2 Preferred Director shall be entitled to receive similar compensation, benefits, reimbursement (including of reasonable travel expenses), indemnification and insurance coverage for his or her service as director as the other non-employee directors of the Company. For so long as the Company maintains directors and officers liability insurance, the Company shall include the Series B-2 Preferred Director as an “insured” for all purposes under such insurance policy for so long as the Series B-2 Preferred Director is a director of the Company and for the same period as for other former directors of the Company when the Series B-2 Preferred Director ceases to be a director of the Company.</w:t>
      </w:r>
    </w:p>
    <w:p>
      <w:pPr>
        <w:spacing w:after="0" w:line="183" w:lineRule="exact"/>
        <w:rPr>
          <w:sz w:val="20"/>
          <w:szCs w:val="20"/>
          <w:color w:val="auto"/>
        </w:rPr>
      </w:pPr>
    </w:p>
    <w:p>
      <w:pPr>
        <w:ind w:right="8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Except as expressly provided in this Certificate of Designations, the shares of Series B-2 Preferred Stock shall not be redeemable or otherwise mature and the term of the Series B-2 Preferred Stock shall be perpetual.</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No Sinking Fund</w:t>
      </w:r>
      <w:r>
        <w:rPr>
          <w:rFonts w:ascii="Times New Roman" w:cs="Times New Roman" w:eastAsia="Times New Roman" w:hAnsi="Times New Roman"/>
          <w:sz w:val="18"/>
          <w:szCs w:val="18"/>
          <w:color w:val="auto"/>
        </w:rPr>
        <w:t>. Shares of Series B-2 Preferred Stock shall not be subject to or entitled to the operation of a retirement or sinking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84" w:name="page85"/>
    <w:bookmarkEnd w:id="84"/>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17. </w:t>
      </w:r>
      <w:r>
        <w:rPr>
          <w:rFonts w:ascii="Times New Roman" w:cs="Times New Roman" w:eastAsia="Times New Roman" w:hAnsi="Times New Roman"/>
          <w:sz w:val="18"/>
          <w:szCs w:val="18"/>
          <w:u w:val="single" w:color="auto"/>
          <w:color w:val="auto"/>
        </w:rPr>
        <w:t>Transfer Agent, Conversion Agent, Registrar and Paying Agent</w:t>
      </w:r>
      <w:r>
        <w:rPr>
          <w:rFonts w:ascii="Times New Roman" w:cs="Times New Roman" w:eastAsia="Times New Roman" w:hAnsi="Times New Roman"/>
          <w:sz w:val="18"/>
          <w:szCs w:val="18"/>
          <w:color w:val="auto"/>
        </w:rPr>
        <w:t>. The duly appointed Transfer Agent, Conversion Agent, Registrar and paying agent for the Series B-2 Preferred Stock shall be Computershare Trust Company, N.A. The Company may appoint any other Person reasonably satisfactory to the Holders to serve as Transfer Agent, Conversion Agent, Registrar or paying agent for the Series B-2 Preferred Stock and thereafter may remove or replace such other Person at any time, subject to the appointment of a replacement reasonably satisfactory to the Holders. On any such appointment or removal, the Company shall send notice thereof to the Holders.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Replacement Certificates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firstLine="419"/>
        <w:spacing w:after="0" w:line="258" w:lineRule="auto"/>
        <w:tabs>
          <w:tab w:leader="none" w:pos="110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Mutilated, Destroyed, Stolen and Lost Certificates</w:t>
      </w:r>
      <w:r>
        <w:rPr>
          <w:rFonts w:ascii="Times New Roman" w:cs="Times New Roman" w:eastAsia="Times New Roman" w:hAnsi="Times New Roman"/>
          <w:sz w:val="18"/>
          <w:szCs w:val="18"/>
          <w:color w:val="auto"/>
        </w:rPr>
        <w:t>. If physical certificates evidencing the Series B-2 Preferred Stock are issued, the Company shall replace any mutilated certificate at the Holder’s expense on surrender of that certificate to the Transfer Agent. The Company shall replace certificates that become destroyed, stolen or lost at the Holder’s expense on delivery to the Company and the Transfer Agent of reasonably satisfactory evidence that the certificate has been destroyed, stolen or lost, together with any reasonable indemnity that may be required by the Transfer Agent and the Company.</w:t>
      </w:r>
    </w:p>
    <w:p>
      <w:pPr>
        <w:spacing w:after="0" w:line="75" w:lineRule="exact"/>
        <w:rPr>
          <w:rFonts w:ascii="Times New Roman" w:cs="Times New Roman" w:eastAsia="Times New Roman" w:hAnsi="Times New Roman"/>
          <w:sz w:val="18"/>
          <w:szCs w:val="18"/>
          <w:color w:val="auto"/>
        </w:rPr>
      </w:pPr>
    </w:p>
    <w:p>
      <w:pPr>
        <w:ind w:left="440" w:right="20" w:firstLine="419"/>
        <w:spacing w:after="0" w:line="255" w:lineRule="auto"/>
        <w:tabs>
          <w:tab w:leader="none" w:pos="111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 Following Conversion</w:t>
      </w:r>
      <w:r>
        <w:rPr>
          <w:rFonts w:ascii="Times New Roman" w:cs="Times New Roman" w:eastAsia="Times New Roman" w:hAnsi="Times New Roman"/>
          <w:sz w:val="18"/>
          <w:szCs w:val="18"/>
          <w:color w:val="auto"/>
        </w:rPr>
        <w:t xml:space="preserve">. If physical certificates representing the Series B-2 Preferred Stock are issued, the Company shall not be required to issue replacement certificates representing shares of Series B-2 Preferred Stock on or after the Conversion Date applicable to such shares (except if any certificate for shares of Series B-2 Preferred Stock shall be surrendered for partial conversion, the Company shall, at its expense, execute and deliver to or on the written order of the Holder of the certificate so surrendered a new certificate for the shares of Series B-2 Preferred Stock not converted). In place of the delivery of a replacement certificate following the applicable Conversion Date, the Transfer Agent, on receipt of the satisfactory evidence and indemnity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shall deliver certificates representing the shares of Common Stock issuable on conversion of such shares of Series B-2 Preferred Stock formerly evidenced by the physical certificate.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firstLine="419"/>
        <w:spacing w:after="0" w:line="254" w:lineRule="auto"/>
        <w:tabs>
          <w:tab w:leader="none" w:pos="110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Company and its paying agent shall be entitled to deduct or withhold on all applicable payments made to the relevant Holder whether in the form of cash or otherwise such Tax amounts as the Company reasonably determines are required to be deducted or withheld therefrom under any provision of applicable law (and, to the extent such amounts are paid to the relevant taxing authority in accordance with applicable law, such amounts shall be treated for all purposes of this Certificate of Designations as having been paid to the Person in respect of which such withholding was made); provided, for the avoidance of doubt, that if the Company determines that an amount is required to be deducted or withheld on any payment with respect to any Holder, the Company shall provide reasonable prior notice to such Holder in writing of its intent to deduct or withhold Taxes on such payment and shall reasonably cooperate with such Holder in obtaining any available exemption or reduction of such withholding</w:t>
      </w:r>
      <w:r>
        <w:rPr>
          <w:rFonts w:ascii="Times New Roman" w:cs="Times New Roman" w:eastAsia="Times New Roman" w:hAnsi="Times New Roman"/>
          <w:sz w:val="18"/>
          <w:szCs w:val="18"/>
          <w:u w:val="single" w:color="auto"/>
          <w:color w:val="auto"/>
        </w:rPr>
        <w: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0"/>
          </w:cols>
          <w:pgMar w:left="440" w:top="270" w:right="479" w:bottom="1440" w:gutter="0" w:footer="0" w:header="0"/>
        </w:sectPr>
      </w:pPr>
    </w:p>
    <w:bookmarkStart w:id="85" w:name="page86"/>
    <w:bookmarkEnd w:id="85"/>
    <w:p>
      <w:pPr>
        <w:ind w:left="440" w:firstLine="419"/>
        <w:spacing w:after="0" w:line="255" w:lineRule="auto"/>
        <w:tabs>
          <w:tab w:leader="none" w:pos="111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 Taxes</w:t>
      </w:r>
      <w:r>
        <w:rPr>
          <w:rFonts w:ascii="Times New Roman" w:cs="Times New Roman" w:eastAsia="Times New Roman" w:hAnsi="Times New Roman"/>
          <w:sz w:val="18"/>
          <w:szCs w:val="18"/>
          <w:color w:val="auto"/>
        </w:rPr>
        <w:t>. The Company shall pay any and all stock transfer, documentary, stamp and similar Taxes due on the issuance of shares of Series B-2 Preferred Stock or the issuance of shares of Common Stock on conversion of Series B-2 Preferred Stock pursuant hereto. However, in the case of conversion of Series B-2 Preferred Stock, the Company shall not be required to pay any such Tax that may be payable in respect of any transfer involved in the issuance or delivery of shares of Series B-2 Preferred Stock or Common Stock to a Beneficial Owner other than the initial Beneficial Owner of Series B-2 Preferred Stock (“</w:t>
      </w:r>
      <w:r>
        <w:rPr>
          <w:rFonts w:ascii="Times New Roman" w:cs="Times New Roman" w:eastAsia="Times New Roman" w:hAnsi="Times New Roman"/>
          <w:sz w:val="18"/>
          <w:szCs w:val="18"/>
          <w:b w:val="1"/>
          <w:bCs w:val="1"/>
          <w:i w:val="1"/>
          <w:iCs w:val="1"/>
          <w:color w:val="auto"/>
        </w:rPr>
        <w:t>Third Party Transfer Taxes</w:t>
      </w:r>
      <w:r>
        <w:rPr>
          <w:rFonts w:ascii="Times New Roman" w:cs="Times New Roman" w:eastAsia="Times New Roman" w:hAnsi="Times New Roman"/>
          <w:sz w:val="18"/>
          <w:szCs w:val="18"/>
          <w:color w:val="auto"/>
        </w:rPr>
        <w:t>”), and shall not be required to make any such issuance, delivery or payment unless and until the Person requesting such issuance, delivery or payment has paid to the Company the amount of any such Tax or has established, to the reasonable satisfaction of the Company, that such Tax has been paid or is not payable.</w:t>
      </w:r>
    </w:p>
    <w:p>
      <w:pPr>
        <w:spacing w:after="0" w:line="80" w:lineRule="exact"/>
        <w:rPr>
          <w:rFonts w:ascii="Times New Roman" w:cs="Times New Roman" w:eastAsia="Times New Roman" w:hAnsi="Times New Roman"/>
          <w:sz w:val="18"/>
          <w:szCs w:val="18"/>
          <w:color w:val="auto"/>
        </w:rPr>
      </w:pPr>
    </w:p>
    <w:p>
      <w:pPr>
        <w:ind w:left="440" w:right="20" w:firstLine="419"/>
        <w:spacing w:after="0" w:line="254" w:lineRule="auto"/>
        <w:tabs>
          <w:tab w:leader="none" w:pos="110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It is intended that (i) the Series B-2 Preferred Stock shall not be treated as “preferred stock” for purposes of Section 305 of the Code and the Treasury Regulations promulgated thereunder, and (ii) as a consequence, no difference between the purchase price paid for the Series B-2 Preferred Stock and the Liquidation Preference thereof shall, by reason of Section 305(b)(4) of the Code or Treasury Regulations Section 1.305-5, be treated as a distribution of property until paid in cash. The Company and Holders (and their respective affiliates) shall file all Tax Returns in a manner consistent with the foregoing intended Tax treatment and shall not take any Tax position that is inconsistent with such intended Tax treatment except in connection with, or as required by, any of the following: (A) a change in relevant law or official guidance from a Taxing authority occurring after the Original Issuance Date, (B) after the Original Issuance Date, the promulgation of relevant final U.S. Treasury Regulations addressing instruments similar to the Series B-2 Preferred Stock (from and after the effective date of such regulations), (C) an amendment to the terms of this Certificate of Designations or (D) a “determination” within the meaning of section 1313(a) of the Code.</w:t>
      </w:r>
    </w:p>
    <w:p>
      <w:pPr>
        <w:spacing w:after="0" w:line="188"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referred to herein shall be in writing and, unless otherwise specified herein, all notices hereunder shall be deemed to have been given on the earlier of receipt thereof or three Business Days after the mailing thereof if sent by registered or certified mail with postage prepaid, or by private courier service, or the date of such delivery, if delivered by electronic mail (provided that no bounceback or similar “undeliverable” message is received by such sender), addressed: (a) if to the Company, to its office at Standard BioTools Inc., 2 Tower Place, Suite 2000, South San Francisco, California 94080 (Attention: General Counsel) (or such e-mail address as specified by the Company, in the case of delivery by electronic mail), (b) if to any Holder, to such Holder at the address (or email address, in the case of delivery by electronic mail) of such Holder as listed in the stock record books of the Company (which may include the records of the Transfer Agent) or (c) to such other address (or email address, in the case of delivery by electronic mail) as the Company or any such Holder, as the case may be, shall have designated by notice similarly given.</w:t>
      </w:r>
    </w:p>
    <w:p>
      <w:pPr>
        <w:spacing w:after="0" w:line="192"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Facts Ascertainable</w:t>
      </w:r>
      <w:r>
        <w:rPr>
          <w:rFonts w:ascii="Times New Roman" w:cs="Times New Roman" w:eastAsia="Times New Roman" w:hAnsi="Times New Roman"/>
          <w:sz w:val="18"/>
          <w:szCs w:val="18"/>
          <w:color w:val="auto"/>
        </w:rPr>
        <w:t>. When the terms of this Certificate of Designations refer to a specific agreement or other document to determine the meaning or operation of a provision hereof, the Secretary of the Company shall maintain a copy of such agreement or document at the principal executive offices of the Company and a copy thereof shall be provided free of charge to any Holder who makes a request therefor. The Secretary of the Company shall also maintain a written record of the Issuance Date and the number of shares of Series B-2 Preferred Stock issued to a Holder and the date of each such issuance, and shall furnish such written record free of charge to any Holder who makes a request therefor.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440" w:top="270" w:right="439" w:bottom="1440" w:gutter="0" w:footer="0" w:header="0"/>
        </w:sectPr>
      </w:pPr>
    </w:p>
    <w:bookmarkStart w:id="86" w:name="page87"/>
    <w:bookmarkEnd w:id="86"/>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22.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Notwithstanding any provision in this Certificate of Designations to the contrary, any provision contained herein and any right of the Holders of shares of Series B-2 Preferred Stock granted hereunder may be waived as to all shares of Series B-2 Preferred Stock (and the Holders thereof) on the vote or written approval or election of the Holders of a majority of the shares of Series B-2 Preferred Stock then outstanding and, for the avoidance of doubt, without giving effect to limitations associated with the Cap or the Voting Threshold.</w:t>
      </w:r>
    </w:p>
    <w:p>
      <w:pPr>
        <w:spacing w:after="0" w:line="180"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of the Series B-2 Preferred Stock set forth herein is invalid, unlawful or incapable of being enforced by reason of any rule of law or public policy, all other terms set forth herein which can be given effect without the invalid, unlawful or unenforceable term shall, nevertheless, remain in full force and effect, and no term herein set forth shall be deemed dependent on any other such term unless so expressed herein.</w:t>
      </w:r>
    </w:p>
    <w:p>
      <w:pPr>
        <w:spacing w:after="0" w:line="180"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Business Opportunities</w:t>
      </w:r>
      <w:r>
        <w:rPr>
          <w:rFonts w:ascii="Times New Roman" w:cs="Times New Roman" w:eastAsia="Times New Roman" w:hAnsi="Times New Roman"/>
          <w:sz w:val="18"/>
          <w:szCs w:val="18"/>
          <w:color w:val="auto"/>
        </w:rPr>
        <w:t xml:space="preserve">. To the fullest extent permitted by Section 122(17) of the DGCL (or any successor provision) and except as may be otherwise expressly agreed in writing by the Company and the Viking Parties, the Company, on behalf of itself and its Subsidiaries, renounces any interest or expectancy of the Company and its Subsidiaries in, or in being offered an opportunity to participate in, business opportunities, that are from time to time presented to the Viking Parties or any of their respective officers, representatives, directors, agents, stockholders, members, partners, Affiliates, Subsidiaries (other than the Company and its Subsidiaries), or any of their respective designees on the Company’s Board and/or any of their respective representatives who, from time to time, may act as officers of the Company, even if the opportunity is one that the Company or its Subsidiaries might reasonably be deemed to have pursued or had the ability or desire to pursue if granted the opportunity to do so, and no such person shall be liable to the Company or any of its Subsidiaries for breach of any fiduciary or other duty, as a director or officer or otherwise, by reason of the fact that such person pursues or acquires such business opportunity, directs such business opportunity to another person or fails to present such business opportunity, or information regarding such business opportunity, to the Company or its Subsidiaries unless, in the case of any such person who is a director or officer of the Company, such business opportunity is expressly offered to such director or officer in his or her capacity as a director or officer of the Company. Any Person purchasing or otherwise acquiring any interest in any shares of Capital Stock of the Company shall be deemed to have notice of and consented to the provisions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Neither the alteration, amendment or repeal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nor the adoption of any provision of the Certificate of Incorporation or this Certificate of Designations inconsistent with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nor, to the fullest extent permitted by Delaware law, any modification of law, shall eliminate or reduce the effect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in respect of any business opportunity first identified or any other matter occurring, or any cause of action, suit or claim that, but for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would accrue or arise, prior to such alteration, amendment, repeal, adoption or modification. If any provision or provisions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be held to be invalid, illegal or unenforceable as applied to any circumstance for any reason whatsoever: (a) the validity,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0"/>
          </w:cols>
          <w:pgMar w:left="440" w:top="270" w:right="479" w:bottom="1440" w:gutter="0" w:footer="0" w:header="0"/>
        </w:sectPr>
      </w:pPr>
    </w:p>
    <w:bookmarkStart w:id="87" w:name="page88"/>
    <w:bookmarkEnd w:id="8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legality and enforceability of such provisions in any other circumstance and of the remaining provisions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(including, without limitation, each portion of any paragraph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containing any such provision held to be invalid, illegal or unenforceable that is not itself held to be invalid, illegal or unenforceable) shall not in any way be affected or impaired thereby and (b) to the fullest extent possible, the provisions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(including, without limitation, each such portion of any paragraph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containing any such provision held to be invalid, illegal or unenforceable) shall be construed so as to permit the Company to protect its directors, officers, employees and agents from personal liability in respect of their good faith service to or for the benefit of the Company to the fullest extent permitted by law.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not limit any protections or defenses available to, or indemnification or advancement rights of, any director, officer, employee or agent of the Company under the Certificate of Incorporation, the Bylaws, any other agreement between the Company and such director, officer, employee or agent or applicable law.</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Certificate of Designations to be executed this 1st day of April, 2022.</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STANDARD BIOTOOLS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Vikram Jog</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1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Certificate of Designations]</w:t>
      </w:r>
    </w:p>
    <w:p>
      <w:pPr>
        <w:sectPr>
          <w:pgSz w:w="11900" w:h="16838" w:orient="portrait"/>
          <w:cols w:equalWidth="0" w:num="1">
            <w:col w:w="9579"/>
          </w:cols>
          <w:pgMar w:left="880" w:top="270" w:right="1440" w:bottom="1440" w:gutter="0" w:footer="0" w:header="0"/>
        </w:sectPr>
      </w:pPr>
    </w:p>
    <w:bookmarkStart w:id="89" w:name="page90"/>
    <w:bookmarkEnd w:id="89"/>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CONVERSION NOTICE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is made to the Certificate of Designations of Series B-2 Convertible Preferred Stock, par value $0.001, of Standard BioTools Inc. (the</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 of Designations</w:t>
      </w:r>
      <w:r>
        <w:rPr>
          <w:rFonts w:ascii="Times New Roman" w:cs="Times New Roman" w:eastAsia="Times New Roman" w:hAnsi="Times New Roman"/>
          <w:sz w:val="18"/>
          <w:szCs w:val="18"/>
          <w:color w:val="auto"/>
        </w:rPr>
        <w:t>”). In accordance with and pursuant to the Certificate of Designations, the undersigned hereby elects to convert the number of shares of Series B-2 Convertible Preferred Stock, par value $0.001 per share (the “</w:t>
      </w:r>
      <w:r>
        <w:rPr>
          <w:rFonts w:ascii="Times New Roman" w:cs="Times New Roman" w:eastAsia="Times New Roman" w:hAnsi="Times New Roman"/>
          <w:sz w:val="18"/>
          <w:szCs w:val="18"/>
          <w:b w:val="1"/>
          <w:bCs w:val="1"/>
          <w:i w:val="1"/>
          <w:iCs w:val="1"/>
          <w:color w:val="auto"/>
        </w:rPr>
        <w:t>Series B-2 Preferred Stock</w:t>
      </w:r>
      <w:r>
        <w:rPr>
          <w:rFonts w:ascii="Times New Roman" w:cs="Times New Roman" w:eastAsia="Times New Roman" w:hAnsi="Times New Roman"/>
          <w:sz w:val="18"/>
          <w:szCs w:val="18"/>
          <w:color w:val="auto"/>
        </w:rPr>
        <w:t>”), of Standard BioTools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indicated below into shares of Common Stock, par value $0.001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the Company, [as of the date specified below // on // immediately prior to[, and subject to the occurrence of,] [•]].</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Conversion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17145</wp:posOffset>
            </wp:positionV>
            <wp:extent cx="539178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4">
                      <a:extLst>
                        <a:ext uri="{28A0092B-C50C-407E-A947-70E740481C1C}"/>
                      </a:extLst>
                    </a:blip>
                    <a:srcRect/>
                    <a:stretch>
                      <a:fillRect/>
                    </a:stretch>
                  </pic:blipFill>
                  <pic:spPr bwMode="auto">
                    <a:xfrm>
                      <a:off x="0" y="0"/>
                      <a:ext cx="539178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Series B-2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2954655</wp:posOffset>
            </wp:positionH>
            <wp:positionV relativeFrom="paragraph">
              <wp:posOffset>17145</wp:posOffset>
            </wp:positionV>
            <wp:extent cx="40373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5">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certificate no(s). of Series B-2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3177540</wp:posOffset>
            </wp:positionH>
            <wp:positionV relativeFrom="paragraph">
              <wp:posOffset>17145</wp:posOffset>
            </wp:positionV>
            <wp:extent cx="381444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6">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ID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17145</wp:posOffset>
            </wp:positionV>
            <wp:extent cx="55632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7">
                      <a:extLst>
                        <a:ext uri="{28A0092B-C50C-407E-A947-70E740481C1C}"/>
                      </a:extLst>
                    </a:blip>
                    <a:srcRect/>
                    <a:stretch>
                      <a:fillRect/>
                    </a:stretch>
                  </pic:blipFill>
                  <pic:spPr bwMode="auto">
                    <a:xfrm>
                      <a:off x="0" y="0"/>
                      <a:ext cx="556323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confirm the following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17145</wp:posOffset>
            </wp:positionV>
            <wp:extent cx="61976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8">
                      <a:extLst>
                        <a:ext uri="{28A0092B-C50C-407E-A947-70E740481C1C}"/>
                      </a:extLst>
                    </a:blip>
                    <a:srcRect/>
                    <a:stretch>
                      <a:fillRect/>
                    </a:stretch>
                  </pic:blipFill>
                  <pic:spPr bwMode="auto">
                    <a:xfrm>
                      <a:off x="0" y="0"/>
                      <a:ext cx="619760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17145</wp:posOffset>
            </wp:positionV>
            <wp:extent cx="47148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9">
                      <a:extLst>
                        <a:ext uri="{28A0092B-C50C-407E-A947-70E740481C1C}"/>
                      </a:extLst>
                    </a:blip>
                    <a:srcRect/>
                    <a:stretch>
                      <a:fillRect/>
                    </a:stretch>
                  </pic:blipFill>
                  <pic:spPr bwMode="auto">
                    <a:xfrm>
                      <a:off x="0" y="0"/>
                      <a:ext cx="4714875" cy="8890"/>
                    </a:xfrm>
                    <a:prstGeom prst="rect">
                      <a:avLst/>
                    </a:prstGeom>
                    <a:noFill/>
                  </pic:spPr>
                </pic:pic>
              </a:graphicData>
            </a:graphic>
          </wp:anchor>
        </w:drawing>
      </w:r>
    </w:p>
    <w:p>
      <w:pPr>
        <w:spacing w:after="0" w:line="21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Please issue the shares of Common Stock into which the shares of Series B-2 Preferred Stock are being converted in the following name and to the following address: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17145</wp:posOffset>
            </wp:positionV>
            <wp:extent cx="66090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0">
                      <a:extLst>
                        <a:ext uri="{28A0092B-C50C-407E-A947-70E740481C1C}"/>
                      </a:extLst>
                    </a:blip>
                    <a:srcRect/>
                    <a:stretch>
                      <a:fillRect/>
                    </a:stretch>
                  </pic:blipFill>
                  <pic:spPr bwMode="auto">
                    <a:xfrm>
                      <a:off x="0" y="0"/>
                      <a:ext cx="660908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17145</wp:posOffset>
            </wp:positionV>
            <wp:extent cx="64979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1">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17145</wp:posOffset>
            </wp:positionV>
            <wp:extent cx="607758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2">
                      <a:extLst>
                        <a:ext uri="{28A0092B-C50C-407E-A947-70E740481C1C}"/>
                      </a:extLst>
                    </a:blip>
                    <a:srcRect/>
                    <a:stretch>
                      <a:fillRect/>
                    </a:stretch>
                  </pic:blipFill>
                  <pic:spPr bwMode="auto">
                    <a:xfrm>
                      <a:off x="0" y="0"/>
                      <a:ext cx="607758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17145</wp:posOffset>
            </wp:positionV>
            <wp:extent cx="66433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3">
                      <a:extLst>
                        <a:ext uri="{28A0092B-C50C-407E-A947-70E740481C1C}"/>
                      </a:extLst>
                    </a:blip>
                    <a:srcRect/>
                    <a:stretch>
                      <a:fillRect/>
                    </a:stretch>
                  </pic:blipFill>
                  <pic:spPr bwMode="auto">
                    <a:xfrm>
                      <a:off x="0" y="0"/>
                      <a:ext cx="664337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17145</wp:posOffset>
            </wp:positionV>
            <wp:extent cx="62236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4">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17145</wp:posOffset>
            </wp:positionV>
            <wp:extent cx="67805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5">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17145</wp:posOffset>
            </wp:positionV>
            <wp:extent cx="671195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6">
                      <a:extLst>
                        <a:ext uri="{28A0092B-C50C-407E-A947-70E740481C1C}"/>
                      </a:extLst>
                    </a:blip>
                    <a:srcRect/>
                    <a:stretch>
                      <a:fillRect/>
                    </a:stretch>
                  </pic:blipFill>
                  <pic:spPr bwMode="auto">
                    <a:xfrm>
                      <a:off x="0" y="0"/>
                      <a:ext cx="671195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17145</wp:posOffset>
            </wp:positionV>
            <wp:extent cx="66433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7">
                      <a:extLst>
                        <a:ext uri="{28A0092B-C50C-407E-A947-70E740481C1C}"/>
                      </a:extLst>
                    </a:blip>
                    <a:srcRect/>
                    <a:stretch>
                      <a:fillRect/>
                    </a:stretch>
                  </pic:blipFill>
                  <pic:spPr bwMode="auto">
                    <a:xfrm>
                      <a:off x="0" y="0"/>
                      <a:ext cx="664337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17145</wp:posOffset>
            </wp:positionV>
            <wp:extent cx="46202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8">
                      <a:extLst>
                        <a:ext uri="{28A0092B-C50C-407E-A947-70E740481C1C}"/>
                      </a:extLst>
                    </a:blip>
                    <a:srcRect/>
                    <a:stretch>
                      <a:fillRect/>
                    </a:stretch>
                  </pic:blipFill>
                  <pic:spPr bwMode="auto">
                    <a:xfrm>
                      <a:off x="0" y="0"/>
                      <a:ext cx="462026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Code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17145</wp:posOffset>
            </wp:positionV>
            <wp:extent cx="42005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9">
                      <a:extLst>
                        <a:ext uri="{28A0092B-C50C-407E-A947-70E740481C1C}"/>
                      </a:extLst>
                    </a:blip>
                    <a:srcRect/>
                    <a:stretch>
                      <a:fillRect/>
                    </a:stretch>
                  </pic:blipFill>
                  <pic:spPr bwMode="auto">
                    <a:xfrm>
                      <a:off x="0" y="0"/>
                      <a:ext cx="4200525"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Instructions for cash payment in lieu of fractional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3040380</wp:posOffset>
            </wp:positionH>
            <wp:positionV relativeFrom="paragraph">
              <wp:posOffset>17145</wp:posOffset>
            </wp:positionV>
            <wp:extent cx="395160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0">
                      <a:extLst>
                        <a:ext uri="{28A0092B-C50C-407E-A947-70E740481C1C}"/>
                      </a:extLst>
                    </a:blip>
                    <a:srcRect/>
                    <a:stretch>
                      <a:fillRect/>
                    </a:stretch>
                  </pic:blipFill>
                  <pic:spPr bwMode="auto">
                    <a:xfrm>
                      <a:off x="0" y="0"/>
                      <a:ext cx="3951605" cy="8890"/>
                    </a:xfrm>
                    <a:prstGeom prst="rect">
                      <a:avLst/>
                    </a:prstGeom>
                    <a:noFill/>
                  </pic:spPr>
                </pic:pic>
              </a:graphicData>
            </a:graphic>
          </wp:anchor>
        </w:drawing>
      </w:r>
    </w:p>
    <w:p>
      <w:pPr>
        <w:sectPr>
          <w:pgSz w:w="11900" w:h="16838" w:orient="portrait"/>
          <w:cols w:equalWidth="0" w:num="1">
            <w:col w:w="10920"/>
          </w:cols>
          <w:pgMar w:left="440" w:top="266" w:right="5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Fluidigm Stockholders Approve $250 Million Strategic Capital Infusion</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SOUTH SAN FRANCISCO, Calif., April 01, 2022 (GLOBE NEWSWIRE) — Fluidigm Corporation (Nasdaq:FLDM) today announced that its stockholders have voted to approve all of the proposals related to the previously announced strategic capital infusion from leading life sciences investors Casdin Capital, LLC (“Casdin”) and Viking Global Investors LP (“Viking”).</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Dr. Carlos V. Paya, chairman of Fluidigm, said, “On behalf of the Board of Directors, I would like to thank our stockholders for their support of this investment, which is expected to fuel a realization of identified growth and cost opportunities within the Company’s two major platforms, mass cytometry and microfluidics, and pave the way for new growth drivers. Upon closing of the transaction, we are excited to advance our work to further develop transformative biologics, improve revenue and profitability, and enhance stockholder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voting results will be reported in a Current Report on Form 8-K to be filed with the U.S. Securities and Exchange Commission.</w:t>
      </w:r>
    </w:p>
    <w:p>
      <w:pPr>
        <w:spacing w:after="0" w:line="225"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18"/>
          <w:szCs w:val="18"/>
          <w:color w:val="auto"/>
        </w:rPr>
        <w:t>Under the terms of the agreement, Casdin and Viking will purchase $225 million in aggregate principal amount of convertible preferred shares. In addition, the aggregate principal amounts outstanding under Fluidigm’s previously announced $25 million convertible term loans with Casdin and Viking will be automatically converted into a number of convertible preferred shares in accordance with the terms of the loan agreements. The transaction remains on track to close, subject to the satisfaction of customary closing conditions, including applicable regulatory approvals. The Company’s name will change to Standard BioTools Inc. in connection with closing, and its common stock will trade on Nasdaq under the symbol “LAB” following the closing.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 is serving as financial advisor to Fluidigm and Wilson Sonsini Goodrich &amp; Rosati, Professional Corporation is serving as legal advisor.</w:t>
      </w:r>
    </w:p>
    <w:p>
      <w:pPr>
        <w:spacing w:after="0" w:line="22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Centerview Partners LLC is serving as financial advisor to Casdin and Viking. Legal advisors are Paul, Weiss, Rifkind, Wharton &amp; Garrison LLP serving Casdin and Kirkland &amp; Ellis LLP serving Viking.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Fluidigm</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Fluidigm (Nasdaq:FLDM) focuses on the most pressing needs in translational and clinical research, including cancer, immunology, and immunotherapy. Using proprietary CyTOF</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microfluidics technologies, we develop, manufacture, and market multi-omic solutions to drive meaningful insights in health and disease, identify biomarkers to inform decisions, and accelerate the development of more effective therapies. Our customers are leading academic, government, pharmaceutical, biotechnology, plant and animal research, and clinical laboratories worldwide. Together with them, we strive to increase the quality of life for all. For more information, visit fluidigm.com.</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Fluidigm, the Fluidigm logo and CyTOF are trademarks and/or registered trademarks of Fluidigm Corporation or its affiliates in the United States and/or other countries. All other trademarks are the sole property of their respective owners. Fluidigm products are provided for Research Use Only. Not for use in diagnostic procedures.</w:t>
      </w:r>
    </w:p>
    <w:p>
      <w:pPr>
        <w:sectPr>
          <w:pgSz w:w="11900" w:h="16838" w:orient="portrait"/>
          <w:cols w:equalWidth="0" w:num="1">
            <w:col w:w="11020"/>
          </w:cols>
          <w:pgMar w:left="440" w:top="117"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Available Information</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Fluidigm uses its website (fluidigm.com), investor site (investors.fluidigm.com), corporate Twitter account (@fluidigm), Facebook page (facebook.com/Fluidigm), and LinkedIn page (linkedin.com/company/fluidigm-corporation) as channels of distribution of information about its products, its planned financial and other announcements, its attendance at upcoming investor and industry conferences, and other matters. Such information may be deemed material information, and Fluidigm may use these channels to comply with its disclosure obligations under Regulation FD. Therefore, investors should monitor Fluidigm’s website and our social media accounts in addition to following its press releases, SEC filings, public conference calls, and webcasts.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Casdin Capital</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Casdin Capital, LLC is a New York-based research investment firm focused on the innovations currently reshaping life sciences and healthcare. Founded in 2011, and with an eye to long-term returns and disruptive technologies, Casdin Capital is a trusted investor-partner in both private and public companies, collaborating with industry leaders to fuel their visions, adding energy, insight, and experience to the firm’s over $3 billion under management. For more information, please visit casdincapital.com.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Viking Global Investors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Founded in 1999, Viking is a global investment management firm that manages approximately $48 billion of capital for its investors. It has offices in Greenwich, New York, Hong Kong, London, and San Francisco and is registered as an investment adviser with the U.S. Securities and Exchange Commission. For more information, please visit </w:t>
      </w:r>
      <w:r>
        <w:rPr>
          <w:rFonts w:ascii="Times New Roman" w:cs="Times New Roman" w:eastAsia="Times New Roman" w:hAnsi="Times New Roman"/>
          <w:sz w:val="18"/>
          <w:szCs w:val="18"/>
          <w:u w:val="single" w:color="auto"/>
          <w:color w:val="auto"/>
        </w:rPr>
        <w:t>www.vikingglobal.com</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This communication contains forward-looking statements within the meaning of the Private Securities Litigation Reform Act of 1995, including, among others, statements regarding: Fluidigm’s expectations that the transactions described in this communication (the “Transaction”) will accelerate growth and innovation; expectations for portfolio expansion and advancement of Fluidigm’s mission; cost structure optimization; expectations to develop transformative biologics, improve revenue and profitability, and enhance stockholder value; the expected timing and closing of the Transaction; expectations for the Company’s brand and corporate name; and other expectations for Fluidigm following the closing of the Transaction. Forward-looking statements are subject to numerous risks and uncertainties that could cause actual results to differ materially from currently anticipated results, including but not limited to risks relating to: the potential adverse effects of the coronavirus pandemic on our business and operating results; any failure to obtain required stockholder approval of the Transaction; the possibility that the conditions to the closing of the Transaction are not satisfied; potential litigation relating to the Transaction; uncertainties as to the timing of the consummation of the Transaction; the ability of each party to consummate the Transaction; possible disruption related to the Transaction to Fluidigm’s current plans and operations, including through the loss of customers, suppliers and employees; changes in Fluidigm’s business or external market conditions; uncertainties in contractual relationships; customers and prospective customers continuing to curtail or suspend activities utilizing our products; our ability and/or the ability of the research institutions utilizing our products</w:t>
      </w:r>
    </w:p>
    <w:p>
      <w:pPr>
        <w:sectPr>
          <w:pgSz w:w="11900" w:h="16838" w:orient="portrait"/>
          <w:cols w:equalWidth="0" w:num="1">
            <w:col w:w="11000"/>
          </w:cols>
          <w:pgMar w:left="440" w:top="266" w:right="459" w:bottom="1440" w:gutter="0" w:footer="0" w:header="0"/>
        </w:sectPr>
      </w:pPr>
    </w:p>
    <w:bookmarkStart w:id="92" w:name="page93"/>
    <w:bookmarkEnd w:id="9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technology to obtain and maintain Emergency Use Authorization from the FDA and any other requisite authorizations or approvals to use our products and technology for diagnostic testing purposes; challenges inherent in developing, manufacturing, launching, marketing, and selling new products; interruptions or delays in the supply of components or materials for, or manufacturing of, Fluidigm products; reliance on sales of capital equipment for a significant proportion of revenues in each quarter; seasonal variations in customer operations; unanticipated increases in costs or expenses; uncertainties in contractual relationships; reductions in research and development spending or changes in budget priorities by customers; Fluidigm’s research and development and distribution plans and capabilities; interruptions or delays in the supply of components or materials for, or manufacturing of, Fluidigm products; potential product performance and quality issues; risks associated with international operations; intellectual property risks; and competition. Information on these and additional risks and uncertainties and other information affecting Fluidigm’s business and operating results is contained in its Annual Report on Form 10-K for the year ended December 31, 2021, and in its other filings with the Securities and Exchange Commission (the “SEC”). These forward-looking statements speak only as of the date of this communication. Fluidigm disclaims any obligation to update these forward-looking statements except as may be required by law.</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Spearman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Fluidigm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650 243 6621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mark.spearman@fluidigm.com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DeNardo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415 389 6400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ir@fluidigm.com</w:t>
      </w:r>
    </w:p>
    <w:p>
      <w:pPr>
        <w:sectPr>
          <w:pgSz w:w="11900" w:h="16838" w:orient="portrait"/>
          <w:cols w:equalWidth="0" w:num="1">
            <w:col w:w="10840"/>
          </w:cols>
          <w:pgMar w:left="440" w:top="270" w:right="61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Fluidigm Completes $250 Million Strategic Capital Infusion and Changes Name to Standard BioTools Inc.</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New Trading Symbol (NASDAQ:LAB) Expected to be Effective April 6,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Appoints New Management Team and Additional Board Members with Significant Experience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Reinvigorate Growth and Enhance Product Portfolio</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Embarks on New Chapter of Focused Execution and Growth</w:t>
      </w:r>
    </w:p>
    <w:p>
      <w:pPr>
        <w:spacing w:after="0" w:line="227"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SOUTH SAN FRANCISCO, Calif., April 4, 2022 — Fluidigm Corporation (Nasdaq:FLDM) today announced the closing of the previously announced strategic capital infusion from leading life sciences investors Casdin Capital, LLC (“Casdin”) and Viking Global Investors LP (“Viking”). Fluidigm has been renamed Standard BioTools Inc. (“Standard BioTools”) and its common stock is expected to begin trading on Nasdaq under the symbol “LAB” as of the open of market on April 6, 2022. Standard BioTools Inc. will focus on significantly advancing its mission to become an essential solutions partner to the life science industry focused on the highest growth areas of biological discovery and development.</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previously announced, Dr. Michael Egholm will become President and Chief Executive Officer and Alex Kim will serve as Chief Operating Officer leading transformation activities, effective immediately.</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Additionally, Alex Arfaei will serve as Senior Vice President, Corporate Development and Investor Relations. Mr. Arfaei has 20 years of experience in life sciences including twelve years as a high-ranking equity research analyst, and more recently as a partner at a life science venture capital firm.</w:t>
      </w:r>
    </w:p>
    <w:p>
      <w:pPr>
        <w:spacing w:after="0" w:line="16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Jeremy Davis will serve as the company’s new Chief Commercial Officer following the previously-announced resignation of Colin McCracken, effective as of June 12, 2022. Mr. Davis brings more than two decades of business leadership, driving commercial and operational improvements for world class manufacturing businesses and their associated service centers across the globe.</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new team members will join current management team members Vikram Jog (CFO), Nick Khadder (SVP, General Counsel &amp; Corporate Secretary), Brad Kreger (SVP, Global Operations), Angela Peters (Chief Human Resources Officer), and Emi Zychlinsky (SVP, Regulatory Affairs and Quality Assurance). Fluidigm CEO Chris Linthwaite has stepped down and will remain in an advisory role until November 30, 2022, to ensure a smooth transition.</w:t>
      </w:r>
    </w:p>
    <w:p>
      <w:pPr>
        <w:spacing w:after="0" w:line="18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newly constituted Board of Directors will comprise eight individuals including, as previously announced, Dr. Egholm, Eli Casdin, Dr. Martin D. Madaus, and Dr. Frank Witney. Dr. Carlos Paya, Dr. Bill W. Colston, Gerhard F. Burbach, and Laura M. Clague will continue to serve as independent directors, with Dr. Paya remaining the Board’s Chairman. Chris Linthwaite, Nicolas Barthelemy and Dr. Ana K. Stankovic, members of the current Board, left the Board in connection with the closing of the strategic capital infusion.</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Dr. Carlos V. Paya, Chairman of Standard BioTools, said, “We are pleased to complete this important investment and begin a new chapter for our company focused on execution, cost optimization, and high-growth initiatives. With Michael at the helm, I am confident in the ability of Standard BioTools’ management team to realize new opportunities within the Company’s two major platforms, mass cytometry and microfluidics, while consolidating complementary technologies across the life science ecosystem. I thank our departing Board members for their service and contributions to accomplishing this transaction, and I look forward to continuing to work alongside my fellow Board members to deliver on our commitment to improving the human condition and creating improved shareholder value.”</w:t>
      </w:r>
    </w:p>
    <w:p>
      <w:pPr>
        <w:sectPr>
          <w:pgSz w:w="11900" w:h="16838" w:orient="portrait"/>
          <w:cols w:equalWidth="0" w:num="1">
            <w:col w:w="11020"/>
          </w:cols>
          <w:pgMar w:left="440" w:top="117" w:right="439" w:bottom="1440" w:gutter="0" w:footer="0" w:header="0"/>
        </w:sectPr>
      </w:pPr>
    </w:p>
    <w:bookmarkStart w:id="94" w:name="page95"/>
    <w:bookmarkEnd w:id="94"/>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“Today begins a new, transformational journey for Standard BioTools to reach the highest growth opportunities within biological discovery and development,” said Dr. Egholm. “We have an outstanding team, sufficient resources, and meaningful ambitions that will all contribute to our ability to accelerate breakthroughs in human health. Together with the Board and management team, as well as the support of Casdin and Viking, I am excited to continue pioneering new technologies and capabilities within discovery and translational research. Our renewed focus on targeted end-applications, key partnerships, and improved business processes and execution gives me great confidence in the future of our Company with a keen focus on improving top- and bottom-line financial results.”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 is serving as financial advisor to Fluidigm and Wilson Sonsini Goodrich &amp; Rosati, Professional Corporation is serving as legal advisor.</w:t>
      </w:r>
    </w:p>
    <w:p>
      <w:pPr>
        <w:spacing w:after="0" w:line="22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Centerview Partners LLC is serving as financial advisor to Casdin and Viking. Legal advisors are Paul, Weiss, Rifkind, Wharton &amp; Garrison LLP serving Casdin and Kirkland &amp; Ellis LLP serving Viking.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Standard BioTools Inc.</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Standard BioTools, previously known as Fluidigm, is driven by a bold vision – </w:t>
      </w:r>
      <w:r>
        <w:rPr>
          <w:rFonts w:ascii="Times New Roman" w:cs="Times New Roman" w:eastAsia="Times New Roman" w:hAnsi="Times New Roman"/>
          <w:sz w:val="18"/>
          <w:szCs w:val="18"/>
          <w:i w:val="1"/>
          <w:iCs w:val="1"/>
          <w:color w:val="auto"/>
        </w:rPr>
        <w:t>unleashing tools to accelerate breakthroughs in human health</w:t>
      </w:r>
      <w:r>
        <w:rPr>
          <w:rFonts w:ascii="Times New Roman" w:cs="Times New Roman" w:eastAsia="Times New Roman" w:hAnsi="Times New Roman"/>
          <w:sz w:val="18"/>
          <w:szCs w:val="18"/>
          <w:color w:val="auto"/>
        </w:rPr>
        <w:t xml:space="preserve">. Standard BioTools has an established portfolio of essential, standardized next-generation technologies that help biomedical researchers develop medicines faster and better. As a leading solutions provider, the Company provides reliable and repeatable insights in health and disease using its proprietary mass cytometry and microfluidics technologies that help transform scientific discoveries into better patient outcomes. Standard BioTools works with leading academic, government, pharmaceutical, biotechnology, plant and animal research, and clinical laboratories worldwide, focusing on the most pressing needs in translational and clinical research, including oncology, immunology, and immunotherapy. Learn more at standardbiotools.com, or connect with us on </w:t>
      </w:r>
      <w:r>
        <w:rPr>
          <w:rFonts w:ascii="Times New Roman" w:cs="Times New Roman" w:eastAsia="Times New Roman" w:hAnsi="Times New Roman"/>
          <w:sz w:val="18"/>
          <w:szCs w:val="18"/>
          <w:u w:val="single" w:color="auto"/>
          <w:color w:val="auto"/>
        </w:rPr>
        <w:t>Twitter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YouTube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Fluidigm, the Fluidigm logo and CyTOF are trademarks and/or registered trademarks of Fluidigm Corporation or its affiliates in the United States and/or other countries. All other trademarks are the sole property of their respective owners. Fluidigm products are provided for Research Use Only. Not for use in diagnostic procedures.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Standard BioTools uses its website (standardbiotools.com), investor site (investors.standardbiotools.com), corporate Twitter account (@fluidigm), Facebook page (facebook.com/Fluidigm), and LinkedIn page (linkedin.com/company/fluidigm-corporation) as channels of distribution of information about its products, its planned financial and other announcements, its attendance at upcoming investor and industry conferences, and other matters. Such information may be deemed material information, and Standard BioTools may use these channels to comply with its disclosure obligations under Regulation FD. Therefore, investors should monitor Standard BioTools’ website and our social media accounts in addition to following its press releases, SEC filings, public conference calls, and webcasts.</w:t>
      </w:r>
    </w:p>
    <w:p>
      <w:pPr>
        <w:sectPr>
          <w:pgSz w:w="11900" w:h="16838" w:orient="portrait"/>
          <w:cols w:equalWidth="0" w:num="1">
            <w:col w:w="11000"/>
          </w:cols>
          <w:pgMar w:left="440" w:top="270"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Casdin Capital</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Casdin Capital, LLC is a New York-based research investment firm focused on the innovations currently reshaping life sciences and healthcare. Founded in 2011, and with an eye to long-term returns and disruptive technologies, Casdin Capital is a trusted investor-partner in both private and public companies, collaborating with industry leaders to fuel their visions, adding energy, insight, and experience to the firm’s over $3 billion under management. For more information, please visit casdincapital.com.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Viking Global Investors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Founded in 1999, Viking is a global investment management firm that manages approximately $48 billion of capital for its investors. It has offices in Greenwich, New York, Hong Kong, London, and San Francisco and is registered as an investment adviser with the U.S. Securities and Exchange Commission. For more information, please visit </w:t>
      </w:r>
      <w:r>
        <w:rPr>
          <w:rFonts w:ascii="Times New Roman" w:cs="Times New Roman" w:eastAsia="Times New Roman" w:hAnsi="Times New Roman"/>
          <w:sz w:val="18"/>
          <w:szCs w:val="18"/>
          <w:u w:val="single" w:color="auto"/>
          <w:color w:val="auto"/>
        </w:rPr>
        <w:t>www.vikingglobal.com</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including, among others, statements regarding: Standard BioTools’ expectations to accelerate growth and innovation; expectations for portfolio expansion; cost structure optimization; ability to achieve greater breadth and scale; expectations to realize new opportunities within mass cytometry and microfluidics; our ability to improve the human condition; expectations for the transaction to create significant value for all stakeholders; improvements to the Company’s balance sheet; and other expectations for Standard BioTools following the closing of the transaction. Forward-looking statements are subject to numerous risks and uncertainties that could cause actual results to differ materially from currently anticipated results, including but not limited to risks relating to: the potential adverse effects of the coronavirus pandemic on our business and operating results; changes in Standard BioTools’ business or external market conditions; uncertainties in contractual relationships; customers and prospective customers continuing to curtail or suspend activities utilizing our products; our ability and/or the ability of the research institutions utilizing our products and technology to obtain and maintain Emergency Use Authorization from the FDA and any other requisite authorizations or approvals to use our products and technology for diagnostic testing purposes; challenges inherent in developing, manufacturing, launching, marketing, and selling new products; interruptions or delays in the supply of components or materials for, or manufacturing of, Standard BioTools’ products; reliance on sales of capital equipment for a significant proportion of revenues in each quarter; seasonal variations in customer operations; unanticipated increases in costs or expenses; uncertainties in contractual relationships; reductions in research and development spending or changes in budget priorities by customers; Standard BioTools’ research and development and distribution plans and capabilities; interruptions or delays in the supply of components or materials for, or manufacturing of, Standard BioTools’ products; potential product performance and quality issues; risks associated with international operations; intellectual property risks; and competition. Information on these and additional risks and uncertainties and other information affecting Standard BioTools’ business and operating results is contained in its Annual Report on Form 10-K for the year ended December 31, 2021, and in its other filings with the Securities and Exchange Commission (the “SEC”). These forward-looking statements speak only as of the date of this communication. Standard BioTools disclaims any obligation to update these forward-looking statements except as may be required by law.</w:t>
      </w:r>
    </w:p>
    <w:p>
      <w:pPr>
        <w:sectPr>
          <w:pgSz w:w="11900" w:h="16838" w:orient="portrait"/>
          <w:cols w:equalWidth="0" w:num="1">
            <w:col w:w="11000"/>
          </w:cols>
          <w:pgMar w:left="440" w:top="266"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Spearman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650 243 6621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mark.spearman@fluidigm.com</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DeNardo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415 389 6400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ir@fluidigm.com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1)"/>
      <w:numFmt w:val="lowerRoman"/>
      <w:start w:val="2"/>
    </w:lvl>
  </w:abstractNum>
  <w:abstractNum w:abstractNumId="2">
    <w:nsid w:val="7A6D8D3C"/>
    <w:multiLevelType w:val="hybridMultilevel"/>
    <w:lvl w:ilvl="0">
      <w:lvlJc w:val="left"/>
      <w:lvlText w:val="(%1)"/>
      <w:numFmt w:val="lowerRoman"/>
      <w:start w:val="1"/>
    </w:lvl>
  </w:abstractNum>
  <w:abstractNum w:abstractNumId="3">
    <w:nsid w:val="4B588F54"/>
    <w:multiLevelType w:val="hybridMultilevel"/>
    <w:lvl w:ilvl="0">
      <w:lvlJc w:val="left"/>
      <w:lvlText w:val="%1"/>
      <w:numFmt w:val="decimal"/>
      <w:start w:val="104"/>
    </w:lvl>
  </w:abstractNum>
  <w:abstractNum w:abstractNumId="4">
    <w:nsid w:val="542289EC"/>
    <w:multiLevelType w:val="hybridMultilevel"/>
    <w:lvl w:ilvl="0">
      <w:lvlJc w:val="left"/>
      <w:lvlText w:val="(%1)"/>
      <w:numFmt w:val="lowerLetter"/>
      <w:start w:val="1"/>
    </w:lvl>
  </w:abstractNum>
  <w:abstractNum w:abstractNumId="5">
    <w:nsid w:val="6DE91B18"/>
    <w:multiLevelType w:val="hybridMultilevel"/>
    <w:lvl w:ilvl="0">
      <w:lvlJc w:val="left"/>
      <w:lvlText w:val="(%1)"/>
      <w:numFmt w:val="lowerRoman"/>
      <w:start w:val="2"/>
    </w:lvl>
  </w:abstractNum>
  <w:abstractNum w:abstractNumId="6">
    <w:nsid w:val="38437FDB"/>
    <w:multiLevelType w:val="hybridMultilevel"/>
    <w:lvl w:ilvl="0">
      <w:lvlJc w:val="left"/>
      <w:lvlText w:val="(%1)"/>
      <w:numFmt w:val="lowerRoman"/>
      <w:start w:val="1"/>
    </w:lvl>
  </w:abstractNum>
  <w:abstractNum w:abstractNumId="7">
    <w:nsid w:val="7644A45C"/>
    <w:multiLevelType w:val="hybridMultilevel"/>
    <w:lvl w:ilvl="0">
      <w:lvlJc w:val="left"/>
      <w:lvlText w:val="(%1)"/>
      <w:numFmt w:val="lowerRoman"/>
      <w:start w:val="2"/>
    </w:lvl>
  </w:abstractNum>
  <w:abstractNum w:abstractNumId="8">
    <w:nsid w:val="32FFF902"/>
    <w:multiLevelType w:val="hybridMultilevel"/>
    <w:lvl w:ilvl="0">
      <w:lvlJc w:val="left"/>
      <w:lvlText w:val="(%1)"/>
      <w:numFmt w:val="lowerRoman"/>
      <w:start w:val="1"/>
    </w:lvl>
  </w:abstractNum>
  <w:abstractNum w:abstractNumId="9">
    <w:nsid w:val="684A481A"/>
    <w:multiLevelType w:val="hybridMultilevel"/>
    <w:lvl w:ilvl="0">
      <w:lvlJc w:val="left"/>
      <w:lvlText w:val="(%1)"/>
      <w:numFmt w:val="lowerLetter"/>
      <w:start w:val="1"/>
    </w:lvl>
  </w:abstractNum>
  <w:abstractNum w:abstractNumId="10">
    <w:nsid w:val="579478FE"/>
    <w:multiLevelType w:val="hybridMultilevel"/>
    <w:lvl w:ilvl="0">
      <w:lvlJc w:val="left"/>
      <w:lvlText w:val="(%1)"/>
      <w:numFmt w:val="lowerLetter"/>
      <w:start w:val="2"/>
    </w:lvl>
  </w:abstractNum>
  <w:abstractNum w:abstractNumId="11">
    <w:nsid w:val="749ABB43"/>
    <w:multiLevelType w:val="hybridMultilevel"/>
    <w:lvl w:ilvl="0">
      <w:lvlJc w:val="left"/>
      <w:lvlText w:val="(%1)"/>
      <w:numFmt w:val="lowerLetter"/>
      <w:start w:val="1"/>
    </w:lvl>
  </w:abstractNum>
  <w:abstractNum w:abstractNumId="12">
    <w:nsid w:val="3DC240F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3">
    <w:nsid w:val="1BA026FA"/>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1"/>
    </w:lvl>
  </w:abstractNum>
  <w:abstractNum w:abstractNumId="14">
    <w:nsid w:val="79A1DEAA"/>
    <w:multiLevelType w:val="hybridMultilevel"/>
    <w:lvl w:ilvl="0">
      <w:lvlJc w:val="left"/>
      <w:lvlText w:val="(%1)"/>
      <w:numFmt w:val="lowerLetter"/>
      <w:start w:val="1"/>
    </w:lvl>
  </w:abstractNum>
  <w:abstractNum w:abstractNumId="15">
    <w:nsid w:val="75C6C33A"/>
    <w:multiLevelType w:val="hybridMultilevel"/>
    <w:lvl w:ilvl="0">
      <w:lvlJc w:val="left"/>
      <w:lvlText w:val="(%1)"/>
      <w:numFmt w:val="lowerRoman"/>
      <w:start w:val="1"/>
    </w:lvl>
  </w:abstractNum>
  <w:abstractNum w:abstractNumId="16">
    <w:nsid w:val="12E685FB"/>
    <w:multiLevelType w:val="hybridMultilevel"/>
    <w:lvl w:ilvl="0">
      <w:lvlJc w:val="left"/>
      <w:lvlText w:val="(%1)"/>
      <w:numFmt w:val="lowerLetter"/>
      <w:start w:val="2"/>
    </w:lvl>
  </w:abstractNum>
  <w:abstractNum w:abstractNumId="17">
    <w:nsid w:val="70C6A529"/>
    <w:multiLevelType w:val="hybridMultilevel"/>
    <w:lvl w:ilvl="0">
      <w:lvlJc w:val="left"/>
      <w:lvlText w:val="%1"/>
      <w:numFmt w:val="lowerLetter"/>
      <w:start w:val="1"/>
    </w:lvl>
    <w:lvl w:ilvl="1">
      <w:lvlJc w:val="left"/>
      <w:lvlText w:val="(%2)"/>
      <w:numFmt w:val="lowerLetter"/>
      <w:start w:val="4"/>
    </w:lvl>
  </w:abstractNum>
  <w:abstractNum w:abstractNumId="18">
    <w:nsid w:val="520EEDD1"/>
    <w:multiLevelType w:val="hybridMultilevel"/>
    <w:lvl w:ilvl="0">
      <w:lvlJc w:val="left"/>
      <w:lvlText w:val="(%1)"/>
      <w:numFmt w:val="lowerLetter"/>
      <w:start w:val="9"/>
    </w:lvl>
    <w:lvl w:ilvl="1">
      <w:lvlJc w:val="left"/>
      <w:lvlText w:val="%2"/>
      <w:numFmt w:val="lowerLetter"/>
      <w:start w:val="1"/>
    </w:lvl>
  </w:abstractNum>
  <w:abstractNum w:abstractNumId="19">
    <w:nsid w:val="374A3FE6"/>
    <w:multiLevelType w:val="hybridMultilevel"/>
    <w:lvl w:ilvl="0">
      <w:lvlJc w:val="left"/>
      <w:lvlText w:val="(%1)"/>
      <w:numFmt w:val="lowerLetter"/>
      <w:start w:val="1"/>
    </w:lvl>
  </w:abstractNum>
  <w:abstractNum w:abstractNumId="20">
    <w:nsid w:val="4F4EF005"/>
    <w:multiLevelType w:val="hybridMultilevel"/>
    <w:lvl w:ilvl="0">
      <w:lvlJc w:val="left"/>
      <w:lvlText w:val="%1"/>
      <w:numFmt w:val="lowerLetter"/>
      <w:start w:val="1"/>
    </w:lvl>
    <w:lvl w:ilvl="1">
      <w:lvlJc w:val="left"/>
      <w:lvlText w:val="(%2)"/>
      <w:numFmt w:val="lowerRoman"/>
      <w:start w:val="1"/>
    </w:lvl>
  </w:abstractNum>
  <w:abstractNum w:abstractNumId="21">
    <w:nsid w:val="23F9C13C"/>
    <w:multiLevelType w:val="hybridMultilevel"/>
    <w:lvl w:ilvl="0">
      <w:lvlJc w:val="left"/>
      <w:lvlText w:val="(%1)"/>
      <w:numFmt w:val="lowerLetter"/>
      <w:start w:val="4"/>
    </w:lvl>
    <w:lvl w:ilvl="1">
      <w:lvlJc w:val="left"/>
      <w:lvlText w:val="%2"/>
      <w:numFmt w:val="lowerRoman"/>
      <w:start w:val="1"/>
    </w:lvl>
  </w:abstractNum>
  <w:abstractNum w:abstractNumId="22">
    <w:nsid w:val="649BB77C"/>
    <w:multiLevelType w:val="hybridMultilevel"/>
    <w:lvl w:ilvl="0">
      <w:lvlJc w:val="left"/>
      <w:lvlText w:val="(%1)"/>
      <w:numFmt w:val="lowerLetter"/>
      <w:start w:val="7"/>
    </w:lvl>
  </w:abstractNum>
  <w:abstractNum w:abstractNumId="23">
    <w:nsid w:val="275AC794"/>
    <w:multiLevelType w:val="hybridMultilevel"/>
    <w:lvl w:ilvl="0">
      <w:lvlJc w:val="left"/>
      <w:lvlText w:val="(%1)"/>
      <w:numFmt w:val="lowerLetter"/>
      <w:start w:val="1"/>
    </w:lvl>
  </w:abstractNum>
  <w:abstractNum w:abstractNumId="24">
    <w:nsid w:val="39386575"/>
    <w:multiLevelType w:val="hybridMultilevel"/>
    <w:lvl w:ilvl="0">
      <w:lvlJc w:val="left"/>
      <w:lvlText w:val="(%1)"/>
      <w:numFmt w:val="lowerLetter"/>
      <w:start w:val="1"/>
    </w:lvl>
  </w:abstractNum>
  <w:abstractNum w:abstractNumId="25">
    <w:nsid w:val="1CF10FD8"/>
    <w:multiLevelType w:val="hybridMultilevel"/>
    <w:lvl w:ilvl="0">
      <w:lvlJc w:val="left"/>
      <w:lvlText w:val="(%1)"/>
      <w:numFmt w:val="lowerLetter"/>
      <w:start w:val="2"/>
    </w:lvl>
  </w:abstractNum>
  <w:abstractNum w:abstractNumId="26">
    <w:nsid w:val="180115BE"/>
    <w:multiLevelType w:val="hybridMultilevel"/>
    <w:lvl w:ilvl="0">
      <w:lvlJc w:val="left"/>
      <w:lvlText w:val="(%1)"/>
      <w:numFmt w:val="lowerLetter"/>
      <w:start w:val="3"/>
    </w:lvl>
  </w:abstractNum>
  <w:abstractNum w:abstractNumId="27">
    <w:nsid w:val="235BA861"/>
    <w:multiLevelType w:val="hybridMultilevel"/>
    <w:lvl w:ilvl="0">
      <w:lvlJc w:val="left"/>
      <w:lvlText w:val="(%1)"/>
      <w:numFmt w:val="upperLetter"/>
      <w:start w:val="1"/>
    </w:lvl>
  </w:abstractNum>
  <w:abstractNum w:abstractNumId="28">
    <w:nsid w:val="47398C89"/>
    <w:multiLevelType w:val="hybridMultilevel"/>
    <w:lvl w:ilvl="0">
      <w:lvlJc w:val="left"/>
      <w:lvlText w:val="(%1)"/>
      <w:numFmt w:val="lowerLetter"/>
      <w:start w:val="4"/>
    </w:lvl>
  </w:abstractNum>
  <w:abstractNum w:abstractNumId="29">
    <w:nsid w:val="354FE9F9"/>
    <w:multiLevelType w:val="hybridMultilevel"/>
    <w:lvl w:ilvl="0">
      <w:lvlJc w:val="left"/>
      <w:lvlText w:val="(%1)"/>
      <w:numFmt w:val="lowerLetter"/>
      <w:start w:val="5"/>
    </w:lvl>
  </w:abstractNum>
  <w:abstractNum w:abstractNumId="30">
    <w:nsid w:val="15B5AF5C"/>
    <w:multiLevelType w:val="hybridMultilevel"/>
    <w:lvl w:ilvl="0">
      <w:lvlJc w:val="left"/>
      <w:lvlText w:val="(%1)"/>
      <w:numFmt w:val="lowerLetter"/>
      <w:start w:val="8"/>
    </w:lvl>
    <w:lvl w:ilvl="1">
      <w:lvlJc w:val="left"/>
      <w:lvlText w:val="(%2)"/>
      <w:numFmt w:val="lowerRoman"/>
      <w:start w:val="1"/>
    </w:lvl>
  </w:abstractNum>
  <w:abstractNum w:abstractNumId="31">
    <w:nsid w:val="741226BB"/>
    <w:multiLevelType w:val="hybridMultilevel"/>
    <w:lvl w:ilvl="0">
      <w:lvlJc w:val="left"/>
      <w:lvlText w:val="%1"/>
      <w:numFmt w:val="lowerLetter"/>
      <w:start w:val="1"/>
    </w:lvl>
    <w:lvl w:ilvl="1">
      <w:lvlJc w:val="left"/>
      <w:lvlText w:val="(%2)"/>
      <w:numFmt w:val="lowerRoman"/>
      <w:start w:val="5"/>
    </w:lvl>
  </w:abstractNum>
  <w:abstractNum w:abstractNumId="32">
    <w:nsid w:val="D34B6A8"/>
    <w:multiLevelType w:val="hybridMultilevel"/>
    <w:lvl w:ilvl="0">
      <w:lvlJc w:val="left"/>
      <w:lvlText w:val="(%1)"/>
      <w:numFmt w:val="lowerLetter"/>
      <w:start w:val="10"/>
    </w:lvl>
    <w:lvl w:ilvl="1">
      <w:lvlJc w:val="left"/>
      <w:lvlText w:val="%2"/>
      <w:numFmt w:val="lowerRoman"/>
      <w:start w:val="1"/>
    </w:lvl>
  </w:abstractNum>
  <w:abstractNum w:abstractNumId="33">
    <w:nsid w:val="10233C99"/>
    <w:multiLevelType w:val="hybridMultilevel"/>
    <w:lvl w:ilvl="0">
      <w:lvlJc w:val="left"/>
      <w:lvlText w:val="(%1)"/>
      <w:numFmt w:val="lowerLetter"/>
      <w:start w:val="1"/>
    </w:lvl>
    <w:lvl w:ilvl="1">
      <w:lvlJc w:val="left"/>
      <w:lvlText w:val="(%2)"/>
      <w:numFmt w:val="lowerRoman"/>
      <w:start w:val="1"/>
    </w:lvl>
  </w:abstractNum>
  <w:abstractNum w:abstractNumId="34">
    <w:nsid w:val="3F6AB60F"/>
    <w:multiLevelType w:val="hybridMultilevel"/>
    <w:lvl w:ilvl="0">
      <w:lvlJc w:val="left"/>
      <w:lvlText w:val="(%1)"/>
      <w:numFmt w:val="lowerLetter"/>
      <w:start w:val="2"/>
    </w:lvl>
  </w:abstractNum>
  <w:abstractNum w:abstractNumId="35">
    <w:nsid w:val="61574095"/>
    <w:multiLevelType w:val="hybridMultilevel"/>
    <w:lvl w:ilvl="0">
      <w:lvlJc w:val="left"/>
      <w:lvlText w:val="(%1)"/>
      <w:numFmt w:val="lowerLetter"/>
      <w:start w:val="3"/>
    </w:lvl>
  </w:abstractNum>
  <w:abstractNum w:abstractNumId="36">
    <w:nsid w:val="7E0C57B1"/>
    <w:multiLevelType w:val="hybridMultilevel"/>
    <w:lvl w:ilvl="0">
      <w:lvlJc w:val="left"/>
      <w:lvlText w:val="(%1)"/>
      <w:numFmt w:val="lowerLetter"/>
      <w:start w:val="1"/>
    </w:lvl>
  </w:abstractNum>
  <w:abstractNum w:abstractNumId="37">
    <w:nsid w:val="77AE35EB"/>
    <w:multiLevelType w:val="hybridMultilevel"/>
    <w:lvl w:ilvl="0">
      <w:lvlJc w:val="left"/>
      <w:lvlText w:val="(%1)"/>
      <w:numFmt w:val="lowerLetter"/>
      <w:start w:val="2"/>
    </w:lvl>
    <w:lvl w:ilvl="1">
      <w:lvlJc w:val="left"/>
      <w:lvlText w:val="(%2)"/>
      <w:numFmt w:val="lowerRoman"/>
      <w:start w:val="1"/>
    </w:lvl>
  </w:abstractNum>
  <w:abstractNum w:abstractNumId="38">
    <w:nsid w:val="579BE4F1"/>
    <w:multiLevelType w:val="hybridMultilevel"/>
    <w:lvl w:ilvl="0">
      <w:lvlJc w:val="left"/>
      <w:lvlText w:val="(%1)"/>
      <w:numFmt w:val="lowerRoman"/>
      <w:start w:val="1"/>
    </w:lvl>
  </w:abstractNum>
  <w:abstractNum w:abstractNumId="39">
    <w:nsid w:val="310C50B3"/>
    <w:multiLevelType w:val="hybridMultilevel"/>
    <w:lvl w:ilvl="0">
      <w:lvlJc w:val="left"/>
      <w:lvlText w:val="%1"/>
      <w:numFmt w:val="lowerLetter"/>
      <w:start w:val="1"/>
    </w:lvl>
    <w:lvl w:ilvl="1">
      <w:lvlJc w:val="left"/>
      <w:lvlText w:val="(%2)"/>
      <w:numFmt w:val="lowerRoman"/>
      <w:start w:val="5"/>
    </w:lvl>
  </w:abstractNum>
  <w:abstractNum w:abstractNumId="40">
    <w:nsid w:val="5FF87E05"/>
    <w:multiLevelType w:val="hybridMultilevel"/>
    <w:lvl w:ilvl="0">
      <w:lvlJc w:val="left"/>
      <w:lvlText w:val="(%1)"/>
      <w:numFmt w:val="lowerLetter"/>
      <w:start w:val="4"/>
    </w:lvl>
    <w:lvl w:ilvl="1">
      <w:lvlJc w:val="left"/>
      <w:lvlText w:val="%2"/>
      <w:numFmt w:val="lowerRoman"/>
      <w:start w:val="1"/>
    </w:lvl>
  </w:abstractNum>
  <w:abstractNum w:abstractNumId="41">
    <w:nsid w:val="2F305DEF"/>
    <w:multiLevelType w:val="hybridMultilevel"/>
    <w:lvl w:ilvl="0">
      <w:lvlJc w:val="left"/>
      <w:lvlText w:val="(%1)"/>
      <w:numFmt w:val="lowerLetter"/>
      <w:start w:val="1"/>
    </w:lvl>
  </w:abstractNum>
  <w:abstractNum w:abstractNumId="42">
    <w:nsid w:val="25A70BF7"/>
    <w:multiLevelType w:val="hybridMultilevel"/>
    <w:lvl w:ilvl="0">
      <w:lvlJc w:val="left"/>
      <w:lvlText w:val="(%1)"/>
      <w:numFmt w:val="lowerLetter"/>
      <w:start w:val="1"/>
    </w:lvl>
  </w:abstractNum>
  <w:abstractNum w:abstractNumId="43">
    <w:nsid w:val="1DBABF00"/>
    <w:multiLevelType w:val="hybridMultilevel"/>
    <w:lvl w:ilvl="0">
      <w:lvlJc w:val="left"/>
      <w:lvlText w:val="(%1)"/>
      <w:numFmt w:val="lowerLetter"/>
      <w:start w:val="1"/>
    </w:lvl>
  </w:abstractNum>
  <w:abstractNum w:abstractNumId="44">
    <w:nsid w:val="4AD084E9"/>
    <w:multiLevelType w:val="hybridMultilevel"/>
    <w:lvl w:ilvl="0">
      <w:lvlJc w:val="left"/>
      <w:lvlText w:val="(%1)"/>
      <w:numFmt w:val="lowerLetter"/>
      <w:start w:val="1"/>
    </w:lvl>
  </w:abstractNum>
  <w:abstractNum w:abstractNumId="45">
    <w:nsid w:val="1F48EAA1"/>
    <w:multiLevelType w:val="hybridMultilevel"/>
    <w:lvl w:ilvl="0">
      <w:lvlJc w:val="left"/>
      <w:lvlText w:val="(%1)"/>
      <w:numFmt w:val="lowerRoman"/>
      <w:start w:val="2"/>
    </w:lvl>
  </w:abstractNum>
  <w:abstractNum w:abstractNumId="46">
    <w:nsid w:val="1381823A"/>
    <w:multiLevelType w:val="hybridMultilevel"/>
    <w:lvl w:ilvl="0">
      <w:lvlJc w:val="left"/>
      <w:lvlText w:val="(%1)"/>
      <w:numFmt w:val="lowerRoman"/>
      <w:start w:val="1"/>
    </w:lvl>
  </w:abstractNum>
  <w:abstractNum w:abstractNumId="47">
    <w:nsid w:val="5DB70AE5"/>
    <w:multiLevelType w:val="hybridMultilevel"/>
    <w:lvl w:ilvl="0">
      <w:lvlJc w:val="left"/>
      <w:lvlText w:val="(%1)"/>
      <w:numFmt w:val="lowerRoman"/>
      <w:start w:val="2"/>
    </w:lvl>
  </w:abstractNum>
  <w:abstractNum w:abstractNumId="48">
    <w:nsid w:val="100F8FCA"/>
    <w:multiLevelType w:val="hybridMultilevel"/>
    <w:lvl w:ilvl="0">
      <w:lvlJc w:val="left"/>
      <w:lvlText w:val="(%1)"/>
      <w:numFmt w:val="lowerRoman"/>
      <w:start w:val="1"/>
    </w:lvl>
  </w:abstractNum>
  <w:abstractNum w:abstractNumId="49">
    <w:nsid w:val="6590700B"/>
    <w:multiLevelType w:val="hybridMultilevel"/>
    <w:lvl w:ilvl="0">
      <w:lvlJc w:val="left"/>
      <w:lvlText w:val="(%1)"/>
      <w:numFmt w:val="lowerLetter"/>
      <w:start w:val="1"/>
    </w:lvl>
  </w:abstractNum>
  <w:abstractNum w:abstractNumId="50">
    <w:nsid w:val="15014ACB"/>
    <w:multiLevelType w:val="hybridMultilevel"/>
    <w:lvl w:ilvl="0">
      <w:lvlJc w:val="left"/>
      <w:lvlText w:val="(%1)"/>
      <w:numFmt w:val="lowerLetter"/>
      <w:start w:val="2"/>
    </w:lvl>
  </w:abstractNum>
  <w:abstractNum w:abstractNumId="51">
    <w:nsid w:val="5F5E7FD0"/>
    <w:multiLevelType w:val="hybridMultilevel"/>
    <w:lvl w:ilvl="0">
      <w:lvlJc w:val="left"/>
      <w:lvlText w:val="(%1)"/>
      <w:numFmt w:val="lowerLetter"/>
      <w:start w:val="1"/>
    </w:lvl>
  </w:abstractNum>
  <w:abstractNum w:abstractNumId="52">
    <w:nsid w:val="98A3148"/>
    <w:multiLevelType w:val="hybridMultilevel"/>
    <w:lvl w:ilvl="0">
      <w:lvlJc w:val="left"/>
      <w:lvlText w:val="(%1)"/>
      <w:numFmt w:val="lowerLetter"/>
      <w:start w:val="2"/>
    </w:lvl>
  </w:abstractNum>
  <w:abstractNum w:abstractNumId="53">
    <w:nsid w:val="799D0247"/>
    <w:multiLevelType w:val="hybridMultilevel"/>
    <w:lvl w:ilvl="0">
      <w:lvlJc w:val="left"/>
      <w:lvlText w:val="(%1)"/>
      <w:numFmt w:val="lowerLetter"/>
      <w:start w:val="1"/>
    </w:lvl>
  </w:abstractNum>
  <w:abstractNum w:abstractNumId="54">
    <w:nsid w:val="6B94764"/>
    <w:multiLevelType w:val="hybridMultilevel"/>
    <w:lvl w:ilvl="0">
      <w:lvlJc w:val="left"/>
      <w:lvlText w:val="(%1)"/>
      <w:numFmt w:val="lowerLetter"/>
      <w:start w:val="2"/>
    </w:lvl>
    <w:lvl w:ilvl="1">
      <w:lvlJc w:val="left"/>
      <w:lvlText w:val="(%2)"/>
      <w:numFmt w:val="lowerRoman"/>
      <w:start w:val="1"/>
    </w:lvl>
  </w:abstractNum>
  <w:abstractNum w:abstractNumId="55">
    <w:nsid w:val="42C296BD"/>
    <w:multiLevelType w:val="hybridMultilevel"/>
    <w:lvl w:ilvl="0">
      <w:lvlJc w:val="left"/>
      <w:lvlText w:val="(%1)"/>
      <w:numFmt w:val="lowerLetter"/>
      <w:start w:val="1"/>
    </w:lvl>
    <w:lvl w:ilvl="1">
      <w:lvlJc w:val="left"/>
      <w:lvlText w:val="(%2)"/>
      <w:numFmt w:val="lowerRoman"/>
      <w:start w:val="1"/>
    </w:lvl>
  </w:abstractNum>
  <w:abstractNum w:abstractNumId="56">
    <w:nsid w:val="168E121F"/>
    <w:multiLevelType w:val="hybridMultilevel"/>
    <w:lvl w:ilvl="0">
      <w:lvlJc w:val="left"/>
      <w:lvlText w:val="(%1)"/>
      <w:numFmt w:val="lowerLetter"/>
      <w:start w:val="2"/>
    </w:lvl>
  </w:abstractNum>
  <w:abstractNum w:abstractNumId="57">
    <w:nsid w:val="1EBA5D23"/>
    <w:multiLevelType w:val="hybridMultilevel"/>
    <w:lvl w:ilvl="0">
      <w:lvlJc w:val="left"/>
      <w:lvlText w:val="%1"/>
      <w:numFmt w:val="lowerLetter"/>
      <w:start w:val="1"/>
    </w:lvl>
    <w:lvl w:ilvl="1">
      <w:lvlJc w:val="left"/>
      <w:lvlText w:val="(%2)"/>
      <w:numFmt w:val="lowerLetter"/>
      <w:start w:val="5"/>
    </w:lvl>
  </w:abstractNum>
  <w:abstractNum w:abstractNumId="58">
    <w:nsid w:val="661E3F1E"/>
    <w:multiLevelType w:val="hybridMultilevel"/>
    <w:lvl w:ilvl="0">
      <w:lvlJc w:val="left"/>
      <w:lvlText w:val="(%1)"/>
      <w:numFmt w:val="lowerLetter"/>
      <w:start w:val="9"/>
    </w:lvl>
    <w:lvl w:ilvl="1">
      <w:lvlJc w:val="left"/>
      <w:lvlText w:val="%2"/>
      <w:numFmt w:val="lowerLetter"/>
      <w:start w:val="1"/>
    </w:lvl>
  </w:abstractNum>
  <w:abstractNum w:abstractNumId="59">
    <w:nsid w:val="5DC79EA8"/>
    <w:multiLevelType w:val="hybridMultilevel"/>
    <w:lvl w:ilvl="0">
      <w:lvlJc w:val="left"/>
      <w:lvlText w:val="%1"/>
      <w:numFmt w:val="upperLetter"/>
      <w:start w:val="1"/>
    </w:lvl>
    <w:lvl w:ilvl="1">
      <w:lvlJc w:val="left"/>
      <w:lvlText w:val="(%2)"/>
      <w:numFmt w:val="lowerLetter"/>
      <w:start w:val="1"/>
    </w:lvl>
  </w:abstractNum>
  <w:abstractNum w:abstractNumId="60">
    <w:nsid w:val="540A471C"/>
    <w:multiLevelType w:val="hybridMultilevel"/>
    <w:lvl w:ilvl="0">
      <w:lvlJc w:val="left"/>
      <w:lvlText w:val="(%1)"/>
      <w:numFmt w:val="upperLetter"/>
      <w:start w:val="2"/>
    </w:lvl>
    <w:lvl w:ilvl="1">
      <w:lvlJc w:val="left"/>
      <w:lvlText w:val="%2"/>
      <w:numFmt w:val="lowerLetter"/>
      <w:start w:val="1"/>
    </w:lvl>
  </w:abstractNum>
  <w:abstractNum w:abstractNumId="61">
    <w:nsid w:val="7BD3EE7B"/>
    <w:multiLevelType w:val="hybridMultilevel"/>
    <w:lvl w:ilvl="0">
      <w:lvlJc w:val="left"/>
      <w:lvlText w:val="(%1)"/>
      <w:numFmt w:val="lowerLetter"/>
      <w:start w:val="2"/>
    </w:lvl>
    <w:lvl w:ilvl="1">
      <w:lvlJc w:val="left"/>
      <w:lvlText w:val="(%2)"/>
      <w:numFmt w:val="lowerRoman"/>
      <w:start w:val="1"/>
    </w:lvl>
  </w:abstractNum>
  <w:abstractNum w:abstractNumId="62">
    <w:nsid w:val="51D9C564"/>
    <w:multiLevelType w:val="hybridMultilevel"/>
    <w:lvl w:ilvl="0">
      <w:lvlJc w:val="left"/>
      <w:lvlText w:val="(%1)"/>
      <w:numFmt w:val="lowerLetter"/>
      <w:start w:val="5"/>
    </w:lvl>
  </w:abstractNum>
  <w:abstractNum w:abstractNumId="63">
    <w:nsid w:val="613EFDC5"/>
    <w:multiLevelType w:val="hybridMultilevel"/>
    <w:lvl w:ilvl="0">
      <w:lvlJc w:val="left"/>
      <w:lvlText w:val="(%1)"/>
      <w:numFmt w:val="lowerLetter"/>
      <w:start w:val="9"/>
    </w:lvl>
  </w:abstractNum>
  <w:abstractNum w:abstractNumId="64">
    <w:nsid w:val="BF72B14"/>
    <w:multiLevelType w:val="hybridMultilevel"/>
    <w:lvl w:ilvl="0">
      <w:lvlJc w:val="left"/>
      <w:lvlText w:val="(%1)"/>
      <w:numFmt w:val="lowerLetter"/>
      <w:start w:val="1"/>
    </w:lvl>
  </w:abstractNum>
  <w:abstractNum w:abstractNumId="65">
    <w:nsid w:val="11447B73"/>
    <w:multiLevelType w:val="hybridMultilevel"/>
    <w:lvl w:ilvl="0">
      <w:lvlJc w:val="left"/>
      <w:lvlText w:val="(%1)"/>
      <w:numFmt w:val="lowerLetter"/>
      <w:start w:val="2"/>
    </w:lvl>
  </w:abstractNum>
  <w:abstractNum w:abstractNumId="66">
    <w:nsid w:val="42963E5A"/>
    <w:multiLevelType w:val="hybridMultilevel"/>
    <w:lvl w:ilvl="0">
      <w:lvlJc w:val="left"/>
      <w:lvlText w:val="(%1)"/>
      <w:numFmt w:val="lowerLetter"/>
      <w:start w:val="1"/>
    </w:lvl>
  </w:abstractNum>
  <w:abstractNum w:abstractNumId="67">
    <w:nsid w:val="A0382C5"/>
    <w:multiLevelType w:val="hybridMultilevel"/>
    <w:lvl w:ilvl="0">
      <w:lvlJc w:val="left"/>
      <w:lvlText w:val="(%1)"/>
      <w:numFmt w:val="lowerLetter"/>
      <w:start w:val="2"/>
    </w:lvl>
  </w:abstractNum>
  <w:abstractNum w:abstractNumId="68">
    <w:nsid w:val="8F2B15E"/>
    <w:multiLevelType w:val="hybridMultilevel"/>
    <w:lvl w:ilvl="0">
      <w:lvlJc w:val="left"/>
      <w:lvlText w:val="(%1)"/>
      <w:numFmt w:val="lowerLetter"/>
      <w:start w:val="3"/>
    </w:lvl>
  </w:abstractNum>
  <w:abstractNum w:abstractNumId="69">
    <w:nsid w:val="1A32234B"/>
    <w:multiLevelType w:val="hybridMultilevel"/>
    <w:lvl w:ilvl="0">
      <w:lvlJc w:val="left"/>
      <w:lvlText w:val="(%1)"/>
      <w:numFmt w:val="decimal"/>
      <w:start w:val="2"/>
    </w:lvl>
  </w:abstractNum>
  <w:abstractNum w:abstractNumId="70">
    <w:nsid w:val="3B0FD379"/>
    <w:multiLevelType w:val="hybridMultilevel"/>
    <w:lvl w:ilvl="0">
      <w:lvlJc w:val="left"/>
      <w:lvlText w:val="(%1)"/>
      <w:numFmt w:val="decimal"/>
      <w:start w:val="1"/>
    </w:lvl>
  </w:abstractNum>
  <w:abstractNum w:abstractNumId="71">
    <w:nsid w:val="68EB2F63"/>
    <w:multiLevelType w:val="hybridMultilevel"/>
    <w:lvl w:ilvl="0">
      <w:lvlJc w:val="left"/>
      <w:lvlText w:val="(%1)"/>
      <w:numFmt w:val="lowerLetter"/>
      <w:start w:val="4"/>
    </w:lvl>
  </w:abstractNum>
  <w:abstractNum w:abstractNumId="72">
    <w:nsid w:val="4962813B"/>
    <w:multiLevelType w:val="hybridMultilevel"/>
    <w:lvl w:ilvl="0">
      <w:lvlJc w:val="left"/>
      <w:lvlText w:val="(%1)"/>
      <w:numFmt w:val="lowerLetter"/>
      <w:start w:val="5"/>
    </w:lvl>
  </w:abstractNum>
  <w:abstractNum w:abstractNumId="73">
    <w:nsid w:val="60B6DF70"/>
    <w:multiLevelType w:val="hybridMultilevel"/>
    <w:lvl w:ilvl="0">
      <w:lvlJc w:val="left"/>
      <w:lvlText w:val="(%1)"/>
      <w:numFmt w:val="lowerLetter"/>
      <w:start w:val="8"/>
    </w:lvl>
    <w:lvl w:ilvl="1">
      <w:lvlJc w:val="left"/>
      <w:lvlText w:val="(%2)"/>
      <w:numFmt w:val="lowerRoman"/>
      <w:start w:val="1"/>
    </w:lvl>
  </w:abstractNum>
  <w:abstractNum w:abstractNumId="74">
    <w:nsid w:val="6A5EE64"/>
    <w:multiLevelType w:val="hybridMultilevel"/>
    <w:lvl w:ilvl="0">
      <w:lvlJc w:val="left"/>
      <w:lvlText w:val="(%1)"/>
      <w:numFmt w:val="lowerLetter"/>
      <w:start w:val="10"/>
    </w:lvl>
  </w:abstractNum>
  <w:abstractNum w:abstractNumId="75">
    <w:nsid w:val="14330624"/>
    <w:multiLevelType w:val="hybridMultilevel"/>
    <w:lvl w:ilvl="0">
      <w:lvlJc w:val="left"/>
      <w:lvlText w:val="(%1)"/>
      <w:numFmt w:val="lowerLetter"/>
      <w:start w:val="1"/>
    </w:lvl>
    <w:lvl w:ilvl="1">
      <w:lvlJc w:val="left"/>
      <w:lvlText w:val="(%2)"/>
      <w:numFmt w:val="lowerRoman"/>
      <w:start w:val="1"/>
    </w:lvl>
  </w:abstractNum>
  <w:abstractNum w:abstractNumId="76">
    <w:nsid w:val="7FFFCA11"/>
    <w:multiLevelType w:val="hybridMultilevel"/>
    <w:lvl w:ilvl="0">
      <w:lvlJc w:val="left"/>
      <w:lvlText w:val="(%1)"/>
      <w:numFmt w:val="lowerRoman"/>
      <w:start w:val="3"/>
    </w:lvl>
  </w:abstractNum>
  <w:abstractNum w:abstractNumId="77">
    <w:nsid w:val="1A27709E"/>
    <w:multiLevelType w:val="hybridMultilevel"/>
    <w:lvl w:ilvl="0">
      <w:lvlJc w:val="left"/>
      <w:lvlText w:val="(%1)"/>
      <w:numFmt w:val="lowerLetter"/>
      <w:start w:val="2"/>
    </w:lvl>
  </w:abstractNum>
  <w:abstractNum w:abstractNumId="78">
    <w:nsid w:val="71EA1109"/>
    <w:multiLevelType w:val="hybridMultilevel"/>
    <w:lvl w:ilvl="0">
      <w:lvlJc w:val="left"/>
      <w:lvlText w:val="(%1)"/>
      <w:numFmt w:val="lowerLetter"/>
      <w:start w:val="1"/>
    </w:lvl>
    <w:lvl w:ilvl="1">
      <w:lvlJc w:val="left"/>
      <w:lvlText w:val="(%2)"/>
      <w:numFmt w:val="lowerLetter"/>
      <w:start w:val="9"/>
    </w:lvl>
  </w:abstractNum>
  <w:abstractNum w:abstractNumId="79">
    <w:nsid w:val="100F59DC"/>
    <w:multiLevelType w:val="hybridMultilevel"/>
    <w:lvl w:ilvl="0">
      <w:lvlJc w:val="left"/>
      <w:lvlText w:val="%1"/>
      <w:numFmt w:val="lowerLetter"/>
      <w:start w:val="1"/>
    </w:lvl>
    <w:lvl w:ilvl="1">
      <w:lvlJc w:val="left"/>
      <w:lvlText w:val="(%2)"/>
      <w:numFmt w:val="lowerRoman"/>
      <w:start w:val="2"/>
    </w:lvl>
  </w:abstractNum>
  <w:abstractNum w:abstractNumId="80">
    <w:nsid w:val="7FB7E0AA"/>
    <w:multiLevelType w:val="hybridMultilevel"/>
    <w:lvl w:ilvl="0">
      <w:lvlJc w:val="left"/>
      <w:lvlText w:val="(%1)"/>
      <w:numFmt w:val="lowerLetter"/>
      <w:start w:val="3"/>
    </w:lvl>
    <w:lvl w:ilvl="1">
      <w:lvlJc w:val="left"/>
      <w:lvlText w:val="(%2)"/>
      <w:numFmt w:val="lowerRoman"/>
      <w:start w:val="1"/>
    </w:lvl>
  </w:abstractNum>
  <w:abstractNum w:abstractNumId="81">
    <w:nsid w:val="6EB5BD4"/>
    <w:multiLevelType w:val="hybridMultilevel"/>
    <w:lvl w:ilvl="0">
      <w:lvlJc w:val="left"/>
      <w:lvlText w:val="(%1)"/>
      <w:numFmt w:val="lowerRoman"/>
      <w:start w:val="3"/>
    </w:lvl>
  </w:abstractNum>
  <w:abstractNum w:abstractNumId="82">
    <w:nsid w:val="6F6DD9AC"/>
    <w:multiLevelType w:val="hybridMultilevel"/>
    <w:lvl w:ilvl="0">
      <w:lvlJc w:val="left"/>
      <w:lvlText w:val="(%1)"/>
      <w:numFmt w:val="lowerLetter"/>
      <w:start w:val="4"/>
    </w:lvl>
  </w:abstractNum>
  <w:abstractNum w:abstractNumId="83">
    <w:nsid w:val="94211F2"/>
    <w:multiLevelType w:val="hybridMultilevel"/>
    <w:lvl w:ilvl="0">
      <w:lvlJc w:val="left"/>
      <w:lvlText w:val="(%1)"/>
      <w:numFmt w:val="lowerLetter"/>
      <w:start w:val="1"/>
    </w:lvl>
  </w:abstractNum>
  <w:abstractNum w:abstractNumId="84">
    <w:nsid w:val="885E1B"/>
    <w:multiLevelType w:val="hybridMultilevel"/>
    <w:lvl w:ilvl="0">
      <w:lvlJc w:val="left"/>
      <w:lvlText w:val="(%1)"/>
      <w:numFmt w:val="lowerLetter"/>
      <w:start w:val="2"/>
    </w:lvl>
  </w:abstractNum>
  <w:abstractNum w:abstractNumId="85">
    <w:nsid w:val="76272110"/>
    <w:multiLevelType w:val="hybridMultilevel"/>
    <w:lvl w:ilvl="0">
      <w:lvlJc w:val="left"/>
      <w:lvlText w:val="(%1)"/>
      <w:numFmt w:val="lowerLetter"/>
      <w:start w:val="1"/>
    </w:lvl>
  </w:abstractNum>
  <w:abstractNum w:abstractNumId="86">
    <w:nsid w:val="4C04A8AF"/>
    <w:multiLevelType w:val="hybridMultilevel"/>
    <w:lvl w:ilvl="0">
      <w:lvlJc w:val="left"/>
      <w:lvlText w:val="(%1)"/>
      <w:numFmt w:val="lowerLetter"/>
      <w:start w:val="1"/>
    </w:lvl>
  </w:abstractNum>
  <w:abstractNum w:abstractNumId="87">
    <w:nsid w:val="1716703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44" Type="http://schemas.openxmlformats.org/officeDocument/2006/relationships/image" Target="media/image19.png"/><Relationship Id="rId45" Type="http://schemas.openxmlformats.org/officeDocument/2006/relationships/image" Target="media/image20.png"/><Relationship Id="rId46" Type="http://schemas.openxmlformats.org/officeDocument/2006/relationships/image" Target="media/image21.png"/><Relationship Id="rId47" Type="http://schemas.openxmlformats.org/officeDocument/2006/relationships/image" Target="media/image22.png"/><Relationship Id="rId48" Type="http://schemas.openxmlformats.org/officeDocument/2006/relationships/image" Target="media/image23.png"/><Relationship Id="rId49" Type="http://schemas.openxmlformats.org/officeDocument/2006/relationships/image" Target="media/image24.png"/><Relationship Id="rId50" Type="http://schemas.openxmlformats.org/officeDocument/2006/relationships/image" Target="media/image25.png"/><Relationship Id="rId51" Type="http://schemas.openxmlformats.org/officeDocument/2006/relationships/image" Target="media/image26.png"/><Relationship Id="rId52" Type="http://schemas.openxmlformats.org/officeDocument/2006/relationships/image" Target="media/image27.png"/><Relationship Id="rId53" Type="http://schemas.openxmlformats.org/officeDocument/2006/relationships/image" Target="media/image28.png"/><Relationship Id="rId54" Type="http://schemas.openxmlformats.org/officeDocument/2006/relationships/image" Target="media/image29.png"/><Relationship Id="rId55" Type="http://schemas.openxmlformats.org/officeDocument/2006/relationships/image" Target="media/image30.png"/><Relationship Id="rId56" Type="http://schemas.openxmlformats.org/officeDocument/2006/relationships/image" Target="media/image31.png"/><Relationship Id="rId57" Type="http://schemas.openxmlformats.org/officeDocument/2006/relationships/image" Target="media/image32.png"/><Relationship Id="rId58" Type="http://schemas.openxmlformats.org/officeDocument/2006/relationships/image" Target="media/image33.png"/><Relationship Id="rId59" Type="http://schemas.openxmlformats.org/officeDocument/2006/relationships/image" Target="media/image34.png"/><Relationship Id="rId60" Type="http://schemas.openxmlformats.org/officeDocument/2006/relationships/image" Target="media/image35.png"/><Relationship Id="rId61" Type="http://schemas.openxmlformats.org/officeDocument/2006/relationships/image" Target="media/image36.png"/><Relationship Id="rId62" Type="http://schemas.openxmlformats.org/officeDocument/2006/relationships/image" Target="media/image37.png"/><Relationship Id="rId63" Type="http://schemas.openxmlformats.org/officeDocument/2006/relationships/image" Target="media/image38.png"/><Relationship Id="rId64" Type="http://schemas.openxmlformats.org/officeDocument/2006/relationships/image" Target="media/image39.png"/><Relationship Id="rId65" Type="http://schemas.openxmlformats.org/officeDocument/2006/relationships/image" Target="media/image40.jpeg"/><Relationship Id="rId66" Type="http://schemas.openxmlformats.org/officeDocument/2006/relationships/image" Target="media/image41.jpeg"/><Relationship Id="rId67" Type="http://schemas.openxmlformats.org/officeDocument/2006/relationships/image" Target="media/image42.png"/><Relationship Id="rId68" Type="http://schemas.openxmlformats.org/officeDocument/2006/relationships/image" Target="media/image43.png"/><Relationship Id="rId69" Type="http://schemas.openxmlformats.org/officeDocument/2006/relationships/image" Target="media/image44.jpeg"/><Relationship Id="rId70" Type="http://schemas.openxmlformats.org/officeDocument/2006/relationships/image" Target="media/image45.png"/><Relationship Id="rId71" Type="http://schemas.openxmlformats.org/officeDocument/2006/relationships/image" Target="media/image46.jpeg"/><Relationship Id="rId72" Type="http://schemas.openxmlformats.org/officeDocument/2006/relationships/image" Target="media/image47.png"/><Relationship Id="rId73" Type="http://schemas.openxmlformats.org/officeDocument/2006/relationships/image" Target="media/image48.png"/><Relationship Id="rId74" Type="http://schemas.openxmlformats.org/officeDocument/2006/relationships/image" Target="media/image49.jpeg"/><Relationship Id="rId75" Type="http://schemas.openxmlformats.org/officeDocument/2006/relationships/image" Target="media/image50.png"/><Relationship Id="rId76" Type="http://schemas.openxmlformats.org/officeDocument/2006/relationships/image" Target="media/image51.png"/><Relationship Id="rId77" Type="http://schemas.openxmlformats.org/officeDocument/2006/relationships/image" Target="media/image52.png"/><Relationship Id="rId78" Type="http://schemas.openxmlformats.org/officeDocument/2006/relationships/image" Target="media/image53.png"/><Relationship Id="rId79" Type="http://schemas.openxmlformats.org/officeDocument/2006/relationships/image" Target="media/image54.png"/><Relationship Id="rId80" Type="http://schemas.openxmlformats.org/officeDocument/2006/relationships/image" Target="media/image55.png"/><Relationship Id="rId81" Type="http://schemas.openxmlformats.org/officeDocument/2006/relationships/image" Target="media/image56.png"/><Relationship Id="rId82" Type="http://schemas.openxmlformats.org/officeDocument/2006/relationships/image" Target="media/image57.png"/><Relationship Id="rId83" Type="http://schemas.openxmlformats.org/officeDocument/2006/relationships/image" Target="media/image58.png"/><Relationship Id="rId84" Type="http://schemas.openxmlformats.org/officeDocument/2006/relationships/image" Target="media/image59.png"/><Relationship Id="rId85" Type="http://schemas.openxmlformats.org/officeDocument/2006/relationships/image" Target="media/image60.png"/><Relationship Id="rId86"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9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png"/><Relationship Id="rId97"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png"/><Relationship Id="rId111" Type="http://schemas.openxmlformats.org/officeDocument/2006/relationships/image" Target="media/image86.png"/><Relationship Id="rId112" Type="http://schemas.openxmlformats.org/officeDocument/2006/relationships/image" Target="media/image87.png"/><Relationship Id="rId113"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16"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png"/><Relationship Id="rId119" Type="http://schemas.openxmlformats.org/officeDocument/2006/relationships/image" Target="media/image94.png"/><Relationship Id="rId120" Type="http://schemas.openxmlformats.org/officeDocument/2006/relationships/image" Target="media/image95.png"/><Relationship Id="rId121"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124" Type="http://schemas.openxmlformats.org/officeDocument/2006/relationships/image" Target="media/image99.png"/><Relationship Id="rId125" Type="http://schemas.openxmlformats.org/officeDocument/2006/relationships/image" Target="media/image100.png"/><Relationship Id="rId126" Type="http://schemas.openxmlformats.org/officeDocument/2006/relationships/image" Target="media/image101.png"/><Relationship Id="rId127" Type="http://schemas.openxmlformats.org/officeDocument/2006/relationships/image" Target="media/image102.jpeg"/><Relationship Id="rId128" Type="http://schemas.openxmlformats.org/officeDocument/2006/relationships/image" Target="media/image103.png"/><Relationship Id="rId129" Type="http://schemas.openxmlformats.org/officeDocument/2006/relationships/image" Target="media/image104.jpeg"/><Relationship Id="rId130" Type="http://schemas.openxmlformats.org/officeDocument/2006/relationships/image" Target="media/image105.png"/><Relationship Id="rId131" Type="http://schemas.openxmlformats.org/officeDocument/2006/relationships/image" Target="media/image106.jpeg"/><Relationship Id="rId132" Type="http://schemas.openxmlformats.org/officeDocument/2006/relationships/image" Target="media/image107.png"/><Relationship Id="rId133" Type="http://schemas.openxmlformats.org/officeDocument/2006/relationships/image" Target="media/image108.jpeg"/><Relationship Id="rId134" Type="http://schemas.openxmlformats.org/officeDocument/2006/relationships/image" Target="media/image109.png"/><Relationship Id="rId135" Type="http://schemas.openxmlformats.org/officeDocument/2006/relationships/image" Target="media/image110.png"/><Relationship Id="rId136" Type="http://schemas.openxmlformats.org/officeDocument/2006/relationships/image" Target="media/image111.png"/><Relationship Id="rId137" Type="http://schemas.openxmlformats.org/officeDocument/2006/relationships/image" Target="media/image112.jpeg"/><Relationship Id="rId138" Type="http://schemas.openxmlformats.org/officeDocument/2006/relationships/image" Target="media/image113.png"/><Relationship Id="rId139" Type="http://schemas.openxmlformats.org/officeDocument/2006/relationships/image" Target="media/image114.png"/><Relationship Id="rId140" Type="http://schemas.openxmlformats.org/officeDocument/2006/relationships/image" Target="media/image115.png"/><Relationship Id="rId141" Type="http://schemas.openxmlformats.org/officeDocument/2006/relationships/image" Target="media/image116.png"/><Relationship Id="rId142" Type="http://schemas.openxmlformats.org/officeDocument/2006/relationships/image" Target="media/image117.png"/><Relationship Id="rId143" Type="http://schemas.openxmlformats.org/officeDocument/2006/relationships/image" Target="media/image118.png"/><Relationship Id="rId144" Type="http://schemas.openxmlformats.org/officeDocument/2006/relationships/image" Target="media/image119.png"/><Relationship Id="rId145" Type="http://schemas.openxmlformats.org/officeDocument/2006/relationships/image" Target="media/image120.png"/><Relationship Id="rId146" Type="http://schemas.openxmlformats.org/officeDocument/2006/relationships/image" Target="media/image121.png"/><Relationship Id="rId147" Type="http://schemas.openxmlformats.org/officeDocument/2006/relationships/image" Target="media/image122.png"/><Relationship Id="rId148" Type="http://schemas.openxmlformats.org/officeDocument/2006/relationships/image" Target="media/image123.png"/><Relationship Id="rId149" Type="http://schemas.openxmlformats.org/officeDocument/2006/relationships/image" Target="media/image124.png"/><Relationship Id="rId150" Type="http://schemas.openxmlformats.org/officeDocument/2006/relationships/image" Target="media/image125.png"/><Relationship Id="rId151" Type="http://schemas.openxmlformats.org/officeDocument/2006/relationships/image" Target="media/image126.png"/><Relationship Id="rId152" Type="http://schemas.openxmlformats.org/officeDocument/2006/relationships/image" Target="media/image127.png"/><Relationship Id="rId153" Type="http://schemas.openxmlformats.org/officeDocument/2006/relationships/image" Target="media/image128.png"/><Relationship Id="rId154" Type="http://schemas.openxmlformats.org/officeDocument/2006/relationships/image" Target="media/image129.png"/><Relationship Id="rId155" Type="http://schemas.openxmlformats.org/officeDocument/2006/relationships/image" Target="media/image130.png"/><Relationship Id="rId156" Type="http://schemas.openxmlformats.org/officeDocument/2006/relationships/image" Target="media/image131.png"/><Relationship Id="rId157" Type="http://schemas.openxmlformats.org/officeDocument/2006/relationships/image" Target="media/image132.png"/><Relationship Id="rId158" Type="http://schemas.openxmlformats.org/officeDocument/2006/relationships/image" Target="media/image133.png"/><Relationship Id="rId159" Type="http://schemas.openxmlformats.org/officeDocument/2006/relationships/image" Target="media/image134.png"/><Relationship Id="rId160" Type="http://schemas.openxmlformats.org/officeDocument/2006/relationships/image" Target="media/image135.png"/><Relationship Id="rId161" Type="http://schemas.openxmlformats.org/officeDocument/2006/relationships/image" Target="media/image136.png"/><Relationship Id="rId162" Type="http://schemas.openxmlformats.org/officeDocument/2006/relationships/image" Target="media/image137.png"/><Relationship Id="rId163" Type="http://schemas.openxmlformats.org/officeDocument/2006/relationships/image" Target="media/image138.png"/><Relationship Id="rId164" Type="http://schemas.openxmlformats.org/officeDocument/2006/relationships/image" Target="media/image139.png"/><Relationship Id="rId165" Type="http://schemas.openxmlformats.org/officeDocument/2006/relationships/image" Target="media/image140.png"/><Relationship Id="rId166" Type="http://schemas.openxmlformats.org/officeDocument/2006/relationships/image" Target="media/image141.png"/><Relationship Id="rId167" Type="http://schemas.openxmlformats.org/officeDocument/2006/relationships/image" Target="media/image142.png"/><Relationship Id="rId168" Type="http://schemas.openxmlformats.org/officeDocument/2006/relationships/image" Target="media/image143.png"/><Relationship Id="rId169" Type="http://schemas.openxmlformats.org/officeDocument/2006/relationships/image" Target="media/image144.png"/><Relationship Id="rId170" Type="http://schemas.openxmlformats.org/officeDocument/2006/relationships/image" Target="media/image145.png"/><Relationship Id="rId171" Type="http://schemas.openxmlformats.org/officeDocument/2006/relationships/image" Target="media/image146.png"/><Relationship Id="rId172" Type="http://schemas.openxmlformats.org/officeDocument/2006/relationships/image" Target="media/image147.png"/><Relationship Id="rId173" Type="http://schemas.openxmlformats.org/officeDocument/2006/relationships/image" Target="media/image148.png"/><Relationship Id="rId174" Type="http://schemas.openxmlformats.org/officeDocument/2006/relationships/image" Target="media/image149.png"/><Relationship Id="rId175" Type="http://schemas.openxmlformats.org/officeDocument/2006/relationships/image" Target="media/image150.png"/><Relationship Id="rId24" Type="http://schemas.openxmlformats.org/officeDocument/2006/relationships/hyperlink" Target="http://www.sec.gov/Archives/edgar/data/1162194/000119312511078412/dex31.htm" TargetMode="External"/><Relationship Id="rId25" Type="http://schemas.openxmlformats.org/officeDocument/2006/relationships/hyperlink" Target="http://www.sec.gov/Archives/edgar/data/0001162194/000119312522093794/d300506dex48.htm" TargetMode="External"/><Relationship Id="rId26" Type="http://schemas.openxmlformats.org/officeDocument/2006/relationships/hyperlink" Target="http://www.sec.gov/Archives/edgar/data/0001162194/000119312522093794/d300506dex43.htm" TargetMode="External"/><Relationship Id="rId27" Type="http://schemas.openxmlformats.org/officeDocument/2006/relationships/hyperlink" Target="http://www.sec.gov/Archives/edgar/data/1162194/000114420417039703/v471897_ex3-1.htm" TargetMode="External"/><Relationship Id="rId28" Type="http://schemas.openxmlformats.org/officeDocument/2006/relationships/hyperlink" Target="http://www.sec.gov/Archives/edgar/data/0001162194/000119312522093794/d300506dex41.htm" TargetMode="External"/><Relationship Id="rId29" Type="http://schemas.openxmlformats.org/officeDocument/2006/relationships/hyperlink" Target="http://www.sec.gov/Archives/edgar/data/0001162194/000119312522036985/d307863dex101.htm" TargetMode="External"/><Relationship Id="rId30" Type="http://schemas.openxmlformats.org/officeDocument/2006/relationships/hyperlink" Target="http://www.sec.gov/Archives/edgar/data/0001162194/000119312522016151/d243622dex102.htm" TargetMode="External"/><Relationship Id="rId31" Type="http://schemas.openxmlformats.org/officeDocument/2006/relationships/hyperlink" Target="http://www.sec.gov/Archives/edgar/data/0001162194/000119312522052230/d263023ddef14a.htm#toc263023_41" TargetMode="External"/><Relationship Id="rId32" Type="http://schemas.openxmlformats.org/officeDocument/2006/relationships/hyperlink" Target="http://www.sec.gov/Archives/edgar/data/0001162194/000119312522052230/d263023ddef14a.htm#toc263023_42" TargetMode="External"/><Relationship Id="rId35" Type="http://schemas.openxmlformats.org/officeDocument/2006/relationships/hyperlink" Target="http://www.sec.gov/Archives/edgar/data/1162194/000119312522016151/d243622dex105.htm" TargetMode="External"/><Relationship Id="rId36" Type="http://schemas.openxmlformats.org/officeDocument/2006/relationships/hyperlink" Target="http://www.sec.gov/Archives/edgar/data/1162194/000119312522016151/d243622dex106.htm" TargetMode="External"/><Relationship Id="rId37" Type="http://schemas.openxmlformats.org/officeDocument/2006/relationships/hyperlink" Target="http://www.sec.gov/Archives/edgar/data/1162194/000119312522016151/d243622dex107.htm" TargetMode="External"/><Relationship Id="rId38" Type="http://schemas.openxmlformats.org/officeDocument/2006/relationships/hyperlink" Target="http://www.sec.gov/Archives/edgar/data/1162194/000119312522016151/d243622dex108.htm" TargetMode="External"/><Relationship Id="rId39" Type="http://schemas.openxmlformats.org/officeDocument/2006/relationships/hyperlink" Target="http://www.sec.gov/Archives/edgar/data/1162194/000119312511016501/dex101.htm" TargetMode="External"/><Relationship Id="rId40" Type="http://schemas.openxmlformats.org/officeDocument/2006/relationships/hyperlink" Target="http://www.sec.gov/Archives/edgar/data/1162194/000119312522016151/d243622dex109.htm" TargetMode="External"/><Relationship Id="rId41" Type="http://schemas.openxmlformats.org/officeDocument/2006/relationships/hyperlink" Target="http://www.sec.gov/Archives/edgar/data/0001162194/000119312522093794/d300506dex49.htm" TargetMode="External"/><Relationship Id="rId42" Type="http://schemas.openxmlformats.org/officeDocument/2006/relationships/hyperlink" Target="http://www.sec.gov/Archives/edgar/data/0001162194/000119312522093794/d300506dex991.htm" TargetMode="External"/><Relationship Id="rId43" Type="http://schemas.openxmlformats.org/officeDocument/2006/relationships/hyperlink" Target="http://www.sec.gov/Archives/edgar/data/0001162194/000119312522093794/d300506d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2022-04-05T16:09:53Z</dcterms:created>
  <dcterms:modified xsi:type="dcterms:W3CDTF">2022-04-05T16:09:53Z</dcterms:modified>
</cp:coreProperties>
</file>