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May 16,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FLUIDIGM CORPORATION</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00" w:type="dxa"/>
        <w:tblCellMar>
          <w:top w:w="0" w:type="dxa"/>
          <w:left w:w="0" w:type="dxa"/>
          <w:bottom w:w="0" w:type="dxa"/>
          <w:right w:w="0" w:type="dxa"/>
        </w:tblCellMar>
      </w:tblPr>
      <w:tr>
        <w:trPr>
          <w:trHeight w:val="218"/>
        </w:trPr>
        <w:tc>
          <w:tcPr>
            <w:tcW w:w="3020" w:type="dxa"/>
            <w:vAlign w:val="bottom"/>
          </w:tcPr>
          <w:p>
            <w:pPr>
              <w:jc w:val="center"/>
              <w:ind w:right="1246"/>
              <w:spacing w:after="0"/>
              <w:rPr>
                <w:sz w:val="20"/>
                <w:szCs w:val="20"/>
                <w:color w:val="auto"/>
              </w:rPr>
            </w:pPr>
            <w:r>
              <w:rPr>
                <w:rFonts w:ascii="Arial" w:cs="Arial" w:eastAsia="Arial" w:hAnsi="Arial"/>
                <w:sz w:val="18"/>
                <w:szCs w:val="18"/>
                <w:b w:val="1"/>
                <w:bCs w:val="1"/>
                <w:color w:val="auto"/>
                <w:w w:val="88"/>
              </w:rPr>
              <w:t>Delaware</w:t>
            </w:r>
          </w:p>
        </w:tc>
        <w:tc>
          <w:tcPr>
            <w:tcW w:w="3520" w:type="dxa"/>
            <w:vAlign w:val="bottom"/>
          </w:tcPr>
          <w:p>
            <w:pPr>
              <w:ind w:left="1340"/>
              <w:spacing w:after="0"/>
              <w:rPr>
                <w:sz w:val="20"/>
                <w:szCs w:val="20"/>
                <w:color w:val="auto"/>
              </w:rPr>
            </w:pPr>
            <w:r>
              <w:rPr>
                <w:rFonts w:ascii="Arial" w:cs="Arial" w:eastAsia="Arial" w:hAnsi="Arial"/>
                <w:sz w:val="18"/>
                <w:szCs w:val="18"/>
                <w:b w:val="1"/>
                <w:bCs w:val="1"/>
                <w:color w:val="auto"/>
              </w:rPr>
              <w:t>001-34180</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77-0513190</w:t>
            </w:r>
          </w:p>
        </w:tc>
      </w:tr>
      <w:tr>
        <w:trPr>
          <w:trHeight w:val="149"/>
        </w:trPr>
        <w:tc>
          <w:tcPr>
            <w:tcW w:w="3020" w:type="dxa"/>
            <w:vAlign w:val="bottom"/>
          </w:tcPr>
          <w:p>
            <w:pPr>
              <w:jc w:val="center"/>
              <w:ind w:right="1246"/>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520" w:type="dxa"/>
            <w:vAlign w:val="bottom"/>
          </w:tcPr>
          <w:p>
            <w:pPr>
              <w:ind w:left="134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6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020" w:type="dxa"/>
            <w:vAlign w:val="bottom"/>
          </w:tcPr>
          <w:p>
            <w:pPr>
              <w:jc w:val="center"/>
              <w:ind w:right="1226"/>
              <w:spacing w:after="0"/>
              <w:rPr>
                <w:sz w:val="20"/>
                <w:szCs w:val="20"/>
                <w:color w:val="auto"/>
              </w:rPr>
            </w:pPr>
            <w:r>
              <w:rPr>
                <w:rFonts w:ascii="Arial" w:cs="Arial" w:eastAsia="Arial" w:hAnsi="Arial"/>
                <w:sz w:val="14"/>
                <w:szCs w:val="14"/>
                <w:b w:val="1"/>
                <w:bCs w:val="1"/>
                <w:color w:val="auto"/>
                <w:w w:val="88"/>
              </w:rPr>
              <w:t>incorporation)</w:t>
            </w:r>
          </w:p>
        </w:tc>
        <w:tc>
          <w:tcPr>
            <w:tcW w:w="3520" w:type="dxa"/>
            <w:vAlign w:val="bottom"/>
          </w:tcPr>
          <w:p>
            <w:pPr>
              <w:ind w:left="134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48"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7000 Shoreline Court, Suite 100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37"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(650) 266-6000</w:t>
      </w:r>
    </w:p>
    <w:p>
      <w:pPr>
        <w:spacing w:after="0" w:line="254"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held our 2012 annual meeting of stockholders on May 16, 2012 (the “Annual Meeting”). Of the 20,495,714 shares of our common stock outstanding as the record date of March 19, 2012, 18,891,774 shares were represented at the Annual Meeting, either in person or by proxy, constituting 92.17% of the outstanding shares of common stock. The matters voted on at the Annual Meeting and the votes cast with respect to each such matter are set forth below:</w:t>
      </w:r>
    </w:p>
    <w:p>
      <w:pPr>
        <w:spacing w:after="0" w:line="20" w:lineRule="exact"/>
        <w:rPr>
          <w:sz w:val="20"/>
          <w:szCs w:val="20"/>
          <w:color w:val="auto"/>
        </w:rPr>
      </w:pPr>
    </w:p>
    <w:p>
      <w:pPr>
        <w:ind w:left="460" w:hanging="452"/>
        <w:spacing w:after="0" w:line="275"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Election of Class II Director. </w:t>
      </w:r>
      <w:r>
        <w:rPr>
          <w:rFonts w:ascii="Arial" w:cs="Arial" w:eastAsia="Arial" w:hAnsi="Arial"/>
          <w:sz w:val="18"/>
          <w:szCs w:val="18"/>
          <w:color w:val="auto"/>
        </w:rPr>
        <w:t>The following nominee was elected to serve as Class II director, to hold office until our 2015 annual meeting of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or until his successor has been duly elected and qualified or his earlier resignation or removal:</w:t>
      </w:r>
    </w:p>
    <w:p>
      <w:pPr>
        <w:spacing w:after="0" w:line="162"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Nominee</w:t>
            </w:r>
          </w:p>
        </w:tc>
        <w:tc>
          <w:tcPr>
            <w:tcW w:w="3460" w:type="dxa"/>
            <w:vAlign w:val="bottom"/>
          </w:tcPr>
          <w:p>
            <w:pPr>
              <w:spacing w:after="0"/>
              <w:rPr>
                <w:sz w:val="15"/>
                <w:szCs w:val="15"/>
                <w:color w:val="auto"/>
              </w:rPr>
            </w:pPr>
          </w:p>
        </w:tc>
        <w:tc>
          <w:tcPr>
            <w:tcW w:w="2220" w:type="dxa"/>
            <w:vAlign w:val="bottom"/>
            <w:gridSpan w:val="2"/>
          </w:tcPr>
          <w:p>
            <w:pPr>
              <w:jc w:val="center"/>
              <w:ind w:right="1440"/>
              <w:spacing w:after="0"/>
              <w:rPr>
                <w:sz w:val="20"/>
                <w:szCs w:val="20"/>
                <w:color w:val="auto"/>
              </w:rPr>
            </w:pPr>
            <w:r>
              <w:rPr>
                <w:rFonts w:ascii="Arial" w:cs="Arial" w:eastAsia="Arial" w:hAnsi="Arial"/>
                <w:sz w:val="14"/>
                <w:szCs w:val="14"/>
                <w:b w:val="1"/>
                <w:bCs w:val="1"/>
                <w:color w:val="auto"/>
                <w:w w:val="83"/>
              </w:rPr>
              <w:t>Votes For</w:t>
            </w:r>
          </w:p>
        </w:tc>
        <w:tc>
          <w:tcPr>
            <w:tcW w:w="2320" w:type="dxa"/>
            <w:vAlign w:val="bottom"/>
            <w:gridSpan w:val="2"/>
          </w:tcPr>
          <w:p>
            <w:pPr>
              <w:jc w:val="center"/>
              <w:ind w:right="1440"/>
              <w:spacing w:after="0"/>
              <w:rPr>
                <w:sz w:val="20"/>
                <w:szCs w:val="20"/>
                <w:color w:val="auto"/>
              </w:rPr>
            </w:pPr>
            <w:r>
              <w:rPr>
                <w:rFonts w:ascii="Arial" w:cs="Arial" w:eastAsia="Arial" w:hAnsi="Arial"/>
                <w:sz w:val="14"/>
                <w:szCs w:val="14"/>
                <w:b w:val="1"/>
                <w:bCs w:val="1"/>
                <w:color w:val="auto"/>
                <w:w w:val="86"/>
              </w:rPr>
              <w:t>Votes Withheld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Broker Non-Votes</w:t>
            </w:r>
          </w:p>
        </w:tc>
      </w:tr>
      <w:tr>
        <w:trPr>
          <w:trHeight w:val="203"/>
        </w:trPr>
        <w:tc>
          <w:tcPr>
            <w:tcW w:w="40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John A. Young</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16,065,537</w:t>
            </w:r>
          </w:p>
        </w:tc>
        <w:tc>
          <w:tcPr>
            <w:tcW w:w="14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102"/>
              <w:spacing w:after="0" w:line="203" w:lineRule="exact"/>
              <w:rPr>
                <w:sz w:val="20"/>
                <w:szCs w:val="20"/>
                <w:color w:val="auto"/>
              </w:rPr>
            </w:pPr>
            <w:r>
              <w:rPr>
                <w:rFonts w:ascii="Arial" w:cs="Arial" w:eastAsia="Arial" w:hAnsi="Arial"/>
                <w:sz w:val="18"/>
                <w:szCs w:val="18"/>
                <w:color w:val="auto"/>
              </w:rPr>
              <w:t>115,646</w:t>
            </w:r>
          </w:p>
        </w:tc>
        <w:tc>
          <w:tcPr>
            <w:tcW w:w="14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82"/>
              <w:spacing w:after="0" w:line="203" w:lineRule="exact"/>
              <w:rPr>
                <w:sz w:val="20"/>
                <w:szCs w:val="20"/>
                <w:color w:val="auto"/>
              </w:rPr>
            </w:pPr>
            <w:r>
              <w:rPr>
                <w:rFonts w:ascii="Arial" w:cs="Arial" w:eastAsia="Arial" w:hAnsi="Arial"/>
                <w:sz w:val="18"/>
                <w:szCs w:val="18"/>
                <w:color w:val="auto"/>
              </w:rPr>
              <w:t>2,710,591</w:t>
            </w:r>
          </w:p>
        </w:tc>
      </w:tr>
    </w:tbl>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our Annual Meeting, our board of directors appointed Mr. Young to serve on our Audit Committee.</w:t>
      </w:r>
    </w:p>
    <w:p>
      <w:pPr>
        <w:spacing w:after="0" w:line="84" w:lineRule="exact"/>
        <w:rPr>
          <w:sz w:val="20"/>
          <w:szCs w:val="20"/>
          <w:color w:val="auto"/>
        </w:rPr>
      </w:pPr>
    </w:p>
    <w:p>
      <w:pPr>
        <w:ind w:left="460" w:right="340" w:hanging="452"/>
        <w:spacing w:after="0" w:line="339"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Advisory Vote on Approval of Executive Compensation. </w:t>
      </w:r>
      <w:r>
        <w:rPr>
          <w:rFonts w:ascii="Arial" w:cs="Arial" w:eastAsia="Arial" w:hAnsi="Arial"/>
          <w:sz w:val="16"/>
          <w:szCs w:val="16"/>
          <w:color w:val="auto"/>
        </w:rPr>
        <w:t>On an advisory basis, the compensation of our named executive officers for the year ended</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31, 2011, as disclosed in our proxy statement relating to the Annual Meeting, was approved by our stockholders:</w:t>
      </w:r>
    </w:p>
    <w:p>
      <w:pPr>
        <w:spacing w:after="0" w:line="117"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Votes For</w:t>
            </w:r>
          </w:p>
        </w:tc>
        <w:tc>
          <w:tcPr>
            <w:tcW w:w="3440" w:type="dxa"/>
            <w:vAlign w:val="bottom"/>
          </w:tcPr>
          <w:p>
            <w:pPr>
              <w:spacing w:after="0"/>
              <w:rPr>
                <w:sz w:val="15"/>
                <w:szCs w:val="15"/>
                <w:color w:val="auto"/>
              </w:rPr>
            </w:pPr>
          </w:p>
        </w:tc>
        <w:tc>
          <w:tcPr>
            <w:tcW w:w="2300" w:type="dxa"/>
            <w:vAlign w:val="bottom"/>
            <w:gridSpan w:val="2"/>
          </w:tcPr>
          <w:p>
            <w:pPr>
              <w:jc w:val="center"/>
              <w:ind w:right="1520"/>
              <w:spacing w:after="0"/>
              <w:rPr>
                <w:sz w:val="20"/>
                <w:szCs w:val="20"/>
                <w:color w:val="auto"/>
              </w:rPr>
            </w:pPr>
            <w:r>
              <w:rPr>
                <w:rFonts w:ascii="Arial" w:cs="Arial" w:eastAsia="Arial" w:hAnsi="Arial"/>
                <w:sz w:val="14"/>
                <w:szCs w:val="14"/>
                <w:b w:val="1"/>
                <w:bCs w:val="1"/>
                <w:color w:val="auto"/>
                <w:w w:val="83"/>
              </w:rPr>
              <w:t>Votes Against</w:t>
            </w:r>
          </w:p>
        </w:tc>
        <w:tc>
          <w:tcPr>
            <w:tcW w:w="2200" w:type="dxa"/>
            <w:vAlign w:val="bottom"/>
            <w:gridSpan w:val="2"/>
          </w:tcPr>
          <w:p>
            <w:pPr>
              <w:jc w:val="center"/>
              <w:ind w:right="1520"/>
              <w:spacing w:after="0"/>
              <w:rPr>
                <w:sz w:val="20"/>
                <w:szCs w:val="20"/>
                <w:color w:val="auto"/>
              </w:rPr>
            </w:pPr>
            <w:r>
              <w:rPr>
                <w:rFonts w:ascii="Arial" w:cs="Arial" w:eastAsia="Arial" w:hAnsi="Arial"/>
                <w:sz w:val="14"/>
                <w:szCs w:val="14"/>
                <w:b w:val="1"/>
                <w:bCs w:val="1"/>
                <w:color w:val="auto"/>
                <w:w w:val="84"/>
              </w:rPr>
              <w:t>Abstentions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Broker Non-Votes</w:t>
            </w:r>
          </w:p>
        </w:tc>
      </w:tr>
      <w:tr>
        <w:trPr>
          <w:trHeight w:val="203"/>
        </w:trPr>
        <w:tc>
          <w:tcPr>
            <w:tcW w:w="40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16,128,282</w:t>
            </w:r>
          </w:p>
        </w:tc>
        <w:tc>
          <w:tcPr>
            <w:tcW w:w="780" w:type="dxa"/>
            <w:vAlign w:val="bottom"/>
            <w:tcBorders>
              <w:top w:val="single" w:sz="8" w:color="auto"/>
            </w:tcBorders>
            <w:shd w:val="clear" w:color="auto" w:fill="CCEEFF"/>
          </w:tcPr>
          <w:p>
            <w:pPr>
              <w:jc w:val="right"/>
              <w:ind w:right="62"/>
              <w:spacing w:after="0" w:line="203" w:lineRule="exact"/>
              <w:rPr>
                <w:sz w:val="20"/>
                <w:szCs w:val="20"/>
                <w:color w:val="auto"/>
              </w:rPr>
            </w:pPr>
            <w:r>
              <w:rPr>
                <w:rFonts w:ascii="Arial" w:cs="Arial" w:eastAsia="Arial" w:hAnsi="Arial"/>
                <w:sz w:val="18"/>
                <w:szCs w:val="18"/>
                <w:color w:val="auto"/>
              </w:rPr>
              <w:t>48,977</w:t>
            </w:r>
          </w:p>
        </w:tc>
        <w:tc>
          <w:tcPr>
            <w:tcW w:w="15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62"/>
              <w:spacing w:after="0" w:line="203" w:lineRule="exact"/>
              <w:rPr>
                <w:sz w:val="20"/>
                <w:szCs w:val="20"/>
                <w:color w:val="auto"/>
              </w:rPr>
            </w:pPr>
            <w:r>
              <w:rPr>
                <w:rFonts w:ascii="Arial" w:cs="Arial" w:eastAsia="Arial" w:hAnsi="Arial"/>
                <w:sz w:val="18"/>
                <w:szCs w:val="18"/>
                <w:color w:val="auto"/>
              </w:rPr>
              <w:t>3,924</w:t>
            </w:r>
          </w:p>
        </w:tc>
        <w:tc>
          <w:tcPr>
            <w:tcW w:w="15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82"/>
              <w:spacing w:after="0" w:line="203" w:lineRule="exact"/>
              <w:rPr>
                <w:sz w:val="20"/>
                <w:szCs w:val="20"/>
                <w:color w:val="auto"/>
              </w:rPr>
            </w:pPr>
            <w:r>
              <w:rPr>
                <w:rFonts w:ascii="Arial" w:cs="Arial" w:eastAsia="Arial" w:hAnsi="Arial"/>
                <w:sz w:val="18"/>
                <w:szCs w:val="18"/>
                <w:color w:val="auto"/>
              </w:rPr>
              <w:t>2,710,591</w:t>
            </w:r>
          </w:p>
        </w:tc>
      </w:tr>
    </w:tbl>
    <w:p>
      <w:pPr>
        <w:spacing w:after="0" w:line="73" w:lineRule="exact"/>
        <w:rPr>
          <w:sz w:val="20"/>
          <w:szCs w:val="20"/>
          <w:color w:val="auto"/>
        </w:rPr>
      </w:pPr>
    </w:p>
    <w:p>
      <w:pPr>
        <w:ind w:left="460" w:right="220"/>
        <w:spacing w:after="0" w:line="259" w:lineRule="auto"/>
        <w:rPr>
          <w:sz w:val="20"/>
          <w:szCs w:val="20"/>
          <w:color w:val="auto"/>
        </w:rPr>
      </w:pPr>
      <w:r>
        <w:rPr>
          <w:rFonts w:ascii="Arial" w:cs="Arial" w:eastAsia="Arial" w:hAnsi="Arial"/>
          <w:sz w:val="18"/>
          <w:szCs w:val="18"/>
          <w:color w:val="auto"/>
        </w:rPr>
        <w:t>At our 2011 annual meeting, our stockholders approved one year as the frequency of an advisory vote on the compensation of our named executive officers. Based upon such approval, our board of directors has determined that it will hold an advisory vote on the compensation of our named executive officers annually until the next required vote on the frequency of such an advisory vote.</w:t>
      </w:r>
    </w:p>
    <w:p>
      <w:pPr>
        <w:spacing w:after="0" w:line="53" w:lineRule="exact"/>
        <w:rPr>
          <w:sz w:val="20"/>
          <w:szCs w:val="20"/>
          <w:color w:val="auto"/>
        </w:rPr>
      </w:pPr>
    </w:p>
    <w:p>
      <w:pPr>
        <w:ind w:left="460" w:right="660" w:hanging="452"/>
        <w:spacing w:after="0" w:line="339"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Ratification of Appointment of Independent Registered Public Accounting Firm. </w:t>
      </w:r>
      <w:r>
        <w:rPr>
          <w:rFonts w:ascii="Arial" w:cs="Arial" w:eastAsia="Arial" w:hAnsi="Arial"/>
          <w:sz w:val="16"/>
          <w:szCs w:val="16"/>
          <w:color w:val="auto"/>
        </w:rPr>
        <w:t>The appointment of Ernst &amp; Young LLP as our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registered public accounting firm for the fiscal year ending December 31, 2012 was ratified based on the following results of voting:</w:t>
      </w:r>
    </w:p>
    <w:p>
      <w:pPr>
        <w:spacing w:after="0" w:line="117"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Votes For</w:t>
            </w:r>
          </w:p>
        </w:tc>
        <w:tc>
          <w:tcPr>
            <w:tcW w:w="3340" w:type="dxa"/>
            <w:vAlign w:val="bottom"/>
          </w:tcPr>
          <w:p>
            <w:pPr>
              <w:spacing w:after="0"/>
              <w:rPr>
                <w:sz w:val="15"/>
                <w:szCs w:val="15"/>
                <w:color w:val="auto"/>
              </w:rPr>
            </w:pPr>
          </w:p>
        </w:tc>
        <w:tc>
          <w:tcPr>
            <w:tcW w:w="2340" w:type="dxa"/>
            <w:vAlign w:val="bottom"/>
            <w:gridSpan w:val="2"/>
          </w:tcPr>
          <w:p>
            <w:pPr>
              <w:jc w:val="center"/>
              <w:ind w:right="1560"/>
              <w:spacing w:after="0"/>
              <w:rPr>
                <w:sz w:val="20"/>
                <w:szCs w:val="20"/>
                <w:color w:val="auto"/>
              </w:rPr>
            </w:pPr>
            <w:r>
              <w:rPr>
                <w:rFonts w:ascii="Arial" w:cs="Arial" w:eastAsia="Arial" w:hAnsi="Arial"/>
                <w:sz w:val="14"/>
                <w:szCs w:val="14"/>
                <w:b w:val="1"/>
                <w:bCs w:val="1"/>
                <w:color w:val="auto"/>
                <w:w w:val="83"/>
              </w:rPr>
              <w:t>Votes Against</w:t>
            </w:r>
          </w:p>
        </w:tc>
        <w:tc>
          <w:tcPr>
            <w:tcW w:w="2260" w:type="dxa"/>
            <w:vAlign w:val="bottom"/>
            <w:gridSpan w:val="2"/>
          </w:tcPr>
          <w:p>
            <w:pPr>
              <w:jc w:val="center"/>
              <w:ind w:right="1560"/>
              <w:spacing w:after="0"/>
              <w:rPr>
                <w:sz w:val="20"/>
                <w:szCs w:val="20"/>
                <w:color w:val="auto"/>
              </w:rPr>
            </w:pPr>
            <w:r>
              <w:rPr>
                <w:rFonts w:ascii="Arial" w:cs="Arial" w:eastAsia="Arial" w:hAnsi="Arial"/>
                <w:sz w:val="14"/>
                <w:szCs w:val="14"/>
                <w:b w:val="1"/>
                <w:bCs w:val="1"/>
                <w:color w:val="auto"/>
                <w:w w:val="86"/>
              </w:rPr>
              <w:t>Abstentions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Broker Non-Votes</w:t>
            </w:r>
          </w:p>
        </w:tc>
      </w:tr>
      <w:tr>
        <w:trPr>
          <w:trHeight w:val="203"/>
        </w:trPr>
        <w:tc>
          <w:tcPr>
            <w:tcW w:w="39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18,852,985</w:t>
            </w:r>
          </w:p>
        </w:tc>
        <w:tc>
          <w:tcPr>
            <w:tcW w:w="780" w:type="dxa"/>
            <w:vAlign w:val="bottom"/>
            <w:tcBorders>
              <w:top w:val="single" w:sz="8" w:color="auto"/>
            </w:tcBorders>
            <w:shd w:val="clear" w:color="auto" w:fill="CCEEFF"/>
          </w:tcPr>
          <w:p>
            <w:pPr>
              <w:jc w:val="right"/>
              <w:ind w:right="82"/>
              <w:spacing w:after="0" w:line="203" w:lineRule="exact"/>
              <w:rPr>
                <w:sz w:val="20"/>
                <w:szCs w:val="20"/>
                <w:color w:val="auto"/>
              </w:rPr>
            </w:pPr>
            <w:r>
              <w:rPr>
                <w:rFonts w:ascii="Arial" w:cs="Arial" w:eastAsia="Arial" w:hAnsi="Arial"/>
                <w:sz w:val="18"/>
                <w:szCs w:val="18"/>
                <w:color w:val="auto"/>
              </w:rPr>
              <w:t>38,789</w:t>
            </w:r>
          </w:p>
        </w:tc>
        <w:tc>
          <w:tcPr>
            <w:tcW w:w="15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222"/>
              <w:spacing w:after="0" w:line="203" w:lineRule="exact"/>
              <w:rPr>
                <w:sz w:val="20"/>
                <w:szCs w:val="20"/>
                <w:color w:val="auto"/>
              </w:rPr>
            </w:pPr>
            <w:r>
              <w:rPr>
                <w:rFonts w:ascii="Arial" w:cs="Arial" w:eastAsia="Arial" w:hAnsi="Arial"/>
                <w:sz w:val="18"/>
                <w:szCs w:val="18"/>
                <w:color w:val="auto"/>
              </w:rPr>
              <w:t>0</w:t>
            </w:r>
          </w:p>
        </w:tc>
        <w:tc>
          <w:tcPr>
            <w:tcW w:w="15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N/A</w:t>
            </w:r>
          </w:p>
        </w:tc>
      </w:tr>
    </w:tbl>
    <w:p>
      <w:pPr>
        <w:sectPr>
          <w:pgSz w:w="11900" w:h="16838" w:orient="portrait"/>
          <w:cols w:equalWidth="0" w:num="1">
            <w:col w:w="11400"/>
          </w:cols>
          <w:pgMar w:left="240" w:top="274"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FLUIDIGM CORPORATION</w:t>
      </w:r>
    </w:p>
    <w:p>
      <w:pPr>
        <w:spacing w:after="0" w:line="231"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Vikram Jog</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Date: May 21, 2012</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2019-12-09T16:24:23Z</dcterms:created>
  <dcterms:modified xsi:type="dcterms:W3CDTF">2019-12-09T16:24:23Z</dcterms:modified>
</cp:coreProperties>
</file>