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14"/>
          <w:szCs w:val="14"/>
          <w:color w:val="auto"/>
        </w:rPr>
        <w:t>______________________________________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10-K</w:t>
      </w:r>
    </w:p>
    <w:p>
      <w:pPr>
        <w:spacing w:after="0" w:line="237" w:lineRule="auto"/>
        <w:rPr>
          <w:sz w:val="20"/>
          <w:szCs w:val="20"/>
          <w:color w:val="auto"/>
        </w:rPr>
      </w:pPr>
      <w:r>
        <w:rPr>
          <w:rFonts w:ascii="Arial" w:cs="Arial" w:eastAsia="Arial" w:hAnsi="Arial"/>
          <w:sz w:val="13"/>
          <w:szCs w:val="13"/>
          <w:b w:val="1"/>
          <w:bCs w:val="1"/>
          <w:color w:val="auto"/>
        </w:rPr>
        <w:t>(Mark One)</w:t>
      </w:r>
    </w:p>
    <w:p>
      <w:pPr>
        <w:spacing w:after="0" w:line="1"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3"/>
          <w:szCs w:val="13"/>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7" w:lineRule="exact"/>
        <w:rPr>
          <w:rFonts w:ascii="MS PGothic" w:cs="MS PGothic" w:eastAsia="MS PGothic" w:hAnsi="MS PGothic"/>
          <w:sz w:val="13"/>
          <w:szCs w:val="13"/>
          <w:color w:val="auto"/>
        </w:rPr>
      </w:pPr>
    </w:p>
    <w:p>
      <w:pPr>
        <w:ind w:left="4220"/>
        <w:spacing w:after="0"/>
        <w:rPr>
          <w:rFonts w:ascii="MS PGothic" w:cs="MS PGothic" w:eastAsia="MS PGothic" w:hAnsi="MS PGothic"/>
          <w:sz w:val="13"/>
          <w:szCs w:val="13"/>
          <w:color w:val="auto"/>
        </w:rPr>
      </w:pPr>
      <w:r>
        <w:rPr>
          <w:rFonts w:ascii="Arial" w:cs="Arial" w:eastAsia="Arial" w:hAnsi="Arial"/>
          <w:sz w:val="16"/>
          <w:szCs w:val="16"/>
          <w:b w:val="1"/>
          <w:bCs w:val="1"/>
          <w:color w:val="auto"/>
        </w:rPr>
        <w:t>For the fiscal year ended December 31, 2021</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or</w:t>
      </w:r>
    </w:p>
    <w:p>
      <w:pPr>
        <w:ind w:left="180" w:hanging="175"/>
        <w:spacing w:after="0" w:line="234" w:lineRule="auto"/>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 w:lineRule="exact"/>
        <w:rPr>
          <w:sz w:val="24"/>
          <w:szCs w:val="24"/>
          <w:color w:val="auto"/>
        </w:rPr>
      </w:pPr>
    </w:p>
    <w:p>
      <w:pPr>
        <w:ind w:left="4380"/>
        <w:spacing w:after="0"/>
        <w:rPr>
          <w:sz w:val="20"/>
          <w:szCs w:val="20"/>
          <w:color w:val="auto"/>
        </w:rPr>
      </w:pPr>
      <w:r>
        <w:rPr>
          <w:rFonts w:ascii="Arial" w:cs="Arial" w:eastAsia="Arial" w:hAnsi="Arial"/>
          <w:sz w:val="11"/>
          <w:szCs w:val="11"/>
          <w:color w:val="auto"/>
        </w:rPr>
        <w:t>_____________________________________________</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number: 001-34180</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FLUIDIGM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00" w:top="638" w:right="359" w:bottom="1440" w:gutter="0" w:footer="0" w:header="0"/>
        </w:sectPr>
      </w:pPr>
    </w:p>
    <w:p>
      <w:pPr>
        <w:spacing w:after="0" w:line="88" w:lineRule="exact"/>
        <w:rPr>
          <w:sz w:val="24"/>
          <w:szCs w:val="24"/>
          <w:color w:val="auto"/>
        </w:rPr>
      </w:pPr>
    </w:p>
    <w:p>
      <w:pPr>
        <w:ind w:left="276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77-0513190</w:t>
      </w:r>
    </w:p>
    <w:p>
      <w:pPr>
        <w:spacing w:after="0" w:line="50" w:lineRule="exact"/>
        <w:rPr>
          <w:sz w:val="24"/>
          <w:szCs w:val="24"/>
          <w:color w:val="auto"/>
        </w:rPr>
      </w:pPr>
    </w:p>
    <w:p>
      <w:pPr>
        <w:sectPr>
          <w:pgSz w:w="11900" w:h="16838" w:orient="portrait"/>
          <w:cols w:equalWidth="0" w:num="2">
            <w:col w:w="7260" w:space="720"/>
            <w:col w:w="3260"/>
          </w:cols>
          <w:pgMar w:left="300" w:top="638" w:right="359" w:bottom="1440" w:gutter="0" w:footer="0" w:header="0"/>
          <w:type w:val="continuous"/>
        </w:sectPr>
      </w:pPr>
    </w:p>
    <w:p>
      <w:pPr>
        <w:ind w:left="156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162" w:lineRule="exact"/>
        <w:rPr>
          <w:sz w:val="24"/>
          <w:szCs w:val="24"/>
          <w:color w:val="auto"/>
        </w:rPr>
      </w:pPr>
    </w:p>
    <w:p>
      <w:pPr>
        <w:sectPr>
          <w:pgSz w:w="11900" w:h="16838" w:orient="portrait"/>
          <w:cols w:equalWidth="0" w:num="2">
            <w:col w:w="6720" w:space="720"/>
            <w:col w:w="3800"/>
          </w:cols>
          <w:pgMar w:left="300" w:top="638" w:right="359" w:bottom="1440" w:gutter="0" w:footer="0" w:header="0"/>
          <w:type w:val="continuous"/>
        </w:sectPr>
      </w:pPr>
    </w:p>
    <w:p>
      <w:pPr>
        <w:ind w:left="1000"/>
        <w:spacing w:after="0"/>
        <w:rPr>
          <w:sz w:val="20"/>
          <w:szCs w:val="20"/>
          <w:color w:val="auto"/>
        </w:rPr>
      </w:pPr>
      <w:r>
        <w:rPr>
          <w:rFonts w:ascii="Arial" w:cs="Arial" w:eastAsia="Arial" w:hAnsi="Arial"/>
          <w:sz w:val="12"/>
          <w:szCs w:val="12"/>
          <w:b w:val="1"/>
          <w:bCs w:val="1"/>
          <w:color w:val="auto"/>
        </w:rPr>
        <w:t>2 Tower Place, Suite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South San Francisco,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CA</w:t>
      </w:r>
    </w:p>
    <w:p>
      <w:pPr>
        <w:spacing w:after="0" w:line="20" w:lineRule="exact"/>
        <w:rPr>
          <w:sz w:val="24"/>
          <w:szCs w:val="24"/>
          <w:color w:val="auto"/>
        </w:rPr>
      </w:pPr>
      <w:r>
        <w:rPr>
          <w:sz w:val="24"/>
          <w:szCs w:val="24"/>
          <w:color w:val="auto"/>
        </w:rPr>
        <w:br w:type="column"/>
      </w:r>
    </w:p>
    <w:p>
      <w:pPr>
        <w:jc w:val="center"/>
        <w:ind w:right="2740"/>
        <w:spacing w:after="0"/>
        <w:rPr>
          <w:sz w:val="20"/>
          <w:szCs w:val="20"/>
          <w:color w:val="auto"/>
        </w:rPr>
      </w:pPr>
      <w:r>
        <w:rPr>
          <w:rFonts w:ascii="Arial" w:cs="Arial" w:eastAsia="Arial" w:hAnsi="Arial"/>
          <w:sz w:val="12"/>
          <w:szCs w:val="12"/>
          <w:b w:val="1"/>
          <w:bCs w:val="1"/>
          <w:color w:val="auto"/>
        </w:rPr>
        <w:t>94080</w:t>
      </w:r>
    </w:p>
    <w:p>
      <w:pPr>
        <w:spacing w:after="0" w:line="49" w:lineRule="exact"/>
        <w:rPr>
          <w:sz w:val="24"/>
          <w:szCs w:val="24"/>
          <w:color w:val="auto"/>
        </w:rPr>
      </w:pPr>
    </w:p>
    <w:p>
      <w:pPr>
        <w:sectPr>
          <w:pgSz w:w="11900" w:h="16838" w:orient="portrait"/>
          <w:cols w:equalWidth="0" w:num="4">
            <w:col w:w="2680" w:space="720"/>
            <w:col w:w="1280" w:space="380"/>
            <w:col w:w="2360" w:space="720"/>
            <w:col w:w="3100"/>
          </w:cols>
          <w:pgMar w:left="300" w:top="638" w:right="359" w:bottom="1440" w:gutter="0" w:footer="0" w:header="0"/>
          <w:type w:val="continuous"/>
        </w:sectPr>
      </w:pPr>
    </w:p>
    <w:p>
      <w:pPr>
        <w:ind w:left="208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99" w:lineRule="exact"/>
        <w:rPr>
          <w:sz w:val="24"/>
          <w:szCs w:val="24"/>
          <w:color w:val="auto"/>
        </w:rPr>
      </w:pPr>
    </w:p>
    <w:p>
      <w:pPr>
        <w:sectPr>
          <w:pgSz w:w="11900" w:h="16838" w:orient="portrait"/>
          <w:cols w:equalWidth="0" w:num="2">
            <w:col w:w="7360" w:space="720"/>
            <w:col w:w="3160"/>
          </w:cols>
          <w:pgMar w:left="300" w:top="638"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(650) 266-6000</w:t>
      </w:r>
    </w:p>
    <w:p>
      <w:pPr>
        <w:spacing w:after="0" w:line="41" w:lineRule="exact"/>
        <w:rPr>
          <w:sz w:val="24"/>
          <w:szCs w:val="24"/>
          <w:color w:val="auto"/>
        </w:rPr>
      </w:pPr>
    </w:p>
    <w:p>
      <w:pPr>
        <w:ind w:left="4380"/>
        <w:spacing w:after="0"/>
        <w:rPr>
          <w:sz w:val="20"/>
          <w:szCs w:val="20"/>
          <w:color w:val="auto"/>
        </w:rPr>
      </w:pPr>
      <w:r>
        <w:rPr>
          <w:rFonts w:ascii="Arial" w:cs="Arial" w:eastAsia="Arial" w:hAnsi="Arial"/>
          <w:sz w:val="11"/>
          <w:szCs w:val="11"/>
          <w:color w:val="auto"/>
        </w:rPr>
        <w:t>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00" w:top="638" w:right="359" w:bottom="1440" w:gutter="0" w:footer="0" w:header="0"/>
          <w:type w:val="continuous"/>
        </w:sectPr>
      </w:pPr>
    </w:p>
    <w:p>
      <w:pPr>
        <w:spacing w:after="0" w:line="98" w:lineRule="exact"/>
        <w:rPr>
          <w:sz w:val="24"/>
          <w:szCs w:val="24"/>
          <w:color w:val="auto"/>
        </w:rPr>
      </w:pPr>
    </w:p>
    <w:p>
      <w:pPr>
        <w:ind w:left="1820"/>
        <w:spacing w:after="0"/>
        <w:rPr>
          <w:sz w:val="20"/>
          <w:szCs w:val="20"/>
          <w:color w:val="auto"/>
        </w:rPr>
      </w:pPr>
      <w:r>
        <w:rPr>
          <w:rFonts w:ascii="Arial" w:cs="Arial" w:eastAsia="Arial" w:hAnsi="Arial"/>
          <w:sz w:val="9"/>
          <w:szCs w:val="9"/>
          <w:color w:val="auto"/>
        </w:rPr>
        <w:t>Title of each class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0"/>
          <w:szCs w:val="10"/>
          <w:color w:val="auto"/>
        </w:rPr>
        <w:t>Trading Symbol(s)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0"/>
          <w:szCs w:val="10"/>
          <w:color w:val="auto"/>
        </w:rPr>
        <w:t>Name of each exchange on which registered</w:t>
      </w:r>
    </w:p>
    <w:p>
      <w:pPr>
        <w:spacing w:after="0" w:line="34" w:lineRule="exact"/>
        <w:rPr>
          <w:sz w:val="24"/>
          <w:szCs w:val="24"/>
          <w:color w:val="auto"/>
        </w:rPr>
      </w:pPr>
    </w:p>
    <w:p>
      <w:pPr>
        <w:sectPr>
          <w:pgSz w:w="11900" w:h="16838" w:orient="portrait"/>
          <w:cols w:equalWidth="0" w:num="3">
            <w:col w:w="4300" w:space="720"/>
            <w:col w:w="1940" w:space="720"/>
            <w:col w:w="3560"/>
          </w:cols>
          <w:pgMar w:left="300" w:top="638" w:right="359" w:bottom="1440" w:gutter="0" w:footer="0" w:header="0"/>
          <w:type w:val="continuous"/>
        </w:sectPr>
      </w:pPr>
    </w:p>
    <w:p>
      <w:pPr>
        <w:ind w:left="920"/>
        <w:spacing w:after="0"/>
        <w:rPr>
          <w:sz w:val="20"/>
          <w:szCs w:val="20"/>
          <w:color w:val="auto"/>
        </w:rPr>
      </w:pPr>
      <w:r>
        <w:rPr>
          <w:rFonts w:ascii="Arial" w:cs="Arial" w:eastAsia="Arial" w:hAnsi="Arial"/>
          <w:sz w:val="12"/>
          <w:szCs w:val="12"/>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FLDM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The Nasdaq Global Select Market</w:t>
      </w:r>
    </w:p>
    <w:p>
      <w:pPr>
        <w:spacing w:after="0" w:line="99" w:lineRule="exact"/>
        <w:rPr>
          <w:sz w:val="24"/>
          <w:szCs w:val="24"/>
          <w:color w:val="auto"/>
        </w:rPr>
      </w:pPr>
    </w:p>
    <w:p>
      <w:pPr>
        <w:sectPr>
          <w:pgSz w:w="11900" w:h="16838" w:orient="portrait"/>
          <w:cols w:equalWidth="0" w:num="3">
            <w:col w:w="4520" w:space="720"/>
            <w:col w:w="1700" w:space="720"/>
            <w:col w:w="3580"/>
          </w:cols>
          <w:pgMar w:left="300" w:top="638" w:right="35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None</w:t>
      </w:r>
    </w:p>
    <w:p>
      <w:pPr>
        <w:ind w:left="4380"/>
        <w:spacing w:after="0"/>
        <w:rPr>
          <w:sz w:val="20"/>
          <w:szCs w:val="20"/>
          <w:color w:val="auto"/>
        </w:rPr>
      </w:pPr>
      <w:r>
        <w:rPr>
          <w:rFonts w:ascii="Arial" w:cs="Arial" w:eastAsia="Arial" w:hAnsi="Arial"/>
          <w:sz w:val="11"/>
          <w:szCs w:val="11"/>
          <w:color w:val="auto"/>
        </w:rPr>
        <w:t>_____________________________________________</w:t>
      </w:r>
    </w:p>
    <w:p>
      <w:pPr>
        <w:spacing w:after="0" w:line="23" w:lineRule="exact"/>
        <w:rPr>
          <w:sz w:val="24"/>
          <w:szCs w:val="24"/>
          <w:color w:val="auto"/>
        </w:rPr>
      </w:pPr>
    </w:p>
    <w:p>
      <w:pPr>
        <w:ind w:left="260"/>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ectPr>
          <w:pgSz w:w="11900" w:h="16838" w:orient="portrait"/>
          <w:cols w:equalWidth="0" w:num="1">
            <w:col w:w="11240"/>
          </w:cols>
          <w:pgMar w:left="300" w:top="638" w:right="359" w:bottom="1440" w:gutter="0" w:footer="0" w:header="0"/>
          <w:type w:val="continuous"/>
        </w:sectPr>
      </w:pPr>
    </w:p>
    <w:p>
      <w:pPr>
        <w:spacing w:after="0" w:line="110" w:lineRule="exact"/>
        <w:rPr>
          <w:sz w:val="24"/>
          <w:szCs w:val="24"/>
          <w:color w:val="auto"/>
        </w:rPr>
      </w:pPr>
    </w:p>
    <w:p>
      <w:pPr>
        <w:ind w:left="2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15(d) of the Exchange Act. Yes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6" w:lineRule="exact"/>
        <w:rPr>
          <w:sz w:val="24"/>
          <w:szCs w:val="24"/>
          <w:color w:val="auto"/>
        </w:rPr>
      </w:pPr>
    </w:p>
    <w:p>
      <w:pPr>
        <w:sectPr>
          <w:pgSz w:w="11900" w:h="16838" w:orient="portrait"/>
          <w:cols w:equalWidth="0" w:num="3">
            <w:col w:w="7380" w:space="80"/>
            <w:col w:w="120" w:space="140"/>
            <w:col w:w="3520"/>
          </w:cols>
          <w:pgMar w:left="300" w:top="638" w:right="359" w:bottom="1440" w:gutter="0" w:footer="0" w:header="0"/>
          <w:type w:val="continuous"/>
        </w:sectPr>
      </w:pPr>
    </w:p>
    <w:p>
      <w:pPr>
        <w:ind w:right="180" w:firstLine="254"/>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ind w:right="20" w:firstLine="254"/>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 w:lineRule="exact"/>
        <w:rPr>
          <w:sz w:val="24"/>
          <w:szCs w:val="24"/>
          <w:color w:val="auto"/>
        </w:rPr>
      </w:pPr>
    </w:p>
    <w:p>
      <w:pPr>
        <w:ind w:right="380" w:firstLine="254"/>
        <w:spacing w:after="0" w:line="28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2"/>
          <w:szCs w:val="12"/>
          <w:color w:val="auto"/>
        </w:rPr>
        <w:t>ct.</w:t>
      </w:r>
    </w:p>
    <w:p>
      <w:pPr>
        <w:spacing w:after="0" w:line="44" w:lineRule="exact"/>
        <w:rPr>
          <w:sz w:val="24"/>
          <w:szCs w:val="24"/>
          <w:color w:val="auto"/>
        </w:rPr>
      </w:pPr>
    </w:p>
    <w:tbl>
      <w:tblPr>
        <w:tblLayout w:type="fixed"/>
        <w:tblInd w:w="1720" w:type="dxa"/>
        <w:tblCellMar>
          <w:top w:w="0" w:type="dxa"/>
          <w:left w:w="0" w:type="dxa"/>
          <w:bottom w:w="0" w:type="dxa"/>
          <w:right w:w="0" w:type="dxa"/>
        </w:tblCellMar>
      </w:tblPr>
      <w:tr>
        <w:trPr>
          <w:trHeight w:val="180"/>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80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17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80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2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60" w:type="dxa"/>
            <w:vAlign w:val="bottom"/>
          </w:tcPr>
          <w:p>
            <w:pPr>
              <w:ind w:left="80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7" w:lineRule="exact"/>
        <w:rPr>
          <w:sz w:val="24"/>
          <w:szCs w:val="24"/>
          <w:color w:val="auto"/>
        </w:rPr>
      </w:pPr>
    </w:p>
    <w:p>
      <w:pPr>
        <w:ind w:right="520" w:firstLine="254"/>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8" w:lineRule="exact"/>
        <w:rPr>
          <w:sz w:val="24"/>
          <w:szCs w:val="24"/>
          <w:color w:val="auto"/>
        </w:rPr>
      </w:pPr>
    </w:p>
    <w:p>
      <w:pPr>
        <w:ind w:right="20" w:firstLine="254"/>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ind w:left="260"/>
        <w:spacing w:after="0" w:line="161" w:lineRule="exact"/>
        <w:tabs>
          <w:tab w:leader="none" w:pos="6200" w:val="left"/>
          <w:tab w:leader="none" w:pos="6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7" w:lineRule="exact"/>
        <w:rPr>
          <w:sz w:val="24"/>
          <w:szCs w:val="24"/>
          <w:color w:val="auto"/>
        </w:rPr>
      </w:pPr>
    </w:p>
    <w:p>
      <w:pPr>
        <w:jc w:val="both"/>
        <w:ind w:right="80" w:firstLine="254"/>
        <w:spacing w:after="0" w:line="266" w:lineRule="auto"/>
        <w:rPr>
          <w:sz w:val="20"/>
          <w:szCs w:val="20"/>
          <w:color w:val="auto"/>
        </w:rPr>
      </w:pPr>
      <w:r>
        <w:rPr>
          <w:rFonts w:ascii="Arial" w:cs="Arial" w:eastAsia="Arial" w:hAnsi="Arial"/>
          <w:sz w:val="14"/>
          <w:szCs w:val="14"/>
          <w:color w:val="auto"/>
        </w:rPr>
        <w:t>As of June 30, 2021, the aggregate market value of the voting and non-voting common equity held by non-affiliates of the registrant was approximately $463,753,327,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37"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February 28, 2022, there were 77,198,577 shares of the registrant’s common stock outstanding.</w:t>
      </w:r>
    </w:p>
    <w:p>
      <w:pPr>
        <w:spacing w:after="0" w:line="89"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5" w:lineRule="exact"/>
        <w:rPr>
          <w:sz w:val="24"/>
          <w:szCs w:val="24"/>
          <w:color w:val="auto"/>
        </w:rPr>
      </w:pPr>
    </w:p>
    <w:p>
      <w:pPr>
        <w:ind w:firstLine="318"/>
        <w:spacing w:after="0" w:line="280" w:lineRule="auto"/>
        <w:rPr>
          <w:sz w:val="20"/>
          <w:szCs w:val="20"/>
          <w:color w:val="auto"/>
        </w:rPr>
      </w:pPr>
      <w:r>
        <w:rPr>
          <w:rFonts w:ascii="Arial" w:cs="Arial" w:eastAsia="Arial" w:hAnsi="Arial"/>
          <w:sz w:val="14"/>
          <w:szCs w:val="14"/>
          <w:color w:val="auto"/>
        </w:rPr>
        <w:t>Portions of the registrant’s Proxy Statement in connection with the registrant’s annual meeting of stockholders, scheduled to be held in May 2022, are incorporated by reference in Part III of this report.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226060</wp:posOffset>
            </wp:positionV>
            <wp:extent cx="71875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63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40" w:type="dxa"/>
            <w:vAlign w:val="bottom"/>
            <w:gridSpan w:val="10"/>
          </w:tcPr>
          <w:p>
            <w:pPr>
              <w:jc w:val="center"/>
              <w:ind w:right="2880"/>
              <w:spacing w:after="0"/>
              <w:rPr>
                <w:sz w:val="20"/>
                <w:szCs w:val="20"/>
                <w:color w:val="auto"/>
              </w:rPr>
            </w:pPr>
            <w:r>
              <w:rPr>
                <w:rFonts w:ascii="Arial" w:cs="Arial" w:eastAsia="Arial" w:hAnsi="Arial"/>
                <w:sz w:val="14"/>
                <w:szCs w:val="14"/>
                <w:b w:val="1"/>
                <w:bCs w:val="1"/>
                <w:color w:val="auto"/>
                <w:w w:val="94"/>
              </w:rPr>
              <w:t>Fluidigm Corporation</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40" w:type="dxa"/>
            <w:vAlign w:val="bottom"/>
            <w:gridSpan w:val="10"/>
          </w:tcPr>
          <w:p>
            <w:pPr>
              <w:jc w:val="center"/>
              <w:ind w:right="2880"/>
              <w:spacing w:after="0"/>
              <w:rPr>
                <w:sz w:val="20"/>
                <w:szCs w:val="20"/>
                <w:color w:val="auto"/>
              </w:rPr>
            </w:pPr>
            <w:r>
              <w:rPr>
                <w:rFonts w:ascii="Arial" w:cs="Arial" w:eastAsia="Arial" w:hAnsi="Arial"/>
                <w:sz w:val="14"/>
                <w:szCs w:val="14"/>
                <w:b w:val="1"/>
                <w:bCs w:val="1"/>
                <w:color w:val="auto"/>
                <w:w w:val="89"/>
              </w:rPr>
              <w:t>Fiscal Year 2021</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60" w:type="dxa"/>
            <w:vAlign w:val="bottom"/>
            <w:gridSpan w:val="9"/>
          </w:tcPr>
          <w:p>
            <w:pPr>
              <w:jc w:val="center"/>
              <w:ind w:right="3380"/>
              <w:spacing w:after="0"/>
              <w:rPr>
                <w:sz w:val="20"/>
                <w:szCs w:val="20"/>
                <w:color w:val="auto"/>
              </w:rPr>
            </w:pPr>
            <w:r>
              <w:rPr>
                <w:rFonts w:ascii="Arial" w:cs="Arial" w:eastAsia="Arial" w:hAnsi="Arial"/>
                <w:sz w:val="14"/>
                <w:szCs w:val="14"/>
                <w:b w:val="1"/>
                <w:bCs w:val="1"/>
                <w:color w:val="auto"/>
                <w:w w:val="98"/>
              </w:rPr>
              <w:t>Form 10-K</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40" w:type="dxa"/>
            <w:vAlign w:val="bottom"/>
            <w:gridSpan w:val="10"/>
          </w:tcPr>
          <w:p>
            <w:pPr>
              <w:jc w:val="center"/>
              <w:ind w:right="2880"/>
              <w:spacing w:after="0"/>
              <w:rPr>
                <w:sz w:val="20"/>
                <w:szCs w:val="20"/>
                <w:color w:val="auto"/>
              </w:rPr>
            </w:pPr>
            <w:r>
              <w:rPr>
                <w:rFonts w:ascii="Arial" w:cs="Arial" w:eastAsia="Arial" w:hAnsi="Arial"/>
                <w:sz w:val="14"/>
                <w:szCs w:val="14"/>
                <w:b w:val="1"/>
                <w:bCs w:val="1"/>
                <w:color w:val="auto"/>
                <w:w w:val="93"/>
              </w:rPr>
              <w:t>Annual Report</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40" w:type="dxa"/>
            <w:vAlign w:val="bottom"/>
          </w:tcPr>
          <w:p>
            <w:pPr>
              <w:spacing w:after="0"/>
              <w:rPr>
                <w:sz w:val="15"/>
                <w:szCs w:val="15"/>
                <w:color w:val="auto"/>
              </w:rPr>
            </w:pPr>
          </w:p>
        </w:tc>
        <w:tc>
          <w:tcPr>
            <w:tcW w:w="5540" w:type="dxa"/>
            <w:vAlign w:val="bottom"/>
            <w:gridSpan w:val="16"/>
          </w:tcPr>
          <w:p>
            <w:pPr>
              <w:jc w:val="center"/>
              <w:ind w:left="2550"/>
              <w:spacing w:after="0"/>
              <w:rPr>
                <w:sz w:val="20"/>
                <w:szCs w:val="20"/>
                <w:color w:val="auto"/>
              </w:rPr>
            </w:pPr>
            <w:r>
              <w:rPr>
                <w:rFonts w:ascii="Arial" w:cs="Arial" w:eastAsia="Arial" w:hAnsi="Arial"/>
                <w:sz w:val="14"/>
                <w:szCs w:val="14"/>
                <w:color w:val="auto"/>
                <w:w w:val="90"/>
              </w:rPr>
              <w:t>______________________________________</w:t>
            </w: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40" w:type="dxa"/>
            <w:vAlign w:val="bottom"/>
            <w:gridSpan w:val="10"/>
          </w:tcPr>
          <w:p>
            <w:pPr>
              <w:jc w:val="center"/>
              <w:ind w:right="2900"/>
              <w:spacing w:after="0"/>
              <w:rPr>
                <w:sz w:val="20"/>
                <w:szCs w:val="20"/>
                <w:color w:val="auto"/>
              </w:rPr>
            </w:pPr>
            <w:r>
              <w:rPr>
                <w:rFonts w:ascii="Arial" w:cs="Arial" w:eastAsia="Arial" w:hAnsi="Arial"/>
                <w:sz w:val="14"/>
                <w:szCs w:val="14"/>
                <w:b w:val="1"/>
                <w:bCs w:val="1"/>
                <w:color w:val="auto"/>
              </w:rPr>
              <w:t>TABLE OF CONTENTS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20"/>
                <w:szCs w:val="20"/>
                <w:color w:val="auto"/>
              </w:rPr>
            </w:pPr>
            <w:r>
              <w:rPr>
                <w:rFonts w:ascii="Arial" w:cs="Arial" w:eastAsia="Arial" w:hAnsi="Arial"/>
                <w:sz w:val="14"/>
                <w:szCs w:val="14"/>
                <w:color w:val="auto"/>
              </w:rPr>
              <w:t>PART I</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ind w:left="260"/>
              <w:spacing w:after="0" w:line="149" w:lineRule="exact"/>
              <w:rPr>
                <w:sz w:val="20"/>
                <w:szCs w:val="20"/>
                <w:color w:val="auto"/>
              </w:rPr>
            </w:pPr>
            <w:r>
              <w:rPr>
                <w:rFonts w:ascii="Arial" w:cs="Arial" w:eastAsia="Arial" w:hAnsi="Arial"/>
                <w:sz w:val="14"/>
                <w:szCs w:val="14"/>
                <w:color w:val="auto"/>
              </w:rPr>
              <w:t>ITEM 1.</w:t>
            </w:r>
          </w:p>
        </w:tc>
        <w:tc>
          <w:tcPr>
            <w:tcW w:w="7900" w:type="dxa"/>
            <w:vAlign w:val="bottom"/>
            <w:gridSpan w:val="22"/>
          </w:tcPr>
          <w:p>
            <w:pPr>
              <w:spacing w:after="0" w:line="149" w:lineRule="exact"/>
              <w:rPr>
                <w:rFonts w:ascii="Arial" w:cs="Arial" w:eastAsia="Arial" w:hAnsi="Arial"/>
                <w:sz w:val="14"/>
                <w:szCs w:val="14"/>
                <w:color w:val="0000FF"/>
              </w:rPr>
            </w:pPr>
            <w:hyperlink w:anchor="page4">
              <w:r>
                <w:rPr>
                  <w:rFonts w:ascii="Arial" w:cs="Arial" w:eastAsia="Arial" w:hAnsi="Arial"/>
                  <w:sz w:val="14"/>
                  <w:szCs w:val="14"/>
                  <w:color w:val="0000FF"/>
                </w:rPr>
                <w:t>BUSINESS</w:t>
              </w:r>
            </w:hyperlink>
          </w:p>
        </w:tc>
        <w:tc>
          <w:tcPr>
            <w:tcW w:w="1780" w:type="dxa"/>
            <w:vAlign w:val="bottom"/>
            <w:gridSpan w:val="3"/>
          </w:tcPr>
          <w:p>
            <w:pPr>
              <w:jc w:val="right"/>
              <w:ind w:right="20"/>
              <w:spacing w:after="0" w:line="149" w:lineRule="exact"/>
              <w:rPr>
                <w:rFonts w:ascii="Arial" w:cs="Arial" w:eastAsia="Arial" w:hAnsi="Arial"/>
                <w:sz w:val="14"/>
                <w:szCs w:val="14"/>
                <w:color w:val="0000FF"/>
              </w:rPr>
            </w:pPr>
            <w:hyperlink w:anchor="page4">
              <w:r>
                <w:rPr>
                  <w:rFonts w:ascii="Arial" w:cs="Arial" w:eastAsia="Arial" w:hAnsi="Arial"/>
                  <w:sz w:val="14"/>
                  <w:szCs w:val="14"/>
                  <w:color w:val="0000FF"/>
                </w:rPr>
                <w:t>1</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1A.</w:t>
            </w:r>
          </w:p>
        </w:tc>
        <w:tc>
          <w:tcPr>
            <w:tcW w:w="980" w:type="dxa"/>
            <w:vAlign w:val="bottom"/>
            <w:tcBorders>
              <w:bottom w:val="single" w:sz="8" w:color="0000FF"/>
            </w:tcBorders>
            <w:gridSpan w:val="4"/>
          </w:tcPr>
          <w:p>
            <w:pPr>
              <w:spacing w:after="0"/>
              <w:rPr>
                <w:rFonts w:ascii="Arial" w:cs="Arial" w:eastAsia="Arial" w:hAnsi="Arial"/>
                <w:sz w:val="14"/>
                <w:szCs w:val="14"/>
                <w:color w:val="0000FF"/>
                <w:w w:val="92"/>
              </w:rPr>
            </w:pPr>
            <w:hyperlink w:anchor="page20">
              <w:r>
                <w:rPr>
                  <w:rFonts w:ascii="Arial" w:cs="Arial" w:eastAsia="Arial" w:hAnsi="Arial"/>
                  <w:sz w:val="14"/>
                  <w:szCs w:val="14"/>
                  <w:color w:val="0000FF"/>
                  <w:w w:val="92"/>
                </w:rPr>
                <w:t>RISK FACTORS</w:t>
              </w:r>
            </w:hyperlink>
          </w:p>
        </w:tc>
        <w:tc>
          <w:tcPr>
            <w:tcW w:w="6920" w:type="dxa"/>
            <w:vAlign w:val="bottom"/>
            <w:gridSpan w:val="18"/>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20">
              <w:r>
                <w:rPr>
                  <w:rFonts w:ascii="Arial" w:cs="Arial" w:eastAsia="Arial" w:hAnsi="Arial"/>
                  <w:sz w:val="14"/>
                  <w:szCs w:val="14"/>
                  <w:color w:val="0000FF"/>
                  <w:w w:val="76"/>
                </w:rPr>
                <w:t>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1B.</w:t>
            </w:r>
          </w:p>
        </w:tc>
        <w:tc>
          <w:tcPr>
            <w:tcW w:w="7900" w:type="dxa"/>
            <w:vAlign w:val="bottom"/>
            <w:gridSpan w:val="22"/>
          </w:tcPr>
          <w:p>
            <w:pPr>
              <w:spacing w:after="0"/>
              <w:rPr>
                <w:rFonts w:ascii="Arial" w:cs="Arial" w:eastAsia="Arial" w:hAnsi="Arial"/>
                <w:sz w:val="14"/>
                <w:szCs w:val="14"/>
                <w:color w:val="0000FF"/>
              </w:rPr>
            </w:pPr>
            <w:hyperlink w:anchor="page54">
              <w:r>
                <w:rPr>
                  <w:rFonts w:ascii="Arial" w:cs="Arial" w:eastAsia="Arial" w:hAnsi="Arial"/>
                  <w:sz w:val="14"/>
                  <w:szCs w:val="14"/>
                  <w:color w:val="0000FF"/>
                </w:rPr>
                <w:t>UNRESOLVED STAFF COMMENTS</w:t>
              </w:r>
            </w:hyperlink>
          </w:p>
        </w:tc>
        <w:tc>
          <w:tcPr>
            <w:tcW w:w="1760" w:type="dxa"/>
            <w:vAlign w:val="bottom"/>
            <w:gridSpan w:val="2"/>
          </w:tcPr>
          <w:p>
            <w:pPr>
              <w:jc w:val="right"/>
              <w:spacing w:after="0"/>
              <w:rPr>
                <w:rFonts w:ascii="Arial" w:cs="Arial" w:eastAsia="Arial" w:hAnsi="Arial"/>
                <w:sz w:val="14"/>
                <w:szCs w:val="14"/>
                <w:color w:val="0000FF"/>
              </w:rPr>
            </w:pPr>
            <w:hyperlink w:anchor="page54">
              <w:r>
                <w:rPr>
                  <w:rFonts w:ascii="Arial" w:cs="Arial" w:eastAsia="Arial" w:hAnsi="Arial"/>
                  <w:sz w:val="14"/>
                  <w:szCs w:val="14"/>
                  <w:color w:val="0000FF"/>
                </w:rPr>
                <w:t>51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2.</w:t>
            </w:r>
          </w:p>
        </w:tc>
        <w:tc>
          <w:tcPr>
            <w:tcW w:w="82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88"/>
              </w:rPr>
            </w:pPr>
            <w:hyperlink w:anchor="page54">
              <w:r>
                <w:rPr>
                  <w:rFonts w:ascii="Arial" w:cs="Arial" w:eastAsia="Arial" w:hAnsi="Arial"/>
                  <w:sz w:val="14"/>
                  <w:szCs w:val="14"/>
                  <w:color w:val="0000FF"/>
                  <w:w w:val="88"/>
                </w:rPr>
                <w:t>PROPERTIES</w:t>
              </w:r>
            </w:hyperlink>
          </w:p>
        </w:tc>
        <w:tc>
          <w:tcPr>
            <w:tcW w:w="1380" w:type="dxa"/>
            <w:vAlign w:val="bottom"/>
            <w:tcBorders>
              <w:top w:val="single" w:sz="8" w:color="0000FF"/>
            </w:tcBorders>
            <w:gridSpan w:val="7"/>
          </w:tcPr>
          <w:p>
            <w:pPr>
              <w:spacing w:after="0"/>
              <w:rPr>
                <w:sz w:val="13"/>
                <w:szCs w:val="13"/>
                <w:color w:val="auto"/>
              </w:rPr>
            </w:pPr>
          </w:p>
        </w:tc>
        <w:tc>
          <w:tcPr>
            <w:tcW w:w="5700" w:type="dxa"/>
            <w:vAlign w:val="bottom"/>
            <w:gridSpan w:val="12"/>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54">
              <w:r>
                <w:rPr>
                  <w:rFonts w:ascii="Arial" w:cs="Arial" w:eastAsia="Arial" w:hAnsi="Arial"/>
                  <w:sz w:val="14"/>
                  <w:szCs w:val="14"/>
                  <w:color w:val="0000FF"/>
                  <w:w w:val="76"/>
                </w:rPr>
                <w:t>51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3.</w:t>
            </w:r>
          </w:p>
        </w:tc>
        <w:tc>
          <w:tcPr>
            <w:tcW w:w="7900" w:type="dxa"/>
            <w:vAlign w:val="bottom"/>
            <w:gridSpan w:val="22"/>
          </w:tcPr>
          <w:p>
            <w:pPr>
              <w:spacing w:after="0"/>
              <w:rPr>
                <w:rFonts w:ascii="Arial" w:cs="Arial" w:eastAsia="Arial" w:hAnsi="Arial"/>
                <w:sz w:val="14"/>
                <w:szCs w:val="14"/>
                <w:color w:val="0000FF"/>
              </w:rPr>
            </w:pPr>
            <w:hyperlink w:anchor="page54">
              <w:r>
                <w:rPr>
                  <w:rFonts w:ascii="Arial" w:cs="Arial" w:eastAsia="Arial" w:hAnsi="Arial"/>
                  <w:sz w:val="14"/>
                  <w:szCs w:val="14"/>
                  <w:color w:val="0000FF"/>
                </w:rPr>
                <w:t>LEGAL PROCEEDINGS</w:t>
              </w:r>
            </w:hyperlink>
          </w:p>
        </w:tc>
        <w:tc>
          <w:tcPr>
            <w:tcW w:w="1760" w:type="dxa"/>
            <w:vAlign w:val="bottom"/>
            <w:gridSpan w:val="2"/>
          </w:tcPr>
          <w:p>
            <w:pPr>
              <w:jc w:val="right"/>
              <w:spacing w:after="0"/>
              <w:rPr>
                <w:rFonts w:ascii="Arial" w:cs="Arial" w:eastAsia="Arial" w:hAnsi="Arial"/>
                <w:sz w:val="14"/>
                <w:szCs w:val="14"/>
                <w:color w:val="0000FF"/>
              </w:rPr>
            </w:pPr>
            <w:hyperlink w:anchor="page54">
              <w:r>
                <w:rPr>
                  <w:rFonts w:ascii="Arial" w:cs="Arial" w:eastAsia="Arial" w:hAnsi="Arial"/>
                  <w:sz w:val="14"/>
                  <w:szCs w:val="14"/>
                  <w:color w:val="0000FF"/>
                </w:rPr>
                <w:t>51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4.</w:t>
            </w:r>
          </w:p>
        </w:tc>
        <w:tc>
          <w:tcPr>
            <w:tcW w:w="7900" w:type="dxa"/>
            <w:vAlign w:val="bottom"/>
            <w:gridSpan w:val="22"/>
          </w:tcPr>
          <w:p>
            <w:pPr>
              <w:spacing w:after="0"/>
              <w:rPr>
                <w:rFonts w:ascii="Arial" w:cs="Arial" w:eastAsia="Arial" w:hAnsi="Arial"/>
                <w:sz w:val="14"/>
                <w:szCs w:val="14"/>
                <w:color w:val="0000FF"/>
              </w:rPr>
            </w:pPr>
            <w:hyperlink w:anchor="page54">
              <w:r>
                <w:rPr>
                  <w:rFonts w:ascii="Arial" w:cs="Arial" w:eastAsia="Arial" w:hAnsi="Arial"/>
                  <w:sz w:val="14"/>
                  <w:szCs w:val="14"/>
                  <w:color w:val="0000FF"/>
                </w:rPr>
                <w:t>MINE SAFETY DISCLOSURES</w:t>
              </w:r>
            </w:hyperlink>
          </w:p>
        </w:tc>
        <w:tc>
          <w:tcPr>
            <w:tcW w:w="1760" w:type="dxa"/>
            <w:vAlign w:val="bottom"/>
            <w:gridSpan w:val="2"/>
          </w:tcPr>
          <w:p>
            <w:pPr>
              <w:jc w:val="right"/>
              <w:spacing w:after="0"/>
              <w:rPr>
                <w:rFonts w:ascii="Arial" w:cs="Arial" w:eastAsia="Arial" w:hAnsi="Arial"/>
                <w:sz w:val="14"/>
                <w:szCs w:val="14"/>
                <w:color w:val="0000FF"/>
              </w:rPr>
            </w:pPr>
            <w:hyperlink w:anchor="page54">
              <w:r>
                <w:rPr>
                  <w:rFonts w:ascii="Arial" w:cs="Arial" w:eastAsia="Arial" w:hAnsi="Arial"/>
                  <w:sz w:val="14"/>
                  <w:szCs w:val="14"/>
                  <w:color w:val="0000FF"/>
                </w:rPr>
                <w:t>51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Arial" w:cs="Arial" w:eastAsia="Arial" w:hAnsi="Arial"/>
                <w:sz w:val="14"/>
                <w:szCs w:val="14"/>
                <w:color w:val="auto"/>
              </w:rPr>
              <w:t>PART II</w:t>
            </w:r>
          </w:p>
        </w:tc>
        <w:tc>
          <w:tcPr>
            <w:tcW w:w="6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40" w:type="dxa"/>
            <w:vAlign w:val="bottom"/>
          </w:tcPr>
          <w:p>
            <w:pPr>
              <w:ind w:left="260"/>
              <w:spacing w:after="0"/>
              <w:rPr>
                <w:sz w:val="20"/>
                <w:szCs w:val="20"/>
                <w:color w:val="auto"/>
              </w:rPr>
            </w:pPr>
            <w:r>
              <w:rPr>
                <w:rFonts w:ascii="Arial" w:cs="Arial" w:eastAsia="Arial" w:hAnsi="Arial"/>
                <w:sz w:val="14"/>
                <w:szCs w:val="14"/>
                <w:color w:val="auto"/>
              </w:rPr>
              <w:t>ITEM 5.</w:t>
            </w:r>
          </w:p>
        </w:tc>
        <w:tc>
          <w:tcPr>
            <w:tcW w:w="7900" w:type="dxa"/>
            <w:vAlign w:val="bottom"/>
            <w:gridSpan w:val="22"/>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MARKET FOR REGISTRANT’S COMMON EQUITY, RELATED STOCKHOLDER MATTERS AND ISSUER PURCHASES OF</w:t>
              </w:r>
            </w:hyperlink>
          </w:p>
        </w:tc>
        <w:tc>
          <w:tcPr>
            <w:tcW w:w="1620" w:type="dxa"/>
            <w:vAlign w:val="bottom"/>
            <w:vMerge w:val="restart"/>
          </w:tcPr>
          <w:p>
            <w:pPr>
              <w:spacing w:after="0"/>
              <w:rPr>
                <w:sz w:val="16"/>
                <w:szCs w:val="16"/>
                <w:color w:val="auto"/>
              </w:rPr>
            </w:pPr>
          </w:p>
        </w:tc>
        <w:tc>
          <w:tcPr>
            <w:tcW w:w="140" w:type="dxa"/>
            <w:vAlign w:val="bottom"/>
            <w:vMerge w:val="restart"/>
          </w:tcPr>
          <w:p>
            <w:pPr>
              <w:jc w:val="right"/>
              <w:spacing w:after="0"/>
              <w:rPr>
                <w:rFonts w:ascii="Arial" w:cs="Arial" w:eastAsia="Arial" w:hAnsi="Arial"/>
                <w:sz w:val="14"/>
                <w:szCs w:val="14"/>
                <w:color w:val="0000FF"/>
                <w:w w:val="76"/>
              </w:rPr>
            </w:pPr>
            <w:hyperlink w:anchor="page55">
              <w:r>
                <w:rPr>
                  <w:rFonts w:ascii="Arial" w:cs="Arial" w:eastAsia="Arial" w:hAnsi="Arial"/>
                  <w:sz w:val="14"/>
                  <w:szCs w:val="14"/>
                  <w:color w:val="0000FF"/>
                  <w:w w:val="76"/>
                </w:rPr>
                <w:t>52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13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w:anchor="page55">
              <w:r>
                <w:rPr>
                  <w:rFonts w:ascii="Arial" w:cs="Arial" w:eastAsia="Arial" w:hAnsi="Arial"/>
                  <w:sz w:val="13"/>
                  <w:szCs w:val="13"/>
                  <w:color w:val="0000FF"/>
                </w:rPr>
                <w:t>EQUITY SECURITIES</w:t>
              </w:r>
            </w:hyperlink>
          </w:p>
        </w:tc>
        <w:tc>
          <w:tcPr>
            <w:tcW w:w="6180" w:type="dxa"/>
            <w:vAlign w:val="bottom"/>
            <w:tcBorders>
              <w:top w:val="single" w:sz="8" w:color="0000FF"/>
            </w:tcBorders>
            <w:gridSpan w:val="16"/>
          </w:tcPr>
          <w:p>
            <w:pPr>
              <w:spacing w:after="0"/>
              <w:rPr>
                <w:sz w:val="10"/>
                <w:szCs w:val="10"/>
                <w:color w:val="auto"/>
              </w:rPr>
            </w:pPr>
          </w:p>
        </w:tc>
        <w:tc>
          <w:tcPr>
            <w:tcW w:w="3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40" w:type="dxa"/>
            <w:vAlign w:val="bottom"/>
            <w:tcBorders>
              <w:bottom w:val="single" w:sz="8" w:color="0000FF"/>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6.</w:t>
            </w:r>
          </w:p>
        </w:tc>
        <w:tc>
          <w:tcPr>
            <w:tcW w:w="7900" w:type="dxa"/>
            <w:vAlign w:val="bottom"/>
            <w:gridSpan w:val="22"/>
          </w:tcPr>
          <w:p>
            <w:pPr>
              <w:spacing w:after="0"/>
              <w:rPr>
                <w:sz w:val="20"/>
                <w:szCs w:val="20"/>
                <w:color w:val="auto"/>
              </w:rPr>
            </w:pPr>
            <w:r>
              <w:rPr>
                <w:rFonts w:ascii="Arial" w:cs="Arial" w:eastAsia="Arial" w:hAnsi="Arial"/>
                <w:sz w:val="14"/>
                <w:szCs w:val="14"/>
                <w:color w:val="0000FF"/>
              </w:rPr>
              <w:t>[RESERVED]</w:t>
            </w:r>
          </w:p>
        </w:tc>
        <w:tc>
          <w:tcPr>
            <w:tcW w:w="1760" w:type="dxa"/>
            <w:vAlign w:val="bottom"/>
            <w:gridSpan w:val="2"/>
          </w:tcPr>
          <w:p>
            <w:pPr>
              <w:jc w:val="right"/>
              <w:spacing w:after="0"/>
              <w:rPr>
                <w:rFonts w:ascii="Arial" w:cs="Arial" w:eastAsia="Arial" w:hAnsi="Arial"/>
                <w:sz w:val="14"/>
                <w:szCs w:val="14"/>
                <w:color w:val="0000FF"/>
              </w:rPr>
            </w:pPr>
            <w:hyperlink w:anchor="page55">
              <w:r>
                <w:rPr>
                  <w:rFonts w:ascii="Arial" w:cs="Arial" w:eastAsia="Arial" w:hAnsi="Arial"/>
                  <w:sz w:val="14"/>
                  <w:szCs w:val="14"/>
                  <w:color w:val="0000FF"/>
                </w:rPr>
                <w:t>52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7.</w:t>
            </w:r>
          </w:p>
        </w:tc>
        <w:tc>
          <w:tcPr>
            <w:tcW w:w="7900" w:type="dxa"/>
            <w:vAlign w:val="bottom"/>
            <w:gridSpan w:val="22"/>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MANAGEMENT’S DISCUSSION AND ANALYSIS OF FINANCIAL CONDITION AND RESULTS OF OPERATIONS</w:t>
              </w:r>
            </w:hyperlink>
          </w:p>
        </w:tc>
        <w:tc>
          <w:tcPr>
            <w:tcW w:w="1760" w:type="dxa"/>
            <w:vAlign w:val="bottom"/>
            <w:gridSpan w:val="2"/>
          </w:tcPr>
          <w:p>
            <w:pPr>
              <w:jc w:val="right"/>
              <w:spacing w:after="0"/>
              <w:rPr>
                <w:rFonts w:ascii="Arial" w:cs="Arial" w:eastAsia="Arial" w:hAnsi="Arial"/>
                <w:sz w:val="14"/>
                <w:szCs w:val="14"/>
                <w:color w:val="0000FF"/>
              </w:rPr>
            </w:pPr>
            <w:hyperlink w:anchor="page55">
              <w:r>
                <w:rPr>
                  <w:rFonts w:ascii="Arial" w:cs="Arial" w:eastAsia="Arial" w:hAnsi="Arial"/>
                  <w:sz w:val="14"/>
                  <w:szCs w:val="14"/>
                  <w:color w:val="0000FF"/>
                </w:rPr>
                <w:t>53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7A.</w:t>
            </w:r>
          </w:p>
        </w:tc>
        <w:tc>
          <w:tcPr>
            <w:tcW w:w="6980" w:type="dxa"/>
            <w:vAlign w:val="bottom"/>
            <w:tcBorders>
              <w:top w:val="single" w:sz="8" w:color="0000FF"/>
            </w:tcBorders>
            <w:gridSpan w:val="18"/>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QUANTITATIVE AND QUALITATIVE DISCLOSURES ABOUT MARKET RISK</w:t>
              </w:r>
            </w:hyperlink>
          </w:p>
        </w:tc>
        <w:tc>
          <w:tcPr>
            <w:tcW w:w="920" w:type="dxa"/>
            <w:vAlign w:val="bottom"/>
            <w:gridSpan w:val="4"/>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Borders>
              <w:top w:val="single" w:sz="8" w:color="0000FF"/>
            </w:tcBorders>
          </w:tcPr>
          <w:p>
            <w:pPr>
              <w:jc w:val="right"/>
              <w:spacing w:after="0"/>
              <w:rPr>
                <w:rFonts w:ascii="Arial" w:cs="Arial" w:eastAsia="Arial" w:hAnsi="Arial"/>
                <w:sz w:val="14"/>
                <w:szCs w:val="14"/>
                <w:color w:val="0000FF"/>
                <w:w w:val="76"/>
              </w:rPr>
            </w:pPr>
            <w:hyperlink w:anchor="page71">
              <w:r>
                <w:rPr>
                  <w:rFonts w:ascii="Arial" w:cs="Arial" w:eastAsia="Arial" w:hAnsi="Arial"/>
                  <w:sz w:val="14"/>
                  <w:szCs w:val="14"/>
                  <w:color w:val="0000FF"/>
                  <w:w w:val="76"/>
                </w:rPr>
                <w:t>68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8.</w:t>
            </w:r>
          </w:p>
        </w:tc>
        <w:tc>
          <w:tcPr>
            <w:tcW w:w="4800" w:type="dxa"/>
            <w:vAlign w:val="bottom"/>
            <w:tcBorders>
              <w:top w:val="single" w:sz="8" w:color="0000FF"/>
            </w:tcBorders>
            <w:gridSpan w:val="15"/>
          </w:tcPr>
          <w:p>
            <w:pPr>
              <w:spacing w:after="0"/>
              <w:rPr>
                <w:rFonts w:ascii="Arial" w:cs="Arial" w:eastAsia="Arial" w:hAnsi="Arial"/>
                <w:sz w:val="14"/>
                <w:szCs w:val="14"/>
                <w:color w:val="0000FF"/>
              </w:rPr>
            </w:pPr>
            <w:hyperlink w:anchor="page72">
              <w:r>
                <w:rPr>
                  <w:rFonts w:ascii="Arial" w:cs="Arial" w:eastAsia="Arial" w:hAnsi="Arial"/>
                  <w:sz w:val="14"/>
                  <w:szCs w:val="14"/>
                  <w:color w:val="0000FF"/>
                </w:rPr>
                <w:t>FINANCIAL STATEMENTS AND SUPPLEMENTARY DATA</w:t>
              </w:r>
            </w:hyperlink>
          </w:p>
        </w:tc>
        <w:tc>
          <w:tcPr>
            <w:tcW w:w="3100" w:type="dxa"/>
            <w:vAlign w:val="bottom"/>
            <w:gridSpan w:val="7"/>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Borders>
              <w:top w:val="single" w:sz="8" w:color="0000FF"/>
            </w:tcBorders>
          </w:tcPr>
          <w:p>
            <w:pPr>
              <w:jc w:val="right"/>
              <w:spacing w:after="0"/>
              <w:rPr>
                <w:rFonts w:ascii="Arial" w:cs="Arial" w:eastAsia="Arial" w:hAnsi="Arial"/>
                <w:sz w:val="14"/>
                <w:szCs w:val="14"/>
                <w:color w:val="0000FF"/>
                <w:w w:val="76"/>
              </w:rPr>
            </w:pPr>
            <w:hyperlink w:anchor="page72">
              <w:r>
                <w:rPr>
                  <w:rFonts w:ascii="Arial" w:cs="Arial" w:eastAsia="Arial" w:hAnsi="Arial"/>
                  <w:sz w:val="14"/>
                  <w:szCs w:val="14"/>
                  <w:color w:val="0000FF"/>
                  <w:w w:val="76"/>
                </w:rPr>
                <w:t>70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9.</w:t>
            </w:r>
          </w:p>
        </w:tc>
        <w:tc>
          <w:tcPr>
            <w:tcW w:w="7900" w:type="dxa"/>
            <w:vAlign w:val="bottom"/>
            <w:gridSpan w:val="22"/>
          </w:tcPr>
          <w:p>
            <w:pPr>
              <w:spacing w:after="0"/>
              <w:rPr>
                <w:rFonts w:ascii="Arial" w:cs="Arial" w:eastAsia="Arial" w:hAnsi="Arial"/>
                <w:sz w:val="14"/>
                <w:szCs w:val="14"/>
                <w:color w:val="0000FF"/>
              </w:rPr>
            </w:pPr>
            <w:hyperlink w:anchor="page112">
              <w:r>
                <w:rPr>
                  <w:rFonts w:ascii="Arial" w:cs="Arial" w:eastAsia="Arial" w:hAnsi="Arial"/>
                  <w:sz w:val="14"/>
                  <w:szCs w:val="14"/>
                  <w:color w:val="0000FF"/>
                </w:rPr>
                <w:t>CHANGES IN AND DISAGREEMENTS WITH ACCOUNTANTS ON ACCOUNTING AND FINANCIAL DISCLOSURE</w:t>
              </w:r>
            </w:hyperlink>
          </w:p>
        </w:tc>
        <w:tc>
          <w:tcPr>
            <w:tcW w:w="1780" w:type="dxa"/>
            <w:vAlign w:val="bottom"/>
            <w:gridSpan w:val="3"/>
          </w:tcPr>
          <w:p>
            <w:pPr>
              <w:jc w:val="right"/>
              <w:ind w:right="20"/>
              <w:spacing w:after="0"/>
              <w:rPr>
                <w:rFonts w:ascii="Arial" w:cs="Arial" w:eastAsia="Arial" w:hAnsi="Arial"/>
                <w:sz w:val="14"/>
                <w:szCs w:val="14"/>
                <w:color w:val="0000FF"/>
              </w:rPr>
            </w:pPr>
            <w:hyperlink w:anchor="page112">
              <w:r>
                <w:rPr>
                  <w:rFonts w:ascii="Arial" w:cs="Arial" w:eastAsia="Arial" w:hAnsi="Arial"/>
                  <w:sz w:val="14"/>
                  <w:szCs w:val="14"/>
                  <w:color w:val="0000FF"/>
                </w:rPr>
                <w:t>109</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9A.</w:t>
            </w:r>
          </w:p>
        </w:tc>
        <w:tc>
          <w:tcPr>
            <w:tcW w:w="2040" w:type="dxa"/>
            <w:vAlign w:val="bottom"/>
            <w:gridSpan w:val="9"/>
          </w:tcPr>
          <w:p>
            <w:pPr>
              <w:spacing w:after="0"/>
              <w:rPr>
                <w:rFonts w:ascii="Arial" w:cs="Arial" w:eastAsia="Arial" w:hAnsi="Arial"/>
                <w:sz w:val="14"/>
                <w:szCs w:val="14"/>
                <w:color w:val="0000FF"/>
                <w:w w:val="94"/>
              </w:rPr>
            </w:pPr>
            <w:hyperlink w:anchor="page112">
              <w:r>
                <w:rPr>
                  <w:rFonts w:ascii="Arial" w:cs="Arial" w:eastAsia="Arial" w:hAnsi="Arial"/>
                  <w:sz w:val="14"/>
                  <w:szCs w:val="14"/>
                  <w:color w:val="0000FF"/>
                  <w:w w:val="94"/>
                </w:rPr>
                <w:t>CONTROLS AND PROCEDURES</w:t>
              </w:r>
            </w:hyperlink>
          </w:p>
        </w:tc>
        <w:tc>
          <w:tcPr>
            <w:tcW w:w="5080" w:type="dxa"/>
            <w:vAlign w:val="bottom"/>
            <w:gridSpan w:val="10"/>
          </w:tcPr>
          <w:p>
            <w:pPr>
              <w:spacing w:after="0"/>
              <w:rPr>
                <w:sz w:val="13"/>
                <w:szCs w:val="13"/>
                <w:color w:val="auto"/>
              </w:rPr>
            </w:pPr>
          </w:p>
        </w:tc>
        <w:tc>
          <w:tcPr>
            <w:tcW w:w="780" w:type="dxa"/>
            <w:vAlign w:val="bottom"/>
            <w:gridSpan w:val="3"/>
          </w:tcPr>
          <w:p>
            <w:pPr>
              <w:spacing w:after="0"/>
              <w:rPr>
                <w:sz w:val="13"/>
                <w:szCs w:val="13"/>
                <w:color w:val="auto"/>
              </w:rPr>
            </w:pPr>
          </w:p>
        </w:tc>
        <w:tc>
          <w:tcPr>
            <w:tcW w:w="1780" w:type="dxa"/>
            <w:vAlign w:val="bottom"/>
            <w:gridSpan w:val="3"/>
          </w:tcPr>
          <w:p>
            <w:pPr>
              <w:jc w:val="right"/>
              <w:ind w:right="20"/>
              <w:spacing w:after="0"/>
              <w:rPr>
                <w:rFonts w:ascii="Arial" w:cs="Arial" w:eastAsia="Arial" w:hAnsi="Arial"/>
                <w:sz w:val="14"/>
                <w:szCs w:val="14"/>
                <w:color w:val="0000FF"/>
              </w:rPr>
            </w:pPr>
            <w:hyperlink w:anchor="page112">
              <w:r>
                <w:rPr>
                  <w:rFonts w:ascii="Arial" w:cs="Arial" w:eastAsia="Arial" w:hAnsi="Arial"/>
                  <w:sz w:val="14"/>
                  <w:szCs w:val="14"/>
                  <w:color w:val="0000FF"/>
                </w:rPr>
                <w:t>109</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9B.</w:t>
            </w:r>
          </w:p>
        </w:tc>
        <w:tc>
          <w:tcPr>
            <w:tcW w:w="1460" w:type="dxa"/>
            <w:vAlign w:val="bottom"/>
            <w:gridSpan w:val="6"/>
          </w:tcPr>
          <w:p>
            <w:pPr>
              <w:spacing w:after="0"/>
              <w:rPr>
                <w:rFonts w:ascii="Arial" w:cs="Arial" w:eastAsia="Arial" w:hAnsi="Arial"/>
                <w:sz w:val="14"/>
                <w:szCs w:val="14"/>
                <w:color w:val="0000FF"/>
                <w:w w:val="94"/>
              </w:rPr>
            </w:pPr>
            <w:hyperlink w:anchor="page113">
              <w:r>
                <w:rPr>
                  <w:rFonts w:ascii="Arial" w:cs="Arial" w:eastAsia="Arial" w:hAnsi="Arial"/>
                  <w:sz w:val="14"/>
                  <w:szCs w:val="14"/>
                  <w:color w:val="0000FF"/>
                  <w:w w:val="94"/>
                </w:rPr>
                <w:t>OTHER INFORMATION</w:t>
              </w:r>
            </w:hyperlink>
          </w:p>
        </w:tc>
        <w:tc>
          <w:tcPr>
            <w:tcW w:w="580" w:type="dxa"/>
            <w:vAlign w:val="bottom"/>
            <w:gridSpan w:val="3"/>
          </w:tcPr>
          <w:p>
            <w:pPr>
              <w:spacing w:after="0"/>
              <w:rPr>
                <w:sz w:val="13"/>
                <w:szCs w:val="13"/>
                <w:color w:val="auto"/>
              </w:rPr>
            </w:pPr>
          </w:p>
        </w:tc>
        <w:tc>
          <w:tcPr>
            <w:tcW w:w="5860" w:type="dxa"/>
            <w:vAlign w:val="bottom"/>
            <w:gridSpan w:val="13"/>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gridSpan w:val="2"/>
          </w:tcPr>
          <w:p>
            <w:pPr>
              <w:jc w:val="right"/>
              <w:ind w:right="20"/>
              <w:spacing w:after="0"/>
              <w:rPr>
                <w:rFonts w:ascii="Arial" w:cs="Arial" w:eastAsia="Arial" w:hAnsi="Arial"/>
                <w:sz w:val="10"/>
                <w:szCs w:val="10"/>
                <w:color w:val="0000FF"/>
                <w:w w:val="71"/>
              </w:rPr>
            </w:pPr>
            <w:hyperlink w:anchor="page113">
              <w:r>
                <w:rPr>
                  <w:rFonts w:ascii="Arial" w:cs="Arial" w:eastAsia="Arial" w:hAnsi="Arial"/>
                  <w:sz w:val="10"/>
                  <w:szCs w:val="10"/>
                  <w:color w:val="0000FF"/>
                  <w:w w:val="71"/>
                </w:rPr>
                <w:t>110</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9C</w:t>
            </w:r>
          </w:p>
        </w:tc>
        <w:tc>
          <w:tcPr>
            <w:tcW w:w="7900" w:type="dxa"/>
            <w:vAlign w:val="bottom"/>
            <w:gridSpan w:val="22"/>
          </w:tcPr>
          <w:p>
            <w:pPr>
              <w:spacing w:after="0"/>
              <w:rPr>
                <w:sz w:val="20"/>
                <w:szCs w:val="20"/>
                <w:color w:val="auto"/>
              </w:rPr>
            </w:pPr>
            <w:r>
              <w:rPr>
                <w:rFonts w:ascii="Arial" w:cs="Arial" w:eastAsia="Arial" w:hAnsi="Arial"/>
                <w:sz w:val="14"/>
                <w:szCs w:val="14"/>
                <w:color w:val="0000FF"/>
              </w:rPr>
              <w:t>DISCLOSURES REGARDING FOREIGN JURISDICTIONS THAT PREVENT INSPECTIONS</w:t>
            </w:r>
          </w:p>
        </w:tc>
        <w:tc>
          <w:tcPr>
            <w:tcW w:w="1780" w:type="dxa"/>
            <w:vAlign w:val="bottom"/>
            <w:gridSpan w:val="3"/>
          </w:tcPr>
          <w:p>
            <w:pPr>
              <w:jc w:val="right"/>
              <w:ind w:right="20"/>
              <w:spacing w:after="0"/>
              <w:rPr>
                <w:rFonts w:ascii="Arial" w:cs="Arial" w:eastAsia="Arial" w:hAnsi="Arial"/>
                <w:sz w:val="14"/>
                <w:szCs w:val="14"/>
                <w:color w:val="0000FF"/>
              </w:rPr>
            </w:pPr>
            <w:hyperlink w:anchor="page113">
              <w:r>
                <w:rPr>
                  <w:rFonts w:ascii="Arial" w:cs="Arial" w:eastAsia="Arial" w:hAnsi="Arial"/>
                  <w:sz w:val="14"/>
                  <w:szCs w:val="14"/>
                  <w:color w:val="0000FF"/>
                </w:rPr>
                <w:t>110</w:t>
              </w:r>
            </w:hyperlink>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Arial" w:cs="Arial" w:eastAsia="Arial" w:hAnsi="Arial"/>
                <w:sz w:val="14"/>
                <w:szCs w:val="14"/>
                <w:color w:val="auto"/>
              </w:rPr>
              <w:t>PART III</w:t>
            </w:r>
          </w:p>
        </w:tc>
        <w:tc>
          <w:tcPr>
            <w:tcW w:w="6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40" w:type="dxa"/>
            <w:vAlign w:val="bottom"/>
          </w:tcPr>
          <w:p>
            <w:pPr>
              <w:ind w:left="260"/>
              <w:spacing w:after="0"/>
              <w:rPr>
                <w:sz w:val="20"/>
                <w:szCs w:val="20"/>
                <w:color w:val="auto"/>
              </w:rPr>
            </w:pPr>
            <w:r>
              <w:rPr>
                <w:rFonts w:ascii="Arial" w:cs="Arial" w:eastAsia="Arial" w:hAnsi="Arial"/>
                <w:sz w:val="14"/>
                <w:szCs w:val="14"/>
                <w:color w:val="auto"/>
              </w:rPr>
              <w:t>ITEM 10.</w:t>
            </w:r>
          </w:p>
        </w:tc>
        <w:tc>
          <w:tcPr>
            <w:tcW w:w="7900" w:type="dxa"/>
            <w:vAlign w:val="bottom"/>
            <w:gridSpan w:val="22"/>
          </w:tcPr>
          <w:p>
            <w:pPr>
              <w:spacing w:after="0"/>
              <w:rPr>
                <w:rFonts w:ascii="Arial" w:cs="Arial" w:eastAsia="Arial" w:hAnsi="Arial"/>
                <w:sz w:val="14"/>
                <w:szCs w:val="14"/>
                <w:color w:val="0000FF"/>
              </w:rPr>
            </w:pPr>
            <w:hyperlink w:anchor="page115">
              <w:r>
                <w:rPr>
                  <w:rFonts w:ascii="Arial" w:cs="Arial" w:eastAsia="Arial" w:hAnsi="Arial"/>
                  <w:sz w:val="14"/>
                  <w:szCs w:val="14"/>
                  <w:color w:val="0000FF"/>
                </w:rPr>
                <w:t>DIRECTORS, EXECUTIVE OFFICERS AND CORPORATE GOVERNANCE</w:t>
              </w:r>
            </w:hyperlink>
          </w:p>
        </w:tc>
        <w:tc>
          <w:tcPr>
            <w:tcW w:w="1780" w:type="dxa"/>
            <w:vAlign w:val="bottom"/>
            <w:gridSpan w:val="3"/>
          </w:tcPr>
          <w:p>
            <w:pPr>
              <w:jc w:val="right"/>
              <w:ind w:right="20"/>
              <w:spacing w:after="0"/>
              <w:rPr>
                <w:rFonts w:ascii="Arial" w:cs="Arial" w:eastAsia="Arial" w:hAnsi="Arial"/>
                <w:sz w:val="14"/>
                <w:szCs w:val="14"/>
                <w:color w:val="0000FF"/>
              </w:rPr>
            </w:pPr>
            <w:hyperlink w:anchor="page115">
              <w:r>
                <w:rPr>
                  <w:rFonts w:ascii="Arial" w:cs="Arial" w:eastAsia="Arial" w:hAnsi="Arial"/>
                  <w:sz w:val="14"/>
                  <w:szCs w:val="14"/>
                  <w:color w:val="0000FF"/>
                </w:rPr>
                <w:t>112</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11.</w:t>
            </w:r>
          </w:p>
        </w:tc>
        <w:tc>
          <w:tcPr>
            <w:tcW w:w="1920" w:type="dxa"/>
            <w:vAlign w:val="bottom"/>
            <w:gridSpan w:val="8"/>
          </w:tcPr>
          <w:p>
            <w:pPr>
              <w:spacing w:after="0"/>
              <w:rPr>
                <w:rFonts w:ascii="Arial" w:cs="Arial" w:eastAsia="Arial" w:hAnsi="Arial"/>
                <w:sz w:val="14"/>
                <w:szCs w:val="14"/>
                <w:color w:val="0000FF"/>
                <w:w w:val="96"/>
              </w:rPr>
            </w:pPr>
            <w:hyperlink w:anchor="page115">
              <w:r>
                <w:rPr>
                  <w:rFonts w:ascii="Arial" w:cs="Arial" w:eastAsia="Arial" w:hAnsi="Arial"/>
                  <w:sz w:val="14"/>
                  <w:szCs w:val="14"/>
                  <w:color w:val="0000FF"/>
                  <w:w w:val="96"/>
                </w:rPr>
                <w:t>EXECUTIVE COMPENSATION</w:t>
              </w:r>
            </w:hyperlink>
          </w:p>
        </w:tc>
        <w:tc>
          <w:tcPr>
            <w:tcW w:w="2620" w:type="dxa"/>
            <w:vAlign w:val="bottom"/>
            <w:gridSpan w:val="6"/>
          </w:tcPr>
          <w:p>
            <w:pPr>
              <w:spacing w:after="0"/>
              <w:rPr>
                <w:sz w:val="13"/>
                <w:szCs w:val="13"/>
                <w:color w:val="auto"/>
              </w:rPr>
            </w:pPr>
          </w:p>
        </w:tc>
        <w:tc>
          <w:tcPr>
            <w:tcW w:w="3360" w:type="dxa"/>
            <w:vAlign w:val="bottom"/>
            <w:gridSpan w:val="8"/>
          </w:tcPr>
          <w:p>
            <w:pPr>
              <w:spacing w:after="0"/>
              <w:rPr>
                <w:sz w:val="13"/>
                <w:szCs w:val="13"/>
                <w:color w:val="auto"/>
              </w:rPr>
            </w:pPr>
          </w:p>
        </w:tc>
        <w:tc>
          <w:tcPr>
            <w:tcW w:w="1780" w:type="dxa"/>
            <w:vAlign w:val="bottom"/>
            <w:gridSpan w:val="3"/>
          </w:tcPr>
          <w:p>
            <w:pPr>
              <w:jc w:val="right"/>
              <w:ind w:right="20"/>
              <w:spacing w:after="0"/>
              <w:rPr>
                <w:rFonts w:ascii="Arial" w:cs="Arial" w:eastAsia="Arial" w:hAnsi="Arial"/>
                <w:sz w:val="14"/>
                <w:szCs w:val="14"/>
                <w:color w:val="0000FF"/>
              </w:rPr>
            </w:pPr>
            <w:hyperlink w:anchor="page115">
              <w:r>
                <w:rPr>
                  <w:rFonts w:ascii="Arial" w:cs="Arial" w:eastAsia="Arial" w:hAnsi="Arial"/>
                  <w:sz w:val="14"/>
                  <w:szCs w:val="14"/>
                  <w:color w:val="0000FF"/>
                </w:rPr>
                <w:t>112</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12.</w:t>
            </w:r>
          </w:p>
        </w:tc>
        <w:tc>
          <w:tcPr>
            <w:tcW w:w="7900" w:type="dxa"/>
            <w:vAlign w:val="bottom"/>
            <w:gridSpan w:val="22"/>
          </w:tcPr>
          <w:p>
            <w:pPr>
              <w:spacing w:after="0"/>
              <w:rPr>
                <w:rFonts w:ascii="Arial" w:cs="Arial" w:eastAsia="Arial" w:hAnsi="Arial"/>
                <w:sz w:val="14"/>
                <w:szCs w:val="14"/>
                <w:color w:val="0000FF"/>
              </w:rPr>
            </w:pPr>
            <w:hyperlink w:anchor="page115">
              <w:r>
                <w:rPr>
                  <w:rFonts w:ascii="Arial" w:cs="Arial" w:eastAsia="Arial" w:hAnsi="Arial"/>
                  <w:sz w:val="14"/>
                  <w:szCs w:val="14"/>
                  <w:color w:val="0000FF"/>
                </w:rPr>
                <w:t>SECURITY OWNERSHIP OF CERTAIN BENEFICIAL OWNERS AND MANAGEMENT AND RELATED STOCKHOLDER</w:t>
              </w:r>
            </w:hyperlink>
          </w:p>
        </w:tc>
        <w:tc>
          <w:tcPr>
            <w:tcW w:w="1780" w:type="dxa"/>
            <w:vAlign w:val="bottom"/>
            <w:gridSpan w:val="3"/>
            <w:vMerge w:val="restart"/>
          </w:tcPr>
          <w:p>
            <w:pPr>
              <w:jc w:val="right"/>
              <w:ind w:right="20"/>
              <w:spacing w:after="0"/>
              <w:rPr>
                <w:rFonts w:ascii="Arial" w:cs="Arial" w:eastAsia="Arial" w:hAnsi="Arial"/>
                <w:sz w:val="14"/>
                <w:szCs w:val="14"/>
                <w:color w:val="0000FF"/>
              </w:rPr>
            </w:pPr>
            <w:hyperlink w:anchor="page115">
              <w:r>
                <w:rPr>
                  <w:rFonts w:ascii="Arial" w:cs="Arial" w:eastAsia="Arial" w:hAnsi="Arial"/>
                  <w:sz w:val="14"/>
                  <w:szCs w:val="14"/>
                  <w:color w:val="0000FF"/>
                </w:rPr>
                <w:t>112</w:t>
              </w:r>
            </w:hyperlink>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640" w:type="dxa"/>
            <w:vAlign w:val="bottom"/>
            <w:tcBorders>
              <w:top w:val="single" w:sz="8" w:color="0000FF"/>
            </w:tcBorders>
          </w:tcPr>
          <w:p>
            <w:pPr>
              <w:spacing w:after="0" w:line="118" w:lineRule="exact"/>
              <w:rPr>
                <w:rFonts w:ascii="Arial" w:cs="Arial" w:eastAsia="Arial" w:hAnsi="Arial"/>
                <w:sz w:val="13"/>
                <w:szCs w:val="13"/>
                <w:color w:val="0000FF"/>
                <w:w w:val="96"/>
              </w:rPr>
            </w:pPr>
            <w:hyperlink w:anchor="page115">
              <w:r>
                <w:rPr>
                  <w:rFonts w:ascii="Arial" w:cs="Arial" w:eastAsia="Arial" w:hAnsi="Arial"/>
                  <w:sz w:val="13"/>
                  <w:szCs w:val="13"/>
                  <w:color w:val="0000FF"/>
                  <w:w w:val="96"/>
                </w:rPr>
                <w:t>MATTERS</w:t>
              </w:r>
            </w:hyperlink>
          </w:p>
        </w:tc>
        <w:tc>
          <w:tcPr>
            <w:tcW w:w="6700" w:type="dxa"/>
            <w:vAlign w:val="bottom"/>
            <w:tcBorders>
              <w:top w:val="single" w:sz="8" w:color="0000FF"/>
            </w:tcBorders>
            <w:gridSpan w:val="19"/>
          </w:tcPr>
          <w:p>
            <w:pPr>
              <w:spacing w:after="0"/>
              <w:rPr>
                <w:sz w:val="10"/>
                <w:szCs w:val="10"/>
                <w:color w:val="auto"/>
              </w:rPr>
            </w:pPr>
          </w:p>
        </w:tc>
        <w:tc>
          <w:tcPr>
            <w:tcW w:w="560" w:type="dxa"/>
            <w:vAlign w:val="bottom"/>
            <w:gridSpan w:val="2"/>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13.</w:t>
            </w:r>
          </w:p>
        </w:tc>
        <w:tc>
          <w:tcPr>
            <w:tcW w:w="6040" w:type="dxa"/>
            <w:vAlign w:val="bottom"/>
            <w:gridSpan w:val="17"/>
          </w:tcPr>
          <w:p>
            <w:pPr>
              <w:spacing w:after="0"/>
              <w:rPr>
                <w:rFonts w:ascii="Arial" w:cs="Arial" w:eastAsia="Arial" w:hAnsi="Arial"/>
                <w:sz w:val="14"/>
                <w:szCs w:val="14"/>
                <w:color w:val="0000FF"/>
                <w:w w:val="96"/>
              </w:rPr>
            </w:pPr>
            <w:hyperlink w:anchor="page115">
              <w:r>
                <w:rPr>
                  <w:rFonts w:ascii="Arial" w:cs="Arial" w:eastAsia="Arial" w:hAnsi="Arial"/>
                  <w:sz w:val="14"/>
                  <w:szCs w:val="14"/>
                  <w:color w:val="0000FF"/>
                  <w:w w:val="96"/>
                </w:rPr>
                <w:t>CERTAIN RELATIONSHIPS AND RELATED TRANSACTIONS, AND DIRECTOR INDEPENDENCE</w:t>
              </w:r>
            </w:hyperlink>
          </w:p>
        </w:tc>
        <w:tc>
          <w:tcPr>
            <w:tcW w:w="1860" w:type="dxa"/>
            <w:vAlign w:val="bottom"/>
            <w:gridSpan w:val="5"/>
          </w:tcPr>
          <w:p>
            <w:pPr>
              <w:spacing w:after="0"/>
              <w:rPr>
                <w:sz w:val="13"/>
                <w:szCs w:val="13"/>
                <w:color w:val="auto"/>
              </w:rPr>
            </w:pPr>
          </w:p>
        </w:tc>
        <w:tc>
          <w:tcPr>
            <w:tcW w:w="1780" w:type="dxa"/>
            <w:vAlign w:val="bottom"/>
            <w:gridSpan w:val="3"/>
          </w:tcPr>
          <w:p>
            <w:pPr>
              <w:jc w:val="right"/>
              <w:ind w:right="20"/>
              <w:spacing w:after="0"/>
              <w:rPr>
                <w:rFonts w:ascii="Arial" w:cs="Arial" w:eastAsia="Arial" w:hAnsi="Arial"/>
                <w:sz w:val="14"/>
                <w:szCs w:val="14"/>
                <w:color w:val="0000FF"/>
              </w:rPr>
            </w:pPr>
            <w:hyperlink w:anchor="page115">
              <w:r>
                <w:rPr>
                  <w:rFonts w:ascii="Arial" w:cs="Arial" w:eastAsia="Arial" w:hAnsi="Arial"/>
                  <w:sz w:val="14"/>
                  <w:szCs w:val="14"/>
                  <w:color w:val="0000FF"/>
                </w:rPr>
                <w:t>112</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14.</w:t>
            </w:r>
          </w:p>
        </w:tc>
        <w:tc>
          <w:tcPr>
            <w:tcW w:w="6040" w:type="dxa"/>
            <w:vAlign w:val="bottom"/>
            <w:gridSpan w:val="17"/>
          </w:tcPr>
          <w:p>
            <w:pPr>
              <w:spacing w:after="0"/>
              <w:rPr>
                <w:rFonts w:ascii="Arial" w:cs="Arial" w:eastAsia="Arial" w:hAnsi="Arial"/>
                <w:sz w:val="14"/>
                <w:szCs w:val="14"/>
                <w:color w:val="0000FF"/>
              </w:rPr>
            </w:pPr>
            <w:hyperlink w:anchor="page115">
              <w:r>
                <w:rPr>
                  <w:rFonts w:ascii="Arial" w:cs="Arial" w:eastAsia="Arial" w:hAnsi="Arial"/>
                  <w:sz w:val="14"/>
                  <w:szCs w:val="14"/>
                  <w:color w:val="0000FF"/>
                </w:rPr>
                <w:t>PRINCIPAL ACCOUNTING FEES AND SERVICES</w:t>
              </w:r>
            </w:hyperlink>
          </w:p>
        </w:tc>
        <w:tc>
          <w:tcPr>
            <w:tcW w:w="1860" w:type="dxa"/>
            <w:vAlign w:val="bottom"/>
            <w:gridSpan w:val="5"/>
          </w:tcPr>
          <w:p>
            <w:pPr>
              <w:spacing w:after="0"/>
              <w:rPr>
                <w:sz w:val="13"/>
                <w:szCs w:val="13"/>
                <w:color w:val="auto"/>
              </w:rPr>
            </w:pPr>
          </w:p>
        </w:tc>
        <w:tc>
          <w:tcPr>
            <w:tcW w:w="1780" w:type="dxa"/>
            <w:vAlign w:val="bottom"/>
            <w:gridSpan w:val="3"/>
          </w:tcPr>
          <w:p>
            <w:pPr>
              <w:jc w:val="right"/>
              <w:ind w:right="20"/>
              <w:spacing w:after="0"/>
              <w:rPr>
                <w:rFonts w:ascii="Arial" w:cs="Arial" w:eastAsia="Arial" w:hAnsi="Arial"/>
                <w:sz w:val="14"/>
                <w:szCs w:val="14"/>
                <w:color w:val="0000FF"/>
              </w:rPr>
            </w:pPr>
            <w:hyperlink w:anchor="page115">
              <w:r>
                <w:rPr>
                  <w:rFonts w:ascii="Arial" w:cs="Arial" w:eastAsia="Arial" w:hAnsi="Arial"/>
                  <w:sz w:val="14"/>
                  <w:szCs w:val="14"/>
                  <w:color w:val="0000FF"/>
                </w:rPr>
                <w:t>112</w:t>
              </w:r>
            </w:hyperlink>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Arial" w:cs="Arial" w:eastAsia="Arial" w:hAnsi="Arial"/>
                <w:sz w:val="14"/>
                <w:szCs w:val="14"/>
                <w:color w:val="auto"/>
              </w:rPr>
              <w:t>PART IV</w:t>
            </w:r>
          </w:p>
        </w:tc>
        <w:tc>
          <w:tcPr>
            <w:tcW w:w="6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40" w:type="dxa"/>
            <w:vAlign w:val="bottom"/>
          </w:tcPr>
          <w:p>
            <w:pPr>
              <w:ind w:left="260"/>
              <w:spacing w:after="0"/>
              <w:rPr>
                <w:sz w:val="20"/>
                <w:szCs w:val="20"/>
                <w:color w:val="auto"/>
              </w:rPr>
            </w:pPr>
            <w:r>
              <w:rPr>
                <w:rFonts w:ascii="Arial" w:cs="Arial" w:eastAsia="Arial" w:hAnsi="Arial"/>
                <w:sz w:val="14"/>
                <w:szCs w:val="14"/>
                <w:color w:val="auto"/>
              </w:rPr>
              <w:t>ITEM 15.</w:t>
            </w:r>
          </w:p>
        </w:tc>
        <w:tc>
          <w:tcPr>
            <w:tcW w:w="7900" w:type="dxa"/>
            <w:vAlign w:val="bottom"/>
            <w:gridSpan w:val="22"/>
          </w:tcPr>
          <w:p>
            <w:pPr>
              <w:spacing w:after="0"/>
              <w:rPr>
                <w:rFonts w:ascii="Arial" w:cs="Arial" w:eastAsia="Arial" w:hAnsi="Arial"/>
                <w:sz w:val="14"/>
                <w:szCs w:val="14"/>
                <w:color w:val="0000FF"/>
              </w:rPr>
            </w:pPr>
            <w:hyperlink w:anchor="page116">
              <w:r>
                <w:rPr>
                  <w:rFonts w:ascii="Arial" w:cs="Arial" w:eastAsia="Arial" w:hAnsi="Arial"/>
                  <w:sz w:val="14"/>
                  <w:szCs w:val="14"/>
                  <w:color w:val="0000FF"/>
                </w:rPr>
                <w:t>EXHIBITS, FINANCIAL STATEMENT SCHEDULES</w:t>
              </w:r>
            </w:hyperlink>
          </w:p>
        </w:tc>
        <w:tc>
          <w:tcPr>
            <w:tcW w:w="1780" w:type="dxa"/>
            <w:vAlign w:val="bottom"/>
            <w:gridSpan w:val="3"/>
          </w:tcPr>
          <w:p>
            <w:pPr>
              <w:jc w:val="right"/>
              <w:ind w:right="20"/>
              <w:spacing w:after="0"/>
              <w:rPr>
                <w:rFonts w:ascii="Arial" w:cs="Arial" w:eastAsia="Arial" w:hAnsi="Arial"/>
                <w:sz w:val="14"/>
                <w:szCs w:val="14"/>
                <w:color w:val="0000FF"/>
              </w:rPr>
            </w:pPr>
            <w:hyperlink w:anchor="page116">
              <w:r>
                <w:rPr>
                  <w:rFonts w:ascii="Arial" w:cs="Arial" w:eastAsia="Arial" w:hAnsi="Arial"/>
                  <w:sz w:val="14"/>
                  <w:szCs w:val="14"/>
                  <w:color w:val="0000FF"/>
                </w:rPr>
                <w:t>113</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40" w:type="dxa"/>
            <w:vAlign w:val="bottom"/>
          </w:tcPr>
          <w:p>
            <w:pPr>
              <w:ind w:left="260"/>
              <w:spacing w:after="0"/>
              <w:rPr>
                <w:sz w:val="20"/>
                <w:szCs w:val="20"/>
                <w:color w:val="auto"/>
              </w:rPr>
            </w:pPr>
            <w:r>
              <w:rPr>
                <w:rFonts w:ascii="Arial" w:cs="Arial" w:eastAsia="Arial" w:hAnsi="Arial"/>
                <w:sz w:val="14"/>
                <w:szCs w:val="14"/>
                <w:color w:val="auto"/>
              </w:rPr>
              <w:t>ITEM 16.</w:t>
            </w:r>
          </w:p>
        </w:tc>
        <w:tc>
          <w:tcPr>
            <w:tcW w:w="1460" w:type="dxa"/>
            <w:vAlign w:val="bottom"/>
            <w:gridSpan w:val="6"/>
          </w:tcPr>
          <w:p>
            <w:pPr>
              <w:spacing w:after="0"/>
              <w:rPr>
                <w:rFonts w:ascii="Arial" w:cs="Arial" w:eastAsia="Arial" w:hAnsi="Arial"/>
                <w:sz w:val="14"/>
                <w:szCs w:val="14"/>
                <w:color w:val="0000FF"/>
                <w:w w:val="94"/>
              </w:rPr>
            </w:pPr>
            <w:hyperlink w:anchor="page116">
              <w:r>
                <w:rPr>
                  <w:rFonts w:ascii="Arial" w:cs="Arial" w:eastAsia="Arial" w:hAnsi="Arial"/>
                  <w:sz w:val="14"/>
                  <w:szCs w:val="14"/>
                  <w:color w:val="0000FF"/>
                  <w:w w:val="94"/>
                </w:rPr>
                <w:t>FORM 10-K SUMMARY</w:t>
              </w:r>
            </w:hyperlink>
          </w:p>
        </w:tc>
        <w:tc>
          <w:tcPr>
            <w:tcW w:w="1700" w:type="dxa"/>
            <w:vAlign w:val="bottom"/>
            <w:gridSpan w:val="6"/>
          </w:tcPr>
          <w:p>
            <w:pPr>
              <w:spacing w:after="0"/>
              <w:rPr>
                <w:sz w:val="13"/>
                <w:szCs w:val="13"/>
                <w:color w:val="auto"/>
              </w:rPr>
            </w:pPr>
          </w:p>
        </w:tc>
        <w:tc>
          <w:tcPr>
            <w:tcW w:w="4740" w:type="dxa"/>
            <w:vAlign w:val="bottom"/>
            <w:gridSpan w:val="10"/>
          </w:tcPr>
          <w:p>
            <w:pPr>
              <w:spacing w:after="0"/>
              <w:rPr>
                <w:sz w:val="13"/>
                <w:szCs w:val="13"/>
                <w:color w:val="auto"/>
              </w:rPr>
            </w:pPr>
          </w:p>
        </w:tc>
        <w:tc>
          <w:tcPr>
            <w:tcW w:w="1780" w:type="dxa"/>
            <w:vAlign w:val="bottom"/>
            <w:gridSpan w:val="3"/>
          </w:tcPr>
          <w:p>
            <w:pPr>
              <w:jc w:val="right"/>
              <w:ind w:right="20"/>
              <w:spacing w:after="0"/>
              <w:rPr>
                <w:rFonts w:ascii="Arial" w:cs="Arial" w:eastAsia="Arial" w:hAnsi="Arial"/>
                <w:sz w:val="14"/>
                <w:szCs w:val="14"/>
                <w:color w:val="0000FF"/>
              </w:rPr>
            </w:pPr>
            <w:hyperlink w:anchor="page116">
              <w:r>
                <w:rPr>
                  <w:rFonts w:ascii="Arial" w:cs="Arial" w:eastAsia="Arial" w:hAnsi="Arial"/>
                  <w:sz w:val="14"/>
                  <w:szCs w:val="14"/>
                  <w:color w:val="0000FF"/>
                </w:rPr>
                <w:t>113</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rFonts w:ascii="Arial" w:cs="Arial" w:eastAsia="Arial" w:hAnsi="Arial"/>
          <w:sz w:val="14"/>
          <w:szCs w:val="14"/>
          <w:u w:val="single" w:color="auto"/>
          <w:color w:val="0000FF"/>
        </w:rPr>
      </w:pPr>
      <w:hyperlink w:anchor="page116">
        <w:r>
          <w:rPr>
            <w:rFonts w:ascii="Arial" w:cs="Arial" w:eastAsia="Arial" w:hAnsi="Arial"/>
            <w:sz w:val="14"/>
            <w:szCs w:val="14"/>
            <w:u w:val="single" w:color="auto"/>
            <w:color w:val="0000FF"/>
          </w:rPr>
          <w:t>INDEX TO EXHIBITS</w:t>
        </w:r>
      </w:hyperlink>
    </w:p>
    <w:p>
      <w:pPr>
        <w:spacing w:after="0" w:line="19" w:lineRule="exact"/>
        <w:rPr>
          <w:sz w:val="20"/>
          <w:szCs w:val="20"/>
          <w:color w:val="auto"/>
        </w:rPr>
      </w:pPr>
    </w:p>
    <w:p>
      <w:pPr>
        <w:spacing w:after="0"/>
        <w:rPr>
          <w:rFonts w:ascii="Arial" w:cs="Arial" w:eastAsia="Arial" w:hAnsi="Arial"/>
          <w:sz w:val="14"/>
          <w:szCs w:val="14"/>
          <w:u w:val="single" w:color="auto"/>
          <w:color w:val="0000FF"/>
        </w:rPr>
      </w:pPr>
      <w:hyperlink w:anchor="page121">
        <w:r>
          <w:rPr>
            <w:rFonts w:ascii="Arial" w:cs="Arial" w:eastAsia="Arial" w:hAnsi="Arial"/>
            <w:sz w:val="14"/>
            <w:szCs w:val="14"/>
            <w:u w:val="single" w:color="auto"/>
            <w:color w:val="0000FF"/>
          </w:rPr>
          <w:t>SIGNATURES</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75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Special Note Regarding Forward-looking Statements and Industry Data</w:t>
      </w:r>
    </w:p>
    <w:p>
      <w:pPr>
        <w:spacing w:after="0" w:line="129" w:lineRule="exact"/>
        <w:rPr>
          <w:sz w:val="20"/>
          <w:szCs w:val="20"/>
          <w:color w:val="auto"/>
        </w:rPr>
      </w:pPr>
    </w:p>
    <w:p>
      <w:pPr>
        <w:ind w:right="20" w:firstLine="254"/>
        <w:spacing w:after="0" w:line="276" w:lineRule="auto"/>
        <w:rPr>
          <w:sz w:val="20"/>
          <w:szCs w:val="20"/>
          <w:color w:val="auto"/>
        </w:rPr>
      </w:pPr>
      <w:r>
        <w:rPr>
          <w:rFonts w:ascii="Arial" w:cs="Arial" w:eastAsia="Arial" w:hAnsi="Arial"/>
          <w:sz w:val="13"/>
          <w:szCs w:val="13"/>
          <w:color w:val="auto"/>
        </w:rPr>
        <w:t xml:space="preserve">This Annual Report on Form 10-K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and our ability to continue as a going concern, expansion of our business, investments to expand our customer base, plans for our products, competitive position, industry environment, potential growth opportunities, market growth expectations, the effects of competition, our planned use of the proceeds from the strategic investment transaction (described under </w:t>
      </w:r>
      <w:r>
        <w:rPr>
          <w:rFonts w:ascii="Arial" w:cs="Arial" w:eastAsia="Arial" w:hAnsi="Arial"/>
          <w:sz w:val="13"/>
          <w:szCs w:val="13"/>
          <w:i w:val="1"/>
          <w:iCs w:val="1"/>
          <w:color w:val="auto"/>
        </w:rPr>
        <w:t>Recent Key Developments</w:t>
      </w:r>
      <w:r>
        <w:rPr>
          <w:rFonts w:ascii="Arial" w:cs="Arial" w:eastAsia="Arial" w:hAnsi="Arial"/>
          <w:sz w:val="13"/>
          <w:szCs w:val="13"/>
          <w:color w:val="auto"/>
        </w:rPr>
        <w:t>) (the Private Placement Issuance), cost structure optimization, acceleration of growth, the expected timing and closing of the Private Placement Issuance, expectations regarding the issuance of the Series B Preferred Stock (as defined below), and other expectations for us following the closing of the Private Placement Issuance, including the achievement of its potential benefits.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79" w:lineRule="exact"/>
        <w:rPr>
          <w:sz w:val="20"/>
          <w:szCs w:val="20"/>
          <w:color w:val="auto"/>
        </w:rPr>
      </w:pPr>
    </w:p>
    <w:p>
      <w:pPr>
        <w:jc w:val="both"/>
        <w:ind w:firstLine="254"/>
        <w:spacing w:after="0" w:line="266" w:lineRule="auto"/>
        <w:rPr>
          <w:sz w:val="20"/>
          <w:szCs w:val="20"/>
          <w:color w:val="auto"/>
        </w:rPr>
      </w:pPr>
      <w:r>
        <w:rPr>
          <w:rFonts w:ascii="Arial" w:cs="Arial" w:eastAsia="Arial" w:hAnsi="Arial"/>
          <w:sz w:val="14"/>
          <w:szCs w:val="14"/>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90" w:lineRule="exact"/>
        <w:rPr>
          <w:sz w:val="20"/>
          <w:szCs w:val="20"/>
          <w:color w:val="auto"/>
        </w:rPr>
      </w:pPr>
    </w:p>
    <w:p>
      <w:pPr>
        <w:ind w:right="20" w:firstLine="254"/>
        <w:spacing w:after="0" w:line="296" w:lineRule="auto"/>
        <w:rPr>
          <w:sz w:val="20"/>
          <w:szCs w:val="20"/>
          <w:color w:val="auto"/>
        </w:rPr>
      </w:pPr>
      <w:r>
        <w:rPr>
          <w:rFonts w:ascii="Arial" w:cs="Arial" w:eastAsia="Arial" w:hAnsi="Arial"/>
          <w:sz w:val="13"/>
          <w:szCs w:val="13"/>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72" w:lineRule="exact"/>
        <w:rPr>
          <w:sz w:val="20"/>
          <w:szCs w:val="20"/>
          <w:color w:val="auto"/>
        </w:rPr>
      </w:pPr>
    </w:p>
    <w:p>
      <w:pPr>
        <w:ind w:right="200" w:firstLine="254"/>
        <w:spacing w:after="0" w:line="318" w:lineRule="auto"/>
        <w:rPr>
          <w:sz w:val="20"/>
          <w:szCs w:val="20"/>
          <w:color w:val="auto"/>
        </w:rPr>
      </w:pPr>
      <w:r>
        <w:rPr>
          <w:rFonts w:ascii="Arial" w:cs="Arial" w:eastAsia="Arial" w:hAnsi="Arial"/>
          <w:sz w:val="12"/>
          <w:szCs w:val="12"/>
          <w:color w:val="auto"/>
        </w:rPr>
        <w:t>This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48"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____________________________</w:t>
      </w:r>
    </w:p>
    <w:p>
      <w:pPr>
        <w:spacing w:after="0" w:line="129" w:lineRule="exact"/>
        <w:rPr>
          <w:sz w:val="20"/>
          <w:szCs w:val="20"/>
          <w:color w:val="auto"/>
        </w:rPr>
      </w:pPr>
    </w:p>
    <w:p>
      <w:pPr>
        <w:ind w:right="220" w:firstLine="254"/>
        <w:spacing w:after="0" w:line="259" w:lineRule="auto"/>
        <w:rPr>
          <w:sz w:val="20"/>
          <w:szCs w:val="20"/>
          <w:color w:val="auto"/>
        </w:rPr>
      </w:pPr>
      <w:r>
        <w:rPr>
          <w:rFonts w:ascii="Arial" w:cs="Arial" w:eastAsia="Arial" w:hAnsi="Arial"/>
          <w:sz w:val="14"/>
          <w:szCs w:val="14"/>
          <w:color w:val="auto"/>
        </w:rPr>
        <w:t>Fluidigm®, the Fluidigm logo, 48.Atlas™, Access Array™, AccuLift™, Advanta™, Advanta EASE™, Biomark™, Bringing new insights to life™, C1™, Callisto™, Cell-ID™, CyTOF®, CyTOF XT™, the CyTOF XT logo, D3™, Delta Gene™, Direct™, Digital Array™, Dynamic Array™, EP1™, EQ™, FC1™, Flex Six™, Flow Conductor™, GeckoGrip™, Helios™, High-Precision 96.96 Genotyping™, HTI™,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referred to in this Form 10-K are the property of their respective owners.</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____________________________</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Unless the context requires otherwise, references in this Annual Report on Form 10-K to “Fluidigm,” the “Company,” “we,” “us,” and “our” refer to Fluidigm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645795</wp:posOffset>
            </wp:positionV>
            <wp:extent cx="71875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56"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ind w:right="300" w:firstLine="254"/>
        <w:spacing w:after="0" w:line="261" w:lineRule="auto"/>
        <w:rPr>
          <w:sz w:val="20"/>
          <w:szCs w:val="20"/>
          <w:color w:val="auto"/>
        </w:rPr>
      </w:pPr>
      <w:r>
        <w:rPr>
          <w:rFonts w:ascii="Arial" w:cs="Arial" w:eastAsia="Arial" w:hAnsi="Arial"/>
          <w:sz w:val="14"/>
          <w:szCs w:val="14"/>
          <w:color w:val="auto"/>
        </w:rPr>
        <w:t>Fluidigm improves life by driving meaningful insights in health and disease. Our innovative technologies explore the biological complexities of disease to advance human health through research, diagnostics and clinical applications. We create, manufacture, and market a range of products and services, including instruments, consumables, reagents and software that are used by researchers and clinical labs worldwide. Our customers are leading academic and government laboratories, as well as pharmaceutical, biotechnology, plant and animal research organizations, and clinical laboratories worldwide. Together with our customers, we strive to increase the quality of life for all.</w:t>
      </w:r>
    </w:p>
    <w:p>
      <w:pPr>
        <w:spacing w:after="0" w:line="83"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Our mass cytometry systems (legacy Helios™ and newly introduced revolutionary CyTOF XT) deeply profiles cell phenotype and function. Referenced by more than fifteen hundred peer-reviewed publications around the world, mass cytometry has set a new standard in human immune profiling. Transforming biological imaging, our Hyperion™ Imaging System enables highly multiplexed protein biomarker detection at a single cellular level in tissues and tumors while still preserving tissue architecture and cellular morphology information using Imaging Mass Cytometry™ (IMC™).</w:t>
      </w:r>
    </w:p>
    <w:p>
      <w:pPr>
        <w:spacing w:after="0" w:line="94" w:lineRule="exact"/>
        <w:rPr>
          <w:sz w:val="20"/>
          <w:szCs w:val="20"/>
          <w:color w:val="auto"/>
        </w:rPr>
      </w:pPr>
    </w:p>
    <w:p>
      <w:pPr>
        <w:ind w:right="140" w:firstLine="254"/>
        <w:spacing w:after="0" w:line="261" w:lineRule="auto"/>
        <w:rPr>
          <w:sz w:val="20"/>
          <w:szCs w:val="20"/>
          <w:color w:val="auto"/>
        </w:rPr>
      </w:pPr>
      <w:r>
        <w:rPr>
          <w:rFonts w:ascii="Arial" w:cs="Arial" w:eastAsia="Arial" w:hAnsi="Arial"/>
          <w:sz w:val="14"/>
          <w:szCs w:val="14"/>
          <w:color w:val="auto"/>
        </w:rPr>
        <w:t>Our microfluidic systems complement our mass cytometry offerings by providing highly scalable and automated workflows for quantitative polymerase chain reaction (PCR), gene expression, copy number variation analysis, and next-generation sequencing (NGS) library preparation. Used to detect somatic and genomic variations from a range of different sample types, these automated systems provide the cost efficiencies, flexibility and proven analytical performance that customers need to meet the increasing demands of molecular biomarker analysis for diagnostics and research applications.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Key Developments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Strategic Investment Transaction</w:t>
      </w:r>
    </w:p>
    <w:p>
      <w:pPr>
        <w:spacing w:after="0" w:line="125" w:lineRule="exact"/>
        <w:rPr>
          <w:sz w:val="20"/>
          <w:szCs w:val="20"/>
          <w:color w:val="auto"/>
        </w:rPr>
      </w:pPr>
    </w:p>
    <w:p>
      <w:pPr>
        <w:ind w:right="100" w:firstLine="254"/>
        <w:spacing w:after="0" w:line="313" w:lineRule="auto"/>
        <w:rPr>
          <w:sz w:val="20"/>
          <w:szCs w:val="20"/>
          <w:color w:val="auto"/>
        </w:rPr>
      </w:pPr>
      <w:r>
        <w:rPr>
          <w:rFonts w:ascii="Arial" w:cs="Arial" w:eastAsia="Arial" w:hAnsi="Arial"/>
          <w:sz w:val="12"/>
          <w:szCs w:val="12"/>
          <w:color w:val="auto"/>
        </w:rPr>
        <w:t>On January 23, 2022, we entered into (i) a Loan Agreement (the Casdin Loan Agreement) with Casdin Private Growth Equity Fund II, L.P. and Casdin Partners Master Fund, L.P. (collectively, Casdin) and (ii) a Loan Agreement (the Viking Loan Agreement, and together with the Casdin Loan Agreement, the Bridge Loan Agreements) with Viking Global Opportunities Illiquid Investments Sub-Master LP and Viking Global Opportunities Drawdown (Aggregator) LP (collectively, Viking and, together with Casdin, the Purchasers and each, a Purchaser). Each Bridge Loan Agreement</w:t>
      </w:r>
    </w:p>
    <w:p>
      <w:pPr>
        <w:ind w:right="200"/>
        <w:spacing w:after="0" w:line="322" w:lineRule="auto"/>
        <w:rPr>
          <w:sz w:val="20"/>
          <w:szCs w:val="20"/>
          <w:color w:val="auto"/>
        </w:rPr>
      </w:pPr>
      <w:r>
        <w:rPr>
          <w:rFonts w:ascii="Arial" w:cs="Arial" w:eastAsia="Arial" w:hAnsi="Arial"/>
          <w:sz w:val="12"/>
          <w:szCs w:val="12"/>
          <w:color w:val="auto"/>
        </w:rPr>
        <w:t>provides for a $12.5 million term loan to us (each, a Bridge Loan and collectively, the Bridge Loans). Subject to approval by our stockholders, upon the issuance of the shares of Series B Preferred Stock (as defined below) pursuant to the Purchase Agreements (as defined below), the Bridge Loans will be automatically converted into shares of Series B-1 Preferred Stock (as defined below) or</w:t>
      </w:r>
    </w:p>
    <w:p>
      <w:pPr>
        <w:ind w:right="100"/>
        <w:spacing w:after="0" w:line="280" w:lineRule="auto"/>
        <w:rPr>
          <w:sz w:val="20"/>
          <w:szCs w:val="20"/>
          <w:color w:val="auto"/>
        </w:rPr>
      </w:pPr>
      <w:r>
        <w:rPr>
          <w:rFonts w:ascii="Arial" w:cs="Arial" w:eastAsia="Arial" w:hAnsi="Arial"/>
          <w:sz w:val="14"/>
          <w:szCs w:val="14"/>
          <w:color w:val="auto"/>
        </w:rPr>
        <w:t>Series B-2 Preferred Stock (as defined below), as applicable, in accordance with the terms of the Bridge Loan Agreements. The Bridge Loans were fully drawn on January 24, 2022. The proceeds of the Bridge Loans may be used for working capital and general corporate purposes.</w:t>
      </w:r>
    </w:p>
    <w:p>
      <w:pPr>
        <w:spacing w:after="0" w:line="80" w:lineRule="exact"/>
        <w:rPr>
          <w:sz w:val="20"/>
          <w:szCs w:val="20"/>
          <w:color w:val="auto"/>
        </w:rPr>
      </w:pPr>
    </w:p>
    <w:p>
      <w:pPr>
        <w:ind w:right="100" w:firstLine="254"/>
        <w:spacing w:after="0" w:line="305" w:lineRule="auto"/>
        <w:rPr>
          <w:sz w:val="20"/>
          <w:szCs w:val="20"/>
          <w:color w:val="auto"/>
        </w:rPr>
      </w:pPr>
      <w:r>
        <w:rPr>
          <w:rFonts w:ascii="Arial" w:cs="Arial" w:eastAsia="Arial" w:hAnsi="Arial"/>
          <w:sz w:val="12"/>
          <w:szCs w:val="12"/>
          <w:color w:val="auto"/>
        </w:rPr>
        <w:t>Also on January 23, 2022, we entered into separate Series B Convertible Preferred Stock Purchase Agreements (the Purchase Agreements) with each of the Purchasers pursuant to which, among other things, at the closing of the transactions contemplated thereby, and on the terms and subject to the conditions set forth therein, including the approval of our stockholders, we will issue and sell an aggregate of $225 million of convertible preferred stock, consisting of: (i) 112,500 shares of our Series B-1 Convertible Preferred Stock, par value $0.001 per share (the Series B-1 Preferred Stock), at a purchase price of $1,000.00 per share to Casdin, and (ii) 112,500 shares of our Series B-2 Convertible Preferred Stock, par value $0.001 per share (the Series B-2 Preferred Stock, and together with the Series B-1 Preferred Stock, the Series B Preferred Stock) at a purchase price of $1,000.00 per share to Viking (clauses (i) and (ii), the Preferred Equity Financing, and together with</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issuance of shares of Series B Preferred Stock in connection with the conversion of the Bridge Loans, the Private Placement Issuance). The Series B Preferred Stock to be purchased by Casdin and Viking pursuant to the Purchase Agreements is in addition to any Series B Preferred Stock to be issued upon conversion of outstanding amounts under the Bridge Loan Agreements. The proceeds of the Preferred Equity Transactions will be used by us for expenses related to the Preferred Equity Transactions, as well as working capital, general corporate purposes and merger and acquisition opportunities that we may identify from time to time.</w:t>
      </w:r>
    </w:p>
    <w:p>
      <w:pPr>
        <w:spacing w:after="0" w:line="83" w:lineRule="exact"/>
        <w:rPr>
          <w:sz w:val="20"/>
          <w:szCs w:val="20"/>
          <w:color w:val="auto"/>
        </w:rPr>
      </w:pPr>
    </w:p>
    <w:p>
      <w:pPr>
        <w:ind w:right="200" w:firstLine="254"/>
        <w:spacing w:after="0" w:line="266" w:lineRule="auto"/>
        <w:rPr>
          <w:sz w:val="20"/>
          <w:szCs w:val="20"/>
          <w:color w:val="auto"/>
        </w:rPr>
      </w:pPr>
      <w:r>
        <w:rPr>
          <w:rFonts w:ascii="Arial" w:cs="Arial" w:eastAsia="Arial" w:hAnsi="Arial"/>
          <w:sz w:val="14"/>
          <w:szCs w:val="14"/>
          <w:color w:val="auto"/>
        </w:rPr>
        <w:t>In connection with the Private Placement Issuance, we will change our name to “Standard BioTools Inc.” and Dr. Michael Egholm will be appointed as the Company’s President and Chief Executive Officer and as a member of our Board of Directors (the Board), each occurring upon the closing of the transactions contemplated by the Purchase Agreements (Closing). Dr. Egholm will succeed Chris Linthwaite, who will continue as our Chief Executive Officer until the earlier of the Closing or May 15, 2022.</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56" w:right="319" w:bottom="1440" w:gutter="0" w:footer="0" w:header="0"/>
        </w:sectPr>
      </w:pPr>
    </w:p>
    <w:bookmarkStart w:id="4" w:name="page5"/>
    <w:bookmarkEnd w:id="4"/>
    <w:p>
      <w:pPr>
        <w:ind w:right="160" w:firstLine="254"/>
        <w:spacing w:after="0" w:line="320" w:lineRule="auto"/>
        <w:rPr>
          <w:sz w:val="20"/>
          <w:szCs w:val="20"/>
          <w:color w:val="auto"/>
        </w:rPr>
      </w:pPr>
      <w:r>
        <w:rPr>
          <w:rFonts w:ascii="Arial" w:cs="Arial" w:eastAsia="Arial" w:hAnsi="Arial"/>
          <w:sz w:val="13"/>
          <w:szCs w:val="13"/>
          <w:color w:val="auto"/>
        </w:rPr>
        <w:t>The Closing is subject to customary closing conditions for a transaction of this nature, including approval by our stockholders of the issuance of the Series B Preferred Stock in connection with the Private Placement Issuance. Each Private Placement Issuance is also conditioned on the substantially contemporaneous consummation of the other Private Placement Issuance.</w:t>
      </w:r>
    </w:p>
    <w:p>
      <w:pPr>
        <w:spacing w:after="0" w:line="46" w:lineRule="exact"/>
        <w:rPr>
          <w:sz w:val="20"/>
          <w:szCs w:val="20"/>
          <w:color w:val="auto"/>
        </w:rPr>
      </w:pPr>
    </w:p>
    <w:p>
      <w:pPr>
        <w:ind w:right="60" w:firstLine="254"/>
        <w:spacing w:after="0" w:line="305" w:lineRule="auto"/>
        <w:rPr>
          <w:sz w:val="20"/>
          <w:szCs w:val="20"/>
          <w:color w:val="auto"/>
        </w:rPr>
      </w:pPr>
      <w:r>
        <w:rPr>
          <w:rFonts w:ascii="Arial" w:cs="Arial" w:eastAsia="Arial" w:hAnsi="Arial"/>
          <w:sz w:val="12"/>
          <w:szCs w:val="12"/>
          <w:color w:val="auto"/>
        </w:rPr>
        <w:t>Our Board has called a special meeting to be held on March 25, 2022 (the Special Meeting) to ask our stockholders to consider, vote upon and approve (i) a proposal to amend our Eighth Amended and Restated Certificate of Incorporation (the Charter) to, among other things, increase the number of shares of our common stock, par value $0.001 per share, (the Common Stock) that we are authorized to issue from two hundred million (200,000,000) shares to four hundred million (400,000,000) shares and to change our name to Standard BioTools Inc. (together, the Charter Amendment Proposal); and (ii) to approve the issuance of (A) the Series B-1 Preferred Stock and the Series B-2 Preferred Stock pursuant to the Purchase Agreements, (B) the Series B-1 Preferred Stock and the Series B-2 Preferred Stock issuable pursuant to the terms of the Bridge Loan Agreements and (C) the Common Stock issuable upon the conversion of the Series B Preferred Stock.</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4"/>
          <w:szCs w:val="14"/>
          <w:color w:val="auto"/>
        </w:rPr>
        <w:t>clauses (A) through (C), the Private Placement Issuance Proposal). The Private Placement Issuance Proposal is conditioned on the approval of the Charter Amendment Proposal. The Charter Amendment Proposal is conditioned on the approval of the Private Placement Issuance Proposal. If both proposals do not receive the requisite vote for approval, neither the Charter Amendment Proposal nor the Private Placement Issuance Proposal will take effect. The parties have agreed that they will not be obligated to close the Preferred Equity Financing if the Charter Amendment Proposal has not been approved at the Special Meeting.</w:t>
      </w:r>
    </w:p>
    <w:p>
      <w:pPr>
        <w:spacing w:after="0" w:line="94" w:lineRule="exact"/>
        <w:rPr>
          <w:sz w:val="20"/>
          <w:szCs w:val="20"/>
          <w:color w:val="auto"/>
        </w:rPr>
      </w:pPr>
    </w:p>
    <w:p>
      <w:pPr>
        <w:ind w:right="40" w:firstLine="254"/>
        <w:spacing w:after="0" w:line="299" w:lineRule="auto"/>
        <w:rPr>
          <w:sz w:val="20"/>
          <w:szCs w:val="20"/>
          <w:color w:val="auto"/>
        </w:rPr>
      </w:pPr>
      <w:r>
        <w:rPr>
          <w:rFonts w:ascii="Arial" w:cs="Arial" w:eastAsia="Arial" w:hAnsi="Arial"/>
          <w:sz w:val="12"/>
          <w:szCs w:val="12"/>
          <w:color w:val="auto"/>
        </w:rPr>
        <w:t>If the Charter Amendment Proposal and the Private Placement Issuance Proposal are not approved by our stockholders at the Special Meeting or the Purchase Agreements are otherwise terminated, then the Bridge Loans will become convertible, at each lender’s option, into Common Stock at an initial conversion rate of 352.1126 shares of Common Stock per $1,000 of conversion amount, subject to the cap set forth in the Bridge Loan Agreements. The conversion rate is subject to customary adjustments as set forth in the Bridge Loan Agreements. The Bridge Loans bear interest (i) from and including the effective date of the Bridge Loan Agreements to but excluding March 1, 2022, at 10%, (ii) from and including March 1, 2022 to but excluding June 1, 2022, at 12%,</w:t>
      </w:r>
    </w:p>
    <w:p>
      <w:pPr>
        <w:ind w:firstLine="5"/>
        <w:spacing w:after="0" w:line="288" w:lineRule="auto"/>
        <w:tabs>
          <w:tab w:leader="none" w:pos="247" w:val="left"/>
        </w:tabs>
        <w:numPr>
          <w:ilvl w:val="0"/>
          <w:numId w:val="3"/>
        </w:numPr>
        <w:rPr>
          <w:rFonts w:ascii="Arial" w:cs="Arial" w:eastAsia="Arial" w:hAnsi="Arial"/>
          <w:sz w:val="13"/>
          <w:szCs w:val="13"/>
          <w:color w:val="auto"/>
        </w:rPr>
      </w:pPr>
      <w:r>
        <w:rPr>
          <w:rFonts w:ascii="Arial" w:cs="Arial" w:eastAsia="Arial" w:hAnsi="Arial"/>
          <w:sz w:val="13"/>
          <w:szCs w:val="13"/>
          <w:color w:val="auto"/>
        </w:rPr>
        <w:t>from and including June 1, 2022 to but excluding September 1, 2022, at 14%, and (iv) from and including September 1, 2022 and thereafter, at 16%. Interest accrues daily and is payable in kind by adding the accrued interest to the outstanding principal amount on the last date of each month. The Bridge Loans mature on the 91st calendar day after the latest maturity date of the loans borrowed under our Loan and Security Agreement, dated as of August 2, 2018, with Silicon Valley Bank, and the principal, together with accrued and unpaid interest, is due on the maturity date.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118" w:lineRule="exact"/>
        <w:rPr>
          <w:sz w:val="20"/>
          <w:szCs w:val="20"/>
          <w:color w:val="auto"/>
        </w:rPr>
      </w:pPr>
    </w:p>
    <w:p>
      <w:pPr>
        <w:ind w:firstLine="254"/>
        <w:spacing w:after="0" w:line="261" w:lineRule="auto"/>
        <w:rPr>
          <w:sz w:val="20"/>
          <w:szCs w:val="20"/>
          <w:color w:val="auto"/>
        </w:rPr>
      </w:pPr>
      <w:r>
        <w:rPr>
          <w:rFonts w:ascii="Arial" w:cs="Arial" w:eastAsia="Arial" w:hAnsi="Arial"/>
          <w:sz w:val="14"/>
          <w:szCs w:val="14"/>
          <w:color w:val="auto"/>
        </w:rPr>
        <w:t>We believe that we have large, multi-billion-dollar market opportunities for our products. We are a leader in the high-growth cytometry market for high parameter applications and high-plex imaging. Through our work with outside consultants and internal market analysis, we believe that the current potential market for mass cytometry high-parameter applications and addressable markets for spatial imaging is just under $1 billion, but expected to be approximately $3 billion by 2025, growing at a compound annual growth rate of approximately 27% over the next five years. We believe we will gain greater access to this market as use of our products expands beyond research to translational and clinical use.</w:t>
      </w:r>
    </w:p>
    <w:p>
      <w:pPr>
        <w:spacing w:after="0" w:line="83" w:lineRule="exact"/>
        <w:rPr>
          <w:sz w:val="20"/>
          <w:szCs w:val="20"/>
          <w:color w:val="auto"/>
        </w:rPr>
      </w:pPr>
    </w:p>
    <w:p>
      <w:pPr>
        <w:ind w:right="60" w:firstLine="254"/>
        <w:spacing w:after="0" w:line="228" w:lineRule="auto"/>
        <w:rPr>
          <w:sz w:val="20"/>
          <w:szCs w:val="20"/>
          <w:color w:val="auto"/>
        </w:rPr>
      </w:pPr>
      <w:r>
        <w:rPr>
          <w:rFonts w:ascii="Arial" w:cs="Arial" w:eastAsia="Arial" w:hAnsi="Arial"/>
          <w:sz w:val="14"/>
          <w:szCs w:val="14"/>
          <w:color w:val="auto"/>
        </w:rPr>
        <w:t>For our microfluidics products, our work with outside consultants and market analysis indicate a potential opportunity in the respiratory and COVID-19 molecular diagnostics markets. We believe that our differentiated PCR microfluidics products could be well-suited to serve the needs of the diagnostics market. Our participation in COVID-19 testing provides an entry point if we choose to explore the diagnostics opportunity. The current markets for our products address a broad range of biological analysis approaches, including the genome, proteome, transcriptome, epigenome and microbiome used by academic life science research customers, as well as applied markets customers, including diagnostic and clinical research laboratories, biopharmaceutical companies, biorepositories and agricultural biotechnology entities. Our markets are increasingly looking to study data sets spanning these approaches in a concerted manner to reveal, understand, and address the biological complexities of disease.</w:t>
      </w:r>
    </w:p>
    <w:p>
      <w:pPr>
        <w:spacing w:after="0" w:line="99"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In 2020, we were awarded the NIH Contract under the RADx program to support the expansion of our production capacity and throughput capabilities for COVID-19 testing with our microfluidics technology. As of December 31, 2021, we have achieved the required milestones and have received the total NIH Contract value of $34.0 million. Proceeds from the NIH Contract have been primarily used for capital expenditures to expand production capacity and, to a lesser extent, to offset applicable operating costs. With the funding from the NIH Contract, integrated fluidic circuit (IFC) manufacturing capacity increased from 12,000 IFCs per month to 36,000 IFCs per month in our Singapore facility.</w:t>
      </w:r>
    </w:p>
    <w:p>
      <w:pPr>
        <w:spacing w:after="0" w:line="83"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 xml:space="preserve">One of the milestones under the NIH Contract was submitting a request </w:t>
      </w:r>
      <w:r>
        <w:rPr>
          <w:rFonts w:ascii="Arial" w:cs="Arial" w:eastAsia="Arial" w:hAnsi="Arial"/>
          <w:sz w:val="14"/>
          <w:szCs w:val="14"/>
          <w:color w:val="293849"/>
        </w:rPr>
        <w:t>with the FDA for Emergency Use Authorization (EUA) of the</w:t>
      </w:r>
      <w:r>
        <w:rPr>
          <w:rFonts w:ascii="Arial" w:cs="Arial" w:eastAsia="Arial" w:hAnsi="Arial"/>
          <w:sz w:val="14"/>
          <w:szCs w:val="14"/>
          <w:color w:val="auto"/>
        </w:rPr>
        <w:t xml:space="preserve"> Advanta Dx COVID-19 EASE Assay. We were granted an EUA for this assay in February</w:t>
      </w:r>
    </w:p>
    <w:p>
      <w:pPr>
        <w:spacing w:after="0" w:line="39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5" w:name="page6"/>
    <w:bookmarkEnd w:id="5"/>
    <w:p>
      <w:pPr>
        <w:ind w:right="620"/>
        <w:spacing w:after="0" w:line="280" w:lineRule="auto"/>
        <w:rPr>
          <w:sz w:val="20"/>
          <w:szCs w:val="20"/>
          <w:color w:val="auto"/>
        </w:rPr>
      </w:pPr>
      <w:r>
        <w:rPr>
          <w:rFonts w:ascii="Arial" w:cs="Arial" w:eastAsia="Arial" w:hAnsi="Arial"/>
          <w:sz w:val="14"/>
          <w:szCs w:val="14"/>
          <w:color w:val="auto"/>
        </w:rPr>
        <w:t>2022. This test is authorized for the qualitative detection of nucleic acid from SARS-CoV-2 in nasopharyngeal swab, oropharyngeal swab, mid-turbinate nasal swab, and anterior nasal swab specimens from individuals suspected of COVID-19 by their healthcare provider.</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In 2021:</w:t>
      </w:r>
    </w:p>
    <w:p>
      <w:pPr>
        <w:spacing w:after="0" w:line="136" w:lineRule="exact"/>
        <w:rPr>
          <w:sz w:val="20"/>
          <w:szCs w:val="20"/>
          <w:color w:val="auto"/>
        </w:rPr>
      </w:pPr>
    </w:p>
    <w:p>
      <w:pPr>
        <w:ind w:left="520" w:right="260" w:hanging="261"/>
        <w:spacing w:after="0" w:line="250" w:lineRule="auto"/>
        <w:tabs>
          <w:tab w:leader="none" w:pos="511" w:val="left"/>
        </w:tabs>
        <w:numPr>
          <w:ilvl w:val="0"/>
          <w:numId w:val="4"/>
        </w:numPr>
        <w:rPr>
          <w:rFonts w:ascii="Arial" w:cs="Arial" w:eastAsia="Arial" w:hAnsi="Arial"/>
          <w:sz w:val="16"/>
          <w:szCs w:val="16"/>
          <w:color w:val="auto"/>
        </w:rPr>
      </w:pPr>
      <w:r>
        <w:rPr>
          <w:rFonts w:ascii="Arial" w:cs="Arial" w:eastAsia="Arial" w:hAnsi="Arial"/>
          <w:sz w:val="14"/>
          <w:szCs w:val="14"/>
          <w:color w:val="auto"/>
        </w:rPr>
        <w:t>Fluidigm made significant strides in product innovation in the form of two new, world-class instrument systems, CyTOF® XT and Biomark™ X. Biomark X is our next generation qPCR platform, integrating the Fluidigm Juno and Biomark HD instruments into a single platform while adding sample-to-answer capabilities. CyTOF XT is the fourth-generation CyTOF instrument, designed to simplify the design and execution of deep cell profiling studies, standardize sample analysis with reproducible workflows and automation and accelerate novel therapeutic development. Both new instrument platforms provide customers with significant value at more economical price points relative to prior generation instruments and include significant enhancements that positively impact instrument operating efficiency and productivity.</w:t>
      </w:r>
    </w:p>
    <w:p>
      <w:pPr>
        <w:spacing w:after="0" w:line="133" w:lineRule="exact"/>
        <w:rPr>
          <w:rFonts w:ascii="Arial" w:cs="Arial" w:eastAsia="Arial" w:hAnsi="Arial"/>
          <w:sz w:val="16"/>
          <w:szCs w:val="16"/>
          <w:color w:val="auto"/>
        </w:rPr>
      </w:pPr>
    </w:p>
    <w:p>
      <w:pPr>
        <w:ind w:left="520" w:right="380" w:hanging="261"/>
        <w:spacing w:after="0" w:line="235"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4"/>
          <w:szCs w:val="14"/>
          <w:color w:val="auto"/>
        </w:rPr>
        <w:t>We delivered the Signature Q100 microfluidics platform to our OEM partner, Olink®, showcasing how strategic partnerships support our Vision 2025 growth plan and ability to expand Fluidigm’s customer base for instruments and consumables usage.</w:t>
      </w:r>
    </w:p>
    <w:p>
      <w:pPr>
        <w:spacing w:after="0" w:line="127" w:lineRule="exact"/>
        <w:rPr>
          <w:rFonts w:ascii="Arial" w:cs="Arial" w:eastAsia="Arial" w:hAnsi="Arial"/>
          <w:sz w:val="17"/>
          <w:szCs w:val="17"/>
          <w:color w:val="auto"/>
        </w:rPr>
      </w:pPr>
    </w:p>
    <w:p>
      <w:pPr>
        <w:ind w:left="520" w:right="260" w:hanging="261"/>
        <w:spacing w:after="0" w:line="244"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4"/>
          <w:szCs w:val="14"/>
          <w:color w:val="auto"/>
        </w:rPr>
        <w:t>The Company focused on partnership and collaboration to accelerate customer adoption of its technology, innovate products or penetrate new markets. Fluidigm completed the milestones under its agreement with the National Institutes of Health, National Institute of Biomedical Imaging and Bioengineering, under the agency’s Rapid Acceleration of Diagnostics (RADx) initiative. In addition, the Company completed all milestones in its collaboration with the Defense Advanced Research Projects Agency (DARPA) and its Epigenetic Characterization and Observation program that supports development of innovative programs based on our microfluidics technology.</w:t>
      </w:r>
    </w:p>
    <w:p>
      <w:pPr>
        <w:spacing w:after="0" w:line="136" w:lineRule="exact"/>
        <w:rPr>
          <w:rFonts w:ascii="Arial" w:cs="Arial" w:eastAsia="Arial" w:hAnsi="Arial"/>
          <w:sz w:val="17"/>
          <w:szCs w:val="17"/>
          <w:color w:val="auto"/>
        </w:rPr>
      </w:pPr>
    </w:p>
    <w:p>
      <w:pPr>
        <w:ind w:left="520" w:right="160" w:hanging="261"/>
        <w:spacing w:after="0" w:line="235" w:lineRule="auto"/>
        <w:tabs>
          <w:tab w:leader="none" w:pos="516" w:val="left"/>
        </w:tabs>
        <w:numPr>
          <w:ilvl w:val="0"/>
          <w:numId w:val="4"/>
        </w:numPr>
        <w:rPr>
          <w:rFonts w:ascii="Arial" w:cs="Arial" w:eastAsia="Arial" w:hAnsi="Arial"/>
          <w:sz w:val="17"/>
          <w:szCs w:val="17"/>
          <w:color w:val="auto"/>
        </w:rPr>
      </w:pPr>
      <w:r>
        <w:rPr>
          <w:rFonts w:ascii="Arial" w:cs="Arial" w:eastAsia="Arial" w:hAnsi="Arial"/>
          <w:sz w:val="14"/>
          <w:szCs w:val="14"/>
          <w:color w:val="auto"/>
        </w:rPr>
        <w:t>As of year-end 2021, 188 clinical trials were underway using CyTOF technology. Total publications and preprints involving CyTOF technology exceeded 1,846, including 179 publications and preprints for Imaging Mass Cytometry.</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w:t>
      </w:r>
    </w:p>
    <w:p>
      <w:pPr>
        <w:spacing w:after="0" w:line="118" w:lineRule="exact"/>
        <w:rPr>
          <w:sz w:val="20"/>
          <w:szCs w:val="20"/>
          <w:color w:val="auto"/>
        </w:rPr>
      </w:pPr>
    </w:p>
    <w:p>
      <w:pPr>
        <w:ind w:right="320" w:firstLine="254"/>
        <w:spacing w:after="0" w:line="280" w:lineRule="auto"/>
        <w:rPr>
          <w:sz w:val="20"/>
          <w:szCs w:val="20"/>
          <w:color w:val="auto"/>
        </w:rPr>
      </w:pPr>
      <w:r>
        <w:rPr>
          <w:rFonts w:ascii="Arial" w:cs="Arial" w:eastAsia="Arial" w:hAnsi="Arial"/>
          <w:sz w:val="14"/>
          <w:szCs w:val="14"/>
          <w:color w:val="auto"/>
        </w:rPr>
        <w:t>We market innovative technologies and life science tools, including preparatory and analytical instruments for Mass Cytometry, PCR, Library Prep, Single Cell Genomics, and consumables, including IFCs, assays, and reagents. Our primary product offerings are summarized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3800" w:type="dxa"/>
            <w:vAlign w:val="bottom"/>
            <w:gridSpan w:val="2"/>
          </w:tcPr>
          <w:p>
            <w:pPr>
              <w:ind w:left="1540"/>
              <w:spacing w:after="0"/>
              <w:rPr>
                <w:sz w:val="20"/>
                <w:szCs w:val="20"/>
                <w:color w:val="auto"/>
              </w:rPr>
            </w:pPr>
            <w:r>
              <w:rPr>
                <w:rFonts w:ascii="Arial" w:cs="Arial" w:eastAsia="Arial" w:hAnsi="Arial"/>
                <w:sz w:val="14"/>
                <w:szCs w:val="14"/>
                <w:b w:val="1"/>
                <w:bCs w:val="1"/>
                <w:color w:val="auto"/>
              </w:rPr>
              <w:t>Product</w:t>
            </w:r>
          </w:p>
        </w:tc>
        <w:tc>
          <w:tcPr>
            <w:tcW w:w="4340" w:type="dxa"/>
            <w:vAlign w:val="bottom"/>
            <w:gridSpan w:val="2"/>
          </w:tcPr>
          <w:p>
            <w:pPr>
              <w:ind w:left="1440"/>
              <w:spacing w:after="0"/>
              <w:rPr>
                <w:sz w:val="20"/>
                <w:szCs w:val="20"/>
                <w:color w:val="auto"/>
              </w:rPr>
            </w:pPr>
            <w:r>
              <w:rPr>
                <w:rFonts w:ascii="Arial" w:cs="Arial" w:eastAsia="Arial" w:hAnsi="Arial"/>
                <w:sz w:val="14"/>
                <w:szCs w:val="14"/>
                <w:b w:val="1"/>
                <w:bCs w:val="1"/>
                <w:color w:val="auto"/>
              </w:rPr>
              <w:t>Product Description</w:t>
            </w:r>
          </w:p>
        </w:tc>
        <w:tc>
          <w:tcPr>
            <w:tcW w:w="31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75"/>
        </w:trPr>
        <w:tc>
          <w:tcPr>
            <w:tcW w:w="20" w:type="dxa"/>
            <w:vAlign w:val="bottom"/>
          </w:tcPr>
          <w:p>
            <w:pPr>
              <w:spacing w:after="0"/>
              <w:rPr>
                <w:sz w:val="15"/>
                <w:szCs w:val="15"/>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Mass Cytometry</w:t>
            </w:r>
          </w:p>
        </w:tc>
        <w:tc>
          <w:tcPr>
            <w:tcW w:w="240" w:type="dxa"/>
            <w:vAlign w:val="bottom"/>
          </w:tcPr>
          <w:p>
            <w:pPr>
              <w:spacing w:after="0"/>
              <w:rPr>
                <w:sz w:val="15"/>
                <w:szCs w:val="15"/>
                <w:color w:val="auto"/>
              </w:rPr>
            </w:pPr>
          </w:p>
        </w:tc>
        <w:tc>
          <w:tcPr>
            <w:tcW w:w="4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tcBorders>
              <w:top w:val="single" w:sz="8" w:color="auto"/>
            </w:tcBorders>
          </w:tcPr>
          <w:p>
            <w:pPr>
              <w:spacing w:after="0"/>
              <w:rPr>
                <w:sz w:val="15"/>
                <w:szCs w:val="15"/>
                <w:color w:val="auto"/>
              </w:rPr>
            </w:pPr>
          </w:p>
        </w:tc>
      </w:tr>
      <w:tr>
        <w:trPr>
          <w:trHeight w:val="345"/>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Analytical Systems:</w:t>
            </w: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Helios™, a CyTOF system</w:t>
            </w: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The Helios mass cytometry system performs high-parameter (&gt;50)</w:t>
            </w:r>
          </w:p>
        </w:tc>
        <w:tc>
          <w:tcPr>
            <w:tcW w:w="3120" w:type="dxa"/>
            <w:vAlign w:val="bottom"/>
          </w:tcPr>
          <w:p>
            <w:pPr>
              <w:ind w:left="20"/>
              <w:spacing w:after="0"/>
              <w:rPr>
                <w:sz w:val="20"/>
                <w:szCs w:val="20"/>
                <w:color w:val="auto"/>
              </w:rPr>
            </w:pPr>
            <w:r>
              <w:rPr>
                <w:rFonts w:ascii="Arial" w:cs="Arial" w:eastAsia="Arial" w:hAnsi="Arial"/>
                <w:sz w:val="14"/>
                <w:szCs w:val="14"/>
                <w:color w:val="auto"/>
              </w:rPr>
              <w:t>Mass Cytometry</w:t>
            </w: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single-cell analysis using antibodies conjugated to metal isotopes.</w:t>
            </w:r>
          </w:p>
        </w:tc>
        <w:tc>
          <w:tcPr>
            <w:tcW w:w="31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CyTOF system, XT, a CyTOF system</w:t>
            </w: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The CyTOF XT mass cytometry system performs highly automated</w:t>
            </w:r>
          </w:p>
        </w:tc>
        <w:tc>
          <w:tcPr>
            <w:tcW w:w="3120" w:type="dxa"/>
            <w:vAlign w:val="bottom"/>
          </w:tcPr>
          <w:p>
            <w:pPr>
              <w:ind w:left="20"/>
              <w:spacing w:after="0"/>
              <w:rPr>
                <w:sz w:val="20"/>
                <w:szCs w:val="20"/>
                <w:color w:val="auto"/>
              </w:rPr>
            </w:pPr>
            <w:r>
              <w:rPr>
                <w:rFonts w:ascii="Arial" w:cs="Arial" w:eastAsia="Arial" w:hAnsi="Arial"/>
                <w:sz w:val="14"/>
                <w:szCs w:val="14"/>
                <w:color w:val="auto"/>
              </w:rPr>
              <w:t>Mass Cytometry</w:t>
            </w:r>
          </w:p>
        </w:tc>
      </w:tr>
      <w:tr>
        <w:trPr>
          <w:trHeight w:val="138"/>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3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high-parameter (&gt;50) single-cell analysis using antibodies conjugated</w:t>
            </w:r>
          </w:p>
        </w:tc>
        <w:tc>
          <w:tcPr>
            <w:tcW w:w="312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to metal isotopes.</w:t>
            </w:r>
          </w:p>
        </w:tc>
        <w:tc>
          <w:tcPr>
            <w:tcW w:w="31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Hyperion™ Imaging System</w:t>
            </w: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The Hyperion Imaging System brings together imaging capability with</w:t>
            </w:r>
          </w:p>
        </w:tc>
        <w:tc>
          <w:tcPr>
            <w:tcW w:w="3120" w:type="dxa"/>
            <w:vAlign w:val="bottom"/>
          </w:tcPr>
          <w:p>
            <w:pPr>
              <w:ind w:left="20"/>
              <w:spacing w:after="0"/>
              <w:rPr>
                <w:sz w:val="20"/>
                <w:szCs w:val="20"/>
                <w:color w:val="auto"/>
              </w:rPr>
            </w:pPr>
            <w:r>
              <w:rPr>
                <w:rFonts w:ascii="Arial" w:cs="Arial" w:eastAsia="Arial" w:hAnsi="Arial"/>
                <w:sz w:val="14"/>
                <w:szCs w:val="14"/>
                <w:color w:val="auto"/>
              </w:rPr>
              <w:t>Imaging Mass Cytometry</w:t>
            </w:r>
          </w:p>
        </w:tc>
      </w:tr>
      <w:tr>
        <w:trPr>
          <w:trHeight w:val="138"/>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34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9"/>
              </w:rPr>
              <w:t>proven high-parameter CyTOF technology to enable the simultaneous</w:t>
            </w:r>
          </w:p>
        </w:tc>
        <w:tc>
          <w:tcPr>
            <w:tcW w:w="3120" w:type="dxa"/>
            <w:vAlign w:val="bottom"/>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34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7"/>
              </w:rPr>
              <w:t>detection of up to 38 protein markers in the spatial context of the tissue</w:t>
            </w:r>
          </w:p>
        </w:tc>
        <w:tc>
          <w:tcPr>
            <w:tcW w:w="312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microenvironment.</w:t>
            </w:r>
          </w:p>
        </w:tc>
        <w:tc>
          <w:tcPr>
            <w:tcW w:w="3120" w:type="dxa"/>
            <w:vAlign w:val="bottom"/>
          </w:tcPr>
          <w:p>
            <w:pPr>
              <w:spacing w:after="0"/>
              <w:rPr>
                <w:sz w:val="15"/>
                <w:szCs w:val="15"/>
                <w:color w:val="auto"/>
              </w:rPr>
            </w:pPr>
          </w:p>
        </w:tc>
      </w:tr>
      <w:tr>
        <w:trPr>
          <w:trHeight w:val="60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Pr>
          <w:p>
            <w:pPr>
              <w:ind w:left="1920"/>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20" w:type="dxa"/>
            <w:vAlign w:val="bottom"/>
            <w:tcBorders>
              <w:bottom w:val="single" w:sz="8" w:color="9A9A9A"/>
            </w:tcBorders>
          </w:tcPr>
          <w:p>
            <w:pPr>
              <w:spacing w:after="0"/>
              <w:rPr>
                <w:sz w:val="17"/>
                <w:szCs w:val="17"/>
                <w:color w:val="auto"/>
              </w:rPr>
            </w:pPr>
          </w:p>
        </w:tc>
        <w:tc>
          <w:tcPr>
            <w:tcW w:w="35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31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ind w:left="1540"/>
              <w:spacing w:after="0"/>
              <w:rPr>
                <w:sz w:val="20"/>
                <w:szCs w:val="20"/>
                <w:color w:val="auto"/>
              </w:rPr>
            </w:pPr>
            <w:r>
              <w:rPr>
                <w:rFonts w:ascii="Arial" w:cs="Arial" w:eastAsia="Arial" w:hAnsi="Arial"/>
                <w:sz w:val="14"/>
                <w:szCs w:val="14"/>
                <w:b w:val="1"/>
                <w:bCs w:val="1"/>
                <w:color w:val="auto"/>
              </w:rPr>
              <w:t>Product</w:t>
            </w:r>
          </w:p>
        </w:tc>
        <w:tc>
          <w:tcPr>
            <w:tcW w:w="4100" w:type="dxa"/>
            <w:vAlign w:val="bottom"/>
          </w:tcPr>
          <w:p>
            <w:pPr>
              <w:ind w:left="1440"/>
              <w:spacing w:after="0"/>
              <w:rPr>
                <w:sz w:val="20"/>
                <w:szCs w:val="20"/>
                <w:color w:val="auto"/>
              </w:rPr>
            </w:pPr>
            <w:r>
              <w:rPr>
                <w:rFonts w:ascii="Arial" w:cs="Arial" w:eastAsia="Arial" w:hAnsi="Arial"/>
                <w:sz w:val="14"/>
                <w:szCs w:val="14"/>
                <w:b w:val="1"/>
                <w:bCs w:val="1"/>
                <w:color w:val="auto"/>
              </w:rPr>
              <w:t>Product Description</w:t>
            </w:r>
          </w:p>
        </w:tc>
        <w:tc>
          <w:tcPr>
            <w:tcW w:w="0" w:type="dxa"/>
            <w:vAlign w:val="bottom"/>
          </w:tcPr>
          <w:p>
            <w:pPr>
              <w:spacing w:after="0"/>
              <w:rPr>
                <w:sz w:val="1"/>
                <w:szCs w:val="1"/>
                <w:color w:val="auto"/>
              </w:rPr>
            </w:pPr>
          </w:p>
        </w:tc>
      </w:tr>
      <w:tr>
        <w:trPr>
          <w:trHeight w:val="128"/>
        </w:trPr>
        <w:tc>
          <w:tcPr>
            <w:tcW w:w="3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Hyperion™ Tissue Imager</w:t>
            </w:r>
          </w:p>
        </w:tc>
        <w:tc>
          <w:tcPr>
            <w:tcW w:w="220" w:type="dxa"/>
            <w:vAlign w:val="bottom"/>
          </w:tcPr>
          <w:p>
            <w:pPr>
              <w:spacing w:after="0"/>
              <w:rPr>
                <w:sz w:val="11"/>
                <w:szCs w:val="11"/>
                <w:color w:val="auto"/>
              </w:rPr>
            </w:pPr>
          </w:p>
        </w:tc>
        <w:tc>
          <w:tcPr>
            <w:tcW w:w="41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w w:val="91"/>
              </w:rPr>
              <w:t>The Hyperion Tissue Imager scans tissues at 1 micron resolution. It can</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5"/>
              </w:rPr>
              <w:t>be purchased as an upgrade for the Helios system to enable imaging</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capability, then referred to as Hyperion Imaging System.</w:t>
            </w:r>
          </w:p>
        </w:tc>
        <w:tc>
          <w:tcPr>
            <w:tcW w:w="0" w:type="dxa"/>
            <w:vAlign w:val="bottom"/>
          </w:tcPr>
          <w:p>
            <w:pPr>
              <w:spacing w:after="0"/>
              <w:rPr>
                <w:sz w:val="1"/>
                <w:szCs w:val="1"/>
                <w:color w:val="auto"/>
              </w:rPr>
            </w:pPr>
          </w:p>
        </w:tc>
      </w:tr>
      <w:tr>
        <w:trPr>
          <w:trHeight w:val="212"/>
        </w:trPr>
        <w:tc>
          <w:tcPr>
            <w:tcW w:w="3800" w:type="dxa"/>
            <w:vAlign w:val="bottom"/>
            <w:gridSpan w:val="2"/>
          </w:tcPr>
          <w:p>
            <w:pPr>
              <w:spacing w:after="0"/>
              <w:rPr>
                <w:sz w:val="20"/>
                <w:szCs w:val="20"/>
                <w:color w:val="auto"/>
              </w:rPr>
            </w:pPr>
            <w:r>
              <w:rPr>
                <w:rFonts w:ascii="Arial" w:cs="Arial" w:eastAsia="Arial" w:hAnsi="Arial"/>
                <w:sz w:val="14"/>
                <w:szCs w:val="14"/>
                <w:color w:val="auto"/>
              </w:rPr>
              <w:t>Flow Conductor</w:t>
            </w:r>
          </w:p>
        </w:tc>
        <w:tc>
          <w:tcPr>
            <w:tcW w:w="4100" w:type="dxa"/>
            <w:vAlign w:val="bottom"/>
          </w:tcPr>
          <w:p>
            <w:pPr>
              <w:ind w:left="20"/>
              <w:spacing w:after="0"/>
              <w:rPr>
                <w:sz w:val="20"/>
                <w:szCs w:val="20"/>
                <w:color w:val="auto"/>
              </w:rPr>
            </w:pPr>
            <w:r>
              <w:rPr>
                <w:rFonts w:ascii="Arial" w:cs="Arial" w:eastAsia="Arial" w:hAnsi="Arial"/>
                <w:sz w:val="14"/>
                <w:szCs w:val="14"/>
                <w:color w:val="auto"/>
                <w:w w:val="93"/>
              </w:rPr>
              <w:t>Flow Conductor is an integrated sample preparation system for flow or</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mass cytometry assays.</w:t>
            </w:r>
          </w:p>
        </w:tc>
        <w:tc>
          <w:tcPr>
            <w:tcW w:w="0" w:type="dxa"/>
            <w:vAlign w:val="bottom"/>
          </w:tcPr>
          <w:p>
            <w:pPr>
              <w:spacing w:after="0"/>
              <w:rPr>
                <w:sz w:val="1"/>
                <w:szCs w:val="1"/>
                <w:color w:val="auto"/>
              </w:rPr>
            </w:pPr>
          </w:p>
        </w:tc>
      </w:tr>
      <w:tr>
        <w:trPr>
          <w:trHeight w:val="296"/>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Assays and Reagents: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Maxpar® Reagents</w:t>
            </w:r>
          </w:p>
        </w:tc>
        <w:tc>
          <w:tcPr>
            <w:tcW w:w="4100" w:type="dxa"/>
            <w:vAlign w:val="bottom"/>
          </w:tcPr>
          <w:p>
            <w:pPr>
              <w:ind w:left="20"/>
              <w:spacing w:after="0"/>
              <w:rPr>
                <w:sz w:val="20"/>
                <w:szCs w:val="20"/>
                <w:color w:val="auto"/>
              </w:rPr>
            </w:pPr>
            <w:r>
              <w:rPr>
                <w:rFonts w:ascii="Arial" w:cs="Arial" w:eastAsia="Arial" w:hAnsi="Arial"/>
                <w:sz w:val="14"/>
                <w:szCs w:val="14"/>
                <w:color w:val="auto"/>
                <w:w w:val="97"/>
              </w:rPr>
              <w:t>Maxpar® reagents are included in multiple product lines addressing</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5"/>
              </w:rPr>
              <w:t>needs in functional and phenotypic profiling of single cells, as well as</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6"/>
              </w:rPr>
              <w:t>nucleic acid detection. The product lines include more than 800 pre-</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5"/>
              </w:rPr>
              <w:t>conjugated antibodies, application-specific kits, and custom antibody</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labeling services.</w:t>
            </w:r>
          </w:p>
        </w:tc>
        <w:tc>
          <w:tcPr>
            <w:tcW w:w="0" w:type="dxa"/>
            <w:vAlign w:val="bottom"/>
          </w:tcPr>
          <w:p>
            <w:pPr>
              <w:spacing w:after="0"/>
              <w:rPr>
                <w:sz w:val="1"/>
                <w:szCs w:val="1"/>
                <w:color w:val="auto"/>
              </w:rPr>
            </w:pPr>
          </w:p>
        </w:tc>
      </w:tr>
      <w:tr>
        <w:trPr>
          <w:trHeight w:val="212"/>
        </w:trPr>
        <w:tc>
          <w:tcPr>
            <w:tcW w:w="3800" w:type="dxa"/>
            <w:vAlign w:val="bottom"/>
            <w:gridSpan w:val="2"/>
          </w:tcPr>
          <w:p>
            <w:pPr>
              <w:spacing w:after="0"/>
              <w:rPr>
                <w:sz w:val="20"/>
                <w:szCs w:val="20"/>
                <w:color w:val="auto"/>
              </w:rPr>
            </w:pPr>
            <w:r>
              <w:rPr>
                <w:rFonts w:ascii="Arial" w:cs="Arial" w:eastAsia="Arial" w:hAnsi="Arial"/>
                <w:sz w:val="14"/>
                <w:szCs w:val="14"/>
                <w:color w:val="auto"/>
              </w:rPr>
              <w:t>Maxpar Direct Immune Profiling Assay</w:t>
            </w:r>
          </w:p>
        </w:tc>
        <w:tc>
          <w:tcPr>
            <w:tcW w:w="4100" w:type="dxa"/>
            <w:vAlign w:val="bottom"/>
          </w:tcPr>
          <w:p>
            <w:pPr>
              <w:ind w:left="20"/>
              <w:spacing w:after="0"/>
              <w:rPr>
                <w:sz w:val="20"/>
                <w:szCs w:val="20"/>
                <w:color w:val="auto"/>
              </w:rPr>
            </w:pPr>
            <w:r>
              <w:rPr>
                <w:rFonts w:ascii="Arial" w:cs="Arial" w:eastAsia="Arial" w:hAnsi="Arial"/>
                <w:sz w:val="14"/>
                <w:szCs w:val="14"/>
                <w:color w:val="auto"/>
                <w:w w:val="91"/>
              </w:rPr>
              <w:t>The assay enables identification and characterization of 37 immune cell</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00" w:type="dxa"/>
            <w:vAlign w:val="bottom"/>
          </w:tcPr>
          <w:p>
            <w:pPr>
              <w:ind w:left="20"/>
              <w:spacing w:after="0" w:line="159" w:lineRule="exact"/>
              <w:rPr>
                <w:sz w:val="20"/>
                <w:szCs w:val="20"/>
                <w:color w:val="auto"/>
              </w:rPr>
            </w:pPr>
            <w:r>
              <w:rPr>
                <w:rFonts w:ascii="Arial" w:cs="Arial" w:eastAsia="Arial" w:hAnsi="Arial"/>
                <w:sz w:val="14"/>
                <w:szCs w:val="14"/>
                <w:color w:val="auto"/>
                <w:w w:val="95"/>
              </w:rPr>
              <w:t>populations with automated software. The kit contains 30 pre-titrated</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00" w:type="dxa"/>
            <w:vAlign w:val="bottom"/>
          </w:tcPr>
          <w:p>
            <w:pPr>
              <w:ind w:left="20"/>
              <w:spacing w:after="0" w:line="159" w:lineRule="exact"/>
              <w:rPr>
                <w:sz w:val="20"/>
                <w:szCs w:val="20"/>
                <w:color w:val="auto"/>
              </w:rPr>
            </w:pPr>
            <w:r>
              <w:rPr>
                <w:rFonts w:ascii="Arial" w:cs="Arial" w:eastAsia="Arial" w:hAnsi="Arial"/>
                <w:sz w:val="14"/>
                <w:szCs w:val="14"/>
                <w:color w:val="auto"/>
                <w:w w:val="94"/>
              </w:rPr>
              <w:t>antibodies provided in a dry single-tube format and is also compatible</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w w:val="94"/>
              </w:rPr>
              <w:t>with additional expansion panels focusing on specific cell populations.</w:t>
            </w:r>
          </w:p>
        </w:tc>
        <w:tc>
          <w:tcPr>
            <w:tcW w:w="0" w:type="dxa"/>
            <w:vAlign w:val="bottom"/>
          </w:tcPr>
          <w:p>
            <w:pPr>
              <w:spacing w:after="0"/>
              <w:rPr>
                <w:sz w:val="1"/>
                <w:szCs w:val="1"/>
                <w:color w:val="auto"/>
              </w:rPr>
            </w:pPr>
          </w:p>
        </w:tc>
      </w:tr>
      <w:tr>
        <w:trPr>
          <w:trHeight w:val="191"/>
        </w:trPr>
        <w:tc>
          <w:tcPr>
            <w:tcW w:w="3800" w:type="dxa"/>
            <w:vAlign w:val="bottom"/>
            <w:gridSpan w:val="2"/>
          </w:tcPr>
          <w:p>
            <w:pPr>
              <w:spacing w:after="0"/>
              <w:rPr>
                <w:sz w:val="20"/>
                <w:szCs w:val="20"/>
                <w:color w:val="auto"/>
              </w:rPr>
            </w:pPr>
            <w:r>
              <w:rPr>
                <w:rFonts w:ascii="Arial" w:cs="Arial" w:eastAsia="Arial" w:hAnsi="Arial"/>
                <w:sz w:val="14"/>
                <w:szCs w:val="14"/>
                <w:color w:val="auto"/>
              </w:rPr>
              <w:t>Maxpar On Demand Reagents</w:t>
            </w:r>
          </w:p>
        </w:tc>
        <w:tc>
          <w:tcPr>
            <w:tcW w:w="4100" w:type="dxa"/>
            <w:vAlign w:val="bottom"/>
          </w:tcPr>
          <w:p>
            <w:pPr>
              <w:ind w:left="20"/>
              <w:spacing w:after="0"/>
              <w:rPr>
                <w:sz w:val="20"/>
                <w:szCs w:val="20"/>
                <w:color w:val="auto"/>
              </w:rPr>
            </w:pPr>
            <w:r>
              <w:rPr>
                <w:rFonts w:ascii="Arial" w:cs="Arial" w:eastAsia="Arial" w:hAnsi="Arial"/>
                <w:sz w:val="14"/>
                <w:szCs w:val="14"/>
                <w:color w:val="auto"/>
                <w:w w:val="96"/>
              </w:rPr>
              <w:t>Made to order conjugated antibodies, pre-verified and available with</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seven-day turn-around</w:t>
            </w:r>
          </w:p>
        </w:tc>
        <w:tc>
          <w:tcPr>
            <w:tcW w:w="0" w:type="dxa"/>
            <w:vAlign w:val="bottom"/>
          </w:tcPr>
          <w:p>
            <w:pPr>
              <w:spacing w:after="0"/>
              <w:rPr>
                <w:sz w:val="1"/>
                <w:szCs w:val="1"/>
                <w:color w:val="auto"/>
              </w:rPr>
            </w:pP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Maxpar IMC Panel Kits for Immuno-oncology</w:t>
            </w:r>
          </w:p>
        </w:tc>
        <w:tc>
          <w:tcPr>
            <w:tcW w:w="4100" w:type="dxa"/>
            <w:vAlign w:val="bottom"/>
          </w:tcPr>
          <w:p>
            <w:pPr>
              <w:ind w:left="20"/>
              <w:spacing w:after="0"/>
              <w:rPr>
                <w:sz w:val="20"/>
                <w:szCs w:val="20"/>
                <w:color w:val="auto"/>
              </w:rPr>
            </w:pPr>
            <w:r>
              <w:rPr>
                <w:rFonts w:ascii="Arial" w:cs="Arial" w:eastAsia="Arial" w:hAnsi="Arial"/>
                <w:sz w:val="14"/>
                <w:szCs w:val="14"/>
                <w:color w:val="auto"/>
                <w:w w:val="99"/>
              </w:rPr>
              <w:t>Contains a mix of non-overlapping metal-conjugated antibodies to</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7"/>
              </w:rPr>
              <w:t>deeply profile tumor-infiltrating lymphocytes, immune cell activation</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0"/>
              </w:rPr>
              <w:t>states or tissue architecture. These new panels can be easily mixed and</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2"/>
              </w:rPr>
              <w:t>matched or combined as an 18-marker panel to broadly profile immune</w:t>
            </w:r>
          </w:p>
        </w:tc>
        <w:tc>
          <w:tcPr>
            <w:tcW w:w="0" w:type="dxa"/>
            <w:vAlign w:val="bottom"/>
          </w:tcPr>
          <w:p>
            <w:pPr>
              <w:spacing w:after="0"/>
              <w:rPr>
                <w:sz w:val="1"/>
                <w:szCs w:val="1"/>
                <w:color w:val="auto"/>
              </w:rPr>
            </w:pPr>
          </w:p>
        </w:tc>
      </w:tr>
      <w:tr>
        <w:trPr>
          <w:trHeight w:val="180"/>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Software:</w:t>
            </w:r>
          </w:p>
        </w:tc>
        <w:tc>
          <w:tcPr>
            <w:tcW w:w="4100" w:type="dxa"/>
            <w:vAlign w:val="bottom"/>
          </w:tcPr>
          <w:p>
            <w:pPr>
              <w:ind w:left="20"/>
              <w:spacing w:after="0"/>
              <w:rPr>
                <w:sz w:val="20"/>
                <w:szCs w:val="20"/>
                <w:color w:val="auto"/>
              </w:rPr>
            </w:pPr>
            <w:r>
              <w:rPr>
                <w:rFonts w:ascii="Arial" w:cs="Arial" w:eastAsia="Arial" w:hAnsi="Arial"/>
                <w:sz w:val="14"/>
                <w:szCs w:val="14"/>
                <w:color w:val="auto"/>
              </w:rPr>
              <w:t>infiltrates.</w:t>
            </w:r>
          </w:p>
        </w:tc>
        <w:tc>
          <w:tcPr>
            <w:tcW w:w="0" w:type="dxa"/>
            <w:vAlign w:val="bottom"/>
          </w:tcPr>
          <w:p>
            <w:pPr>
              <w:spacing w:after="0"/>
              <w:rPr>
                <w:sz w:val="1"/>
                <w:szCs w:val="1"/>
                <w:color w:val="auto"/>
              </w:rPr>
            </w:pPr>
          </w:p>
        </w:tc>
      </w:tr>
      <w:tr>
        <w:trPr>
          <w:trHeight w:val="180"/>
        </w:trPr>
        <w:tc>
          <w:tcPr>
            <w:tcW w:w="3800" w:type="dxa"/>
            <w:vAlign w:val="bottom"/>
            <w:gridSpan w:val="2"/>
            <w:vMerge w:val="continue"/>
          </w:tcPr>
          <w:p>
            <w:pPr>
              <w:spacing w:after="0"/>
              <w:rPr>
                <w:sz w:val="15"/>
                <w:szCs w:val="15"/>
                <w:color w:val="auto"/>
              </w:rPr>
            </w:pPr>
          </w:p>
        </w:tc>
        <w:tc>
          <w:tcPr>
            <w:tcW w:w="4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CyTOF Software v7.0</w:t>
            </w:r>
          </w:p>
        </w:tc>
        <w:tc>
          <w:tcPr>
            <w:tcW w:w="4100" w:type="dxa"/>
            <w:vAlign w:val="bottom"/>
          </w:tcPr>
          <w:p>
            <w:pPr>
              <w:ind w:left="20"/>
              <w:spacing w:after="0"/>
              <w:rPr>
                <w:sz w:val="20"/>
                <w:szCs w:val="20"/>
                <w:color w:val="auto"/>
              </w:rPr>
            </w:pPr>
            <w:r>
              <w:rPr>
                <w:rFonts w:ascii="Arial" w:cs="Arial" w:eastAsia="Arial" w:hAnsi="Arial"/>
                <w:sz w:val="14"/>
                <w:szCs w:val="14"/>
                <w:color w:val="auto"/>
              </w:rPr>
              <w:t>Streamlines the selection and acquisition of multiple Regions of</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Interest (ROI) from each slide.</w:t>
            </w:r>
          </w:p>
        </w:tc>
        <w:tc>
          <w:tcPr>
            <w:tcW w:w="0" w:type="dxa"/>
            <w:vAlign w:val="bottom"/>
          </w:tcPr>
          <w:p>
            <w:pPr>
              <w:spacing w:after="0"/>
              <w:rPr>
                <w:sz w:val="1"/>
                <w:szCs w:val="1"/>
                <w:color w:val="auto"/>
              </w:rPr>
            </w:pP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CyTOF Software 8.0</w:t>
            </w:r>
          </w:p>
        </w:tc>
        <w:tc>
          <w:tcPr>
            <w:tcW w:w="4100" w:type="dxa"/>
            <w:vAlign w:val="bottom"/>
          </w:tcPr>
          <w:p>
            <w:pPr>
              <w:ind w:left="20"/>
              <w:spacing w:after="0"/>
              <w:rPr>
                <w:sz w:val="20"/>
                <w:szCs w:val="20"/>
                <w:color w:val="auto"/>
              </w:rPr>
            </w:pPr>
            <w:r>
              <w:rPr>
                <w:rFonts w:ascii="Arial" w:cs="Arial" w:eastAsia="Arial" w:hAnsi="Arial"/>
                <w:sz w:val="14"/>
                <w:szCs w:val="14"/>
                <w:color w:val="auto"/>
                <w:w w:val="96"/>
              </w:rPr>
              <w:t>Streamlines and automates the sample acquisition for CyTOF XT to</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measure 50+ markers for single-cell cytometry</w:t>
            </w:r>
          </w:p>
        </w:tc>
        <w:tc>
          <w:tcPr>
            <w:tcW w:w="0" w:type="dxa"/>
            <w:vAlign w:val="bottom"/>
          </w:tcPr>
          <w:p>
            <w:pPr>
              <w:spacing w:after="0"/>
              <w:rPr>
                <w:sz w:val="1"/>
                <w:szCs w:val="1"/>
                <w:color w:val="auto"/>
              </w:rPr>
            </w:pPr>
          </w:p>
        </w:tc>
      </w:tr>
      <w:tr>
        <w:trPr>
          <w:trHeight w:val="349"/>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Microfluidics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Preparatory Instruments: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Juno System</w:t>
            </w:r>
          </w:p>
        </w:tc>
        <w:tc>
          <w:tcPr>
            <w:tcW w:w="4100" w:type="dxa"/>
            <w:vAlign w:val="bottom"/>
          </w:tcPr>
          <w:p>
            <w:pPr>
              <w:ind w:left="20"/>
              <w:spacing w:after="0"/>
              <w:rPr>
                <w:sz w:val="20"/>
                <w:szCs w:val="20"/>
                <w:color w:val="auto"/>
              </w:rPr>
            </w:pPr>
            <w:r>
              <w:rPr>
                <w:rFonts w:ascii="Arial" w:cs="Arial" w:eastAsia="Arial" w:hAnsi="Arial"/>
                <w:sz w:val="14"/>
                <w:szCs w:val="14"/>
                <w:color w:val="auto"/>
                <w:w w:val="94"/>
              </w:rPr>
              <w:t>An integrated system that automates the preparation of RNA-seq and</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rPr>
              <w:t>amplicon-based libraries for next-generation sequencing (NGS).</w:t>
            </w:r>
          </w:p>
        </w:tc>
        <w:tc>
          <w:tcPr>
            <w:tcW w:w="0" w:type="dxa"/>
            <w:vAlign w:val="bottom"/>
          </w:tcPr>
          <w:p>
            <w:pPr>
              <w:spacing w:after="0"/>
              <w:rPr>
                <w:sz w:val="1"/>
                <w:szCs w:val="1"/>
                <w:color w:val="auto"/>
              </w:rPr>
            </w:pP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8"/>
              </w:rPr>
              <w:t>Additionally, Juno automates microfluidic-based PCR workflows by</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w w:val="98"/>
              </w:rPr>
              <w:t>processing IFCs prior to analysis on Biomark HD or EP1 platforms.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127000</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9773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7390" cy="698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Imaging Mass Cytometry</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Mass Cytometry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Mass Cytometry and Imaging Mass Cytometry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Mass Cytometry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Mass Cytometry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Mass Cytometry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Mass Cytometry</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Mass Cytometry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20" w:lineRule="auto"/>
        <w:rPr>
          <w:sz w:val="20"/>
          <w:szCs w:val="20"/>
          <w:color w:val="auto"/>
        </w:rPr>
      </w:pPr>
      <w:r>
        <w:rPr>
          <w:rFonts w:ascii="Arial" w:cs="Arial" w:eastAsia="Arial" w:hAnsi="Arial"/>
          <w:sz w:val="14"/>
          <w:szCs w:val="14"/>
          <w:color w:val="auto"/>
        </w:rPr>
        <w:t>Library preparation for RNA-seq and targeted NGS. PCR applications include sequence detection, sample identification, genotyping, gene expression, and real-time digital PCR</w:t>
      </w:r>
    </w:p>
    <w:p>
      <w:pPr>
        <w:sectPr>
          <w:pgSz w:w="11900" w:h="16838" w:orient="portrait"/>
          <w:cols w:equalWidth="0" w:num="2">
            <w:col w:w="7900" w:space="260"/>
            <w:col w:w="3000"/>
          </w:cols>
          <w:pgMar w:left="320" w:top="1099" w:right="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ind w:left="1540"/>
              <w:spacing w:after="0"/>
              <w:rPr>
                <w:sz w:val="20"/>
                <w:szCs w:val="20"/>
                <w:color w:val="auto"/>
              </w:rPr>
            </w:pPr>
            <w:r>
              <w:rPr>
                <w:rFonts w:ascii="Arial" w:cs="Arial" w:eastAsia="Arial" w:hAnsi="Arial"/>
                <w:sz w:val="14"/>
                <w:szCs w:val="14"/>
                <w:b w:val="1"/>
                <w:bCs w:val="1"/>
                <w:color w:val="auto"/>
              </w:rPr>
              <w:t>Product</w:t>
            </w:r>
          </w:p>
        </w:tc>
        <w:tc>
          <w:tcPr>
            <w:tcW w:w="4100" w:type="dxa"/>
            <w:vAlign w:val="bottom"/>
          </w:tcPr>
          <w:p>
            <w:pPr>
              <w:ind w:left="1440"/>
              <w:spacing w:after="0"/>
              <w:rPr>
                <w:sz w:val="20"/>
                <w:szCs w:val="20"/>
                <w:color w:val="auto"/>
              </w:rPr>
            </w:pPr>
            <w:r>
              <w:rPr>
                <w:rFonts w:ascii="Arial" w:cs="Arial" w:eastAsia="Arial" w:hAnsi="Arial"/>
                <w:sz w:val="14"/>
                <w:szCs w:val="14"/>
                <w:b w:val="1"/>
                <w:bCs w:val="1"/>
                <w:color w:val="auto"/>
              </w:rPr>
              <w:t>Product Description</w:t>
            </w:r>
          </w:p>
        </w:tc>
      </w:tr>
      <w:tr>
        <w:trPr>
          <w:trHeight w:val="175"/>
        </w:trPr>
        <w:tc>
          <w:tcPr>
            <w:tcW w:w="35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Analytical Instruments:</w:t>
            </w:r>
          </w:p>
        </w:tc>
        <w:tc>
          <w:tcPr>
            <w:tcW w:w="220" w:type="dxa"/>
            <w:vAlign w:val="bottom"/>
          </w:tcPr>
          <w:p>
            <w:pPr>
              <w:spacing w:after="0"/>
              <w:rPr>
                <w:sz w:val="15"/>
                <w:szCs w:val="15"/>
                <w:color w:val="auto"/>
              </w:rPr>
            </w:pPr>
          </w:p>
        </w:tc>
        <w:tc>
          <w:tcPr>
            <w:tcW w:w="4100" w:type="dxa"/>
            <w:vAlign w:val="bottom"/>
            <w:tcBorders>
              <w:top w:val="single" w:sz="8" w:color="auto"/>
            </w:tcBorders>
          </w:tcPr>
          <w:p>
            <w:pPr>
              <w:spacing w:after="0"/>
              <w:rPr>
                <w:sz w:val="15"/>
                <w:szCs w:val="15"/>
                <w:color w:val="auto"/>
              </w:rPr>
            </w:pPr>
          </w:p>
        </w:tc>
      </w:tr>
      <w:tr>
        <w:trPr>
          <w:trHeight w:val="176"/>
        </w:trPr>
        <w:tc>
          <w:tcPr>
            <w:tcW w:w="3800" w:type="dxa"/>
            <w:vAlign w:val="bottom"/>
            <w:gridSpan w:val="2"/>
          </w:tcPr>
          <w:p>
            <w:pPr>
              <w:spacing w:after="0"/>
              <w:rPr>
                <w:sz w:val="20"/>
                <w:szCs w:val="20"/>
                <w:color w:val="auto"/>
              </w:rPr>
            </w:pPr>
            <w:r>
              <w:rPr>
                <w:rFonts w:ascii="Arial" w:cs="Arial" w:eastAsia="Arial" w:hAnsi="Arial"/>
                <w:sz w:val="14"/>
                <w:szCs w:val="14"/>
                <w:color w:val="auto"/>
              </w:rPr>
              <w:t>Biomark HD System</w:t>
            </w:r>
          </w:p>
        </w:tc>
        <w:tc>
          <w:tcPr>
            <w:tcW w:w="4100" w:type="dxa"/>
            <w:vAlign w:val="bottom"/>
          </w:tcPr>
          <w:p>
            <w:pPr>
              <w:ind w:left="20"/>
              <w:spacing w:after="0"/>
              <w:rPr>
                <w:sz w:val="20"/>
                <w:szCs w:val="20"/>
                <w:color w:val="auto"/>
              </w:rPr>
            </w:pPr>
            <w:r>
              <w:rPr>
                <w:rFonts w:ascii="Arial" w:cs="Arial" w:eastAsia="Arial" w:hAnsi="Arial"/>
                <w:sz w:val="14"/>
                <w:szCs w:val="14"/>
                <w:color w:val="auto"/>
              </w:rPr>
              <w:t>Real-time PCR analytical instrument for microfluidics-based</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workflows using Fluidigm IFCs.</w:t>
            </w:r>
          </w:p>
        </w:tc>
      </w:tr>
      <w:tr>
        <w:trPr>
          <w:trHeight w:val="318"/>
        </w:trPr>
        <w:tc>
          <w:tcPr>
            <w:tcW w:w="3800" w:type="dxa"/>
            <w:vAlign w:val="bottom"/>
            <w:gridSpan w:val="2"/>
          </w:tcPr>
          <w:p>
            <w:pPr>
              <w:spacing w:after="0"/>
              <w:rPr>
                <w:sz w:val="20"/>
                <w:szCs w:val="20"/>
                <w:color w:val="auto"/>
              </w:rPr>
            </w:pPr>
            <w:r>
              <w:rPr>
                <w:rFonts w:ascii="Arial" w:cs="Arial" w:eastAsia="Arial" w:hAnsi="Arial"/>
                <w:sz w:val="14"/>
                <w:szCs w:val="14"/>
                <w:color w:val="auto"/>
              </w:rPr>
              <w:t>EP1 System</w:t>
            </w:r>
          </w:p>
        </w:tc>
        <w:tc>
          <w:tcPr>
            <w:tcW w:w="4100" w:type="dxa"/>
            <w:vAlign w:val="bottom"/>
          </w:tcPr>
          <w:p>
            <w:pPr>
              <w:ind w:left="20"/>
              <w:spacing w:after="0"/>
              <w:rPr>
                <w:sz w:val="20"/>
                <w:szCs w:val="20"/>
                <w:color w:val="auto"/>
              </w:rPr>
            </w:pPr>
            <w:r>
              <w:rPr>
                <w:rFonts w:ascii="Arial" w:cs="Arial" w:eastAsia="Arial" w:hAnsi="Arial"/>
                <w:sz w:val="14"/>
                <w:szCs w:val="14"/>
                <w:color w:val="auto"/>
              </w:rPr>
              <w:t>End-point PCR analytical instrument for microfluidics-based</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workflows using Fluidigm IFCs.</w:t>
            </w:r>
          </w:p>
        </w:tc>
      </w:tr>
      <w:tr>
        <w:trPr>
          <w:trHeight w:val="349"/>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Integrated Fluidic Circuits (IFCs):</w:t>
            </w:r>
          </w:p>
        </w:tc>
        <w:tc>
          <w:tcPr>
            <w:tcW w:w="4100" w:type="dxa"/>
            <w:vAlign w:val="bottom"/>
          </w:tcPr>
          <w:p>
            <w:pPr>
              <w:spacing w:after="0"/>
              <w:rPr>
                <w:sz w:val="24"/>
                <w:szCs w:val="24"/>
                <w:color w:val="auto"/>
              </w:rPr>
            </w:pP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Library Preparation (LP) IFCs</w:t>
            </w:r>
          </w:p>
        </w:tc>
        <w:tc>
          <w:tcPr>
            <w:tcW w:w="4100" w:type="dxa"/>
            <w:vAlign w:val="bottom"/>
          </w:tcPr>
          <w:p>
            <w:pPr>
              <w:ind w:left="20"/>
              <w:spacing w:after="0"/>
              <w:rPr>
                <w:sz w:val="20"/>
                <w:szCs w:val="20"/>
                <w:color w:val="auto"/>
              </w:rPr>
            </w:pPr>
            <w:r>
              <w:rPr>
                <w:rFonts w:ascii="Arial" w:cs="Arial" w:eastAsia="Arial" w:hAnsi="Arial"/>
                <w:sz w:val="14"/>
                <w:szCs w:val="14"/>
                <w:color w:val="auto"/>
                <w:w w:val="96"/>
              </w:rPr>
              <w:t>LP and 48.Atlas IFCs for NGS LP supporting RNA-Seq and targeted</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amplicon-based sequencing.</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Juno Genotyping IFC</w:t>
            </w:r>
          </w:p>
        </w:tc>
        <w:tc>
          <w:tcPr>
            <w:tcW w:w="4100" w:type="dxa"/>
            <w:vAlign w:val="bottom"/>
          </w:tcPr>
          <w:p>
            <w:pPr>
              <w:ind w:left="20"/>
              <w:spacing w:after="0"/>
              <w:rPr>
                <w:sz w:val="20"/>
                <w:szCs w:val="20"/>
                <w:color w:val="auto"/>
              </w:rPr>
            </w:pPr>
            <w:r>
              <w:rPr>
                <w:rFonts w:ascii="Arial" w:cs="Arial" w:eastAsia="Arial" w:hAnsi="Arial"/>
                <w:sz w:val="14"/>
                <w:szCs w:val="14"/>
                <w:color w:val="auto"/>
                <w:w w:val="97"/>
              </w:rPr>
              <w:t>IFC that incorporates preamplification for genotyping of 96 samples</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and 96 markers in a single run.</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Dynamic Array IFCs</w:t>
            </w:r>
          </w:p>
        </w:tc>
        <w:tc>
          <w:tcPr>
            <w:tcW w:w="4100" w:type="dxa"/>
            <w:vAlign w:val="bottom"/>
          </w:tcPr>
          <w:p>
            <w:pPr>
              <w:ind w:left="20"/>
              <w:spacing w:after="0"/>
              <w:rPr>
                <w:sz w:val="20"/>
                <w:szCs w:val="20"/>
                <w:color w:val="auto"/>
              </w:rPr>
            </w:pPr>
            <w:r>
              <w:rPr>
                <w:rFonts w:ascii="Arial" w:cs="Arial" w:eastAsia="Arial" w:hAnsi="Arial"/>
                <w:sz w:val="14"/>
                <w:szCs w:val="14"/>
                <w:color w:val="auto"/>
                <w:w w:val="98"/>
              </w:rPr>
              <w:t>IFCs based on matrix architecture, allowing users to (i) individually</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1"/>
              </w:rPr>
              <w:t>assay up to 24 samples against up to 192 assays, (ii) individually assay</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4"/>
              </w:rPr>
              <w:t>up to 48 samples against up to 48 assays, (iii) individually assay up to</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2"/>
              </w:rPr>
              <w:t>96 samples against up to 96 assays, or (iv) individually assay up to 192</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samples against up to 24 assays.</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Digital Array IFCs</w:t>
            </w:r>
          </w:p>
        </w:tc>
        <w:tc>
          <w:tcPr>
            <w:tcW w:w="4100" w:type="dxa"/>
            <w:vAlign w:val="bottom"/>
          </w:tcPr>
          <w:p>
            <w:pPr>
              <w:ind w:left="20"/>
              <w:spacing w:after="0"/>
              <w:rPr>
                <w:sz w:val="20"/>
                <w:szCs w:val="20"/>
                <w:color w:val="auto"/>
              </w:rPr>
            </w:pPr>
            <w:r>
              <w:rPr>
                <w:rFonts w:ascii="Arial" w:cs="Arial" w:eastAsia="Arial" w:hAnsi="Arial"/>
                <w:sz w:val="14"/>
                <w:szCs w:val="14"/>
                <w:color w:val="auto"/>
              </w:rPr>
              <w:t>IFCs based on partitioning architecture allowing users to (i)</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2"/>
              </w:rPr>
              <w:t>individually assay up to 12 samples or panels across 765 chambers, or</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w w:val="97"/>
              </w:rPr>
              <w:t>to (ii) individually assay up to 48 samples across 770 chambers per</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IFC.</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Flex Six IFC</w:t>
            </w:r>
          </w:p>
        </w:tc>
        <w:tc>
          <w:tcPr>
            <w:tcW w:w="4100" w:type="dxa"/>
            <w:vAlign w:val="bottom"/>
          </w:tcPr>
          <w:p>
            <w:pPr>
              <w:ind w:left="20"/>
              <w:spacing w:after="0"/>
              <w:rPr>
                <w:sz w:val="20"/>
                <w:szCs w:val="20"/>
                <w:color w:val="auto"/>
              </w:rPr>
            </w:pPr>
            <w:r>
              <w:rPr>
                <w:rFonts w:ascii="Arial" w:cs="Arial" w:eastAsia="Arial" w:hAnsi="Arial"/>
                <w:sz w:val="14"/>
                <w:szCs w:val="14"/>
                <w:color w:val="auto"/>
                <w:w w:val="97"/>
              </w:rPr>
              <w:t>IFC that incorporates six 12 X 12 partitions that can be organized in</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any configuration, in up to six separate experimental runs.</w:t>
            </w:r>
          </w:p>
        </w:tc>
      </w:tr>
      <w:tr>
        <w:trPr>
          <w:trHeight w:val="349"/>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Assays and Reagents:</w:t>
            </w:r>
          </w:p>
        </w:tc>
        <w:tc>
          <w:tcPr>
            <w:tcW w:w="4100" w:type="dxa"/>
            <w:vAlign w:val="bottom"/>
          </w:tcPr>
          <w:p>
            <w:pPr>
              <w:spacing w:after="0"/>
              <w:rPr>
                <w:sz w:val="24"/>
                <w:szCs w:val="24"/>
                <w:color w:val="auto"/>
              </w:rPr>
            </w:pP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Advanta RNA-Seq NGS Library Prep Kit</w:t>
            </w:r>
          </w:p>
        </w:tc>
        <w:tc>
          <w:tcPr>
            <w:tcW w:w="4100" w:type="dxa"/>
            <w:vAlign w:val="bottom"/>
          </w:tcPr>
          <w:p>
            <w:pPr>
              <w:ind w:left="20"/>
              <w:spacing w:after="0"/>
              <w:rPr>
                <w:sz w:val="20"/>
                <w:szCs w:val="20"/>
                <w:color w:val="auto"/>
              </w:rPr>
            </w:pPr>
            <w:r>
              <w:rPr>
                <w:rFonts w:ascii="Arial" w:cs="Arial" w:eastAsia="Arial" w:hAnsi="Arial"/>
                <w:sz w:val="14"/>
                <w:szCs w:val="14"/>
                <w:color w:val="auto"/>
                <w:w w:val="92"/>
              </w:rPr>
              <w:t>Integrated solution for automated NGS library prep. Used with the Juno</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00" w:type="dxa"/>
            <w:vAlign w:val="bottom"/>
          </w:tcPr>
          <w:p>
            <w:pPr>
              <w:ind w:left="20"/>
              <w:spacing w:after="0" w:line="138" w:lineRule="exact"/>
              <w:rPr>
                <w:sz w:val="20"/>
                <w:szCs w:val="20"/>
                <w:color w:val="auto"/>
              </w:rPr>
            </w:pPr>
            <w:r>
              <w:rPr>
                <w:rFonts w:ascii="Arial" w:cs="Arial" w:eastAsia="Arial" w:hAnsi="Arial"/>
                <w:sz w:val="14"/>
                <w:szCs w:val="14"/>
                <w:color w:val="auto"/>
              </w:rPr>
              <w:t>system with the Advanta RNA-Seq reagents and 48.Atlas IFCs,</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supports simultaneous processing of up to 48 total RNA samples.</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Advanta™ Dx SARS-CoV-2 RT-PCR Assay</w:t>
            </w:r>
          </w:p>
        </w:tc>
        <w:tc>
          <w:tcPr>
            <w:tcW w:w="4100" w:type="dxa"/>
            <w:vAlign w:val="bottom"/>
          </w:tcPr>
          <w:p>
            <w:pPr>
              <w:ind w:left="20"/>
              <w:spacing w:after="0"/>
              <w:rPr>
                <w:sz w:val="20"/>
                <w:szCs w:val="20"/>
                <w:color w:val="auto"/>
              </w:rPr>
            </w:pPr>
            <w:r>
              <w:rPr>
                <w:rFonts w:ascii="Arial" w:cs="Arial" w:eastAsia="Arial" w:hAnsi="Arial"/>
                <w:sz w:val="14"/>
                <w:szCs w:val="14"/>
                <w:color w:val="auto"/>
              </w:rPr>
              <w:t>qPCR-based test that takes advantage of Fluidigm proprietary</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w w:val="95"/>
              </w:rPr>
              <w:t>microfluidics technology and the Juno™ and Biomark™ HD systems.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127000</wp:posOffset>
            </wp:positionV>
            <wp:extent cx="71875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9773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7390" cy="6985"/>
                    </a:xfrm>
                    <a:prstGeom prst="rect">
                      <a:avLst/>
                    </a:prstGeom>
                    <a:noFill/>
                  </pic:spPr>
                </pic:pic>
              </a:graphicData>
            </a:graphic>
          </wp:anchor>
        </w:drawing>
      </w:r>
    </w:p>
    <w:p>
      <w:pPr>
        <w:spacing w:after="0" w:line="236"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Sequence detection, sample identification, genotyping, gene expression, and real-time digital PCR Expression</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Genotyping, sample identification, and digital PCR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Library preparation for RNA-seq and targeted NGS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Genotyping, sample identification</w:t>
      </w:r>
    </w:p>
    <w:p>
      <w:pPr>
        <w:spacing w:after="0" w:line="210"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Real-time and end-point PCR; Sequence detection, sample identification, genotyping, gene expression, and real-time digital PCR</w:t>
      </w:r>
    </w:p>
    <w:p>
      <w:pPr>
        <w:spacing w:after="0" w:line="270"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Real-time and end-point digital PCR, Copy Number Variation and variant detection</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Gene Expression and SNP Genotyping</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RNA-seq library preparation for NGS</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Enables qualitative detection of nucleic acid from SARS-CoV-2 in saliva specimens collected without preservatives in a sterile container from individuals suspected of COVID-19 by their healthcare provider; authorized for use with the AZOVA COVID-19 Test Collection Kit for self-collection of saliva specimens at home with or without the supervision of a healthcare provider</w:t>
      </w:r>
    </w:p>
    <w:p>
      <w:pPr>
        <w:sectPr>
          <w:pgSz w:w="11900" w:h="16838" w:orient="portrait"/>
          <w:cols w:equalWidth="0" w:num="2">
            <w:col w:w="7900" w:space="260"/>
            <w:col w:w="3000"/>
          </w:cols>
          <w:pgMar w:left="320" w:top="1099" w:right="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ind w:left="1540"/>
              <w:spacing w:after="0"/>
              <w:rPr>
                <w:sz w:val="20"/>
                <w:szCs w:val="20"/>
                <w:color w:val="auto"/>
              </w:rPr>
            </w:pPr>
            <w:r>
              <w:rPr>
                <w:rFonts w:ascii="Arial" w:cs="Arial" w:eastAsia="Arial" w:hAnsi="Arial"/>
                <w:sz w:val="14"/>
                <w:szCs w:val="14"/>
                <w:b w:val="1"/>
                <w:bCs w:val="1"/>
                <w:color w:val="auto"/>
              </w:rPr>
              <w:t>Product</w:t>
            </w:r>
          </w:p>
        </w:tc>
        <w:tc>
          <w:tcPr>
            <w:tcW w:w="4100" w:type="dxa"/>
            <w:vAlign w:val="bottom"/>
          </w:tcPr>
          <w:p>
            <w:pPr>
              <w:ind w:left="1440"/>
              <w:spacing w:after="0"/>
              <w:rPr>
                <w:sz w:val="20"/>
                <w:szCs w:val="20"/>
                <w:color w:val="auto"/>
              </w:rPr>
            </w:pPr>
            <w:r>
              <w:rPr>
                <w:rFonts w:ascii="Arial" w:cs="Arial" w:eastAsia="Arial" w:hAnsi="Arial"/>
                <w:sz w:val="14"/>
                <w:szCs w:val="14"/>
                <w:b w:val="1"/>
                <w:bCs w:val="1"/>
                <w:color w:val="auto"/>
              </w:rPr>
              <w:t>Product Description</w:t>
            </w:r>
          </w:p>
        </w:tc>
      </w:tr>
      <w:tr>
        <w:trPr>
          <w:trHeight w:val="139"/>
        </w:trPr>
        <w:tc>
          <w:tcPr>
            <w:tcW w:w="358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color w:val="auto"/>
              </w:rPr>
              <w:t>Advanta™ Dx COVID-19 EASE Assay</w:t>
            </w:r>
          </w:p>
        </w:tc>
        <w:tc>
          <w:tcPr>
            <w:tcW w:w="220" w:type="dxa"/>
            <w:vAlign w:val="bottom"/>
          </w:tcPr>
          <w:p>
            <w:pPr>
              <w:spacing w:after="0"/>
              <w:rPr>
                <w:sz w:val="12"/>
                <w:szCs w:val="12"/>
                <w:color w:val="auto"/>
              </w:rPr>
            </w:pPr>
          </w:p>
        </w:tc>
        <w:tc>
          <w:tcPr>
            <w:tcW w:w="410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color w:val="auto"/>
              </w:rPr>
              <w:t>qPCR-based test that takes advantage of Fluidigm proprietary</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microfluidics technology</w:t>
            </w:r>
          </w:p>
        </w:tc>
      </w:tr>
      <w:tr>
        <w:trPr>
          <w:trHeight w:val="636"/>
        </w:trPr>
        <w:tc>
          <w:tcPr>
            <w:tcW w:w="3800" w:type="dxa"/>
            <w:vAlign w:val="bottom"/>
            <w:gridSpan w:val="2"/>
          </w:tcPr>
          <w:p>
            <w:pPr>
              <w:spacing w:after="0"/>
              <w:rPr>
                <w:sz w:val="20"/>
                <w:szCs w:val="20"/>
                <w:color w:val="auto"/>
              </w:rPr>
            </w:pPr>
            <w:r>
              <w:rPr>
                <w:rFonts w:ascii="Arial" w:cs="Arial" w:eastAsia="Arial" w:hAnsi="Arial"/>
                <w:sz w:val="14"/>
                <w:szCs w:val="14"/>
                <w:color w:val="auto"/>
              </w:rPr>
              <w:t>Delta Gene and SNP Type Assays</w:t>
            </w:r>
          </w:p>
        </w:tc>
        <w:tc>
          <w:tcPr>
            <w:tcW w:w="4100" w:type="dxa"/>
            <w:vAlign w:val="bottom"/>
          </w:tcPr>
          <w:p>
            <w:pPr>
              <w:ind w:left="20"/>
              <w:spacing w:after="0"/>
              <w:rPr>
                <w:sz w:val="20"/>
                <w:szCs w:val="20"/>
                <w:color w:val="auto"/>
              </w:rPr>
            </w:pPr>
            <w:r>
              <w:rPr>
                <w:rFonts w:ascii="Arial" w:cs="Arial" w:eastAsia="Arial" w:hAnsi="Arial"/>
                <w:sz w:val="14"/>
                <w:szCs w:val="14"/>
                <w:color w:val="auto"/>
                <w:w w:val="96"/>
              </w:rPr>
              <w:t>Custom designed assays targeted to genomic regions of interest for</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genotyping and gene expression.</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Access Array Target-Specific Primers and Targeted</w:t>
            </w:r>
          </w:p>
        </w:tc>
        <w:tc>
          <w:tcPr>
            <w:tcW w:w="4100" w:type="dxa"/>
            <w:vAlign w:val="bottom"/>
          </w:tcPr>
          <w:p>
            <w:pPr>
              <w:ind w:left="20"/>
              <w:spacing w:after="0"/>
              <w:rPr>
                <w:sz w:val="20"/>
                <w:szCs w:val="20"/>
                <w:color w:val="auto"/>
              </w:rPr>
            </w:pPr>
            <w:r>
              <w:rPr>
                <w:rFonts w:ascii="Arial" w:cs="Arial" w:eastAsia="Arial" w:hAnsi="Arial"/>
                <w:sz w:val="14"/>
                <w:szCs w:val="14"/>
                <w:color w:val="auto"/>
                <w:w w:val="98"/>
              </w:rPr>
              <w:t>Custom designed assays for NGS library preparation using Access</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Sequencing Prep Primers</w:t>
            </w:r>
          </w:p>
        </w:tc>
        <w:tc>
          <w:tcPr>
            <w:tcW w:w="4100" w:type="dxa"/>
            <w:vAlign w:val="bottom"/>
          </w:tcPr>
          <w:p>
            <w:pPr>
              <w:ind w:left="20"/>
              <w:spacing w:after="0"/>
              <w:rPr>
                <w:sz w:val="20"/>
                <w:szCs w:val="20"/>
                <w:color w:val="auto"/>
              </w:rPr>
            </w:pPr>
            <w:r>
              <w:rPr>
                <w:rFonts w:ascii="Arial" w:cs="Arial" w:eastAsia="Arial" w:hAnsi="Arial"/>
                <w:sz w:val="14"/>
                <w:szCs w:val="14"/>
                <w:color w:val="auto"/>
              </w:rPr>
              <w:t>Array chemistry on the Access Array or Juno systems.</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Targeted DNA Seq Library Assays</w:t>
            </w:r>
          </w:p>
        </w:tc>
        <w:tc>
          <w:tcPr>
            <w:tcW w:w="4100" w:type="dxa"/>
            <w:vAlign w:val="bottom"/>
          </w:tcPr>
          <w:p>
            <w:pPr>
              <w:ind w:left="20"/>
              <w:spacing w:after="0"/>
              <w:rPr>
                <w:sz w:val="20"/>
                <w:szCs w:val="20"/>
                <w:color w:val="auto"/>
              </w:rPr>
            </w:pPr>
            <w:r>
              <w:rPr>
                <w:rFonts w:ascii="Arial" w:cs="Arial" w:eastAsia="Arial" w:hAnsi="Arial"/>
                <w:sz w:val="14"/>
                <w:szCs w:val="14"/>
                <w:color w:val="auto"/>
                <w:w w:val="95"/>
              </w:rPr>
              <w:t>Custom designed assays for NGS library preparation using Targeted</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w w:val="94"/>
              </w:rPr>
              <w:t>DNA Sequencing Library Preparation chemistry on the Juno systems.</w:t>
            </w:r>
          </w:p>
        </w:tc>
      </w:tr>
      <w:tr>
        <w:trPr>
          <w:trHeight w:val="349"/>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Single Cell Microfluidics</w:t>
            </w:r>
          </w:p>
        </w:tc>
        <w:tc>
          <w:tcPr>
            <w:tcW w:w="4100" w:type="dxa"/>
            <w:vAlign w:val="bottom"/>
          </w:tcPr>
          <w:p>
            <w:pPr>
              <w:spacing w:after="0"/>
              <w:rPr>
                <w:sz w:val="24"/>
                <w:szCs w:val="24"/>
                <w:color w:val="auto"/>
              </w:rPr>
            </w:pPr>
          </w:p>
        </w:tc>
      </w:tr>
      <w:tr>
        <w:trPr>
          <w:trHeight w:val="349"/>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Preparatory Instrument:</w:t>
            </w:r>
          </w:p>
        </w:tc>
        <w:tc>
          <w:tcPr>
            <w:tcW w:w="4100" w:type="dxa"/>
            <w:vAlign w:val="bottom"/>
          </w:tcPr>
          <w:p>
            <w:pPr>
              <w:spacing w:after="0"/>
              <w:rPr>
                <w:sz w:val="24"/>
                <w:szCs w:val="24"/>
                <w:color w:val="auto"/>
              </w:rPr>
            </w:pPr>
          </w:p>
        </w:tc>
      </w:tr>
      <w:tr>
        <w:trPr>
          <w:trHeight w:val="180"/>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C1 System</w:t>
            </w:r>
          </w:p>
        </w:tc>
        <w:tc>
          <w:tcPr>
            <w:tcW w:w="4100" w:type="dxa"/>
            <w:vAlign w:val="bottom"/>
          </w:tcPr>
          <w:p>
            <w:pPr>
              <w:ind w:left="20"/>
              <w:spacing w:after="0"/>
              <w:rPr>
                <w:sz w:val="20"/>
                <w:szCs w:val="20"/>
                <w:color w:val="auto"/>
              </w:rPr>
            </w:pPr>
            <w:r>
              <w:rPr>
                <w:rFonts w:ascii="Arial" w:cs="Arial" w:eastAsia="Arial" w:hAnsi="Arial"/>
                <w:sz w:val="14"/>
                <w:szCs w:val="14"/>
                <w:color w:val="auto"/>
              </w:rPr>
              <w:t>Sample preparation system that rapidly and reliably isolates and</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Arial" w:cs="Arial" w:eastAsia="Arial" w:hAnsi="Arial"/>
                <w:sz w:val="14"/>
                <w:szCs w:val="14"/>
                <w:color w:val="auto"/>
              </w:rPr>
              <w:t>processes individual cells for genomic analysis.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Preparatory Analytical Instruments:</w:t>
      </w:r>
    </w:p>
    <w:p>
      <w:pPr>
        <w:spacing w:after="0" w:line="54" w:lineRule="exact"/>
        <w:rPr>
          <w:sz w:val="20"/>
          <w:szCs w:val="20"/>
          <w:color w:val="auto"/>
        </w:rPr>
      </w:pPr>
    </w:p>
    <w:p>
      <w:pPr>
        <w:spacing w:after="0"/>
        <w:tabs>
          <w:tab w:leader="none" w:pos="3800" w:val="left"/>
        </w:tabs>
        <w:rPr>
          <w:sz w:val="20"/>
          <w:szCs w:val="20"/>
          <w:color w:val="auto"/>
        </w:rPr>
      </w:pPr>
      <w:r>
        <w:rPr>
          <w:rFonts w:ascii="Arial" w:cs="Arial" w:eastAsia="Arial" w:hAnsi="Arial"/>
          <w:sz w:val="14"/>
          <w:szCs w:val="14"/>
          <w:color w:val="auto"/>
        </w:rPr>
        <w:t>C1 IFCs</w:t>
      </w:r>
      <w:r>
        <w:rPr>
          <w:sz w:val="20"/>
          <w:szCs w:val="20"/>
          <w:color w:val="auto"/>
        </w:rPr>
        <w:tab/>
      </w:r>
      <w:r>
        <w:rPr>
          <w:rFonts w:ascii="Arial" w:cs="Arial" w:eastAsia="Arial" w:hAnsi="Arial"/>
          <w:sz w:val="12"/>
          <w:szCs w:val="12"/>
          <w:color w:val="auto"/>
        </w:rPr>
        <w:t>IFCs that capture up to 800 cells between 5-25 microns in diameter and</w:t>
      </w:r>
    </w:p>
    <w:p>
      <w:pPr>
        <w:ind w:left="3820"/>
        <w:spacing w:after="0" w:line="221" w:lineRule="auto"/>
        <w:rPr>
          <w:sz w:val="20"/>
          <w:szCs w:val="20"/>
          <w:color w:val="auto"/>
        </w:rPr>
      </w:pPr>
      <w:r>
        <w:rPr>
          <w:rFonts w:ascii="Arial" w:cs="Arial" w:eastAsia="Arial" w:hAnsi="Arial"/>
          <w:sz w:val="13"/>
          <w:szCs w:val="13"/>
          <w:color w:val="auto"/>
        </w:rPr>
        <w:t>then automatically process the cells for a variety of genomic analysis</w:t>
      </w:r>
    </w:p>
    <w:p>
      <w:pPr>
        <w:ind w:left="3820"/>
        <w:spacing w:after="0"/>
        <w:rPr>
          <w:sz w:val="20"/>
          <w:szCs w:val="20"/>
          <w:color w:val="auto"/>
        </w:rPr>
      </w:pPr>
      <w:r>
        <w:rPr>
          <w:rFonts w:ascii="Arial" w:cs="Arial" w:eastAsia="Arial" w:hAnsi="Arial"/>
          <w:sz w:val="14"/>
          <w:szCs w:val="14"/>
          <w:color w:val="auto"/>
        </w:rPr>
        <w:t>using thermal and pneumatic controls at nanoliter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127000</wp:posOffset>
            </wp:positionV>
            <wp:extent cx="71875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9773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7390" cy="6985"/>
                    </a:xfrm>
                    <a:prstGeom prst="rect">
                      <a:avLst/>
                    </a:prstGeom>
                    <a:noFill/>
                  </pic:spPr>
                </pic:pic>
              </a:graphicData>
            </a:graphic>
          </wp:anchor>
        </w:drawing>
      </w:r>
    </w:p>
    <w:p>
      <w:pPr>
        <w:spacing w:after="0" w:line="14"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Enables qualitative detection of nucleic acid from SARS-CoV-2 in nasopharyngeal swab, oropharyngeal swab, mid-turbinate nasal swab, and anterior nasal swab specimens from individuals suspected of COVID-19 by their healthcare provider</w:t>
      </w:r>
    </w:p>
    <w:p>
      <w:pPr>
        <w:spacing w:after="0" w:line="47"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Gene Expression, Single-Cell Targeted Gene Expression, SNP Genotyping</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Library preparation for targeted NGS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Library preparation for targeted 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48" w:lineRule="auto"/>
        <w:rPr>
          <w:sz w:val="20"/>
          <w:szCs w:val="20"/>
          <w:color w:val="auto"/>
        </w:rPr>
      </w:pPr>
      <w:r>
        <w:rPr>
          <w:rFonts w:ascii="Arial" w:cs="Arial" w:eastAsia="Arial" w:hAnsi="Arial"/>
          <w:sz w:val="12"/>
          <w:szCs w:val="12"/>
          <w:color w:val="auto"/>
        </w:rPr>
        <w:t>Single-Cell NGS library preparation for RNA sequencing including full-length, end-counting, and total RNA applications; single-cell targeted gene expression by real-time PCR including microRNA analysis; single-cell epigenetics and multi-omic applications including ATAC-seq and REAP-Seq (RNA and Protein); single-cell NGS library preparation for DNA sequencing including targeted, whole exome and whole genome applications</w:t>
      </w:r>
    </w:p>
    <w:p>
      <w:pPr>
        <w:spacing w:after="0" w:line="200" w:lineRule="exact"/>
        <w:rPr>
          <w:sz w:val="20"/>
          <w:szCs w:val="20"/>
          <w:color w:val="auto"/>
        </w:rPr>
      </w:pPr>
    </w:p>
    <w:p>
      <w:pPr>
        <w:spacing w:after="0" w:line="222" w:lineRule="exact"/>
        <w:rPr>
          <w:sz w:val="20"/>
          <w:szCs w:val="20"/>
          <w:color w:val="auto"/>
        </w:rPr>
      </w:pPr>
    </w:p>
    <w:p>
      <w:pPr>
        <w:ind w:right="100"/>
        <w:spacing w:after="0" w:line="248" w:lineRule="auto"/>
        <w:rPr>
          <w:sz w:val="20"/>
          <w:szCs w:val="20"/>
          <w:color w:val="auto"/>
        </w:rPr>
      </w:pPr>
      <w:r>
        <w:rPr>
          <w:rFonts w:ascii="Arial" w:cs="Arial" w:eastAsia="Arial" w:hAnsi="Arial"/>
          <w:sz w:val="12"/>
          <w:szCs w:val="12"/>
          <w:color w:val="auto"/>
        </w:rPr>
        <w:t>Single-Cell NGS library preparation for RNA sequencing including full-length, end-counting, and total RNA applications; single-cell targeted gene expression by real-time PCR including microRNA analysis; single-cell epigenetics and multi-omic applications including ATAC-seq and REAP-Seq (RNA and Protein); single-cell NGS library preparation for DNA sequencing including targeted, whole exome and whole genome applications</w:t>
      </w:r>
    </w:p>
    <w:p>
      <w:pPr>
        <w:sectPr>
          <w:pgSz w:w="11900" w:h="16838" w:orient="portrait"/>
          <w:cols w:equalWidth="0" w:num="2">
            <w:col w:w="7900" w:space="260"/>
            <w:col w:w="3040"/>
          </w:cols>
          <w:pgMar w:left="320" w:top="1099" w:right="37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Technology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Multi-Layer Soft Lithography</w:t>
      </w:r>
    </w:p>
    <w:p>
      <w:pPr>
        <w:spacing w:after="0" w:line="114" w:lineRule="exact"/>
        <w:rPr>
          <w:sz w:val="20"/>
          <w:szCs w:val="20"/>
          <w:color w:val="auto"/>
        </w:rPr>
      </w:pPr>
    </w:p>
    <w:p>
      <w:pPr>
        <w:jc w:val="both"/>
        <w:ind w:right="60" w:firstLine="254"/>
        <w:spacing w:after="0" w:line="266" w:lineRule="auto"/>
        <w:rPr>
          <w:sz w:val="20"/>
          <w:szCs w:val="20"/>
          <w:color w:val="auto"/>
        </w:rPr>
      </w:pPr>
      <w:r>
        <w:rPr>
          <w:rFonts w:ascii="Arial" w:cs="Arial" w:eastAsia="Arial" w:hAnsi="Arial"/>
          <w:sz w:val="14"/>
          <w:szCs w:val="14"/>
          <w:color w:val="auto"/>
        </w:rPr>
        <w:t>Our IFCs are manufactured using multi-layer soft lithography (MSL) technology to create valves, chambers, channels and other fluidic components on our IFCs that allow nanoliter quantities of fluids to be precisely manipulated within the IFC. We have developed commercial manufacturing processes to fabricate valves, channels, vias, and chambers with dimensions in the ten to 100 micron range, at high density and with high yields.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Integrated Fluidic Circuits</w:t>
      </w:r>
    </w:p>
    <w:p>
      <w:pPr>
        <w:spacing w:after="0" w:line="125" w:lineRule="exact"/>
        <w:rPr>
          <w:sz w:val="20"/>
          <w:szCs w:val="20"/>
          <w:color w:val="auto"/>
        </w:rPr>
      </w:pPr>
    </w:p>
    <w:p>
      <w:pPr>
        <w:ind w:right="160" w:firstLine="254"/>
        <w:spacing w:after="0" w:line="318" w:lineRule="auto"/>
        <w:rPr>
          <w:sz w:val="20"/>
          <w:szCs w:val="20"/>
          <w:color w:val="auto"/>
        </w:rPr>
      </w:pPr>
      <w:r>
        <w:rPr>
          <w:rFonts w:ascii="Arial" w:cs="Arial" w:eastAsia="Arial" w:hAnsi="Arial"/>
          <w:sz w:val="12"/>
          <w:szCs w:val="12"/>
          <w:color w:val="auto"/>
        </w:rPr>
        <w:t>Our IFCs incorporate several different types of technology that together enable us to use MSL technology to rapidly design and deploy new microfluidic applications.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 Our IFCs are built on specially designed input frames that are compatible with most commonly used laboratory systems.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Instrumentation and Software</w:t>
      </w:r>
    </w:p>
    <w:p>
      <w:pPr>
        <w:spacing w:after="0" w:line="125" w:lineRule="exact"/>
        <w:rPr>
          <w:sz w:val="20"/>
          <w:szCs w:val="20"/>
          <w:color w:val="auto"/>
        </w:rPr>
      </w:pPr>
    </w:p>
    <w:p>
      <w:pPr>
        <w:ind w:right="40" w:firstLine="254"/>
        <w:spacing w:after="0" w:line="258" w:lineRule="auto"/>
        <w:rPr>
          <w:sz w:val="20"/>
          <w:szCs w:val="20"/>
          <w:color w:val="auto"/>
        </w:rPr>
      </w:pPr>
      <w:r>
        <w:rPr>
          <w:rFonts w:ascii="Arial" w:cs="Arial" w:eastAsia="Arial" w:hAnsi="Arial"/>
          <w:sz w:val="14"/>
          <w:szCs w:val="14"/>
          <w:color w:val="auto"/>
        </w:rPr>
        <w:t>Our mass cytometry instrumentation technology includes a custom-designed inductively coupled plasma ion source, ion-optical and vacuum systems, and instrument control electronics. With our CyTOF systems, individual cells are atomized, ionized, and extracted. A time-of-flight mass analyzer separates atomic ions of different mass-to-charge ratios, providing information on temporal distribution of ions. The Hyperion Imaging System combines mass cytometry technology with imaging capability to enable simultaneous interrogation of up to 38 protein markers in the spatial context of the tissue microenvironment. Our systems have the ability to utilize up to 135 channels to detect additional parameters to meet future market needs. Lastly, our Flow Conductor sample preparation system provides sample preparation capabilities for both flow and mass cytometry assays. The Flow Conductor system can process up to 100 antibodies at a time and simultaneously stain and prepare up to 18 specimens.</w:t>
      </w:r>
    </w:p>
    <w:p>
      <w:pPr>
        <w:spacing w:after="0" w:line="84" w:lineRule="exact"/>
        <w:rPr>
          <w:sz w:val="20"/>
          <w:szCs w:val="20"/>
          <w:color w:val="auto"/>
        </w:rPr>
      </w:pPr>
    </w:p>
    <w:p>
      <w:pPr>
        <w:ind w:firstLine="254"/>
        <w:spacing w:after="0" w:line="259" w:lineRule="auto"/>
        <w:rPr>
          <w:sz w:val="20"/>
          <w:szCs w:val="20"/>
          <w:color w:val="auto"/>
        </w:rPr>
      </w:pPr>
      <w:r>
        <w:rPr>
          <w:rFonts w:ascii="Arial" w:cs="Arial" w:eastAsia="Arial" w:hAnsi="Arial"/>
          <w:sz w:val="14"/>
          <w:szCs w:val="14"/>
          <w:color w:val="auto"/>
        </w:rPr>
        <w:t>Our Biomark HD system includes our custom thermal cycler, the FC1 cycler, and a sophisticated fluorescence imaging system. Our EP1 instrument is a fluorescence reader designed for end-point imaging, suitable for genotyping and digital PCR applications. Our C1 system combines the hardware elements of our IFC controllers and FC1 cycler with sophisticated scripting and protocol control software to enable automation of single-cell capture and preparation for subsequent analysis. Certain capabilities of the C1 system have been used to create our Juno system, which serves as a universal controller and cycler for our Dynamic Array IFCs. Our Polaris system combines the capabilities of all these instruments by incorporating thermal cycling, IFC control, environmental regulation, and imaging.</w:t>
      </w:r>
    </w:p>
    <w:p>
      <w:pPr>
        <w:spacing w:after="0" w:line="95" w:lineRule="exact"/>
        <w:rPr>
          <w:sz w:val="20"/>
          <w:szCs w:val="20"/>
          <w:color w:val="auto"/>
        </w:rPr>
      </w:pPr>
    </w:p>
    <w:p>
      <w:pPr>
        <w:ind w:right="480" w:firstLine="254"/>
        <w:spacing w:after="0" w:line="367" w:lineRule="auto"/>
        <w:rPr>
          <w:sz w:val="20"/>
          <w:szCs w:val="20"/>
          <w:color w:val="auto"/>
        </w:rPr>
      </w:pPr>
      <w:r>
        <w:rPr>
          <w:rFonts w:ascii="Arial" w:cs="Arial" w:eastAsia="Arial" w:hAnsi="Arial"/>
          <w:sz w:val="12"/>
          <w:szCs w:val="12"/>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w:t>
      </w:r>
    </w:p>
    <w:p>
      <w:pPr>
        <w:spacing w:after="0" w:line="33" w:lineRule="exact"/>
        <w:rPr>
          <w:sz w:val="20"/>
          <w:szCs w:val="20"/>
          <w:color w:val="auto"/>
        </w:rPr>
      </w:pPr>
    </w:p>
    <w:p>
      <w:pPr>
        <w:ind w:right="100" w:firstLine="254"/>
        <w:spacing w:after="0" w:line="312" w:lineRule="auto"/>
        <w:rPr>
          <w:sz w:val="20"/>
          <w:szCs w:val="20"/>
          <w:color w:val="auto"/>
        </w:rPr>
      </w:pPr>
      <w:r>
        <w:rPr>
          <w:rFonts w:ascii="Arial" w:cs="Arial" w:eastAsia="Arial" w:hAnsi="Arial"/>
          <w:sz w:val="12"/>
          <w:szCs w:val="12"/>
          <w:color w:val="auto"/>
        </w:rPr>
        <w:t>We also offer specialized software to manage and analyze the unusually large amounts of data produced by our systems. We offer Fluidigm Cytobank, our cloud-based platform of analytical tools, FCS Express7 Flow, and Maxpar Pathsetter data analysis packages for use with the CyTOF systems. For our Imaging Mass Cytometry platform, Hyperion, we offer various state of the art software packages to enable data analysis from basic to translational research: CyTOF Software 7.0, MCD Viewer, histoCAT, Visiopharm Phenomap and Indica Lab Halo. Our bioinformatic toolset, the Singular software, facilitates the analysis and visualization of single-cell gene expression data. More recently, we extended the scope of the toolset to include DNA analysis tools. We also developed the C1 Script Builder software to enable customers to take full advantage of the flexibility of C1 IFC architecture by allowing them to program their own control scripts for the C1 system.</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Assays and Reagents</w:t>
      </w:r>
    </w:p>
    <w:p>
      <w:pPr>
        <w:spacing w:after="0" w:line="114" w:lineRule="exact"/>
        <w:rPr>
          <w:sz w:val="20"/>
          <w:szCs w:val="20"/>
          <w:color w:val="auto"/>
        </w:rPr>
      </w:pPr>
    </w:p>
    <w:p>
      <w:pPr>
        <w:ind w:right="80" w:firstLine="254"/>
        <w:spacing w:after="0" w:line="266" w:lineRule="auto"/>
        <w:rPr>
          <w:sz w:val="20"/>
          <w:szCs w:val="20"/>
          <w:color w:val="auto"/>
        </w:rPr>
      </w:pPr>
      <w:r>
        <w:rPr>
          <w:rFonts w:ascii="Arial" w:cs="Arial" w:eastAsia="Arial" w:hAnsi="Arial"/>
          <w:sz w:val="14"/>
          <w:szCs w:val="14"/>
          <w:color w:val="auto"/>
        </w:rPr>
        <w:t>We manufacture over 800 metal-conjugated antibodies for use with our mass cytometry and Imaging Mass Cytometry instruments to allow detection of up to 48 protein targets simultaneously in a single cell for a total of more than 50 detected cellular parameters. Our metal-conjugated antibodies are manufactured using metal-chelating polymers, which are produced using proprietary polymerization processes and subsequent post-polymerization modifications.</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0" w:name="page11"/>
    <w:bookmarkEnd w:id="10"/>
    <w:p>
      <w:pPr>
        <w:ind w:right="100" w:firstLine="254"/>
        <w:spacing w:after="0" w:line="261" w:lineRule="auto"/>
        <w:rPr>
          <w:sz w:val="20"/>
          <w:szCs w:val="20"/>
          <w:color w:val="auto"/>
        </w:rPr>
      </w:pPr>
      <w:r>
        <w:rPr>
          <w:rFonts w:ascii="Arial" w:cs="Arial" w:eastAsia="Arial" w:hAnsi="Arial"/>
          <w:sz w:val="14"/>
          <w:szCs w:val="14"/>
          <w:color w:val="auto"/>
        </w:rPr>
        <w:t>Our Delta Gene and single nucleotide polymorphism type (SNP Type) assay products consist of assay design and custom content delivery systems for gene expression and genotyping, respectively. These offerings provide low-cost alternatives to other available chemistries and allow customers to use IFCs in more flexible ways. PCR assay reagents need to be specific to the gene targets of interest but the process of designing a set of assays may delay the implementation experiments or require the use of expensive pre-designed assays. We have developed a process to provide customers with validated assays for their targets of interest.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Genomics</w:t>
      </w:r>
    </w:p>
    <w:p>
      <w:pPr>
        <w:spacing w:after="0" w:line="118" w:lineRule="exact"/>
        <w:rPr>
          <w:sz w:val="20"/>
          <w:szCs w:val="20"/>
          <w:color w:val="auto"/>
        </w:rPr>
      </w:pPr>
    </w:p>
    <w:p>
      <w:pPr>
        <w:ind w:right="60" w:firstLine="254"/>
        <w:spacing w:after="0" w:line="296" w:lineRule="auto"/>
        <w:rPr>
          <w:sz w:val="20"/>
          <w:szCs w:val="20"/>
          <w:color w:val="auto"/>
        </w:rPr>
      </w:pPr>
      <w:r>
        <w:rPr>
          <w:rFonts w:ascii="Arial" w:cs="Arial" w:eastAsia="Arial" w:hAnsi="Arial"/>
          <w:sz w:val="13"/>
          <w:szCs w:val="13"/>
          <w:color w:val="auto"/>
        </w:rPr>
        <w:t>One primary area of focus within life science research is genetic analysis, the study of genes and their functions. The hereditary material or nucleic acid of an organism is often referred to as its genome, the protein-encoding regions of which are commonly known as genes. Analysis of variations in genomes, genes and gene activity in and between organisms can provide valuable insight into their health and functioning. Single-cell genomics is the study of the sequence and expression of genes and their ultimate functions at the individual cell level.</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are several forms of genetic analysis in use today, including genotyping, gene expression analysis and NGS:</w:t>
      </w:r>
    </w:p>
    <w:p>
      <w:pPr>
        <w:spacing w:after="0" w:line="136" w:lineRule="exact"/>
        <w:rPr>
          <w:sz w:val="20"/>
          <w:szCs w:val="20"/>
          <w:color w:val="auto"/>
        </w:rPr>
      </w:pPr>
    </w:p>
    <w:p>
      <w:pPr>
        <w:ind w:left="520" w:right="40" w:hanging="261"/>
        <w:spacing w:after="0" w:line="266"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Genotyping involves the analysis of DNA variations across individual genomes. There are multiple forms of variants, including single nucleotide polymorphism (SNPs), insertion-deletions and copy number variation. A common application of genotyping focuses on analyzing SNPs to determine whether a SNP or group of SNPs are associated with a particular genetic trait, such as propensity for a disease.</w:t>
      </w:r>
    </w:p>
    <w:p>
      <w:pPr>
        <w:spacing w:after="0" w:line="100" w:lineRule="exact"/>
        <w:rPr>
          <w:rFonts w:ascii="Arial" w:cs="Arial" w:eastAsia="Arial" w:hAnsi="Arial"/>
          <w:sz w:val="14"/>
          <w:szCs w:val="14"/>
          <w:color w:val="auto"/>
        </w:rPr>
      </w:pPr>
    </w:p>
    <w:p>
      <w:pPr>
        <w:ind w:left="520" w:right="40" w:hanging="261"/>
        <w:spacing w:after="0" w:line="280"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Gene expression analysis involves measuring the levels of particular ribonucleic acid sequences known as messenger RNAs (mRNAs), which have been transcribed from genes. Determining these levels is important because mRNAs are often translated by the cell into proteins and may affect the activity of the cell or the larger organism.</w:t>
      </w:r>
    </w:p>
    <w:p>
      <w:pPr>
        <w:spacing w:after="0" w:line="90" w:lineRule="exact"/>
        <w:rPr>
          <w:rFonts w:ascii="Arial" w:cs="Arial" w:eastAsia="Arial" w:hAnsi="Arial"/>
          <w:sz w:val="14"/>
          <w:szCs w:val="14"/>
          <w:color w:val="auto"/>
        </w:rPr>
      </w:pPr>
    </w:p>
    <w:p>
      <w:pPr>
        <w:ind w:left="520" w:right="40" w:hanging="261"/>
        <w:spacing w:after="0" w:line="266"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NGS is a process by which researchers are able to determine the particular order of nucleotide bases that comprise all or a portion of a particular gene or genome (in the case of DNA sequencing) or gene transcript or sample transcriptome (in the case of RNA sequencing). NGS is routinely used for studies across the research continuum including basic research, biomarker discovery, translational research, and clinical research.</w:t>
      </w:r>
    </w:p>
    <w:p>
      <w:pPr>
        <w:spacing w:after="0" w:line="90" w:lineRule="exact"/>
        <w:rPr>
          <w:sz w:val="20"/>
          <w:szCs w:val="20"/>
          <w:color w:val="auto"/>
        </w:rPr>
      </w:pPr>
    </w:p>
    <w:p>
      <w:pPr>
        <w:ind w:right="200" w:firstLine="254"/>
        <w:spacing w:after="0" w:line="266" w:lineRule="auto"/>
        <w:rPr>
          <w:sz w:val="20"/>
          <w:szCs w:val="20"/>
          <w:color w:val="auto"/>
        </w:rPr>
      </w:pPr>
      <w:r>
        <w:rPr>
          <w:rFonts w:ascii="Arial" w:cs="Arial" w:eastAsia="Arial" w:hAnsi="Arial"/>
          <w:sz w:val="14"/>
          <w:szCs w:val="14"/>
          <w:color w:val="auto"/>
        </w:rPr>
        <w:t>Gene expression and genotyping are studied through a combination of various technology platforms that characterize gene function and genetic variation. These platforms often rely on PCR amplification to generate exponential copies of a DNA sample to provide sufficient signal to facilitate detection. Real-time quantitative PCR (real-time qPCR) is a more advanced form of PCR that makes it possible to quantify the number of copies of DNA present in a sample.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Proteomics</w:t>
      </w:r>
    </w:p>
    <w:p>
      <w:pPr>
        <w:spacing w:after="0" w:line="118" w:lineRule="exact"/>
        <w:rPr>
          <w:sz w:val="20"/>
          <w:szCs w:val="20"/>
          <w:color w:val="auto"/>
        </w:rPr>
      </w:pPr>
    </w:p>
    <w:p>
      <w:pPr>
        <w:jc w:val="both"/>
        <w:ind w:firstLine="254"/>
        <w:spacing w:after="0" w:line="261" w:lineRule="auto"/>
        <w:rPr>
          <w:sz w:val="20"/>
          <w:szCs w:val="20"/>
          <w:color w:val="auto"/>
        </w:rPr>
      </w:pPr>
      <w:r>
        <w:rPr>
          <w:rFonts w:ascii="Arial" w:cs="Arial" w:eastAsia="Arial" w:hAnsi="Arial"/>
          <w:sz w:val="14"/>
          <w:szCs w:val="14"/>
          <w:color w:val="auto"/>
        </w:rPr>
        <w:t>Another focus within life science research is single cell protein analysis, the study of proteins and their structures and functions. Proteins perform a vast array of functions within living organisms, including catalyzing metabolic reactions, replicating DNA, signaling response to stimuli and transporting molecules from one location to another. The proteome varies and is dynamic. Every cell in an individual organism has the same set of genes, but the set of proteins produced in different tissues differ from one another and are dependent on gene expression. Protein analysis is required to profile and understand cellular function as well as the interaction in tissues and other complex microenvironments.</w:t>
      </w:r>
    </w:p>
    <w:p>
      <w:pPr>
        <w:spacing w:after="0" w:line="94" w:lineRule="exact"/>
        <w:rPr>
          <w:sz w:val="20"/>
          <w:szCs w:val="20"/>
          <w:color w:val="auto"/>
        </w:rPr>
      </w:pPr>
    </w:p>
    <w:p>
      <w:pPr>
        <w:ind w:right="80" w:firstLine="254"/>
        <w:spacing w:after="0" w:line="280" w:lineRule="auto"/>
        <w:rPr>
          <w:sz w:val="20"/>
          <w:szCs w:val="20"/>
          <w:color w:val="auto"/>
        </w:rPr>
      </w:pPr>
      <w:r>
        <w:rPr>
          <w:rFonts w:ascii="Arial" w:cs="Arial" w:eastAsia="Arial" w:hAnsi="Arial"/>
          <w:sz w:val="14"/>
          <w:szCs w:val="14"/>
          <w:color w:val="auto"/>
        </w:rPr>
        <w:t>There are several forms of high-throughput protein analysis in use today, including mass spectrometry, traditional flow cytometry, immunohistochemistry and both suspension and Imaging Mass Cytometry.</w:t>
      </w:r>
    </w:p>
    <w:p>
      <w:pPr>
        <w:spacing w:after="0" w:line="90" w:lineRule="exact"/>
        <w:rPr>
          <w:sz w:val="20"/>
          <w:szCs w:val="20"/>
          <w:color w:val="auto"/>
        </w:rPr>
      </w:pPr>
    </w:p>
    <w:p>
      <w:pPr>
        <w:ind w:left="520" w:right="180" w:hanging="261"/>
        <w:spacing w:after="0" w:line="26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Mass spectrometry is an analytical chemistry technique that measures the mass-to-charge ratio in molecules using external electric and magnetic fields. Mass spectrometry techniques are limited to bulk samples and provide an understanding of global protein dynamics on a tissue or organism level, but do not, by themselves, enable researchers to analyze data at a single cell level.</w:t>
      </w:r>
    </w:p>
    <w:p>
      <w:pPr>
        <w:spacing w:after="0" w:line="100" w:lineRule="exact"/>
        <w:rPr>
          <w:rFonts w:ascii="Arial" w:cs="Arial" w:eastAsia="Arial" w:hAnsi="Arial"/>
          <w:sz w:val="14"/>
          <w:szCs w:val="14"/>
          <w:color w:val="auto"/>
        </w:rPr>
      </w:pPr>
    </w:p>
    <w:p>
      <w:pPr>
        <w:ind w:left="520" w:right="20" w:hanging="261"/>
        <w:spacing w:after="0" w:line="318" w:lineRule="auto"/>
        <w:tabs>
          <w:tab w:leader="none" w:pos="516" w:val="left"/>
        </w:tabs>
        <w:numPr>
          <w:ilvl w:val="0"/>
          <w:numId w:val="6"/>
        </w:numPr>
        <w:rPr>
          <w:rFonts w:ascii="Arial" w:cs="Arial" w:eastAsia="Arial" w:hAnsi="Arial"/>
          <w:sz w:val="12"/>
          <w:szCs w:val="12"/>
          <w:color w:val="auto"/>
        </w:rPr>
      </w:pPr>
      <w:r>
        <w:rPr>
          <w:rFonts w:ascii="Arial" w:cs="Arial" w:eastAsia="Arial" w:hAnsi="Arial"/>
          <w:sz w:val="12"/>
          <w:szCs w:val="12"/>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26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11" w:name="page12"/>
    <w:bookmarkEnd w:id="11"/>
    <w:p>
      <w:pPr>
        <w:ind w:left="520" w:right="60" w:hanging="261"/>
        <w:spacing w:after="0" w:line="259"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Immunohistochemistry is a method by which cells in a tissue section are stained with antibodies and then imaged with a conventional or fluorescent microscope. Antibodies selected to bind to proteins of interest can be conjugated with either chromogenic or fluorescent labels, allowing cellular proteins to be visualized in spatial context. Immunohistochemistry is used broadly throughout the life sciences industry, and in clinical research to better understand the characteristics and relationship of cancerous versus normal cells in biopsy tissue. In general, the number of simultaneously imageable proteins is less than five, with researchers only able to achieve a higher-parameter resolution using serial sections (several adjacent sections of the same tissue) or other highly laborious, more serial staining methods.</w:t>
      </w:r>
    </w:p>
    <w:p>
      <w:pPr>
        <w:spacing w:after="0" w:line="105" w:lineRule="exact"/>
        <w:rPr>
          <w:rFonts w:ascii="Arial" w:cs="Arial" w:eastAsia="Arial" w:hAnsi="Arial"/>
          <w:sz w:val="14"/>
          <w:szCs w:val="14"/>
          <w:color w:val="auto"/>
        </w:rPr>
      </w:pPr>
    </w:p>
    <w:p>
      <w:pPr>
        <w:ind w:left="520" w:right="140" w:hanging="261"/>
        <w:spacing w:after="0" w:line="26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Suspension mass cytometry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as well as providing superior data quality.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04" w:lineRule="exact"/>
        <w:rPr>
          <w:rFonts w:ascii="Arial" w:cs="Arial" w:eastAsia="Arial" w:hAnsi="Arial"/>
          <w:sz w:val="14"/>
          <w:szCs w:val="14"/>
          <w:color w:val="auto"/>
        </w:rPr>
      </w:pPr>
    </w:p>
    <w:p>
      <w:pPr>
        <w:ind w:left="520" w:right="320" w:hanging="261"/>
        <w:spacing w:after="0" w:line="26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Imaging mass cytometry is similar to immunohistochemistry, but is also based primarily on antibodies using heavy metal isotope labels rather than fluorescent or chromogenic labels for detection of proteins. This method enables a significant expansion of the number of parameters simultaneously analyzed per tissue section rather than in adjacent sections or via serial staining protocols.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29" w:lineRule="exact"/>
        <w:rPr>
          <w:sz w:val="20"/>
          <w:szCs w:val="20"/>
          <w:color w:val="auto"/>
        </w:rPr>
      </w:pPr>
    </w:p>
    <w:p>
      <w:pPr>
        <w:ind w:right="300" w:firstLine="254"/>
        <w:spacing w:after="0" w:line="259" w:lineRule="auto"/>
        <w:rPr>
          <w:sz w:val="20"/>
          <w:szCs w:val="20"/>
          <w:color w:val="auto"/>
        </w:rPr>
      </w:pPr>
      <w:r>
        <w:rPr>
          <w:rFonts w:ascii="Arial" w:cs="Arial" w:eastAsia="Arial" w:hAnsi="Arial"/>
          <w:sz w:val="14"/>
          <w:szCs w:val="14"/>
          <w:color w:val="auto"/>
        </w:rPr>
        <w:t>With the exception of our Advanta™ Dx SARS-CoV-2 RT-PCR Assay (Rx Only), which has been authorized for in vitro diagnostic use by clinical laboratories under Emergency Use Authorizations (EUAs) in the United States and CE-IVD in Europe, and our Advanta™ Dx COVID-19 EASE Assay, which has been authorized for in vitro diagnostic use by clinical laboratories under Emergency Use Authorizations (EUAs) in the United States, being performed on our instruments, we sell our instruments for research use only to leading academic research institutions, translational research and medicine centers, cancer centers, clinical research laboratories, and biopharmaceutical, biotechnology, and plant and animal research companies. No single customer represented more than 10% of our total revenue for 2021, 2020, or 2019.</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 Sales, Service and Support</w:t>
      </w:r>
    </w:p>
    <w:p>
      <w:pPr>
        <w:spacing w:after="0" w:line="118" w:lineRule="exact"/>
        <w:rPr>
          <w:sz w:val="20"/>
          <w:szCs w:val="20"/>
          <w:color w:val="auto"/>
        </w:rPr>
      </w:pPr>
    </w:p>
    <w:p>
      <w:pPr>
        <w:ind w:firstLine="254"/>
        <w:spacing w:after="0" w:line="331" w:lineRule="auto"/>
        <w:rPr>
          <w:sz w:val="20"/>
          <w:szCs w:val="20"/>
          <w:color w:val="auto"/>
        </w:rPr>
      </w:pPr>
      <w:r>
        <w:rPr>
          <w:rFonts w:ascii="Arial" w:cs="Arial" w:eastAsia="Arial" w:hAnsi="Arial"/>
          <w:sz w:val="12"/>
          <w:szCs w:val="12"/>
          <w:color w:val="auto"/>
        </w:rPr>
        <w:t>We distribute our systems through our direct sales force and support organizations located in North America, Europe, and Asia-Pacific, and through distributors or sales agents in several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54"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29" w:lineRule="exact"/>
        <w:rPr>
          <w:sz w:val="20"/>
          <w:szCs w:val="20"/>
          <w:color w:val="auto"/>
        </w:rPr>
      </w:pPr>
    </w:p>
    <w:p>
      <w:pPr>
        <w:ind w:right="60" w:firstLine="254"/>
        <w:spacing w:after="0" w:line="331" w:lineRule="auto"/>
        <w:rPr>
          <w:sz w:val="20"/>
          <w:szCs w:val="20"/>
          <w:color w:val="auto"/>
        </w:rPr>
      </w:pPr>
      <w:r>
        <w:rPr>
          <w:rFonts w:ascii="Arial" w:cs="Arial" w:eastAsia="Arial" w:hAnsi="Arial"/>
          <w:sz w:val="12"/>
          <w:szCs w:val="12"/>
          <w:color w:val="auto"/>
        </w:rPr>
        <w:t>Our manufacturing operations are primarily located in Singapore and Canada. Our facility in Singapore manufactures our IFCs and manages production of our microfluidics instruments, which are assembled by our contract manufacturer located within our Singapore facility. All of our IFCs for commercial sale and some IFCs for our research and development purposes are also fabricated at our Singapore facility. Our mass cytometry instruments and reagents for commercial sale, as well as for internal research and development purposes, are manufactured at our facility in Canada.</w:t>
      </w:r>
    </w:p>
    <w:p>
      <w:pPr>
        <w:spacing w:after="0" w:line="43" w:lineRule="exact"/>
        <w:rPr>
          <w:sz w:val="20"/>
          <w:szCs w:val="20"/>
          <w:color w:val="auto"/>
        </w:rPr>
      </w:pPr>
    </w:p>
    <w:p>
      <w:pPr>
        <w:ind w:right="80" w:firstLine="254"/>
        <w:spacing w:after="0" w:line="259" w:lineRule="auto"/>
        <w:rPr>
          <w:sz w:val="20"/>
          <w:szCs w:val="20"/>
          <w:color w:val="auto"/>
        </w:rPr>
      </w:pPr>
      <w:r>
        <w:rPr>
          <w:rFonts w:ascii="Arial" w:cs="Arial" w:eastAsia="Arial" w:hAnsi="Arial"/>
          <w:sz w:val="14"/>
          <w:szCs w:val="14"/>
          <w:color w:val="auto"/>
        </w:rPr>
        <w:t>We rely on a limited number of suppliers for certain components and materials used in our products.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C1, Juno, Callisto, and Polaris systems; the electron multiplier detector included in, and certain metal isotopes used with, our CyTOF systems; specially developed lasers used in our Hyperion Imaging System; and certain raw materials for our Delta Gene and SNP Type assays and Access Array Target-Specific primers. The loss of a single or sole source supplier would</w:t>
      </w: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12" w:name="page13"/>
    <w:bookmarkEnd w:id="12"/>
    <w:p>
      <w:pPr>
        <w:ind w:right="260"/>
        <w:spacing w:after="0" w:line="280" w:lineRule="auto"/>
        <w:rPr>
          <w:sz w:val="20"/>
          <w:szCs w:val="20"/>
          <w:color w:val="auto"/>
        </w:rPr>
      </w:pPr>
      <w:r>
        <w:rPr>
          <w:rFonts w:ascii="Arial" w:cs="Arial" w:eastAsia="Arial" w:hAnsi="Arial"/>
          <w:sz w:val="14"/>
          <w:szCs w:val="14"/>
          <w:color w:val="auto"/>
        </w:rPr>
        <w:t>require significant time and effort to locate and qualify an alternative source of supply, if at all, and could adversely impact our business. For additional information, please see the section entitled “Risk factors” in Part I, Item 1A of this Form 10-K.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18" w:lineRule="exact"/>
        <w:rPr>
          <w:sz w:val="20"/>
          <w:szCs w:val="20"/>
          <w:color w:val="auto"/>
        </w:rPr>
      </w:pPr>
    </w:p>
    <w:p>
      <w:pPr>
        <w:ind w:right="240" w:firstLine="254"/>
        <w:spacing w:after="0" w:line="280" w:lineRule="auto"/>
        <w:rPr>
          <w:sz w:val="20"/>
          <w:szCs w:val="20"/>
          <w:color w:val="auto"/>
        </w:rPr>
      </w:pPr>
      <w:r>
        <w:rPr>
          <w:rFonts w:ascii="Arial" w:cs="Arial" w:eastAsia="Arial" w:hAnsi="Arial"/>
          <w:sz w:val="14"/>
          <w:szCs w:val="14"/>
          <w:color w:val="auto"/>
        </w:rPr>
        <w:t>We have assembled experienced research and development teams at our South San Francisco, California, Markham, Ontario, Canada, and Singapore locations with the scientific, engineering, software, bioinformatic, and process talent that we believe is required to grow our business.</w:t>
      </w:r>
    </w:p>
    <w:p>
      <w:pPr>
        <w:spacing w:after="0" w:line="80" w:lineRule="exact"/>
        <w:rPr>
          <w:sz w:val="20"/>
          <w:szCs w:val="20"/>
          <w:color w:val="auto"/>
        </w:rPr>
      </w:pPr>
    </w:p>
    <w:p>
      <w:pPr>
        <w:ind w:right="100" w:firstLine="254"/>
        <w:spacing w:after="0" w:line="261" w:lineRule="auto"/>
        <w:rPr>
          <w:sz w:val="20"/>
          <w:szCs w:val="20"/>
          <w:color w:val="auto"/>
        </w:rPr>
      </w:pPr>
      <w:r>
        <w:rPr>
          <w:rFonts w:ascii="Arial" w:cs="Arial" w:eastAsia="Arial" w:hAnsi="Arial"/>
          <w:sz w:val="14"/>
          <w:szCs w:val="14"/>
          <w:color w:val="auto"/>
        </w:rPr>
        <w:t>The largest component of our current research and development effort is in the areas of new products, new applications and new content. We launched our Hyperion Imaging System in October 2017. The Hyperion Imaging System provides spatial resolution of protein expression in complex tissue samples at the single-cell level, quantitative measurement using metal isotope tags, and analysis of up to 40 proteins, while having 135 channels available. We also developed metal-labeled antibodies compatible with formalin fixed paraffin embedded tissue samples, to be used with the Hyperion Imaging System.</w:t>
      </w:r>
    </w:p>
    <w:p>
      <w:pPr>
        <w:spacing w:after="0" w:line="94" w:lineRule="exact"/>
        <w:rPr>
          <w:sz w:val="20"/>
          <w:szCs w:val="20"/>
          <w:color w:val="auto"/>
        </w:rPr>
      </w:pPr>
    </w:p>
    <w:p>
      <w:pPr>
        <w:ind w:right="80" w:firstLine="254"/>
        <w:spacing w:after="0" w:line="259" w:lineRule="auto"/>
        <w:rPr>
          <w:sz w:val="20"/>
          <w:szCs w:val="20"/>
          <w:color w:val="auto"/>
        </w:rPr>
      </w:pPr>
      <w:r>
        <w:rPr>
          <w:rFonts w:ascii="Arial" w:cs="Arial" w:eastAsia="Arial" w:hAnsi="Arial"/>
          <w:sz w:val="14"/>
          <w:szCs w:val="14"/>
          <w:color w:val="auto"/>
        </w:rPr>
        <w:t>In 2019, we launched the Maxpar Direct Immune Profiling Assay, a sample-to-answer workflow for comprehensive human immune profiling for use with our CyTOF systems, that puts pre-titrated antibodies in dry format in a single tube, with automated software that provides data analysis in as few as five minutes. This assay is reproducible from site-to-site and lot-to-lot, which is important for translational and pharma/biotech research work. We have collaborated with industry partners to enable workflows and software for the Hyperion and CyTOF systems. Also in 2019, we added seven new metal antibody labels, becoming the first company to enable 50-plex cytometry panels, and launched three Imaging Mass Cytometry panel kits as well as CyTOF Software v7.0, an updated CyTOF software application.</w:t>
      </w:r>
    </w:p>
    <w:p>
      <w:pPr>
        <w:spacing w:after="0" w:line="84" w:lineRule="exact"/>
        <w:rPr>
          <w:sz w:val="20"/>
          <w:szCs w:val="20"/>
          <w:color w:val="auto"/>
        </w:rPr>
      </w:pPr>
    </w:p>
    <w:p>
      <w:pPr>
        <w:jc w:val="both"/>
        <w:ind w:right="80" w:firstLine="254"/>
        <w:spacing w:after="0" w:line="266" w:lineRule="auto"/>
        <w:rPr>
          <w:sz w:val="20"/>
          <w:szCs w:val="20"/>
          <w:color w:val="auto"/>
        </w:rPr>
      </w:pPr>
      <w:r>
        <w:rPr>
          <w:rFonts w:ascii="Arial" w:cs="Arial" w:eastAsia="Arial" w:hAnsi="Arial"/>
          <w:sz w:val="14"/>
          <w:szCs w:val="14"/>
          <w:color w:val="auto"/>
        </w:rPr>
        <w:t>In May 2021, we launched the new, fourth generation cell suspension mass cytometry system, CyTOF XT. It’s main features include automation of sample introduction and acquisition, enabling unattended operation for 23 hours at high stability, lower cost of ownership and enhanced performance in resolution of cell populations. The system enables storage of pelleted samples in the cooled autosampler, automated resuspension of pellets, and addition of beads standards.</w:t>
      </w:r>
    </w:p>
    <w:p>
      <w:pPr>
        <w:spacing w:after="0" w:line="90" w:lineRule="exact"/>
        <w:rPr>
          <w:sz w:val="20"/>
          <w:szCs w:val="20"/>
          <w:color w:val="auto"/>
        </w:rPr>
      </w:pPr>
    </w:p>
    <w:p>
      <w:pPr>
        <w:ind w:right="20" w:firstLine="254"/>
        <w:spacing w:after="0" w:line="258" w:lineRule="auto"/>
        <w:rPr>
          <w:sz w:val="20"/>
          <w:szCs w:val="20"/>
          <w:color w:val="auto"/>
        </w:rPr>
      </w:pPr>
      <w:r>
        <w:rPr>
          <w:rFonts w:ascii="Arial" w:cs="Arial" w:eastAsia="Arial" w:hAnsi="Arial"/>
          <w:sz w:val="14"/>
          <w:szCs w:val="14"/>
          <w:color w:val="auto"/>
        </w:rPr>
        <w:t>We also invest significantly in research and development efforts to expand our microfluidics applications. For example, we continue to develop and commercialize various panel sets for cancer research for use with our systems. In 2017, we successfully launched the Advanta™ Immuno-Oncology Gene Expression Assay, which is a 170-gene expression qPCR assay that enables profiling of tumor immunobiology and new biomarker identification. In 2019, we launched the Advanta™ RNA-Seq NGS Library Prep Kit. Designed to drive significant improvement in the RNA-seq workflow, the Advanta RNA-Seq NGS Library Prep Kit together with the Juno™ system delivers an integrated solution for automated, cost-efficient NGS library prep. In 2020, we expanded our microfluidics franchise to develop products for the COVID-19 testing marketplace. We launched the AdvantaDx SARS-CoV-2 RT-PCR assay. In addition, we secured significant development partnerships, including for development of OEM systems using our microfluidics technology.</w:t>
      </w:r>
    </w:p>
    <w:p>
      <w:pPr>
        <w:spacing w:after="0" w:line="95" w:lineRule="exact"/>
        <w:rPr>
          <w:sz w:val="20"/>
          <w:szCs w:val="20"/>
          <w:color w:val="auto"/>
        </w:rPr>
      </w:pPr>
    </w:p>
    <w:p>
      <w:pPr>
        <w:ind w:right="720" w:firstLine="254"/>
        <w:spacing w:after="0" w:line="280" w:lineRule="auto"/>
        <w:rPr>
          <w:sz w:val="20"/>
          <w:szCs w:val="20"/>
          <w:color w:val="auto"/>
        </w:rPr>
      </w:pPr>
      <w:r>
        <w:rPr>
          <w:rFonts w:ascii="Arial" w:cs="Arial" w:eastAsia="Arial" w:hAnsi="Arial"/>
          <w:sz w:val="14"/>
          <w:szCs w:val="14"/>
          <w:color w:val="auto"/>
        </w:rPr>
        <w:t>The second component of our research and development effort is to continuously develop new manufacturing processes and test methods to drive down manufacturing costs, increase manufacturing throughput, widen fabrication process capability, and support new microfluidic devices and designs.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research and development expenses were $37.9 million, $36.5 million and $31.6 million in 2021, 2020, and 2019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29" w:lineRule="exact"/>
        <w:rPr>
          <w:sz w:val="20"/>
          <w:szCs w:val="20"/>
          <w:color w:val="auto"/>
        </w:rPr>
      </w:pPr>
    </w:p>
    <w:p>
      <w:pPr>
        <w:ind w:right="300" w:firstLine="254"/>
        <w:spacing w:after="0" w:line="266" w:lineRule="auto"/>
        <w:rPr>
          <w:sz w:val="20"/>
          <w:szCs w:val="20"/>
          <w:color w:val="auto"/>
        </w:rPr>
      </w:pPr>
      <w:r>
        <w:rPr>
          <w:rFonts w:ascii="Arial" w:cs="Arial" w:eastAsia="Arial" w:hAnsi="Arial"/>
          <w:sz w:val="14"/>
          <w:szCs w:val="14"/>
          <w:color w:val="auto"/>
        </w:rPr>
        <w:t>The life science markets are highly competitive and expected to grow more competitive with the increasing knowledge gained from ongoing research and development. We believe that the principal competitive factors in our target markets include competition for human resources; cost of capital equipment and supplies; reputation among customers; innovation in product offerings; flexibility and ease of use; accuracy and reproducibility of results; and compatibility with existing laboratory processes, tools, and methods.</w:t>
      </w:r>
    </w:p>
    <w:p>
      <w:pPr>
        <w:spacing w:after="0" w:line="79" w:lineRule="exact"/>
        <w:rPr>
          <w:sz w:val="20"/>
          <w:szCs w:val="20"/>
          <w:color w:val="auto"/>
        </w:rPr>
      </w:pPr>
    </w:p>
    <w:p>
      <w:pPr>
        <w:ind w:firstLine="254"/>
        <w:spacing w:after="0" w:line="312" w:lineRule="auto"/>
        <w:rPr>
          <w:sz w:val="20"/>
          <w:szCs w:val="20"/>
          <w:color w:val="auto"/>
        </w:rPr>
      </w:pPr>
      <w:r>
        <w:rPr>
          <w:rFonts w:ascii="Arial" w:cs="Arial" w:eastAsia="Arial" w:hAnsi="Arial"/>
          <w:sz w:val="12"/>
          <w:szCs w:val="12"/>
          <w:color w:val="auto"/>
        </w:rPr>
        <w:t>We compete with both established and development stage life science companies that design, manufacture, and market instruments for gene expression analysis, genotyping, other nucleic acid detection, protein expression analysis, imaging,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 substantial intellectual property portfolios; larger and more established customer bases and relationships; greater resources dedicated to marketing efforts; better established and larger scale manufacturing capability; and greater</w:t>
      </w:r>
    </w:p>
    <w:p>
      <w:pPr>
        <w:spacing w:after="0" w:line="384"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resources and longer experience in research and development. For additional information, please see the section entitled “Risk factors” in Part I, Item 1A of this Form 10-K.</w:t>
      </w:r>
    </w:p>
    <w:p>
      <w:pPr>
        <w:spacing w:after="0" w:line="114" w:lineRule="exact"/>
        <w:rPr>
          <w:sz w:val="20"/>
          <w:szCs w:val="20"/>
          <w:color w:val="auto"/>
        </w:rPr>
      </w:pPr>
    </w:p>
    <w:p>
      <w:pPr>
        <w:ind w:firstLine="254"/>
        <w:spacing w:after="0" w:line="318" w:lineRule="auto"/>
        <w:rPr>
          <w:sz w:val="20"/>
          <w:szCs w:val="20"/>
          <w:color w:val="auto"/>
        </w:rPr>
      </w:pPr>
      <w:r>
        <w:rPr>
          <w:rFonts w:ascii="Arial" w:cs="Arial" w:eastAsia="Arial" w:hAnsi="Arial"/>
          <w:sz w:val="12"/>
          <w:szCs w:val="12"/>
          <w:color w:val="auto"/>
        </w:rPr>
        <w:t>To successfully compete with existing products and future technologies, we need to demonstrate to potential customers that the performance of our technologies and products, the solutions we provide our customers, as well as our customer support capabilities, are superior to those of our competitors. To differentiate our company from other, larger enterprises, we need to introduce new and innovative offerings regularly and maintain a well-staffed commercial team “in the field” to successfully communicate the advantages of our products and overcome potential obstacles to acceptance of our products. In addition, ongoing collaborations and partnerships with key opinion leaders are desirable to demonstrate both biological innovation and applications that solve customer problems.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Patents</w:t>
      </w:r>
    </w:p>
    <w:p>
      <w:pPr>
        <w:spacing w:after="0" w:line="125" w:lineRule="exact"/>
        <w:rPr>
          <w:sz w:val="20"/>
          <w:szCs w:val="20"/>
          <w:color w:val="auto"/>
        </w:rPr>
      </w:pPr>
    </w:p>
    <w:p>
      <w:pPr>
        <w:ind w:right="40" w:firstLine="254"/>
        <w:spacing w:after="0" w:line="266" w:lineRule="auto"/>
        <w:rPr>
          <w:sz w:val="20"/>
          <w:szCs w:val="20"/>
          <w:color w:val="auto"/>
        </w:rPr>
      </w:pPr>
      <w:r>
        <w:rPr>
          <w:rFonts w:ascii="Arial" w:cs="Arial" w:eastAsia="Arial" w:hAnsi="Arial"/>
          <w:sz w:val="14"/>
          <w:szCs w:val="14"/>
          <w:color w:val="auto"/>
        </w:rPr>
        <w:t>We have developed a portfolio of issued patents and patent applications directed to commercial products and technologies in development. As of December 31, 2021, we owned or licensed more than 410 patents and we had approximately 130 pending patent applications worldwide. Our utility patents have expiration dates ranging up to 2039, and our design patents have expiration dates ranging up to 2044.</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entered into licenses for technologies from various companies and academic institutions.</w:t>
      </w:r>
    </w:p>
    <w:p>
      <w:pPr>
        <w:spacing w:after="0" w:line="178" w:lineRule="exact"/>
        <w:rPr>
          <w:sz w:val="20"/>
          <w:szCs w:val="20"/>
          <w:color w:val="auto"/>
        </w:rPr>
      </w:pPr>
    </w:p>
    <w:p>
      <w:pPr>
        <w:ind w:right="80" w:firstLine="254"/>
        <w:spacing w:after="0" w:line="280" w:lineRule="auto"/>
        <w:rPr>
          <w:sz w:val="20"/>
          <w:szCs w:val="20"/>
          <w:color w:val="auto"/>
        </w:rPr>
      </w:pPr>
      <w:r>
        <w:rPr>
          <w:rFonts w:ascii="Arial" w:cs="Arial" w:eastAsia="Arial" w:hAnsi="Arial"/>
          <w:sz w:val="14"/>
          <w:szCs w:val="14"/>
          <w:i w:val="1"/>
          <w:iCs w:val="1"/>
          <w:color w:val="auto"/>
        </w:rPr>
        <w:t xml:space="preserve">Microfluidic Technologies. </w:t>
      </w:r>
      <w:r>
        <w:rPr>
          <w:rFonts w:ascii="Arial" w:cs="Arial" w:eastAsia="Arial" w:hAnsi="Arial"/>
          <w:sz w:val="14"/>
          <w:szCs w:val="14"/>
          <w:color w:val="auto"/>
        </w:rPr>
        <w:t>Our core microfluidics technology originated at the California Institute of Technology (Caltech) in the laboratory of Professor Stephen Quake, who is a co-founder of</w:t>
      </w:r>
      <w:r>
        <w:rPr>
          <w:rFonts w:ascii="Arial" w:cs="Arial" w:eastAsia="Arial" w:hAnsi="Arial"/>
          <w:sz w:val="14"/>
          <w:szCs w:val="14"/>
          <w:i w:val="1"/>
          <w:iCs w:val="1"/>
          <w:color w:val="auto"/>
        </w:rPr>
        <w:t xml:space="preserve"> </w:t>
      </w:r>
      <w:r>
        <w:rPr>
          <w:rFonts w:ascii="Arial" w:cs="Arial" w:eastAsia="Arial" w:hAnsi="Arial"/>
          <w:sz w:val="14"/>
          <w:szCs w:val="14"/>
          <w:color w:val="auto"/>
        </w:rPr>
        <w:t>Fluidigm. We license microfluidics technology from Caltech, Harvard University, and Caliper Life Sciences, Inc. (Caliper), now a PerkinElmer company.</w:t>
      </w:r>
    </w:p>
    <w:p>
      <w:pPr>
        <w:spacing w:after="0" w:line="90" w:lineRule="exact"/>
        <w:rPr>
          <w:sz w:val="20"/>
          <w:szCs w:val="20"/>
          <w:color w:val="auto"/>
        </w:rPr>
      </w:pPr>
    </w:p>
    <w:p>
      <w:pPr>
        <w:ind w:left="520" w:right="40" w:hanging="261"/>
        <w:spacing w:after="0" w:line="26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now and 2025.</w:t>
      </w:r>
    </w:p>
    <w:p>
      <w:pPr>
        <w:spacing w:after="0" w:line="100" w:lineRule="exact"/>
        <w:rPr>
          <w:rFonts w:ascii="Arial" w:cs="Arial" w:eastAsia="Arial" w:hAnsi="Arial"/>
          <w:sz w:val="14"/>
          <w:szCs w:val="14"/>
          <w:color w:val="auto"/>
        </w:rPr>
      </w:pPr>
    </w:p>
    <w:p>
      <w:pPr>
        <w:ind w:left="520" w:right="380" w:hanging="261"/>
        <w:spacing w:after="0" w:line="320"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have entered into a co-exclusive license agreement with Harvard University for the license of relevant patent filings relating to microfluidic technology. The license agreement will terminate with the last-to-expire of the licensed patents. The U.S. issued patents we have licensed from Harvard University expire between now and 2027.</w:t>
      </w:r>
    </w:p>
    <w:p>
      <w:pPr>
        <w:spacing w:after="0" w:line="110" w:lineRule="exact"/>
        <w:rPr>
          <w:sz w:val="20"/>
          <w:szCs w:val="20"/>
          <w:color w:val="auto"/>
        </w:rPr>
      </w:pPr>
    </w:p>
    <w:p>
      <w:pPr>
        <w:ind w:right="20" w:firstLine="254"/>
        <w:spacing w:after="0" w:line="277" w:lineRule="auto"/>
        <w:rPr>
          <w:sz w:val="20"/>
          <w:szCs w:val="20"/>
          <w:color w:val="auto"/>
        </w:rPr>
      </w:pPr>
      <w:r>
        <w:rPr>
          <w:rFonts w:ascii="Arial" w:cs="Arial" w:eastAsia="Arial" w:hAnsi="Arial"/>
          <w:sz w:val="13"/>
          <w:szCs w:val="13"/>
          <w:i w:val="1"/>
          <w:iCs w:val="1"/>
          <w:color w:val="auto"/>
        </w:rPr>
        <w:t xml:space="preserve">Mass Cytometry. </w:t>
      </w:r>
      <w:r>
        <w:rPr>
          <w:rFonts w:ascii="Arial" w:cs="Arial" w:eastAsia="Arial" w:hAnsi="Arial"/>
          <w:sz w:val="13"/>
          <w:szCs w:val="13"/>
          <w:color w:val="auto"/>
        </w:rPr>
        <w:t>Some of the intellectual property rights covering our mass cytometry products were subject to a license agreement (the Original License Agreement) between Fluidigm Canada</w:t>
      </w:r>
      <w:r>
        <w:rPr>
          <w:rFonts w:ascii="Arial" w:cs="Arial" w:eastAsia="Arial" w:hAnsi="Arial"/>
          <w:sz w:val="13"/>
          <w:szCs w:val="13"/>
          <w:i w:val="1"/>
          <w:iCs w:val="1"/>
          <w:color w:val="auto"/>
        </w:rPr>
        <w:t xml:space="preserve"> </w:t>
      </w:r>
      <w:r>
        <w:rPr>
          <w:rFonts w:ascii="Arial" w:cs="Arial" w:eastAsia="Arial" w:hAnsi="Arial"/>
          <w:sz w:val="13"/>
          <w:szCs w:val="13"/>
          <w:color w:val="auto"/>
        </w:rPr>
        <w:t>Inc. (Fluidigm Canada), and PerkinElmer Health Sciences, Inc. (PerkinElmer). Under the Original License Agreement, Fluidigm Canada received an exclusive, royalty bearing, worldwide license to certain patents owned by PerkinElmer in the field of inductively coupled plasma (ICP) -based mass cytometry, including the analysis of elemental tagged materials in connection therewith (the Patents), and a non-exclusive license for reagents outside the field of ICP-based mass cytometry. In November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November 2026, unless earlier terminated pursuant to the terms of the license agreement.</w:t>
      </w:r>
    </w:p>
    <w:p>
      <w:pPr>
        <w:spacing w:after="0" w:line="138"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i w:val="1"/>
          <w:iCs w:val="1"/>
          <w:color w:val="auto"/>
        </w:rPr>
        <w:t>InstruNor AS</w:t>
      </w:r>
      <w:r>
        <w:rPr>
          <w:rFonts w:ascii="Arial" w:cs="Arial" w:eastAsia="Arial" w:hAnsi="Arial"/>
          <w:sz w:val="14"/>
          <w:szCs w:val="14"/>
          <w:color w:val="auto"/>
        </w:rPr>
        <w:t>. In January 2020, we completed the acquisition of InstruNor AS (InstruNor) for $7.2 million, including $5.2 million in cash and $2.0 million in stock. InstruNor provides automated</w:t>
      </w:r>
      <w:r>
        <w:rPr>
          <w:rFonts w:ascii="Arial" w:cs="Arial" w:eastAsia="Arial" w:hAnsi="Arial"/>
          <w:sz w:val="14"/>
          <w:szCs w:val="14"/>
          <w:i w:val="1"/>
          <w:iCs w:val="1"/>
          <w:color w:val="auto"/>
        </w:rPr>
        <w:t xml:space="preserve"> </w:t>
      </w:r>
      <w:r>
        <w:rPr>
          <w:rFonts w:ascii="Arial" w:cs="Arial" w:eastAsia="Arial" w:hAnsi="Arial"/>
          <w:sz w:val="14"/>
          <w:szCs w:val="14"/>
          <w:color w:val="auto"/>
        </w:rPr>
        <w:t>sample preparation solutions for mass cytometry and flow cytometry instrument markets and is now part of Fluidigm’s mass cytometry business. Included in this acquisition were certain intellectual property portfolio assets comprising patents and/or patent applications directed to</w:t>
      </w: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various aspects of automated cell pretreatment instruments. The expiration dates for the issued patents in this patent portfolio extend to March 2033.</w:t>
      </w:r>
    </w:p>
    <w:p>
      <w:pPr>
        <w:spacing w:after="0" w:line="125" w:lineRule="exact"/>
        <w:rPr>
          <w:sz w:val="20"/>
          <w:szCs w:val="20"/>
          <w:color w:val="auto"/>
        </w:rPr>
      </w:pPr>
    </w:p>
    <w:p>
      <w:pPr>
        <w:ind w:right="360" w:firstLine="254"/>
        <w:spacing w:after="0" w:line="280" w:lineRule="auto"/>
        <w:rPr>
          <w:sz w:val="20"/>
          <w:szCs w:val="20"/>
          <w:color w:val="auto"/>
        </w:rPr>
      </w:pPr>
      <w:r>
        <w:rPr>
          <w:rFonts w:ascii="Arial" w:cs="Arial" w:eastAsia="Arial" w:hAnsi="Arial"/>
          <w:sz w:val="14"/>
          <w:szCs w:val="14"/>
          <w:color w:val="auto"/>
        </w:rPr>
        <w:t>Any loss, termination, or adverse modification of our licensed intellectual property rights could have a material adverse effect on our business, operating results, and financial condition. For additional information, please see the section entitled “Risk factors” in Part I, Item 1A of this Form 10-K.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114" w:lineRule="exact"/>
        <w:rPr>
          <w:sz w:val="20"/>
          <w:szCs w:val="20"/>
          <w:color w:val="auto"/>
        </w:rPr>
      </w:pPr>
    </w:p>
    <w:p>
      <w:pPr>
        <w:ind w:right="220" w:firstLine="254"/>
        <w:spacing w:after="0" w:line="280" w:lineRule="auto"/>
        <w:rPr>
          <w:sz w:val="20"/>
          <w:szCs w:val="20"/>
          <w:color w:val="auto"/>
        </w:rPr>
      </w:pPr>
      <w:r>
        <w:rPr>
          <w:rFonts w:ascii="Arial" w:cs="Arial" w:eastAsia="Arial" w:hAnsi="Arial"/>
          <w:sz w:val="14"/>
          <w:szCs w:val="14"/>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corporate partners, and, when needed, our advisers.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29" w:lineRule="exact"/>
        <w:rPr>
          <w:sz w:val="20"/>
          <w:szCs w:val="20"/>
          <w:color w:val="auto"/>
        </w:rPr>
      </w:pPr>
    </w:p>
    <w:p>
      <w:pPr>
        <w:ind w:right="80" w:firstLine="254"/>
        <w:spacing w:after="0" w:line="281" w:lineRule="auto"/>
        <w:rPr>
          <w:sz w:val="20"/>
          <w:szCs w:val="20"/>
          <w:color w:val="auto"/>
        </w:rPr>
      </w:pPr>
      <w:r>
        <w:rPr>
          <w:rFonts w:ascii="Arial" w:cs="Arial" w:eastAsia="Arial" w:hAnsi="Arial"/>
          <w:sz w:val="13"/>
          <w:szCs w:val="13"/>
          <w:color w:val="auto"/>
        </w:rPr>
        <w:t>Under section 564 of the Federal Food, Drug, and Cosmetic Act (FD&amp;C Act), the FDA has authority to allow certain unapproved medical products or unapproved uses of approved medical products to be used during a public health emergency.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FD&amp;C Act or the EUA is revoked under Section 564(g) of the FD&amp;C Act, after which the product must be cleared or approved by the FDA under a traditional pathway in order to remain on the market or to continue commercialization of the product.</w:t>
      </w:r>
    </w:p>
    <w:p>
      <w:pPr>
        <w:spacing w:after="0" w:line="83" w:lineRule="exact"/>
        <w:rPr>
          <w:sz w:val="20"/>
          <w:szCs w:val="20"/>
          <w:color w:val="auto"/>
        </w:rPr>
      </w:pPr>
    </w:p>
    <w:p>
      <w:pPr>
        <w:ind w:firstLine="254"/>
        <w:spacing w:after="0" w:line="259" w:lineRule="auto"/>
        <w:rPr>
          <w:sz w:val="20"/>
          <w:szCs w:val="20"/>
          <w:color w:val="auto"/>
        </w:rPr>
      </w:pPr>
      <w:r>
        <w:rPr>
          <w:rFonts w:ascii="Arial" w:cs="Arial" w:eastAsia="Arial" w:hAnsi="Arial"/>
          <w:sz w:val="14"/>
          <w:szCs w:val="14"/>
          <w:color w:val="auto"/>
        </w:rPr>
        <w:t>In August 2020, the FDA granted an EUA for our Advanta Dx SARS-CoV-2 RT-PCR Assay for the qualitative detection of nucleic acid from SARS-CoV-2 in saliva specimens collected without preservatives in a sterile container from individuals suspected of COVID-19 by their healthcare providers. As set forth in the EUA, we are required to comply with the conditions of authorization, including certain requirements pertaining to FDA notification, distribution, printed materials, advertising and promotion. If we, our distributors, or authorized laboratories do not comply with the EUA requirements, our business, financial condition and results of operations may be adversely impacted, and we may be subject to regulatory or enforcement actions, including the issuance of an untitled letter, a warning letter, penalties, or fines, among other adverse actions.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If the FDA’s policies and guidance change unexpectedly and/or materially or if we misinterpret them, potential sales of our Advanta Dx SARS-CoV-2 RT-PCR Assay could be adversely</w:t>
      </w:r>
    </w:p>
    <w:p>
      <w:pPr>
        <w:spacing w:after="0" w:line="52" w:lineRule="exact"/>
        <w:rPr>
          <w:sz w:val="20"/>
          <w:szCs w:val="20"/>
          <w:color w:val="auto"/>
        </w:rPr>
      </w:pPr>
    </w:p>
    <w:p>
      <w:pPr>
        <w:ind w:right="60"/>
        <w:spacing w:after="0" w:line="318" w:lineRule="auto"/>
        <w:rPr>
          <w:sz w:val="20"/>
          <w:szCs w:val="20"/>
          <w:color w:val="auto"/>
        </w:rPr>
      </w:pPr>
      <w:r>
        <w:rPr>
          <w:rFonts w:ascii="Arial" w:cs="Arial" w:eastAsia="Arial" w:hAnsi="Arial"/>
          <w:sz w:val="12"/>
          <w:szCs w:val="12"/>
          <w:color w:val="auto"/>
        </w:rPr>
        <w:t>impacted. In addition, the FDA will revoke an EUA where it is determined that the underlying public health emergency no longer exists or warrants such authorization, or if new evidence becomes available that indicates the test does not meet the conditions of authorization or perform as provided in the EUA application. We cannot predict how long this EUA will remain effective. The termination or revocation of the EUA and changing policies and regulatory requirements could adversely impact our business, financial condition and results of operations. Given the uncertain nature of the COVID-19 pandemic and future legislation and regulation in this space, we can provide no assurance with respect to our ability to achieve or sustain profitability on a quarterly or annual basis.</w:t>
      </w:r>
    </w:p>
    <w:p>
      <w:pPr>
        <w:spacing w:after="0" w:line="63" w:lineRule="exact"/>
        <w:rPr>
          <w:sz w:val="20"/>
          <w:szCs w:val="20"/>
          <w:color w:val="auto"/>
        </w:rPr>
      </w:pPr>
    </w:p>
    <w:p>
      <w:pPr>
        <w:ind w:right="80" w:firstLine="254"/>
        <w:spacing w:after="0" w:line="281" w:lineRule="auto"/>
        <w:rPr>
          <w:sz w:val="20"/>
          <w:szCs w:val="20"/>
          <w:color w:val="auto"/>
        </w:rPr>
      </w:pPr>
      <w:r>
        <w:rPr>
          <w:rFonts w:ascii="Arial" w:cs="Arial" w:eastAsia="Arial" w:hAnsi="Arial"/>
          <w:sz w:val="13"/>
          <w:szCs w:val="13"/>
          <w:color w:val="auto"/>
        </w:rPr>
        <w:t>Except for the Advanta Dx COVID-19 EASE Assay authorized by the FDA under the EUA granted in February 2022 and the Advanta Dx SARS-CoV-2 RT-PCR Assay authorized by the FDA under the EUA granted in August 2020, subsequently updated for use with the AZOVA COVID-19 Test Collection Kit, among other updates, all of our other products are currently labeled and sold for research purposes only, and we sell them to academic institutions, life sciences and clinical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they are not subject to pre- and post-market controls for medical devices by the FDA. The FDA regulations require that research use only products be labeled, “For Research Use Only. Not for use in diagnostic procedures,” or RUO products.</w:t>
      </w:r>
    </w:p>
    <w:p>
      <w:pPr>
        <w:spacing w:after="0" w:line="94"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In November 2013, the FDA issued a final guidance document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In the</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71" w:right="319" w:bottom="1440" w:gutter="0" w:footer="0" w:header="0"/>
        </w:sectPr>
      </w:pPr>
    </w:p>
    <w:bookmarkStart w:id="15" w:name="page16"/>
    <w:bookmarkEnd w:id="15"/>
    <w:p>
      <w:pPr>
        <w:ind w:right="80"/>
        <w:spacing w:after="0" w:line="296" w:lineRule="auto"/>
        <w:rPr>
          <w:sz w:val="20"/>
          <w:szCs w:val="20"/>
          <w:color w:val="auto"/>
        </w:rPr>
      </w:pPr>
      <w:r>
        <w:rPr>
          <w:rFonts w:ascii="Arial" w:cs="Arial" w:eastAsia="Arial" w:hAnsi="Arial"/>
          <w:sz w:val="12"/>
          <w:szCs w:val="12"/>
          <w:color w:val="auto"/>
        </w:rPr>
        <w:t>future, certain of our products or related applications could become subject to regulation as medical devices by the FDA. If we wish to label and market our products for use in performing clinical diagnostics, thus subjecting them to regulation by the FDA under pre-market and post-market control as medical devices, unless an exemption applies, we would be required to obtain either prior 510(k) clearance or prior pre-market approval (PMA)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FD&amp;C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Devices deemed by the FDA to pose the greatest risk, such as life-sustaining, life-supporting, or implantable devices, or those deemed not substantially equivalent to a legally marketed predicate device, are placed in class</w:t>
      </w:r>
    </w:p>
    <w:p>
      <w:pPr>
        <w:spacing w:after="0" w:line="4" w:lineRule="exact"/>
        <w:rPr>
          <w:sz w:val="20"/>
          <w:szCs w:val="20"/>
          <w:color w:val="auto"/>
        </w:rPr>
      </w:pPr>
    </w:p>
    <w:p>
      <w:pPr>
        <w:ind w:right="80" w:firstLine="5"/>
        <w:spacing w:after="0" w:line="256" w:lineRule="auto"/>
        <w:tabs>
          <w:tab w:leader="none" w:pos="212" w:val="left"/>
        </w:tabs>
        <w:numPr>
          <w:ilvl w:val="0"/>
          <w:numId w:val="9"/>
        </w:numPr>
        <w:rPr>
          <w:rFonts w:ascii="Arial" w:cs="Arial" w:eastAsia="Arial" w:hAnsi="Arial"/>
          <w:sz w:val="14"/>
          <w:szCs w:val="14"/>
          <w:color w:val="auto"/>
        </w:rPr>
      </w:pPr>
      <w:r>
        <w:rPr>
          <w:rFonts w:ascii="Arial" w:cs="Arial" w:eastAsia="Arial" w:hAnsi="Arial"/>
          <w:sz w:val="14"/>
          <w:szCs w:val="14"/>
          <w:color w:val="auto"/>
        </w:rPr>
        <w:t>Class III devices typically require PMA approval. To obtain PMA approval, an applicant must demonstrate the reasonable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97" w:lineRule="exact"/>
        <w:rPr>
          <w:sz w:val="20"/>
          <w:szCs w:val="20"/>
          <w:color w:val="auto"/>
        </w:rPr>
      </w:pPr>
    </w:p>
    <w:p>
      <w:pPr>
        <w:ind w:right="80" w:firstLine="254"/>
        <w:spacing w:after="0" w:line="308" w:lineRule="auto"/>
        <w:rPr>
          <w:sz w:val="20"/>
          <w:szCs w:val="20"/>
          <w:color w:val="auto"/>
        </w:rPr>
      </w:pPr>
      <w:r>
        <w:rPr>
          <w:rFonts w:ascii="Arial" w:cs="Arial" w:eastAsia="Arial" w:hAnsi="Arial"/>
          <w:sz w:val="12"/>
          <w:szCs w:val="12"/>
          <w:color w:val="auto"/>
        </w:rPr>
        <w:t>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the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would become subject to additional FDA requirements if our products are determined to be medical devices or if we elect to seek 510(k) clearance or pre-market approval. We would need to</w:t>
      </w:r>
    </w:p>
    <w:p>
      <w:pPr>
        <w:spacing w:after="0" w:line="63"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continue to invest significant time and other resources to ensure ongoing compliance with FDA quality system regulations and other post-market regulatory requirements. For additional information, please see the section entitled “Risk factors” in Part I, Item 1A of this Form 10-K.</w:t>
      </w:r>
    </w:p>
    <w:p>
      <w:pPr>
        <w:spacing w:after="0" w:line="80" w:lineRule="exact"/>
        <w:rPr>
          <w:sz w:val="20"/>
          <w:szCs w:val="20"/>
          <w:color w:val="auto"/>
        </w:rPr>
      </w:pPr>
    </w:p>
    <w:p>
      <w:pPr>
        <w:jc w:val="both"/>
        <w:ind w:right="60" w:firstLine="254"/>
        <w:spacing w:after="0" w:line="266" w:lineRule="auto"/>
        <w:rPr>
          <w:sz w:val="20"/>
          <w:szCs w:val="20"/>
          <w:color w:val="auto"/>
        </w:rPr>
      </w:pPr>
      <w:r>
        <w:rPr>
          <w:rFonts w:ascii="Arial" w:cs="Arial" w:eastAsia="Arial" w:hAnsi="Arial"/>
          <w:sz w:val="14"/>
          <w:szCs w:val="14"/>
          <w:color w:val="auto"/>
        </w:rPr>
        <w:t>International sales of medical devices are subject to foreign government regulations, which vary substantially from country to country.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U.S. Healthcare Regulatory Requirements</w:t>
      </w:r>
    </w:p>
    <w:p>
      <w:pPr>
        <w:spacing w:after="0" w:line="114" w:lineRule="exact"/>
        <w:rPr>
          <w:sz w:val="20"/>
          <w:szCs w:val="20"/>
          <w:color w:val="auto"/>
        </w:rPr>
      </w:pPr>
    </w:p>
    <w:p>
      <w:pPr>
        <w:ind w:firstLine="254"/>
        <w:spacing w:after="0" w:line="256" w:lineRule="auto"/>
        <w:rPr>
          <w:sz w:val="20"/>
          <w:szCs w:val="20"/>
          <w:color w:val="auto"/>
        </w:rPr>
      </w:pPr>
      <w:r>
        <w:rPr>
          <w:rFonts w:ascii="Arial" w:cs="Arial" w:eastAsia="Arial" w:hAnsi="Arial"/>
          <w:sz w:val="14"/>
          <w:szCs w:val="14"/>
          <w:color w:val="auto"/>
        </w:rPr>
        <w:t>Medical device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products for which we obtain marketing authorization. Such laws include, without limitation, state and federal anti-kickback, fraud and abuse, false claims, data privacy and security, and transparency laws and regulations related to interactions and financial arrangements with healthcare professionals and healthcare organizations, payments and other transfers of value made to physicians and other healthcare providers, among others. If our operations are found to be in violation of any of applicable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Changes in healthcare regulations, statutes or the interpretation of existing regulations could also impact our business in the future, expose use to increased liabilities, and increase the costs of our operations.</w:t>
      </w: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1"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Environmental Matters</w:t>
      </w:r>
    </w:p>
    <w:p>
      <w:pPr>
        <w:spacing w:after="0" w:line="118"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We are subject to many federal, state, local, and foreign environmental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the Registration, Evaluation, Authorisation, and Restriction of Chemicals (REACH) and the Waste Electrical and Electronic Equipment Directive (WEEE), enacted in the European Union, regulate the use of certain hazardous substances, notification of customers of the presence of any substances of very high concern in products, and require the collection, reuse, and recycling of waste from, products we manufacture. Certain of our products sold in these countries are subject to RoHS, REACH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see the section entitled “Risk factors” in Part I, Item 1A of this Form 10-K.</w:t>
      </w:r>
    </w:p>
    <w:p>
      <w:pPr>
        <w:spacing w:after="0" w:line="87" w:lineRule="exact"/>
        <w:rPr>
          <w:sz w:val="20"/>
          <w:szCs w:val="20"/>
          <w:color w:val="auto"/>
        </w:rPr>
      </w:pPr>
    </w:p>
    <w:p>
      <w:pPr>
        <w:jc w:val="both"/>
        <w:ind w:right="80" w:firstLine="254"/>
        <w:spacing w:after="0" w:line="318" w:lineRule="auto"/>
        <w:rPr>
          <w:sz w:val="20"/>
          <w:szCs w:val="20"/>
          <w:color w:val="auto"/>
        </w:rPr>
      </w:pPr>
      <w:r>
        <w:rPr>
          <w:rFonts w:ascii="Arial" w:cs="Arial" w:eastAsia="Arial" w:hAnsi="Arial"/>
          <w:sz w:val="12"/>
          <w:szCs w:val="12"/>
          <w:color w:val="auto"/>
        </w:rPr>
        <w:t>Additionally, 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Area Information</w:t>
      </w:r>
    </w:p>
    <w:p>
      <w:pPr>
        <w:spacing w:after="0" w:line="129" w:lineRule="exact"/>
        <w:rPr>
          <w:sz w:val="20"/>
          <w:szCs w:val="20"/>
          <w:color w:val="auto"/>
        </w:rPr>
      </w:pPr>
    </w:p>
    <w:p>
      <w:pPr>
        <w:ind w:right="20" w:firstLine="254"/>
        <w:spacing w:after="0" w:line="331" w:lineRule="auto"/>
        <w:rPr>
          <w:sz w:val="20"/>
          <w:szCs w:val="20"/>
          <w:color w:val="auto"/>
        </w:rPr>
      </w:pPr>
      <w:r>
        <w:rPr>
          <w:rFonts w:ascii="Arial" w:cs="Arial" w:eastAsia="Arial" w:hAnsi="Arial"/>
          <w:sz w:val="12"/>
          <w:szCs w:val="12"/>
          <w:color w:val="auto"/>
        </w:rPr>
        <w:t>During the last three years, a significant portion of our revenue was generated outside of the United States. Total revenue received from customers outside the United States equaled $70.4 million, or 54% of our total revenue, in 2021, compared to $66.2 million, or 48% of our total revenue, in 2020, and $73.9 million, or 63% of our total revenue, in 2019. The majority of our long-lived assets are located within the United States, in Singapore and in Canada. Please see Note 6 and Note 16 to our audited consolidated financial statements for additional information regarding geographic areas.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18" w:lineRule="exact"/>
        <w:rPr>
          <w:sz w:val="20"/>
          <w:szCs w:val="20"/>
          <w:color w:val="auto"/>
        </w:rPr>
      </w:pPr>
    </w:p>
    <w:p>
      <w:pPr>
        <w:ind w:right="520" w:firstLine="254"/>
        <w:spacing w:after="0" w:line="280" w:lineRule="auto"/>
        <w:rPr>
          <w:sz w:val="20"/>
          <w:szCs w:val="20"/>
          <w:color w:val="auto"/>
        </w:rPr>
      </w:pPr>
      <w:r>
        <w:rPr>
          <w:rFonts w:ascii="Arial" w:cs="Arial" w:eastAsia="Arial" w:hAnsi="Arial"/>
          <w:sz w:val="14"/>
          <w:szCs w:val="14"/>
          <w:color w:val="auto"/>
        </w:rPr>
        <w:t>Our business is not subject to significant seasonality. However, the timing of customer orders and shipments, customer budget and spending cycles, and new product releases can result in variability in our quarterly revenues.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Raw Materials</w:t>
      </w:r>
    </w:p>
    <w:p>
      <w:pPr>
        <w:spacing w:after="0" w:line="129" w:lineRule="exact"/>
        <w:rPr>
          <w:sz w:val="20"/>
          <w:szCs w:val="20"/>
          <w:color w:val="auto"/>
        </w:rPr>
      </w:pPr>
    </w:p>
    <w:p>
      <w:pPr>
        <w:ind w:right="140" w:firstLine="254"/>
        <w:spacing w:after="0" w:line="266" w:lineRule="auto"/>
        <w:rPr>
          <w:sz w:val="20"/>
          <w:szCs w:val="20"/>
          <w:color w:val="auto"/>
        </w:rPr>
      </w:pPr>
      <w:r>
        <w:rPr>
          <w:rFonts w:ascii="Arial" w:cs="Arial" w:eastAsia="Arial" w:hAnsi="Arial"/>
          <w:sz w:val="14"/>
          <w:szCs w:val="14"/>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29" w:lineRule="exact"/>
        <w:rPr>
          <w:sz w:val="20"/>
          <w:szCs w:val="20"/>
          <w:color w:val="auto"/>
        </w:rPr>
      </w:pPr>
    </w:p>
    <w:p>
      <w:pPr>
        <w:ind w:right="160" w:firstLine="254"/>
        <w:spacing w:after="0" w:line="266" w:lineRule="auto"/>
        <w:rPr>
          <w:sz w:val="20"/>
          <w:szCs w:val="20"/>
          <w:color w:val="auto"/>
        </w:rPr>
      </w:pPr>
      <w:r>
        <w:rPr>
          <w:rFonts w:ascii="Arial" w:cs="Arial" w:eastAsia="Arial" w:hAnsi="Arial"/>
          <w:sz w:val="14"/>
          <w:szCs w:val="14"/>
          <w:color w:val="auto"/>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Human Resource Capital</w:t>
      </w:r>
    </w:p>
    <w:p>
      <w:pPr>
        <w:spacing w:after="0" w:line="129" w:lineRule="exact"/>
        <w:rPr>
          <w:sz w:val="20"/>
          <w:szCs w:val="20"/>
          <w:color w:val="auto"/>
        </w:rPr>
      </w:pPr>
    </w:p>
    <w:p>
      <w:pPr>
        <w:ind w:right="180" w:firstLine="254"/>
        <w:spacing w:after="0" w:line="264" w:lineRule="auto"/>
        <w:rPr>
          <w:sz w:val="20"/>
          <w:szCs w:val="20"/>
          <w:color w:val="auto"/>
        </w:rPr>
      </w:pPr>
      <w:r>
        <w:rPr>
          <w:rFonts w:ascii="Arial" w:cs="Arial" w:eastAsia="Arial" w:hAnsi="Arial"/>
          <w:sz w:val="14"/>
          <w:szCs w:val="14"/>
          <w:color w:val="auto"/>
        </w:rPr>
        <w:t>Our team members share our commitment to improving the human condition and, in turn, Fluidigm strives to create an environment where our people can do their best work. We know that our employees, who supply the ideas, energy, and innovation that powers our business, are Fluidigm’s most valued assets.</w:t>
      </w:r>
    </w:p>
    <w:p>
      <w:pPr>
        <w:spacing w:after="0" w:line="69"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We are a values-driven organization. We believe strong shared values are essential for Fluidigm to evolve and grow and to be successful for the long-term. Our values inform our relationships with customers, suppliers, investors and each other. They ensure that we model respect and inclusiveness in our words and actions. Our core values, conceived and developed by our employees, define us when we are at our best and guide us in all that we do. Our core values are to:</w:t>
      </w:r>
    </w:p>
    <w:p>
      <w:pPr>
        <w:spacing w:after="0" w:line="106" w:lineRule="exact"/>
        <w:rPr>
          <w:sz w:val="20"/>
          <w:szCs w:val="20"/>
          <w:color w:val="auto"/>
        </w:rPr>
      </w:pPr>
    </w:p>
    <w:p>
      <w:pPr>
        <w:ind w:left="500" w:hanging="241"/>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Create what customers need next</w:t>
      </w:r>
    </w:p>
    <w:p>
      <w:pPr>
        <w:spacing w:after="0" w:line="4" w:lineRule="exact"/>
        <w:rPr>
          <w:rFonts w:ascii="Arial" w:cs="Arial" w:eastAsia="Arial" w:hAnsi="Arial"/>
          <w:sz w:val="16"/>
          <w:szCs w:val="16"/>
          <w:color w:val="auto"/>
        </w:rPr>
      </w:pPr>
    </w:p>
    <w:p>
      <w:pPr>
        <w:ind w:left="500" w:hanging="241"/>
        <w:spacing w:after="0" w:line="229"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Drive to make a difference</w:t>
      </w:r>
    </w:p>
    <w:p>
      <w:pPr>
        <w:spacing w:after="0" w:line="4" w:lineRule="exact"/>
        <w:rPr>
          <w:rFonts w:ascii="Arial" w:cs="Arial" w:eastAsia="Arial" w:hAnsi="Arial"/>
          <w:sz w:val="16"/>
          <w:szCs w:val="16"/>
          <w:color w:val="auto"/>
        </w:rPr>
      </w:pPr>
    </w:p>
    <w:p>
      <w:pPr>
        <w:ind w:left="500" w:hanging="241"/>
        <w:spacing w:after="0" w:line="229"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Collaborate and learn</w:t>
      </w:r>
    </w:p>
    <w:p>
      <w:pPr>
        <w:spacing w:after="0" w:line="4" w:lineRule="exact"/>
        <w:rPr>
          <w:rFonts w:ascii="Arial" w:cs="Arial" w:eastAsia="Arial" w:hAnsi="Arial"/>
          <w:sz w:val="16"/>
          <w:szCs w:val="16"/>
          <w:color w:val="auto"/>
        </w:rPr>
      </w:pPr>
    </w:p>
    <w:p>
      <w:pPr>
        <w:ind w:left="500" w:hanging="241"/>
        <w:spacing w:after="0" w:line="229"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Step up</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Growing Global Workforce</w:t>
      </w:r>
    </w:p>
    <w:p>
      <w:pPr>
        <w:spacing w:after="0" w:line="129" w:lineRule="exact"/>
        <w:rPr>
          <w:sz w:val="20"/>
          <w:szCs w:val="20"/>
          <w:color w:val="auto"/>
        </w:rPr>
      </w:pPr>
    </w:p>
    <w:p>
      <w:pPr>
        <w:ind w:right="160" w:firstLine="254"/>
        <w:spacing w:after="0" w:line="280" w:lineRule="auto"/>
        <w:rPr>
          <w:sz w:val="20"/>
          <w:szCs w:val="20"/>
          <w:color w:val="auto"/>
        </w:rPr>
      </w:pPr>
      <w:r>
        <w:rPr>
          <w:rFonts w:ascii="Arial" w:cs="Arial" w:eastAsia="Arial" w:hAnsi="Arial"/>
          <w:sz w:val="14"/>
          <w:szCs w:val="14"/>
          <w:color w:val="auto"/>
        </w:rPr>
        <w:t>As of December 31, 2021, Fluidigm had 615 employees worldwide, 45% of whom were female. In the United States, 38% of our employees were female as of December 31, 2021. None of our employees are represented by a labor union nor are they subject to a collective bargaining agreement.</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table below provides an overview of our employees by function, geographic location, and gender as of December 31, 2021:</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426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United States</w:t>
            </w: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Canada</w:t>
            </w:r>
          </w:p>
        </w:tc>
        <w:tc>
          <w:tcPr>
            <w:tcW w:w="760" w:type="dxa"/>
            <w:vAlign w:val="bottom"/>
          </w:tcPr>
          <w:p>
            <w:pPr>
              <w:ind w:left="260"/>
              <w:spacing w:after="0"/>
              <w:rPr>
                <w:sz w:val="20"/>
                <w:szCs w:val="20"/>
                <w:color w:val="auto"/>
              </w:rPr>
            </w:pPr>
            <w:r>
              <w:rPr>
                <w:rFonts w:ascii="Arial" w:cs="Arial" w:eastAsia="Arial" w:hAnsi="Arial"/>
                <w:sz w:val="11"/>
                <w:szCs w:val="11"/>
                <w:b w:val="1"/>
                <w:bCs w:val="1"/>
                <w:color w:val="auto"/>
                <w:w w:val="89"/>
              </w:rPr>
              <w:t>Singapore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240"/>
              <w:spacing w:after="0"/>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28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60"/>
              <w:spacing w:after="0"/>
              <w:rPr>
                <w:sz w:val="20"/>
                <w:szCs w:val="20"/>
                <w:color w:val="auto"/>
              </w:rPr>
            </w:pPr>
            <w:r>
              <w:rPr>
                <w:rFonts w:ascii="Arial" w:cs="Arial" w:eastAsia="Arial" w:hAnsi="Arial"/>
                <w:sz w:val="11"/>
                <w:szCs w:val="11"/>
                <w:b w:val="1"/>
                <w:bCs w:val="1"/>
                <w:color w:val="auto"/>
              </w:rPr>
              <w:t>Male</w:t>
            </w: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Female</w:t>
            </w:r>
          </w:p>
        </w:tc>
        <w:tc>
          <w:tcPr>
            <w:tcW w:w="800" w:type="dxa"/>
            <w:vAlign w:val="bottom"/>
          </w:tcPr>
          <w:p>
            <w:pPr>
              <w:jc w:val="right"/>
              <w:ind w:right="212"/>
              <w:spacing w:after="0"/>
              <w:rPr>
                <w:sz w:val="20"/>
                <w:szCs w:val="20"/>
                <w:color w:val="auto"/>
              </w:rPr>
            </w:pPr>
            <w:r>
              <w:rPr>
                <w:rFonts w:ascii="Arial" w:cs="Arial" w:eastAsia="Arial" w:hAnsi="Arial"/>
                <w:sz w:val="11"/>
                <w:szCs w:val="11"/>
                <w:b w:val="1"/>
                <w:bCs w:val="1"/>
                <w:color w:val="auto"/>
              </w:rPr>
              <w:t>Total</w:t>
            </w:r>
          </w:p>
        </w:tc>
      </w:tr>
      <w:tr>
        <w:trPr>
          <w:trHeight w:val="179"/>
        </w:trPr>
        <w:tc>
          <w:tcPr>
            <w:tcW w:w="4260" w:type="dxa"/>
            <w:vAlign w:val="bottom"/>
          </w:tcPr>
          <w:p>
            <w:pPr>
              <w:spacing w:after="0"/>
              <w:rPr>
                <w:sz w:val="20"/>
                <w:szCs w:val="20"/>
                <w:color w:val="auto"/>
              </w:rPr>
            </w:pPr>
            <w:r>
              <w:rPr>
                <w:rFonts w:ascii="Arial" w:cs="Arial" w:eastAsia="Arial" w:hAnsi="Arial"/>
                <w:sz w:val="14"/>
                <w:szCs w:val="14"/>
                <w:color w:val="auto"/>
              </w:rPr>
              <w:t>Manufacturing</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145</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180"/>
        </w:trPr>
        <w:tc>
          <w:tcPr>
            <w:tcW w:w="426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3"/>
          </w:tcPr>
          <w:p>
            <w:pPr>
              <w:jc w:val="right"/>
              <w:ind w:right="584"/>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w w:val="94"/>
              </w:rPr>
              <w:t>140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180"/>
        </w:trPr>
        <w:tc>
          <w:tcPr>
            <w:tcW w:w="4260" w:type="dxa"/>
            <w:vAlign w:val="bottom"/>
          </w:tcPr>
          <w:p>
            <w:pPr>
              <w:spacing w:after="0"/>
              <w:rPr>
                <w:sz w:val="20"/>
                <w:szCs w:val="20"/>
                <w:color w:val="auto"/>
              </w:rPr>
            </w:pPr>
            <w:r>
              <w:rPr>
                <w:rFonts w:ascii="Arial" w:cs="Arial" w:eastAsia="Arial" w:hAnsi="Arial"/>
                <w:sz w:val="14"/>
                <w:szCs w:val="14"/>
                <w:color w:val="auto"/>
              </w:rPr>
              <w:t>Sales and Marketing</w:t>
            </w: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4"/>
              </w:rPr>
              <w:t>210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180"/>
        </w:trPr>
        <w:tc>
          <w:tcPr>
            <w:tcW w:w="4260" w:type="dxa"/>
            <w:vAlign w:val="bottom"/>
          </w:tcPr>
          <w:p>
            <w:pPr>
              <w:spacing w:after="0"/>
              <w:rPr>
                <w:sz w:val="20"/>
                <w:szCs w:val="20"/>
                <w:color w:val="auto"/>
              </w:rPr>
            </w:pPr>
            <w:r>
              <w:rPr>
                <w:rFonts w:ascii="Arial" w:cs="Arial" w:eastAsia="Arial" w:hAnsi="Arial"/>
                <w:sz w:val="14"/>
                <w:szCs w:val="14"/>
                <w:color w:val="auto"/>
              </w:rPr>
              <w:t>General and Administration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120</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r>
      <w:tr>
        <w:trPr>
          <w:trHeight w:val="171"/>
        </w:trPr>
        <w:tc>
          <w:tcPr>
            <w:tcW w:w="4260" w:type="dxa"/>
            <w:vAlign w:val="bottom"/>
          </w:tcPr>
          <w:p>
            <w:pPr>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130</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615</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r>
      <w:tr>
        <w:trPr>
          <w:trHeight w:val="20"/>
        </w:trPr>
        <w:tc>
          <w:tcPr>
            <w:tcW w:w="4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Safety and COVID-19</w:t>
      </w:r>
    </w:p>
    <w:p>
      <w:pPr>
        <w:spacing w:after="0" w:line="129" w:lineRule="exact"/>
        <w:rPr>
          <w:sz w:val="20"/>
          <w:szCs w:val="20"/>
          <w:color w:val="auto"/>
        </w:rPr>
      </w:pPr>
    </w:p>
    <w:p>
      <w:pPr>
        <w:ind w:right="80" w:firstLine="254"/>
        <w:spacing w:after="0" w:line="296" w:lineRule="auto"/>
        <w:rPr>
          <w:sz w:val="20"/>
          <w:szCs w:val="20"/>
          <w:color w:val="auto"/>
        </w:rPr>
      </w:pPr>
      <w:r>
        <w:rPr>
          <w:rFonts w:ascii="Arial" w:cs="Arial" w:eastAsia="Arial" w:hAnsi="Arial"/>
          <w:sz w:val="13"/>
          <w:szCs w:val="13"/>
          <w:color w:val="auto"/>
        </w:rPr>
        <w:t>Employee safety has always been paramount at Fluidigm, a commitment very much in evidence as we continue to navigate the challenges of the COVID-19 pandemic. At the outset of the crisis, we tasked a global, interdisciplinary team of leaders in environmental health and safety, human resources, legal, facilities and information technology to develop guidelines and processes for new health and well-being protocols. Also developed were new practices for cross-functional, remote teamwork, operating disciplines and training programs.</w:t>
      </w:r>
    </w:p>
    <w:p>
      <w:pPr>
        <w:spacing w:after="0" w:line="72" w:lineRule="exact"/>
        <w:rPr>
          <w:sz w:val="20"/>
          <w:szCs w:val="20"/>
          <w:color w:val="auto"/>
        </w:rPr>
      </w:pPr>
    </w:p>
    <w:p>
      <w:pPr>
        <w:jc w:val="both"/>
        <w:ind w:right="20" w:firstLine="254"/>
        <w:spacing w:after="0" w:line="261" w:lineRule="auto"/>
        <w:rPr>
          <w:sz w:val="20"/>
          <w:szCs w:val="20"/>
          <w:color w:val="auto"/>
        </w:rPr>
      </w:pPr>
      <w:r>
        <w:rPr>
          <w:rFonts w:ascii="Arial" w:cs="Arial" w:eastAsia="Arial" w:hAnsi="Arial"/>
          <w:sz w:val="14"/>
          <w:szCs w:val="14"/>
          <w:color w:val="auto"/>
        </w:rPr>
        <w:t>To keep our employees safe, we provide to those who can work remotely the tools and resources to do so. Our pivot to remote work has been successful, with employees taking advantage of our technology resources. Essential work continues not only at our facilities and labs, but also every day in home offices, living rooms, kitchens and spare rooms, made possible by our IT systems and the collective commitment of our people. Many of our employees have worked on-site in labs and other facilities throughout the pandemic, and we have adopted a range of protocols and practices to keep them safe.</w:t>
      </w:r>
    </w:p>
    <w:p>
      <w:pPr>
        <w:spacing w:after="0" w:line="83" w:lineRule="exact"/>
        <w:rPr>
          <w:sz w:val="20"/>
          <w:szCs w:val="20"/>
          <w:color w:val="auto"/>
        </w:rPr>
      </w:pPr>
    </w:p>
    <w:p>
      <w:pPr>
        <w:ind w:right="100" w:firstLine="254"/>
        <w:spacing w:after="0" w:line="261" w:lineRule="auto"/>
        <w:rPr>
          <w:sz w:val="20"/>
          <w:szCs w:val="20"/>
          <w:color w:val="auto"/>
        </w:rPr>
      </w:pPr>
      <w:r>
        <w:rPr>
          <w:rFonts w:ascii="Arial" w:cs="Arial" w:eastAsia="Arial" w:hAnsi="Arial"/>
          <w:sz w:val="14"/>
          <w:szCs w:val="14"/>
          <w:color w:val="auto"/>
        </w:rPr>
        <w:t>We have empowered each Fluidigm business location to adopt health and safety recommendations that address local requirements, and we have made site-specific COVID-19 prevention plans readily available for all our employees. In addition, we provide team members practical recommendations based on guidelines from the Centers for Disease Control and Prevention, the World Health Organization, the U.S. Department of Health and Human Services, the Occupational Safety and Health Administration, and other regional government entities. We are committed to updating these recommendations and communicating new pertinent information when available.</w:t>
      </w:r>
    </w:p>
    <w:p>
      <w:pPr>
        <w:spacing w:after="0" w:line="94" w:lineRule="exact"/>
        <w:rPr>
          <w:sz w:val="20"/>
          <w:szCs w:val="20"/>
          <w:color w:val="auto"/>
        </w:rPr>
      </w:pPr>
    </w:p>
    <w:p>
      <w:pPr>
        <w:ind w:right="160" w:firstLine="254"/>
        <w:spacing w:after="0" w:line="288" w:lineRule="auto"/>
        <w:rPr>
          <w:sz w:val="20"/>
          <w:szCs w:val="20"/>
          <w:color w:val="auto"/>
        </w:rPr>
      </w:pPr>
      <w:r>
        <w:rPr>
          <w:rFonts w:ascii="Arial" w:cs="Arial" w:eastAsia="Arial" w:hAnsi="Arial"/>
          <w:sz w:val="13"/>
          <w:szCs w:val="13"/>
          <w:color w:val="auto"/>
        </w:rPr>
        <w:t>One of the key learnings of the extended pandemic is that there are many ways for work to get done. Since the early days of the global health crisis, Fluidigm colleagues around the world have stepped up to make virtual work remarkably successful across a diverse range of teams in every part of the Company. Each Fluidigm site will determine how and when more people return, based on site-specific factors related to health and safety, the needs of the business and each individual’s ability to work remotely versus the necessity to be onsite. We are prepared to be flexible as new information becomes available or as conditions change. As we consider a return to the workplace for more people, safety is our priority. We think</w:t>
      </w:r>
    </w:p>
    <w:p>
      <w:pPr>
        <w:spacing w:after="0" w:line="39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this is an opportunity to make Fluidigm a place to do your very best work in a way that is safe, flexible, collaborative and right for Fluidigm.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and Benefits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primary goal of our compensation program is to ensure that we attract, hire, and retain talented and highly skilled team members who are motivated to achieve or exceed our corporate goals.</w:t>
      </w:r>
    </w:p>
    <w:p>
      <w:pPr>
        <w:spacing w:after="0" w:line="148" w:lineRule="exact"/>
        <w:rPr>
          <w:sz w:val="20"/>
          <w:szCs w:val="20"/>
          <w:color w:val="auto"/>
        </w:rPr>
      </w:pPr>
    </w:p>
    <w:p>
      <w:pPr>
        <w:jc w:val="both"/>
        <w:ind w:right="80" w:firstLine="254"/>
        <w:spacing w:after="0" w:line="331" w:lineRule="auto"/>
        <w:rPr>
          <w:sz w:val="20"/>
          <w:szCs w:val="20"/>
          <w:color w:val="auto"/>
        </w:rPr>
      </w:pPr>
      <w:r>
        <w:rPr>
          <w:rFonts w:ascii="Arial" w:cs="Arial" w:eastAsia="Arial" w:hAnsi="Arial"/>
          <w:sz w:val="12"/>
          <w:szCs w:val="12"/>
          <w:color w:val="auto"/>
        </w:rPr>
        <w:t>We offer competitive total reward packages comprising various elements including market-driven base pay, short- and long-term incentives in the form of performance-based cash and equity, as well as comprehensive health and welfare benefits that include medical, dental, vision, group life, disability, and accidental death and dismemberment insurance, as well as our 401(k) or comparable non-U.S. retirement plans, subject to applicable law. We also provide vacation and other paid holidays to all employees at levels that we believe are comparable to those provided at peer companies.</w:t>
      </w:r>
    </w:p>
    <w:p>
      <w:pPr>
        <w:spacing w:after="0" w:line="54" w:lineRule="exact"/>
        <w:rPr>
          <w:sz w:val="20"/>
          <w:szCs w:val="20"/>
          <w:color w:val="auto"/>
        </w:rPr>
      </w:pPr>
    </w:p>
    <w:p>
      <w:pPr>
        <w:ind w:right="40" w:firstLine="254"/>
        <w:spacing w:after="0" w:line="280" w:lineRule="auto"/>
        <w:rPr>
          <w:sz w:val="20"/>
          <w:szCs w:val="20"/>
          <w:color w:val="auto"/>
        </w:rPr>
      </w:pPr>
      <w:r>
        <w:rPr>
          <w:rFonts w:ascii="Arial" w:cs="Arial" w:eastAsia="Arial" w:hAnsi="Arial"/>
          <w:sz w:val="14"/>
          <w:szCs w:val="14"/>
          <w:color w:val="auto"/>
        </w:rPr>
        <w:t>Our intention is to align our compensation practices with the changing marketplace, working to exceed our peer competitors. By doing so, we strive to provide incentives to our team members to achieve short- and long-term business goals, ensuring they feel rewarded for their performance and contributions.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Development</w:t>
      </w:r>
    </w:p>
    <w:p>
      <w:pPr>
        <w:spacing w:after="0" w:line="118" w:lineRule="exact"/>
        <w:rPr>
          <w:sz w:val="20"/>
          <w:szCs w:val="20"/>
          <w:color w:val="auto"/>
        </w:rPr>
      </w:pPr>
    </w:p>
    <w:p>
      <w:pPr>
        <w:ind w:right="160" w:firstLine="254"/>
        <w:spacing w:after="0" w:line="280" w:lineRule="auto"/>
        <w:rPr>
          <w:sz w:val="20"/>
          <w:szCs w:val="20"/>
          <w:color w:val="auto"/>
        </w:rPr>
      </w:pPr>
      <w:r>
        <w:rPr>
          <w:rFonts w:ascii="Arial" w:cs="Arial" w:eastAsia="Arial" w:hAnsi="Arial"/>
          <w:sz w:val="14"/>
          <w:szCs w:val="14"/>
          <w:color w:val="auto"/>
        </w:rPr>
        <w:t xml:space="preserve">In </w:t>
      </w:r>
      <w:r>
        <w:rPr>
          <w:rFonts w:ascii="Arial" w:cs="Arial" w:eastAsia="Arial" w:hAnsi="Arial"/>
          <w:sz w:val="14"/>
          <w:szCs w:val="14"/>
          <w:color w:val="231F20"/>
        </w:rPr>
        <w:t>addition to providing attractive and competitive total rewards packages, Fluidigm believes in fostering individual and organizational effectiveness by offering our team members a variety of</w:t>
      </w:r>
      <w:r>
        <w:rPr>
          <w:rFonts w:ascii="Arial" w:cs="Arial" w:eastAsia="Arial" w:hAnsi="Arial"/>
          <w:sz w:val="14"/>
          <w:szCs w:val="14"/>
          <w:color w:val="auto"/>
        </w:rPr>
        <w:t xml:space="preserve"> </w:t>
      </w:r>
      <w:r>
        <w:rPr>
          <w:rFonts w:ascii="Arial" w:cs="Arial" w:eastAsia="Arial" w:hAnsi="Arial"/>
          <w:sz w:val="14"/>
          <w:szCs w:val="14"/>
          <w:color w:val="231F20"/>
        </w:rPr>
        <w:t>professional development programs. These programs are designed to:</w:t>
      </w:r>
    </w:p>
    <w:p>
      <w:pPr>
        <w:spacing w:after="0" w:line="90" w:lineRule="exact"/>
        <w:rPr>
          <w:sz w:val="20"/>
          <w:szCs w:val="20"/>
          <w:color w:val="auto"/>
        </w:rPr>
      </w:pPr>
    </w:p>
    <w:p>
      <w:pPr>
        <w:ind w:left="500" w:hanging="241"/>
        <w:spacing w:after="0"/>
        <w:tabs>
          <w:tab w:leader="none" w:pos="500" w:val="left"/>
        </w:tabs>
        <w:numPr>
          <w:ilvl w:val="0"/>
          <w:numId w:val="11"/>
        </w:numPr>
        <w:rPr>
          <w:rFonts w:ascii="Arial" w:cs="Arial" w:eastAsia="Arial" w:hAnsi="Arial"/>
          <w:sz w:val="14"/>
          <w:szCs w:val="14"/>
          <w:color w:val="231F20"/>
        </w:rPr>
      </w:pPr>
      <w:r>
        <w:rPr>
          <w:rFonts w:ascii="Arial" w:cs="Arial" w:eastAsia="Arial" w:hAnsi="Arial"/>
          <w:sz w:val="14"/>
          <w:szCs w:val="14"/>
          <w:color w:val="231F20"/>
        </w:rPr>
        <w:t>inform, educate, and inspire our people to reach their professional goals;</w:t>
      </w:r>
    </w:p>
    <w:p>
      <w:pPr>
        <w:spacing w:after="0" w:line="93" w:lineRule="exact"/>
        <w:rPr>
          <w:rFonts w:ascii="Arial" w:cs="Arial" w:eastAsia="Arial" w:hAnsi="Arial"/>
          <w:sz w:val="14"/>
          <w:szCs w:val="14"/>
          <w:color w:val="231F20"/>
        </w:rPr>
      </w:pPr>
    </w:p>
    <w:p>
      <w:pPr>
        <w:ind w:left="520" w:right="80" w:hanging="261"/>
        <w:spacing w:after="0" w:line="28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333333"/>
        </w:rPr>
        <w:t>provide professional growth opportunities in different, easily accessible ways to accommodate diverse learning styles, including via classroom/live instructor-led trainings, online/e-learning modules, webinar/virtual trainings, blended learning, and professional coaching;</w:t>
      </w:r>
    </w:p>
    <w:p>
      <w:pPr>
        <w:spacing w:after="0" w:line="47" w:lineRule="exact"/>
        <w:rPr>
          <w:rFonts w:ascii="Arial" w:cs="Arial" w:eastAsia="Arial" w:hAnsi="Arial"/>
          <w:sz w:val="14"/>
          <w:szCs w:val="14"/>
          <w:color w:val="auto"/>
        </w:rPr>
      </w:pPr>
    </w:p>
    <w:p>
      <w:pPr>
        <w:ind w:left="500" w:hanging="24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provide individuals and the organization with the knowledge and skills to respond effectively to customer needs as well as current and future business demands; and</w:t>
      </w:r>
    </w:p>
    <w:p>
      <w:pPr>
        <w:spacing w:after="0" w:line="93" w:lineRule="exact"/>
        <w:rPr>
          <w:rFonts w:ascii="Arial" w:cs="Arial" w:eastAsia="Arial" w:hAnsi="Arial"/>
          <w:sz w:val="14"/>
          <w:szCs w:val="14"/>
          <w:color w:val="auto"/>
        </w:rPr>
      </w:pPr>
    </w:p>
    <w:p>
      <w:pPr>
        <w:ind w:left="500" w:hanging="241"/>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provide ongoing support to the organization’s development efforts.</w:t>
      </w:r>
    </w:p>
    <w:p>
      <w:pPr>
        <w:spacing w:after="0" w:line="125"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color w:val="333333"/>
        </w:rPr>
        <w:t>culture is one that actively supports participation in learning activities and the application of new knowledge and skills on the job. As such, we</w:t>
      </w:r>
      <w:r>
        <w:rPr>
          <w:rFonts w:ascii="Arial" w:cs="Arial" w:eastAsia="Arial" w:hAnsi="Arial"/>
          <w:sz w:val="14"/>
          <w:szCs w:val="14"/>
          <w:color w:val="auto"/>
        </w:rPr>
        <w:t xml:space="preserve"> </w:t>
      </w:r>
      <w:r>
        <w:rPr>
          <w:rFonts w:ascii="Arial" w:cs="Arial" w:eastAsia="Arial" w:hAnsi="Arial"/>
          <w:sz w:val="14"/>
          <w:szCs w:val="14"/>
          <w:color w:val="231F20"/>
        </w:rPr>
        <w:t>strive to create a work environment that both</w:t>
      </w:r>
      <w:r>
        <w:rPr>
          <w:rFonts w:ascii="Arial" w:cs="Arial" w:eastAsia="Arial" w:hAnsi="Arial"/>
          <w:sz w:val="14"/>
          <w:szCs w:val="14"/>
          <w:color w:val="auto"/>
        </w:rPr>
        <w:t xml:space="preserve"> </w:t>
      </w:r>
      <w:r>
        <w:rPr>
          <w:rFonts w:ascii="Arial" w:cs="Arial" w:eastAsia="Arial" w:hAnsi="Arial"/>
          <w:sz w:val="14"/>
          <w:szCs w:val="14"/>
          <w:color w:val="231F20"/>
        </w:rPr>
        <w:t>challenges and supports all our team members to do their best work.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 and Inclusion</w:t>
      </w:r>
    </w:p>
    <w:p>
      <w:pPr>
        <w:spacing w:after="0" w:line="108" w:lineRule="exact"/>
        <w:rPr>
          <w:sz w:val="20"/>
          <w:szCs w:val="20"/>
          <w:color w:val="auto"/>
        </w:rPr>
      </w:pPr>
    </w:p>
    <w:p>
      <w:pPr>
        <w:jc w:val="both"/>
        <w:ind w:right="60" w:firstLine="254"/>
        <w:spacing w:after="0" w:line="262" w:lineRule="auto"/>
        <w:rPr>
          <w:sz w:val="20"/>
          <w:szCs w:val="20"/>
          <w:color w:val="auto"/>
        </w:rPr>
      </w:pPr>
      <w:r>
        <w:rPr>
          <w:rFonts w:ascii="Arial" w:cs="Arial" w:eastAsia="Arial" w:hAnsi="Arial"/>
          <w:sz w:val="13"/>
          <w:szCs w:val="13"/>
          <w:color w:val="auto"/>
        </w:rPr>
        <w:t>At Fluidigm, our commitment to diversity, inclusion and equity is reflective of our values. We believe that we are strongest when we embrace all forms of diversity, and that it is essential to seek out diverse, innovative ideas and foster an inclusive culture where all colleagues are respected and engaged. We apply this commitment to diversity to every aspect of the employee experience, from recruitment to development, training and advancement. As Fluidigm evolves, we will continue to build an inclusive and diverse culture that empowers all of us.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Available Information</w:t>
      </w:r>
    </w:p>
    <w:p>
      <w:pPr>
        <w:spacing w:after="0" w:line="118" w:lineRule="exact"/>
        <w:rPr>
          <w:sz w:val="20"/>
          <w:szCs w:val="20"/>
          <w:color w:val="auto"/>
        </w:rPr>
      </w:pPr>
    </w:p>
    <w:p>
      <w:pPr>
        <w:ind w:right="60" w:firstLine="254"/>
        <w:spacing w:after="0" w:line="258" w:lineRule="auto"/>
        <w:rPr>
          <w:sz w:val="20"/>
          <w:szCs w:val="20"/>
          <w:color w:val="auto"/>
        </w:rPr>
      </w:pPr>
      <w:r>
        <w:rPr>
          <w:rFonts w:ascii="Arial" w:cs="Arial" w:eastAsia="Arial" w:hAnsi="Arial"/>
          <w:sz w:val="14"/>
          <w:szCs w:val="14"/>
          <w:color w:val="auto"/>
        </w:rPr>
        <w:t>We were incorporated in California in May 1999 as Mycometrix Corporation, changed our name to Fluidigm Corporation in April 2001, and reincorporated in Delaware in July 2007. Our principal executive offices are located at Two Tower Place,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(SEC). Our SEC reports can be accessed through the investor relations page of our website located at http://investors.fluidigm.com. The SEC also maintains an Internet site at www.sec.gov that contains reports, proxy and information statements, and other information regarding issuers that file electronically with the SEC.</w:t>
      </w:r>
    </w:p>
    <w:p>
      <w:pPr>
        <w:spacing w:after="0" w:line="95" w:lineRule="exact"/>
        <w:rPr>
          <w:sz w:val="20"/>
          <w:szCs w:val="20"/>
          <w:color w:val="auto"/>
        </w:rPr>
      </w:pPr>
    </w:p>
    <w:p>
      <w:pPr>
        <w:ind w:firstLine="254"/>
        <w:spacing w:after="0" w:line="280" w:lineRule="auto"/>
        <w:rPr>
          <w:sz w:val="20"/>
          <w:szCs w:val="20"/>
          <w:color w:val="auto"/>
        </w:rPr>
      </w:pPr>
      <w:r>
        <w:rPr>
          <w:rFonts w:ascii="Arial" w:cs="Arial" w:eastAsia="Arial" w:hAnsi="Arial"/>
          <w:sz w:val="14"/>
          <w:szCs w:val="14"/>
          <w:color w:val="auto"/>
        </w:rPr>
        <w:t>The contents of our website are not a part of, and are not incorporated by reference into, this Annual Report on Form 10-K or any other report or document we file with the SEC. Any reference to our website is intended to be an inactive textual reference only.</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19" w:name="page20"/>
    <w:bookmarkEnd w:id="19"/>
    <w:p>
      <w:pPr>
        <w:jc w:val="both"/>
        <w:ind w:firstLine="254"/>
        <w:spacing w:after="0" w:line="266" w:lineRule="auto"/>
        <w:rPr>
          <w:sz w:val="20"/>
          <w:szCs w:val="20"/>
          <w:color w:val="auto"/>
        </w:rPr>
      </w:pPr>
      <w:r>
        <w:rPr>
          <w:rFonts w:ascii="Arial" w:cs="Arial" w:eastAsia="Arial" w:hAnsi="Arial"/>
          <w:sz w:val="14"/>
          <w:szCs w:val="14"/>
          <w:color w:val="auto"/>
        </w:rPr>
        <w:t>We intend to use our website, www.fluidigm.com as a means of disclosing material non-public information and for complying with our disclosure obligations under SEC Regulation FD. Such disclosures will be included on our website under “About Us &gt; Investors.” Accordingly, investors should monitor the “Investors” section of our website, in addition to following our press releases, SEC filings, and public conference calls and webcasts.</w:t>
      </w:r>
    </w:p>
    <w:p>
      <w:pPr>
        <w:spacing w:after="0" w:line="200" w:lineRule="exact"/>
        <w:rPr>
          <w:sz w:val="20"/>
          <w:szCs w:val="20"/>
          <w:color w:val="auto"/>
        </w:rPr>
      </w:pPr>
    </w:p>
    <w:p>
      <w:pPr>
        <w:spacing w:after="0" w:line="207"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060"/>
          </w:cols>
          <w:pgMar w:left="300" w:top="1018" w:right="5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ITEM 1A. RISK FACTORS</w:t>
      </w:r>
    </w:p>
    <w:p>
      <w:pPr>
        <w:spacing w:after="0" w:line="140" w:lineRule="exact"/>
        <w:rPr>
          <w:sz w:val="20"/>
          <w:szCs w:val="20"/>
          <w:color w:val="auto"/>
        </w:rPr>
      </w:pPr>
    </w:p>
    <w:p>
      <w:pPr>
        <w:ind w:right="20" w:firstLine="349"/>
        <w:spacing w:after="0" w:line="258" w:lineRule="auto"/>
        <w:rPr>
          <w:sz w:val="20"/>
          <w:szCs w:val="20"/>
          <w:color w:val="auto"/>
        </w:rPr>
      </w:pPr>
      <w:r>
        <w:rPr>
          <w:rFonts w:ascii="Arial" w:cs="Arial" w:eastAsia="Arial" w:hAnsi="Arial"/>
          <w:sz w:val="14"/>
          <w:szCs w:val="14"/>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Annual Report on Form 10-K.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Private Placement Issuance</w:t>
      </w:r>
    </w:p>
    <w:p>
      <w:pPr>
        <w:spacing w:after="0" w:line="118" w:lineRule="exact"/>
        <w:rPr>
          <w:sz w:val="20"/>
          <w:szCs w:val="20"/>
          <w:color w:val="auto"/>
        </w:rPr>
      </w:pPr>
    </w:p>
    <w:p>
      <w:pPr>
        <w:ind w:left="500" w:hanging="24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pending strategic Private Placement Issuance may not be consummated or may be delayed.</w:t>
      </w:r>
    </w:p>
    <w:p>
      <w:pPr>
        <w:spacing w:after="0" w:line="40" w:lineRule="exact"/>
        <w:rPr>
          <w:rFonts w:ascii="Arial" w:cs="Arial" w:eastAsia="Arial" w:hAnsi="Arial"/>
          <w:sz w:val="14"/>
          <w:szCs w:val="14"/>
          <w:color w:val="auto"/>
        </w:rPr>
      </w:pPr>
    </w:p>
    <w:p>
      <w:pPr>
        <w:ind w:left="520" w:hanging="261"/>
        <w:spacing w:after="0" w:line="27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While the Private Placement Issuance is pending, we are subject to business uncertainties and contractual restrictions that could harm our business relationships, financial condition, operating results and business.</w:t>
      </w:r>
    </w:p>
    <w:p>
      <w:pPr>
        <w:ind w:left="500" w:hanging="24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have incurred, and will incur, substantial expenses in connection with the Private Placement Issuance.</w:t>
      </w:r>
    </w:p>
    <w:p>
      <w:pPr>
        <w:spacing w:after="0" w:line="29" w:lineRule="exact"/>
        <w:rPr>
          <w:rFonts w:ascii="Arial" w:cs="Arial" w:eastAsia="Arial" w:hAnsi="Arial"/>
          <w:sz w:val="14"/>
          <w:szCs w:val="14"/>
          <w:color w:val="auto"/>
        </w:rPr>
      </w:pPr>
    </w:p>
    <w:p>
      <w:pPr>
        <w:ind w:left="520" w:right="460" w:hanging="261"/>
        <w:spacing w:after="0" w:line="27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Following the Closing, the Purchasers will own a significant portion of our total outstanding voting securities and may prevent other stockholders from influencing material corporate decisions following completion of the Private Placement Issuance.</w:t>
      </w:r>
    </w:p>
    <w:p>
      <w:pPr>
        <w:ind w:left="500" w:hanging="241"/>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may not be able to realize the anticipated benefits of the Private Placement Issuance, and we will be subject to business uncertainties that could adversely affect our business.</w:t>
      </w:r>
    </w:p>
    <w:p>
      <w:pPr>
        <w:spacing w:after="0" w:line="51" w:lineRule="exact"/>
        <w:rPr>
          <w:rFonts w:ascii="Arial" w:cs="Arial" w:eastAsia="Arial" w:hAnsi="Arial"/>
          <w:sz w:val="13"/>
          <w:szCs w:val="13"/>
          <w:color w:val="auto"/>
        </w:rPr>
      </w:pPr>
    </w:p>
    <w:p>
      <w:pPr>
        <w:ind w:left="500" w:hanging="24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Private Placement Issuance, if consummated, will cause dilution to our current stockholders.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market value of our common stock could decline if the Purchasers sell their Series B Preferred Stock or common stock after certain transfer restrictions expire.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Industry, and Strategy</w:t>
      </w:r>
    </w:p>
    <w:p>
      <w:pPr>
        <w:spacing w:after="0" w:line="129" w:lineRule="exact"/>
        <w:rPr>
          <w:sz w:val="20"/>
          <w:szCs w:val="20"/>
          <w:color w:val="auto"/>
        </w:rPr>
      </w:pP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COVID-19 pandemic has significantly affected our business operations.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financial results and revenue growth rates have varied significantly from quarter-to-quarter and year-to-year, and may not be consistent with expectations.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have incurred losses since inception, and we may continue to incur substantial losses for the foreseeable future.</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life science markets are highly competitive and subject to rapid technological change.</w:t>
      </w:r>
    </w:p>
    <w:p>
      <w:pPr>
        <w:spacing w:after="0" w:line="40" w:lineRule="exact"/>
        <w:rPr>
          <w:rFonts w:ascii="Arial" w:cs="Arial" w:eastAsia="Arial" w:hAnsi="Arial"/>
          <w:sz w:val="14"/>
          <w:szCs w:val="14"/>
          <w:color w:val="auto"/>
        </w:rPr>
      </w:pPr>
    </w:p>
    <w:p>
      <w:pPr>
        <w:ind w:left="520" w:right="200" w:hanging="261"/>
        <w:spacing w:after="0" w:line="268"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our research and product development efforts do not result in commercially viable products within anticipated timelines, if at all, our business and results of operations will be adversely affected.</w:t>
      </w: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future success is dependent upon our ability to expand our customer base and introduce new applications.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our products fail to achieve and sustain sufficient market acceptance, our revenue will be adversely affected.</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growth strategy involves the potential for significant acquisitions.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efficiency and cost-savings initiatives could be disruptive to our operations.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Implementation of a company-wide enterprise resource planning (ERP) system could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Operations and Reliance on Third Parties</w:t>
      </w:r>
    </w:p>
    <w:p>
      <w:pPr>
        <w:spacing w:after="0" w:line="118" w:lineRule="exact"/>
        <w:rPr>
          <w:sz w:val="20"/>
          <w:szCs w:val="20"/>
          <w:color w:val="auto"/>
        </w:rPr>
      </w:pPr>
    </w:p>
    <w:p>
      <w:pPr>
        <w:ind w:left="500" w:hanging="24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experience development or manufacturing problems or delays.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depends on research and development spending levels of our customers.</w:t>
      </w:r>
    </w:p>
    <w:p>
      <w:pPr>
        <w:spacing w:after="0" w:line="40" w:lineRule="exact"/>
        <w:rPr>
          <w:rFonts w:ascii="Arial" w:cs="Arial" w:eastAsia="Arial" w:hAnsi="Arial"/>
          <w:sz w:val="14"/>
          <w:szCs w:val="14"/>
          <w:color w:val="auto"/>
        </w:rPr>
      </w:pPr>
    </w:p>
    <w:p>
      <w:pPr>
        <w:ind w:left="520" w:right="220" w:hanging="261"/>
        <w:spacing w:after="0" w:line="268"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Disruption of our manufacturing facilities or other operations, or in the operations of our customers or business partners, could result in cancellation of orders, delays in deliveries or other business activities, or loss of customers.</w:t>
      </w:r>
    </w:p>
    <w:p>
      <w:pPr>
        <w:ind w:left="500" w:hanging="24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rely on single and sole source suppliers for some of the components and materials used in our products.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Any disruption or delay in the shipping or off-loading of our products may have an adverse effect on our financial condition and results of operations.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operations depend upon the continuing efforts of our management team and other key employees.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distribution capabilities and direct sales, field support, and marketing forces must be sufficient to meet our customers’ needs.</w:t>
      </w:r>
    </w:p>
    <w:p>
      <w:pPr>
        <w:spacing w:after="0" w:line="358"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4" w:right="339" w:bottom="1440" w:gutter="0" w:footer="0" w:header="0"/>
        </w:sectPr>
      </w:pPr>
    </w:p>
    <w:bookmarkStart w:id="21" w:name="page22"/>
    <w:bookmarkEnd w:id="21"/>
    <w:p>
      <w:pPr>
        <w:ind w:left="500" w:hanging="241"/>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use our analytical systems, customers typically need to purchase specialized reagents.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Security breaches, loss of data, cyberattacks, and other IT failures could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Quality and the Regulatory Environment</w:t>
      </w:r>
    </w:p>
    <w:p>
      <w:pPr>
        <w:spacing w:after="0" w:line="129" w:lineRule="exact"/>
        <w:rPr>
          <w:sz w:val="20"/>
          <w:szCs w:val="20"/>
          <w:color w:val="auto"/>
        </w:rPr>
      </w:pPr>
    </w:p>
    <w:p>
      <w:pPr>
        <w:ind w:left="500" w:hanging="241"/>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products could have defects or errors.</w:t>
      </w:r>
    </w:p>
    <w:p>
      <w:pPr>
        <w:spacing w:after="0" w:line="40" w:lineRule="exact"/>
        <w:rPr>
          <w:rFonts w:ascii="Arial" w:cs="Arial" w:eastAsia="Arial" w:hAnsi="Arial"/>
          <w:sz w:val="14"/>
          <w:szCs w:val="14"/>
          <w:color w:val="auto"/>
        </w:rPr>
      </w:pPr>
    </w:p>
    <w:p>
      <w:pPr>
        <w:ind w:left="520" w:hanging="261"/>
        <w:spacing w:after="0" w:line="268"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Although the FDA granted Emergency Use Authorization (EUA) for our Advanta Dx SARS-CoV-2 RT-PCR Assay in August 2020 and an update to our EUA for use of the AZOVA COVID-19 Test Collection Kit in February 2021, among other updates, these authorizations are only valid during the COVID-19 public health emergency.</w:t>
      </w:r>
    </w:p>
    <w:p>
      <w:pPr>
        <w:ind w:left="520" w:right="140" w:hanging="261"/>
        <w:spacing w:after="0" w:line="276"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 the extent we elect to label and promote any of our non-EUA products as medical devices, we would be required to obtain prior approval or clearance by the FDA or comparable foreign regulatory authority.</w:t>
      </w:r>
    </w:p>
    <w:p>
      <w:pPr>
        <w:ind w:left="520" w:right="220" w:hanging="261"/>
        <w:spacing w:after="0" w:line="280"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Compliance or the failure to comply with current and future regulations affecting our products and business operations worldwide could cause us significant expense and adversely impact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Economic Conditions and Operating a Global Business</w:t>
      </w:r>
    </w:p>
    <w:p>
      <w:pPr>
        <w:spacing w:after="0" w:line="129" w:lineRule="exact"/>
        <w:rPr>
          <w:sz w:val="20"/>
          <w:szCs w:val="20"/>
          <w:color w:val="auto"/>
        </w:rPr>
      </w:pPr>
    </w:p>
    <w:p>
      <w:pPr>
        <w:ind w:left="500" w:hanging="241"/>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generate a substantial portion of our revenue internationally.</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Adverse conditions in the global economy may significantly harm our revenue, profitability, and results of operations.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are subject to fluctuations in the exchange rate of the U.S. dollar and foreign currencies.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Tax, and Accounting Risks</w:t>
      </w:r>
    </w:p>
    <w:p>
      <w:pPr>
        <w:spacing w:after="0" w:line="129" w:lineRule="exact"/>
        <w:rPr>
          <w:sz w:val="20"/>
          <w:szCs w:val="20"/>
          <w:color w:val="auto"/>
        </w:rPr>
      </w:pPr>
    </w:p>
    <w:p>
      <w:pPr>
        <w:ind w:left="520" w:right="100" w:hanging="261"/>
        <w:spacing w:after="0" w:line="263"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believe that our current level of cash and cash equivalents, together with committed financing facilities, are not sufficient to fund ongoing operations for at least the twelve-month period after the financial statements were issued. The existence of these conditions raises substantial doubt about our ability to continue as a “going concern” for at least the twelve-month period following the date the financial statements were issued.</w:t>
      </w:r>
    </w:p>
    <w:p>
      <w:pPr>
        <w:ind w:left="500" w:hanging="24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future capital needs are uncertain and we may need to raise additional funds in the future.</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Any failure to maintain effective internal control over financial reporting could adversely affect our business.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not realize the value of our goodwill or other intangible assets.</w:t>
      </w:r>
    </w:p>
    <w:p>
      <w:pPr>
        <w:spacing w:after="0" w:line="29" w:lineRule="exact"/>
        <w:rPr>
          <w:rFonts w:ascii="Arial" w:cs="Arial" w:eastAsia="Arial" w:hAnsi="Arial"/>
          <w:sz w:val="14"/>
          <w:szCs w:val="14"/>
          <w:color w:val="auto"/>
        </w:rPr>
      </w:pPr>
    </w:p>
    <w:p>
      <w:pPr>
        <w:ind w:left="520" w:right="200" w:hanging="261"/>
        <w:spacing w:after="0" w:line="276"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If we fail to comply with the covenants and other obligations under our debt facilities, the lenders may be able to accelerate amounts owed under the facilities and, in the case of our Credit Facility (as defined herein), may foreclose upon the assets securing our obligations.</w:t>
      </w:r>
    </w:p>
    <w:p>
      <w:pPr>
        <w:ind w:left="500" w:hanging="24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subject to risks related to taxation in multiple jurisdictions.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a significant amount of outstanding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118" w:lineRule="exact"/>
        <w:rPr>
          <w:sz w:val="20"/>
          <w:szCs w:val="20"/>
          <w:color w:val="auto"/>
        </w:rPr>
      </w:pPr>
    </w:p>
    <w:p>
      <w:pPr>
        <w:ind w:left="500" w:hanging="241"/>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protect our intellectual property and proprietary technology is uncertain.</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be involved in lawsuits to protect or enforce our patents and proprietary rights.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be subject to damages resulting from claims that we or our employees have wrongfully used or disclosed alleged trade secrets.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depend on certain technologies that are licensed to us.</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are subject to certain manufacturing restrictions related to licensed technologies that were developed with the financial assistance of U.S. governmental grants.</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are subject to certain obligations and restrictions relating to technologies developed in cooperation with Canadian government agencies.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129" w:lineRule="exact"/>
        <w:rPr>
          <w:sz w:val="20"/>
          <w:szCs w:val="20"/>
          <w:color w:val="auto"/>
        </w:rPr>
      </w:pPr>
    </w:p>
    <w:p>
      <w:pPr>
        <w:ind w:left="500" w:hanging="241"/>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stock price is volatile.</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Future sales of our common stock in the public market could cause our stock price to fall.</w:t>
      </w:r>
    </w:p>
    <w:p>
      <w:pPr>
        <w:spacing w:after="0" w:line="29" w:lineRule="exact"/>
        <w:rPr>
          <w:rFonts w:ascii="Arial" w:cs="Arial" w:eastAsia="Arial" w:hAnsi="Arial"/>
          <w:sz w:val="14"/>
          <w:szCs w:val="14"/>
          <w:color w:val="auto"/>
        </w:rPr>
      </w:pPr>
    </w:p>
    <w:p>
      <w:pPr>
        <w:ind w:left="500" w:hanging="241"/>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securities or industry analysts publish unfavorable research about us or cease to cover our business, our stock price and/or trading volume could decline.</w:t>
      </w:r>
    </w:p>
    <w:p>
      <w:pPr>
        <w:spacing w:after="0" w:line="40" w:lineRule="exact"/>
        <w:rPr>
          <w:rFonts w:ascii="Arial" w:cs="Arial" w:eastAsia="Arial" w:hAnsi="Arial"/>
          <w:sz w:val="14"/>
          <w:szCs w:val="14"/>
          <w:color w:val="auto"/>
        </w:rPr>
      </w:pPr>
    </w:p>
    <w:p>
      <w:pPr>
        <w:ind w:left="500" w:hanging="241"/>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Any conversions of our 2014 Notes or 2019 Notes will dilute the ownership interest of our existing stockholders.</w:t>
      </w: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RISKS RELATED TO THE PRIVATE PLACEMENT ISSUANCE</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color w:val="auto"/>
        </w:rPr>
        <w:t>The pending strategic Private Placement Issuance may not be consummated or may be delayed, and any failure to complete the Private Placement Issuance could materially and adversely impact our financial condition, results of operations, growth prospects and/or stock price.</w:t>
      </w:r>
    </w:p>
    <w:p>
      <w:pPr>
        <w:spacing w:after="0" w:line="76" w:lineRule="exact"/>
        <w:rPr>
          <w:sz w:val="20"/>
          <w:szCs w:val="20"/>
          <w:color w:val="auto"/>
        </w:rPr>
      </w:pPr>
    </w:p>
    <w:p>
      <w:pPr>
        <w:ind w:right="440" w:firstLine="254"/>
        <w:spacing w:after="0" w:line="280" w:lineRule="auto"/>
        <w:rPr>
          <w:sz w:val="20"/>
          <w:szCs w:val="20"/>
          <w:color w:val="auto"/>
        </w:rPr>
      </w:pPr>
      <w:r>
        <w:rPr>
          <w:rFonts w:ascii="Arial" w:cs="Arial" w:eastAsia="Arial" w:hAnsi="Arial"/>
          <w:sz w:val="14"/>
          <w:szCs w:val="14"/>
          <w:color w:val="auto"/>
        </w:rPr>
        <w:t xml:space="preserve">As further described in Item 1, </w:t>
      </w:r>
      <w:r>
        <w:rPr>
          <w:rFonts w:ascii="Arial" w:cs="Arial" w:eastAsia="Arial" w:hAnsi="Arial"/>
          <w:sz w:val="14"/>
          <w:szCs w:val="14"/>
          <w:i w:val="1"/>
          <w:iCs w:val="1"/>
          <w:color w:val="auto"/>
        </w:rPr>
        <w:t>Business</w:t>
      </w:r>
      <w:r>
        <w:rPr>
          <w:rFonts w:ascii="Arial" w:cs="Arial" w:eastAsia="Arial" w:hAnsi="Arial"/>
          <w:sz w:val="14"/>
          <w:szCs w:val="14"/>
          <w:color w:val="auto"/>
        </w:rPr>
        <w:t>, we entered into (i) the Casdin Loan Agreement and (ii) the Viking Loan Agreement (the Bridge Loan Agreements). Each Bridge Loan Agreement provides for a Bridge Loan of $12.5 million to the Company. The Bridge Loans were fully drawn on January 24, 2022.</w:t>
      </w:r>
    </w:p>
    <w:p>
      <w:pPr>
        <w:spacing w:after="0" w:line="80" w:lineRule="exact"/>
        <w:rPr>
          <w:sz w:val="20"/>
          <w:szCs w:val="20"/>
          <w:color w:val="auto"/>
        </w:rPr>
      </w:pPr>
    </w:p>
    <w:p>
      <w:pPr>
        <w:ind w:right="120" w:firstLine="254"/>
        <w:spacing w:after="0" w:line="261" w:lineRule="auto"/>
        <w:rPr>
          <w:sz w:val="20"/>
          <w:szCs w:val="20"/>
          <w:color w:val="auto"/>
        </w:rPr>
      </w:pPr>
      <w:r>
        <w:rPr>
          <w:rFonts w:ascii="Arial" w:cs="Arial" w:eastAsia="Arial" w:hAnsi="Arial"/>
          <w:sz w:val="14"/>
          <w:szCs w:val="14"/>
          <w:color w:val="auto"/>
        </w:rPr>
        <w:t xml:space="preserve">Also, as further described in Item 1, </w:t>
      </w:r>
      <w:r>
        <w:rPr>
          <w:rFonts w:ascii="Arial" w:cs="Arial" w:eastAsia="Arial" w:hAnsi="Arial"/>
          <w:sz w:val="14"/>
          <w:szCs w:val="14"/>
          <w:i w:val="1"/>
          <w:iCs w:val="1"/>
          <w:color w:val="auto"/>
        </w:rPr>
        <w:t>Business</w:t>
      </w:r>
      <w:r>
        <w:rPr>
          <w:rFonts w:ascii="Arial" w:cs="Arial" w:eastAsia="Arial" w:hAnsi="Arial"/>
          <w:sz w:val="14"/>
          <w:szCs w:val="14"/>
          <w:color w:val="auto"/>
        </w:rPr>
        <w:t>, on January 23, 2022, we entered into separate Purchase Agreements with each of the Purchasers, pursuant to which, among other things, at the Closing, and on the terms and subject to the conditions set forth therein, the Company will issue and sell in a private placement (a) to Casdin, 112,500 shares of the Company’s newly designated Series B-1 Convertible Preferred Stock in exchange for $112.5 million, and (b) to Viking, 112,500 shares of the Company’s newly designated Series B-2 Convertible Preferred Stock in exchange for $112.5 million.</w:t>
      </w:r>
    </w:p>
    <w:p>
      <w:pPr>
        <w:spacing w:after="0" w:line="83" w:lineRule="exact"/>
        <w:rPr>
          <w:sz w:val="20"/>
          <w:szCs w:val="20"/>
          <w:color w:val="auto"/>
        </w:rPr>
      </w:pPr>
    </w:p>
    <w:p>
      <w:pPr>
        <w:ind w:right="160" w:firstLine="254"/>
        <w:spacing w:after="0" w:line="259" w:lineRule="auto"/>
        <w:rPr>
          <w:sz w:val="20"/>
          <w:szCs w:val="20"/>
          <w:color w:val="auto"/>
        </w:rPr>
      </w:pPr>
      <w:r>
        <w:rPr>
          <w:rFonts w:ascii="Arial" w:cs="Arial" w:eastAsia="Arial" w:hAnsi="Arial"/>
          <w:sz w:val="14"/>
          <w:szCs w:val="14"/>
          <w:color w:val="auto"/>
        </w:rPr>
        <w:t>Consummation of the Private Placement Issuance is subject to certain closing conditions, a number of which are not within our control, including stockholder approval of the Private Placement Issuance. We cannot predict with certainty whether or when any of the required closing conditions will be satisfied, and we can provide no assurance that all closing conditions will be satisfied or waived (where permissible) or that the Private Placement Issuance will be consummated timely or at all. Any failure to satisfy the closing conditions may prevent, delay or otherwise materially adversely affect the completion of the Private Placement Issuance. If the Private Placement Issuance is not consummated, our ongoing business and financial results may be materially adversely affected and we will be subject to a number of risks, including the following:</w:t>
      </w:r>
    </w:p>
    <w:p>
      <w:pPr>
        <w:spacing w:after="0" w:line="95" w:lineRule="exact"/>
        <w:rPr>
          <w:sz w:val="20"/>
          <w:szCs w:val="20"/>
          <w:color w:val="auto"/>
        </w:rPr>
      </w:pPr>
    </w:p>
    <w:p>
      <w:pPr>
        <w:ind w:left="500" w:hanging="241"/>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Purchase Agreements may be terminated;</w:t>
      </w:r>
    </w:p>
    <w:p>
      <w:pPr>
        <w:spacing w:after="0" w:line="82" w:lineRule="exact"/>
        <w:rPr>
          <w:rFonts w:ascii="Arial" w:cs="Arial" w:eastAsia="Arial" w:hAnsi="Arial"/>
          <w:sz w:val="14"/>
          <w:szCs w:val="14"/>
          <w:color w:val="auto"/>
        </w:rPr>
      </w:pPr>
    </w:p>
    <w:p>
      <w:pPr>
        <w:ind w:left="500" w:hanging="241"/>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unable to meet our debt maintenance or repayment obligations;</w:t>
      </w:r>
    </w:p>
    <w:p>
      <w:pPr>
        <w:spacing w:after="0" w:line="71" w:lineRule="exact"/>
        <w:rPr>
          <w:rFonts w:ascii="Arial" w:cs="Arial" w:eastAsia="Arial" w:hAnsi="Arial"/>
          <w:sz w:val="14"/>
          <w:szCs w:val="14"/>
          <w:color w:val="auto"/>
        </w:rPr>
      </w:pPr>
    </w:p>
    <w:p>
      <w:pPr>
        <w:ind w:left="520" w:right="240" w:hanging="261"/>
        <w:spacing w:after="0" w:line="28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lose the anticipated benefits of the Private Placement Issuance and access to the relationships and expertise of the Purchasers, which could negatively impact our financial results, growth prospects and strategic plans;</w:t>
      </w:r>
    </w:p>
    <w:p>
      <w:pPr>
        <w:spacing w:after="0" w:line="37" w:lineRule="exact"/>
        <w:rPr>
          <w:rFonts w:ascii="Arial" w:cs="Arial" w:eastAsia="Arial" w:hAnsi="Arial"/>
          <w:sz w:val="14"/>
          <w:szCs w:val="14"/>
          <w:color w:val="auto"/>
        </w:rPr>
      </w:pPr>
    </w:p>
    <w:p>
      <w:pPr>
        <w:ind w:left="500" w:hanging="241"/>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management may be required to divert attention from our business in order to negotiate an alternative transaction;</w:t>
      </w:r>
    </w:p>
    <w:p>
      <w:pPr>
        <w:spacing w:after="0" w:line="82" w:lineRule="exact"/>
        <w:rPr>
          <w:rFonts w:ascii="Arial" w:cs="Arial" w:eastAsia="Arial" w:hAnsi="Arial"/>
          <w:sz w:val="14"/>
          <w:szCs w:val="14"/>
          <w:color w:val="auto"/>
        </w:rPr>
      </w:pPr>
    </w:p>
    <w:p>
      <w:pPr>
        <w:ind w:left="500" w:hanging="241"/>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will be liable for significant transaction costs, including legal, accounting, financial advisory and other costs relating to the Private Placement Issuance; and</w:t>
      </w:r>
    </w:p>
    <w:p>
      <w:pPr>
        <w:spacing w:after="0" w:line="114" w:lineRule="exact"/>
        <w:rPr>
          <w:rFonts w:ascii="Arial" w:cs="Arial" w:eastAsia="Arial" w:hAnsi="Arial"/>
          <w:sz w:val="14"/>
          <w:szCs w:val="14"/>
          <w:color w:val="auto"/>
        </w:rPr>
      </w:pPr>
    </w:p>
    <w:p>
      <w:pPr>
        <w:ind w:left="500" w:hanging="241"/>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required to pay termination fees as required under the Purchase Agreements.</w:t>
      </w:r>
    </w:p>
    <w:p>
      <w:pPr>
        <w:spacing w:after="0" w:line="125" w:lineRule="exact"/>
        <w:rPr>
          <w:sz w:val="20"/>
          <w:szCs w:val="20"/>
          <w:color w:val="auto"/>
        </w:rPr>
      </w:pPr>
    </w:p>
    <w:p>
      <w:pPr>
        <w:ind w:firstLine="254"/>
        <w:spacing w:after="0" w:line="259" w:lineRule="auto"/>
        <w:rPr>
          <w:sz w:val="20"/>
          <w:szCs w:val="20"/>
          <w:color w:val="auto"/>
        </w:rPr>
      </w:pPr>
      <w:r>
        <w:rPr>
          <w:rFonts w:ascii="Arial" w:cs="Arial" w:eastAsia="Arial" w:hAnsi="Arial"/>
          <w:sz w:val="14"/>
          <w:szCs w:val="14"/>
          <w:color w:val="auto"/>
        </w:rPr>
        <w:t>In addition, if the Private Placement Issuance is not completed, we may experience negative reactions from the financial markets and from our existing stockholders, customers, partners, employees, vendors and creditors. The trading price of our common stock may decline to the extent that the current market price for our common stock reflects a market assumption that the Private Placement Issuance will be completed. We may be unable to find a comparable alternative transaction that would allow us to meet our debt and other obligations as they come due, which could have important consequences, including potentially forcing us into bankruptcy or liquidation. These risks may materialize and may adversely affect our business, financial position, results of operations and cash flows, as well as the price of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 relating to the Private Placement Issuance may be filed that could prevent or delay the Private Placement Issuance closing and/or result in the payment of damages.</w:t>
      </w:r>
    </w:p>
    <w:p>
      <w:pPr>
        <w:spacing w:after="0" w:line="140" w:lineRule="exact"/>
        <w:rPr>
          <w:sz w:val="20"/>
          <w:szCs w:val="20"/>
          <w:color w:val="auto"/>
        </w:rPr>
      </w:pPr>
    </w:p>
    <w:p>
      <w:pPr>
        <w:ind w:right="120" w:firstLine="254"/>
        <w:spacing w:after="0" w:line="259" w:lineRule="auto"/>
        <w:rPr>
          <w:sz w:val="20"/>
          <w:szCs w:val="20"/>
          <w:color w:val="auto"/>
        </w:rPr>
      </w:pPr>
      <w:r>
        <w:rPr>
          <w:rFonts w:ascii="Arial" w:cs="Arial" w:eastAsia="Arial" w:hAnsi="Arial"/>
          <w:sz w:val="14"/>
          <w:szCs w:val="14"/>
          <w:color w:val="auto"/>
        </w:rPr>
        <w:t>In connection with the Private Placement Issuance, it is possible that stockholders or other parties may file putative class action or other lawsuits against us or the Purchasers. Among other remedies, these parties could seek damages and/or to enjoin the Special Meeting. The outcome of any litigation is uncertain, and any such potential lawsuits could prevent or delay the Closing of the Private Placement Issuance and/or result in substantial costs to us. Any such actions may create uncertainty relating to the Private Placement Issuance and may be costly and distracting to management. Further, the defense or settlement of any lawsuit or claim that remains unresolved at the time the Private Placement Issuance is completed may adversely affect our business, financial condition, results of operations and cash flows.</w:t>
      </w:r>
    </w:p>
    <w:p>
      <w:pPr>
        <w:spacing w:after="0" w:line="84" w:lineRule="exact"/>
        <w:rPr>
          <w:sz w:val="20"/>
          <w:szCs w:val="20"/>
          <w:color w:val="auto"/>
        </w:rPr>
      </w:pPr>
    </w:p>
    <w:p>
      <w:pPr>
        <w:jc w:val="both"/>
        <w:ind w:right="120" w:firstLine="254"/>
        <w:spacing w:after="0" w:line="266" w:lineRule="auto"/>
        <w:rPr>
          <w:sz w:val="20"/>
          <w:szCs w:val="20"/>
          <w:color w:val="auto"/>
        </w:rPr>
      </w:pPr>
      <w:r>
        <w:rPr>
          <w:rFonts w:ascii="Arial" w:cs="Arial" w:eastAsia="Arial" w:hAnsi="Arial"/>
          <w:sz w:val="14"/>
          <w:szCs w:val="14"/>
          <w:color w:val="auto"/>
        </w:rPr>
        <w:t>In addition, in connection with the announcement of the Private Placement Issuance, we entered into an indemnification agreement with Dr. Egholm for indemnification with respect to potential claims by a prior employer against Dr. Egholm that may arise in connection with his engagement with us and becoming our Chief Executive Officer. We are currently responding to certain inquiries that a prior employer has made in connection with Dr. Egholm’s signed offer letter to become our Chief</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3" w:name="page24"/>
    <w:bookmarkEnd w:id="23"/>
    <w:p>
      <w:pPr>
        <w:ind w:right="120"/>
        <w:spacing w:after="0" w:line="327" w:lineRule="auto"/>
        <w:rPr>
          <w:sz w:val="20"/>
          <w:szCs w:val="20"/>
          <w:color w:val="auto"/>
        </w:rPr>
      </w:pPr>
      <w:r>
        <w:rPr>
          <w:rFonts w:ascii="Arial" w:cs="Arial" w:eastAsia="Arial" w:hAnsi="Arial"/>
          <w:sz w:val="14"/>
          <w:szCs w:val="14"/>
          <w:color w:val="auto"/>
        </w:rPr>
        <w:t>Executive Officer. Any claims for indemnification made by Dr. Egholm could cause us to incur costs and expenses. To the extent that we expend funds to indemnify Dr. Egholm, those funds will be unavailable for other purposes.</w:t>
      </w:r>
    </w:p>
    <w:p>
      <w:pPr>
        <w:spacing w:after="0" w:line="97" w:lineRule="exact"/>
        <w:rPr>
          <w:sz w:val="20"/>
          <w:szCs w:val="20"/>
          <w:color w:val="auto"/>
        </w:rPr>
      </w:pPr>
    </w:p>
    <w:p>
      <w:pPr>
        <w:ind w:right="360"/>
        <w:spacing w:after="0" w:line="286" w:lineRule="auto"/>
        <w:rPr>
          <w:sz w:val="20"/>
          <w:szCs w:val="20"/>
          <w:color w:val="auto"/>
        </w:rPr>
      </w:pPr>
      <w:r>
        <w:rPr>
          <w:rFonts w:ascii="Arial" w:cs="Arial" w:eastAsia="Arial" w:hAnsi="Arial"/>
          <w:sz w:val="14"/>
          <w:szCs w:val="14"/>
          <w:b w:val="1"/>
          <w:bCs w:val="1"/>
          <w:color w:val="auto"/>
        </w:rPr>
        <w:t>While the Private Placement Issuance is pending, we are subject to business uncertainties and contractual restrictions that could harm our business relationships, financial condition, operating results and business.</w:t>
      </w:r>
    </w:p>
    <w:p>
      <w:pPr>
        <w:spacing w:after="0" w:line="65" w:lineRule="exact"/>
        <w:rPr>
          <w:sz w:val="20"/>
          <w:szCs w:val="20"/>
          <w:color w:val="auto"/>
        </w:rPr>
      </w:pPr>
    </w:p>
    <w:p>
      <w:pPr>
        <w:ind w:right="620" w:firstLine="254"/>
        <w:spacing w:after="0" w:line="280" w:lineRule="auto"/>
        <w:rPr>
          <w:sz w:val="20"/>
          <w:szCs w:val="20"/>
          <w:color w:val="auto"/>
        </w:rPr>
      </w:pPr>
      <w:r>
        <w:rPr>
          <w:rFonts w:ascii="Arial" w:cs="Arial" w:eastAsia="Arial" w:hAnsi="Arial"/>
          <w:sz w:val="14"/>
          <w:szCs w:val="14"/>
          <w:color w:val="auto"/>
        </w:rPr>
        <w:t>During the period prior to the Closing of the Private Placement Issuance and pursuant to the terms of the Purchase Agreements, we are exposed to certain inherent risks and contractual restrictions that could harm our business relationships, financial condition, operating results, and business, including:</w:t>
      </w:r>
    </w:p>
    <w:p>
      <w:pPr>
        <w:spacing w:after="0" w:line="80" w:lineRule="exact"/>
        <w:rPr>
          <w:sz w:val="20"/>
          <w:szCs w:val="20"/>
          <w:color w:val="auto"/>
        </w:rPr>
      </w:pPr>
    </w:p>
    <w:p>
      <w:pPr>
        <w:ind w:left="500" w:hanging="241"/>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potential uncertainty in the marketplace, which could lead current and prospective customers to purchase products and services from other providers or delay purchasing from us;</w:t>
      </w:r>
    </w:p>
    <w:p>
      <w:pPr>
        <w:spacing w:after="0" w:line="94" w:lineRule="exact"/>
        <w:rPr>
          <w:rFonts w:ascii="Arial" w:cs="Arial" w:eastAsia="Arial" w:hAnsi="Arial"/>
          <w:sz w:val="13"/>
          <w:szCs w:val="13"/>
          <w:color w:val="auto"/>
        </w:rPr>
      </w:pPr>
    </w:p>
    <w:p>
      <w:pPr>
        <w:ind w:left="500" w:hanging="241"/>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difficulties maintaining existing and/or establishing new business relationships, including business relationships with significant customers, suppliers and partners;</w:t>
      </w:r>
    </w:p>
    <w:p>
      <w:pPr>
        <w:spacing w:after="0" w:line="71" w:lineRule="exact"/>
        <w:rPr>
          <w:rFonts w:ascii="Arial" w:cs="Arial" w:eastAsia="Arial" w:hAnsi="Arial"/>
          <w:sz w:val="14"/>
          <w:szCs w:val="14"/>
          <w:color w:val="auto"/>
        </w:rPr>
      </w:pPr>
    </w:p>
    <w:p>
      <w:pPr>
        <w:ind w:left="520" w:right="180" w:hanging="261"/>
        <w:spacing w:after="0" w:line="28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possibility of disruption to our business and operations resulting from the announcement and pendency of the Private Placement Issuance, including diversion of management attention and resources;</w:t>
      </w:r>
    </w:p>
    <w:p>
      <w:pPr>
        <w:spacing w:after="0" w:line="37" w:lineRule="exact"/>
        <w:rPr>
          <w:rFonts w:ascii="Arial" w:cs="Arial" w:eastAsia="Arial" w:hAnsi="Arial"/>
          <w:sz w:val="14"/>
          <w:szCs w:val="14"/>
          <w:color w:val="auto"/>
        </w:rPr>
      </w:pPr>
    </w:p>
    <w:p>
      <w:pPr>
        <w:ind w:left="520" w:right="40" w:hanging="261"/>
        <w:spacing w:after="0" w:line="28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inability to attract and retain key personnel and recruit prospective employees, and the possibility that our current employees could be distracted, and their productivity decline as a result, due to uncertainty regarding the Private Placement Issuance;</w:t>
      </w:r>
    </w:p>
    <w:p>
      <w:pPr>
        <w:spacing w:after="0" w:line="37" w:lineRule="exact"/>
        <w:rPr>
          <w:rFonts w:ascii="Arial" w:cs="Arial" w:eastAsia="Arial" w:hAnsi="Arial"/>
          <w:sz w:val="14"/>
          <w:szCs w:val="14"/>
          <w:color w:val="auto"/>
        </w:rPr>
      </w:pPr>
    </w:p>
    <w:p>
      <w:pPr>
        <w:ind w:left="520" w:right="220" w:hanging="261"/>
        <w:spacing w:after="0" w:line="28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inability to pursue alternative business opportunities or make changes to our business pending the completion of the Private Placement Issuance, and other restrictions on our ability to conduct our business;</w:t>
      </w:r>
    </w:p>
    <w:p>
      <w:pPr>
        <w:spacing w:after="0" w:line="26" w:lineRule="exact"/>
        <w:rPr>
          <w:rFonts w:ascii="Arial" w:cs="Arial" w:eastAsia="Arial" w:hAnsi="Arial"/>
          <w:sz w:val="14"/>
          <w:szCs w:val="14"/>
          <w:color w:val="auto"/>
        </w:rPr>
      </w:pPr>
    </w:p>
    <w:p>
      <w:pPr>
        <w:ind w:left="500" w:hanging="241"/>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inability to take certain actions that we might believe are beneficial for our business;</w:t>
      </w:r>
    </w:p>
    <w:p>
      <w:pPr>
        <w:spacing w:after="0" w:line="82" w:lineRule="exact"/>
        <w:rPr>
          <w:rFonts w:ascii="Arial" w:cs="Arial" w:eastAsia="Arial" w:hAnsi="Arial"/>
          <w:sz w:val="14"/>
          <w:szCs w:val="14"/>
          <w:color w:val="auto"/>
        </w:rPr>
      </w:pPr>
    </w:p>
    <w:p>
      <w:pPr>
        <w:ind w:left="520" w:right="580" w:hanging="261"/>
        <w:spacing w:after="0" w:line="28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of the costs, fees, expenses and charges related to the Purchase Agreements and the Private Placement Issuance, which may materially and adversely affect our financial condition; and</w:t>
      </w:r>
    </w:p>
    <w:p>
      <w:pPr>
        <w:spacing w:after="0" w:line="37" w:lineRule="exact"/>
        <w:rPr>
          <w:rFonts w:ascii="Arial" w:cs="Arial" w:eastAsia="Arial" w:hAnsi="Arial"/>
          <w:sz w:val="14"/>
          <w:szCs w:val="14"/>
          <w:color w:val="auto"/>
        </w:rPr>
      </w:pPr>
    </w:p>
    <w:p>
      <w:pPr>
        <w:ind w:left="520" w:right="360" w:hanging="261"/>
        <w:spacing w:after="0" w:line="28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developments beyond our control, including, but not limited to, changes in domestic or global economic conditions, that may affect the timing or success of the Private Placement Issuance.</w:t>
      </w:r>
    </w:p>
    <w:p>
      <w:pPr>
        <w:spacing w:after="0" w:line="69" w:lineRule="exact"/>
        <w:rPr>
          <w:sz w:val="20"/>
          <w:szCs w:val="20"/>
          <w:color w:val="auto"/>
        </w:rPr>
      </w:pPr>
    </w:p>
    <w:p>
      <w:pPr>
        <w:ind w:firstLine="254"/>
        <w:spacing w:after="0" w:line="280" w:lineRule="auto"/>
        <w:rPr>
          <w:sz w:val="20"/>
          <w:szCs w:val="20"/>
          <w:color w:val="auto"/>
        </w:rPr>
      </w:pPr>
      <w:r>
        <w:rPr>
          <w:rFonts w:ascii="Arial" w:cs="Arial" w:eastAsia="Arial" w:hAnsi="Arial"/>
          <w:sz w:val="14"/>
          <w:szCs w:val="14"/>
          <w:color w:val="auto"/>
        </w:rPr>
        <w:t>If any one or more of these effects were to occur, they could materially and adversely impact our business, cash flow, results of operations or financial condition, as well as the market price of our common stock and our perceived value, regardless of whether the Private Placement Issuance is completed.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Purchase Agreements limit our ability to pursue alternatives to the Private Placement Issuance.</w:t>
      </w:r>
    </w:p>
    <w:p>
      <w:pPr>
        <w:spacing w:after="0" w:line="129" w:lineRule="exact"/>
        <w:rPr>
          <w:sz w:val="20"/>
          <w:szCs w:val="20"/>
          <w:color w:val="auto"/>
        </w:rPr>
      </w:pPr>
    </w:p>
    <w:p>
      <w:pPr>
        <w:ind w:right="160" w:firstLine="254"/>
        <w:spacing w:after="0" w:line="258" w:lineRule="auto"/>
        <w:rPr>
          <w:sz w:val="20"/>
          <w:szCs w:val="20"/>
          <w:color w:val="auto"/>
        </w:rPr>
      </w:pPr>
      <w:r>
        <w:rPr>
          <w:rFonts w:ascii="Arial" w:cs="Arial" w:eastAsia="Arial" w:hAnsi="Arial"/>
          <w:sz w:val="14"/>
          <w:szCs w:val="14"/>
          <w:color w:val="auto"/>
        </w:rPr>
        <w:t>The Purchase Agreements contain certain customary restrictions on our ability to solicit proposals from third parties for alternative transactions, including a strategic investment or a sale of the Company. In addition, subject to certain customary “fiduciary out” exceptions, our board of directors is required to recommend that our stockholders vote in favor of the approval of the Private Placement Issuance. In connection with termination of the Purchase Agreements under specified circumstances, we will be obligated to pay each Purchaser a termination fee of up to $5,000,000. Moreover, we may be required to reimburse each Purchaser for an amount not to exceed $1,250,000 for each Purchaser’s documented expenses if the Purchase Agreements are terminated for any reason other than the applicable Purchaser’s breach of its Purchase Agreement. The payment of these fees and expenses could materially and adversely impact our business, cash flow, results of operations or financial condition.</w:t>
      </w:r>
    </w:p>
    <w:p>
      <w:pPr>
        <w:spacing w:after="0" w:line="95"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These provisions might discourage an otherwise-interested third party from considering or proposing an alternative transaction, including a transaction that may be deemed to offer greater value to our stockholders than the Private Placement Issuance.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Actions of activist stockholders or other parties may impair our ability to consummate the Private Placement Issuance or otherwise could negatively impact our business.</w:t>
      </w:r>
    </w:p>
    <w:p>
      <w:pPr>
        <w:spacing w:after="0" w:line="130"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Actions taken by activist stockholders could impair our ability to satisfy conditions to the consummation of the Private Placement Issuance, including receiving the requisite stockholder approval, or otherwise preclude us from consummating the Private Placement Issuance. Such activist stockholders could also take actions that disrupt our business, divert the time and attention of management and our employees away from our business operations, cause us to incur substantial additional expense, create perceived uncertainties among current and potential customers, clients, suppliers, employees and other constituencies as to our future direction as a consequence thereof, which may result in lost sales or other business arrangements and the loss of potential business opportunities, and make it more difficult to attract and retain qualified personnel and business partners. Actions that our board of directors has taken, and may take in the future, in response to any offer or proposal by activist stockholders may result in litigation against us, which could also be a significant distraction for our management and</w:t>
      </w: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50" w:right="339" w:bottom="1440" w:gutter="0" w:footer="0" w:header="0"/>
        </w:sectPr>
      </w:pPr>
    </w:p>
    <w:bookmarkStart w:id="24" w:name="page25"/>
    <w:bookmarkEnd w:id="24"/>
    <w:p>
      <w:pPr>
        <w:spacing w:after="0" w:line="280" w:lineRule="auto"/>
        <w:rPr>
          <w:sz w:val="20"/>
          <w:szCs w:val="20"/>
          <w:color w:val="auto"/>
        </w:rPr>
      </w:pPr>
      <w:r>
        <w:rPr>
          <w:rFonts w:ascii="Arial" w:cs="Arial" w:eastAsia="Arial" w:hAnsi="Arial"/>
          <w:sz w:val="14"/>
          <w:szCs w:val="14"/>
          <w:color w:val="auto"/>
        </w:rPr>
        <w:t>employees and may require us to incur significant costs or otherwise result in an adverse effect on us. In addition, actual or perceived actions of activist stockholders may cause significant fluctuations in the trading price of our common stock that do not necessarily reflect the underlying fundamentals and prospects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incurred, and will incur, substantial expenses in connection with the Private Placement Issuance.</w:t>
      </w:r>
    </w:p>
    <w:p>
      <w:pPr>
        <w:spacing w:after="0" w:line="118" w:lineRule="exact"/>
        <w:rPr>
          <w:sz w:val="20"/>
          <w:szCs w:val="20"/>
          <w:color w:val="auto"/>
        </w:rPr>
      </w:pPr>
    </w:p>
    <w:p>
      <w:pPr>
        <w:ind w:right="120" w:firstLine="254"/>
        <w:spacing w:after="0" w:line="259" w:lineRule="auto"/>
        <w:rPr>
          <w:sz w:val="20"/>
          <w:szCs w:val="20"/>
          <w:color w:val="auto"/>
        </w:rPr>
      </w:pPr>
      <w:r>
        <w:rPr>
          <w:rFonts w:ascii="Arial" w:cs="Arial" w:eastAsia="Arial" w:hAnsi="Arial"/>
          <w:sz w:val="14"/>
          <w:szCs w:val="14"/>
          <w:color w:val="auto"/>
        </w:rPr>
        <w:t>We have incurred, and will incur, substantial expenses in connection with and as a result of the Private Placement Issuance, including financial advisory, legal, accounting, consulting and other advisory fees and expenses. A portion of the costs related to the Private Placement Issuance will be incurred regardless of whether the Private Placement Issuance is completed. While we have assumed that a certain level of transaction expenses will be incurred, factors beyond our control could affect the total amount or the timing of these expenses. Some of the expenses that will be incurred, by their nature, are difficult to estimate accurately. These expenses will exceed the costs historically borne by us and could adversely affect our financial condition and results of operations prior to and following the Private Placement Issuance.</w:t>
      </w:r>
    </w:p>
    <w:p>
      <w:pPr>
        <w:spacing w:after="0" w:line="144" w:lineRule="exact"/>
        <w:rPr>
          <w:sz w:val="20"/>
          <w:szCs w:val="20"/>
          <w:color w:val="auto"/>
        </w:rPr>
      </w:pPr>
    </w:p>
    <w:p>
      <w:pPr>
        <w:ind w:right="300"/>
        <w:spacing w:after="0" w:line="327" w:lineRule="auto"/>
        <w:rPr>
          <w:sz w:val="20"/>
          <w:szCs w:val="20"/>
          <w:color w:val="auto"/>
        </w:rPr>
      </w:pPr>
      <w:r>
        <w:rPr>
          <w:rFonts w:ascii="Arial" w:cs="Arial" w:eastAsia="Arial" w:hAnsi="Arial"/>
          <w:sz w:val="13"/>
          <w:szCs w:val="13"/>
          <w:b w:val="1"/>
          <w:bCs w:val="1"/>
          <w:color w:val="auto"/>
        </w:rPr>
        <w:t>Following the Closing, the Purchasers will own a significant portion of our total outstanding voting securities and may prevent other stockholders from influencing material corporate decisions following completion of the Private Placement Issuance, and the Purchasers’ interests may conflict with those of our other stockholders.</w:t>
      </w:r>
    </w:p>
    <w:p>
      <w:pPr>
        <w:spacing w:after="0" w:line="52" w:lineRule="exact"/>
        <w:rPr>
          <w:sz w:val="20"/>
          <w:szCs w:val="20"/>
          <w:color w:val="auto"/>
        </w:rPr>
      </w:pPr>
    </w:p>
    <w:p>
      <w:pPr>
        <w:ind w:right="60" w:firstLine="254"/>
        <w:spacing w:after="0" w:line="278" w:lineRule="auto"/>
        <w:rPr>
          <w:sz w:val="20"/>
          <w:szCs w:val="20"/>
          <w:color w:val="auto"/>
        </w:rPr>
      </w:pPr>
      <w:r>
        <w:rPr>
          <w:rFonts w:ascii="Arial" w:cs="Arial" w:eastAsia="Arial" w:hAnsi="Arial"/>
          <w:sz w:val="13"/>
          <w:szCs w:val="13"/>
          <w:color w:val="auto"/>
        </w:rPr>
        <w:t>Assuming the Closing occurs on April 1, 2022 (the Assumed Closing Date), the Series B Preferred Stock will initially be convertible into up to approximately 75,157,929 shares of our common stock (without giving effect to limitations associated with any conversion cap), including any shares of our common stock issuable upon conversion of the Series B Preferred Stock issued upon conversion of the Bridge Loans. On an as-converted basis, we expect this to collectively represent approximately 49.4% of our issued and outstanding common stock immediately following the Closing (equating to approximately 24.7% per Purchaser) based on the number of shares of common stock outstanding as of January 31, 2022, but assuming full conversion of all Series B Preferred Stock (without giving effect to limitations associated with any conversion cap) immediately following the Assumed Closing Date. As a result, the Purchasers are expected to be our largest stockholders. This concentration of ownership, together with the voting rights, director designation rights and consent rights granted to the Purchasers as part of the Private Placement Issuance, may be perceived negatively by other investors and, as a result, may adversely affect the market price of our common stock. The Purchasers, if they acted together, could significantly influence all matters requiring approval by our stockholders, including the election of directors and the approval of mergers or other business combination transactions. The interests of the Purchasers may not always coincide with our interests or the interests of other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not be able to realize the anticipated benefits of the Private Placement Issuance, and we will be subject to business uncertainties that could adversely affect our business.</w:t>
      </w:r>
    </w:p>
    <w:p>
      <w:pPr>
        <w:spacing w:after="0" w:line="140" w:lineRule="exact"/>
        <w:rPr>
          <w:sz w:val="20"/>
          <w:szCs w:val="20"/>
          <w:color w:val="auto"/>
        </w:rPr>
      </w:pPr>
    </w:p>
    <w:p>
      <w:pPr>
        <w:ind w:firstLine="254"/>
        <w:spacing w:after="0" w:line="276" w:lineRule="auto"/>
        <w:rPr>
          <w:sz w:val="20"/>
          <w:szCs w:val="20"/>
          <w:color w:val="auto"/>
        </w:rPr>
      </w:pPr>
      <w:r>
        <w:rPr>
          <w:rFonts w:ascii="Arial" w:cs="Arial" w:eastAsia="Arial" w:hAnsi="Arial"/>
          <w:sz w:val="13"/>
          <w:szCs w:val="13"/>
          <w:color w:val="auto"/>
        </w:rPr>
        <w:t>The anticipated benefits of the Private Placement Issuance, including, among others: (i) to capitalize Fluidigm appropriately; (ii) to avoid frequently recurring liquidity concerns that temper stock price performance; (iii) to manage operating expenses; (iv) to find new sources of growth both organic and inorganic; and (v) to implement management changes as necessary to achieve the foregoing may not be realized fully or at all, or may take longer to realize than we currently expect. Additionally, the Purchasers are preeminent investors in the life sciences market, and the Company may not realize the benefits from their domain experience and success in building growth companies in life sciences. Actual operating, strategic and revenue opportunities, if achieved at all, may be less significant than we expect or may take longer to achieve than we anticipate. If we are not able to achieve these objectives and realize the anticipated benefits from the Private Placement Issuance within the anticipated timing or at all, our business, financial condition and operating results may be adversely affected. Parties with whom we do business may experience uncertainty associated with the Private Placement Issuance. Our business relationships may be subject to disruption as customers, partners, vendors, landlords and other parties with whom we do business may attempt to delay or defer entering into new business relationships with us, negotiate changes in existing business relationships, terminate their contracts with us, or consider entering into business relationships with our competitors following the Private Placement Issuance. The occurrence of any of these events could have an adverse effect on our operating results, particularly during the period immediately following the Closing. Uncertainty about the effect of the Private Placement Issuance could also have an adverse effect on our employee relations. This uncertainty may impair our ability to attract, retain and motivate key personnel until the Private Placement Issuance is consummated and for a period of time thereafter. Any loss of key personnel, including members of our senior management team, could have an adverse effect on our operations and financial results.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Private Placement Issuance, if consummated, will cause dilution to our current stockholders, which may negatively affect the market price of our common stock.</w:t>
      </w:r>
    </w:p>
    <w:p>
      <w:pPr>
        <w:spacing w:after="0" w:line="118" w:lineRule="exact"/>
        <w:rPr>
          <w:sz w:val="20"/>
          <w:szCs w:val="20"/>
          <w:color w:val="auto"/>
        </w:rPr>
      </w:pPr>
    </w:p>
    <w:p>
      <w:pPr>
        <w:ind w:right="200" w:firstLine="254"/>
        <w:spacing w:after="0" w:line="280" w:lineRule="auto"/>
        <w:rPr>
          <w:sz w:val="20"/>
          <w:szCs w:val="20"/>
          <w:color w:val="auto"/>
        </w:rPr>
      </w:pPr>
      <w:r>
        <w:rPr>
          <w:rFonts w:ascii="Arial" w:cs="Arial" w:eastAsia="Arial" w:hAnsi="Arial"/>
          <w:sz w:val="14"/>
          <w:szCs w:val="14"/>
          <w:color w:val="auto"/>
        </w:rPr>
        <w:t>If our stockholders approve the Private Placement Issuance, upon the Closing, the Series B-1 Preferred Stock issued pursuant to the B-1 Purchase Agreement and Casdin Loan Agreement will initially be convertible into an aggregate of</w:t>
      </w: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25" w:name="page26"/>
    <w:bookmarkEnd w:id="25"/>
    <w:p>
      <w:pPr>
        <w:ind w:right="100"/>
        <w:spacing w:after="0" w:line="278" w:lineRule="auto"/>
        <w:rPr>
          <w:sz w:val="20"/>
          <w:szCs w:val="20"/>
          <w:color w:val="auto"/>
        </w:rPr>
      </w:pPr>
      <w:r>
        <w:rPr>
          <w:rFonts w:ascii="Arial" w:cs="Arial" w:eastAsia="Arial" w:hAnsi="Arial"/>
          <w:sz w:val="13"/>
          <w:szCs w:val="13"/>
          <w:color w:val="auto"/>
        </w:rPr>
        <w:t>approximately 37,578,964 shares of our common stock (subject to adjustment), and the Series B-2 Preferred Stock issued pursuant to the B-2 Purchase Agreement and Viking Loan Agreement will initially be convertible into an aggregate of approximately 37,578,964 shares of our Common Stock (subject to adjustment), assuming the Closing occurs on the Assumed Closing Date, and without giving effect to limitations associated with any conversion cap. On an as-converted basis, and assuming the Closing occurs on the Assumed Closing Date, we currently expect this to represent an aggregate of approximately 49.4% of our issued and outstanding shares of Common Stock immediately following the Closing (equating to approximately 24.7% per Purchaser) based on the number of shares of Common Stock outstanding as of January 31, 2022, but assuming full conversion of all Series B Preferred Stock (without giving effect to limitations associated with any conversion cap) immediately following the Closing. In connection with the Closing of the Private Placement Issuance, we also intend to adopt a 2022 Inducement Equity Incentive Plan (the “Inducement Plan”). The initial share reserve under the Inducement Plan is estimated to be 5% of the outstanding shares of Common Stock at the Closing, calculated on a fully diluted basis (assuming all equity awards to be granted in connection with the Closing are outstanding). As a result, our current stockholders will experience substantial dilution of any earnings per share we may have in the future, as well as of ownership percentage and voting rights. This could have the effect of depressing the market price of our common stock.</w:t>
      </w:r>
    </w:p>
    <w:p>
      <w:pPr>
        <w:spacing w:after="0" w:line="132" w:lineRule="exact"/>
        <w:rPr>
          <w:sz w:val="20"/>
          <w:szCs w:val="20"/>
          <w:color w:val="auto"/>
        </w:rPr>
      </w:pPr>
    </w:p>
    <w:p>
      <w:pPr>
        <w:ind w:right="440"/>
        <w:spacing w:after="0" w:line="286" w:lineRule="auto"/>
        <w:rPr>
          <w:sz w:val="20"/>
          <w:szCs w:val="20"/>
          <w:color w:val="auto"/>
        </w:rPr>
      </w:pPr>
      <w:r>
        <w:rPr>
          <w:rFonts w:ascii="Arial" w:cs="Arial" w:eastAsia="Arial" w:hAnsi="Arial"/>
          <w:sz w:val="14"/>
          <w:szCs w:val="14"/>
          <w:b w:val="1"/>
          <w:bCs w:val="1"/>
          <w:color w:val="auto"/>
        </w:rPr>
        <w:t>The market value of our common stock could decline if the Purchasers sell their Series B Preferred Stock or common stock after certain transfer restrictions expire or if our current stockholders sell large amounts of common stock following the Private Placement Issuance.</w:t>
      </w:r>
    </w:p>
    <w:p>
      <w:pPr>
        <w:spacing w:after="0" w:line="65" w:lineRule="exact"/>
        <w:rPr>
          <w:sz w:val="20"/>
          <w:szCs w:val="20"/>
          <w:color w:val="auto"/>
        </w:rPr>
      </w:pPr>
    </w:p>
    <w:p>
      <w:pPr>
        <w:ind w:right="60" w:firstLine="254"/>
        <w:spacing w:after="0" w:line="256" w:lineRule="auto"/>
        <w:rPr>
          <w:sz w:val="20"/>
          <w:szCs w:val="20"/>
          <w:color w:val="auto"/>
        </w:rPr>
      </w:pPr>
      <w:r>
        <w:rPr>
          <w:rFonts w:ascii="Arial" w:cs="Arial" w:eastAsia="Arial" w:hAnsi="Arial"/>
          <w:sz w:val="14"/>
          <w:szCs w:val="14"/>
          <w:color w:val="auto"/>
        </w:rPr>
        <w:t>Pursuant to the Registration Rights Agreement that we entered into on January 23, 2022 with the Purchasers, we agreed to certain customary registration rights with respect to shares issuable under the Bridge Loan Agreements and the Purchase Agreements, including (i) any shares of common stock acquired by any Purchaser pursuant to the conversion of the Series B Preferred Stock in accordance with the Certificates of Designations, (ii) common stock issued upon conversion of the Bridge Loans if no Series B Preferred Stock is issued in accordance with the Bridge Loan Agreements and (iii) any shares of common stock acquired by any Purchaser pursuant to preemptive rights under the Purchase Agreements, which means that such shares would become eligible for resale in the public markets following the expiration of any applicable transfer restrictions. Any sale of such shares, or the anticipation of the possibility of such sales, could create downward pressure on the market price of our common stock. Furthermore, our current stockholders may decide to reduce their investment in us due to the changes to our investment profile as a result of the Private Placement Issuance, and may sell large amounts of common stock leading up to or following the Private Placement Issuance. Such sales of our common stock could have the effect of depressing the market price of our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BUSINESS, INDUSTRY, AND STRATEGY</w:t>
      </w:r>
    </w:p>
    <w:p>
      <w:pPr>
        <w:spacing w:after="0" w:line="178" w:lineRule="exact"/>
        <w:rPr>
          <w:sz w:val="20"/>
          <w:szCs w:val="20"/>
          <w:color w:val="auto"/>
        </w:rPr>
      </w:pPr>
    </w:p>
    <w:p>
      <w:pPr>
        <w:ind w:right="560"/>
        <w:spacing w:after="0" w:line="286" w:lineRule="auto"/>
        <w:rPr>
          <w:sz w:val="20"/>
          <w:szCs w:val="20"/>
          <w:color w:val="auto"/>
        </w:rPr>
      </w:pPr>
      <w:r>
        <w:rPr>
          <w:rFonts w:ascii="Arial" w:cs="Arial" w:eastAsia="Arial" w:hAnsi="Arial"/>
          <w:sz w:val="14"/>
          <w:szCs w:val="14"/>
          <w:b w:val="1"/>
          <w:bCs w:val="1"/>
          <w:color w:val="auto"/>
        </w:rPr>
        <w:t>The global COVID-19 pandemic has significantly affected our business operations and could continue to adversely impact our financial position and cash flows to an extent that is unknown and difficult to predict.</w:t>
      </w:r>
    </w:p>
    <w:p>
      <w:pPr>
        <w:spacing w:after="0" w:line="76" w:lineRule="exact"/>
        <w:rPr>
          <w:sz w:val="20"/>
          <w:szCs w:val="20"/>
          <w:color w:val="auto"/>
        </w:rPr>
      </w:pPr>
    </w:p>
    <w:p>
      <w:pPr>
        <w:ind w:firstLine="254"/>
        <w:spacing w:after="0" w:line="257" w:lineRule="auto"/>
        <w:rPr>
          <w:sz w:val="20"/>
          <w:szCs w:val="20"/>
          <w:color w:val="auto"/>
        </w:rPr>
      </w:pPr>
      <w:r>
        <w:rPr>
          <w:rFonts w:ascii="Arial" w:cs="Arial" w:eastAsia="Arial" w:hAnsi="Arial"/>
          <w:sz w:val="14"/>
          <w:szCs w:val="14"/>
          <w:color w:val="auto"/>
        </w:rPr>
        <w:t>The pandemic and international public health emergency caused by SARS-CoV-2, the novel strain of coronavirus that causes the disease commonly known as COVID-19, has adversely affected all the countries in which we and our customers, suppliers, and other business partners operate, disrupting supply chains, causing significant volatility in global financial markets, and raising the prospect of an extended global recession. Public health problems resulting from COVID-19 and precautionary measures instituted by governments and businesses to mitigate its spread and resurgence, including travel restrictions and quarantines, could continue to contribute to a general slowdown in the global economy, cause increasingly adverse impacts on our customers, suppliers, and other business partners, and further disrupt our operations. Changes in our operations as a result of the COVID-19 pandemic have resulted in inefficiencies and delays, including in sales and product development efforts, and additional costs related to business continuity initiatives that cannot be fully mitigated through succession planning, employees working remotely, or teleconferencing technologies.</w:t>
      </w:r>
    </w:p>
    <w:p>
      <w:pPr>
        <w:spacing w:after="0" w:line="96"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The COVID-19 pandemic and related governmental and societal reactions have had, and may continue to have, a negative impact on our business, liquidity, results of operations, and stock price due to the occurrence of some or all of the following events or circumstances among others:</w:t>
      </w:r>
    </w:p>
    <w:p>
      <w:pPr>
        <w:spacing w:after="0" w:line="69" w:lineRule="exact"/>
        <w:rPr>
          <w:sz w:val="20"/>
          <w:szCs w:val="20"/>
          <w:color w:val="auto"/>
        </w:rPr>
      </w:pPr>
    </w:p>
    <w:p>
      <w:pPr>
        <w:ind w:left="500" w:hanging="241"/>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reduced demand for some of our products and services due to the impact of COVID-19 on our customers, including in the global academic research community;</w:t>
      </w:r>
    </w:p>
    <w:p>
      <w:pPr>
        <w:spacing w:after="0" w:line="82" w:lineRule="exact"/>
        <w:rPr>
          <w:rFonts w:ascii="Arial" w:cs="Arial" w:eastAsia="Arial" w:hAnsi="Arial"/>
          <w:sz w:val="14"/>
          <w:szCs w:val="14"/>
          <w:color w:val="auto"/>
        </w:rPr>
      </w:pPr>
    </w:p>
    <w:p>
      <w:pPr>
        <w:ind w:left="500" w:hanging="241"/>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negative impact of ongoing travel restrictions and social distancing policies on our sales operations, marketing efforts, and customer field support;</w:t>
      </w:r>
    </w:p>
    <w:p>
      <w:pPr>
        <w:spacing w:after="0" w:line="82" w:lineRule="exact"/>
        <w:rPr>
          <w:rFonts w:ascii="Arial" w:cs="Arial" w:eastAsia="Arial" w:hAnsi="Arial"/>
          <w:sz w:val="14"/>
          <w:szCs w:val="14"/>
          <w:color w:val="auto"/>
        </w:rPr>
      </w:pPr>
    </w:p>
    <w:p>
      <w:pPr>
        <w:ind w:left="500" w:hanging="241"/>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diminished business productivity due to inefficiencies in employees working from home or increasing physical distancing and other pandemic response protocols in our production facilities;</w:t>
      </w: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26" w:name="page27"/>
    <w:bookmarkEnd w:id="26"/>
    <w:p>
      <w:pPr>
        <w:ind w:left="500" w:hanging="241"/>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increased voluntary turnover, together with impaired ability to hire and effectively train new personnel due to labor shortages, travel restrictions, and physical distancing protocols;</w:t>
      </w:r>
    </w:p>
    <w:p>
      <w:pPr>
        <w:spacing w:after="0" w:line="83" w:lineRule="exact"/>
        <w:rPr>
          <w:rFonts w:ascii="Arial" w:cs="Arial" w:eastAsia="Arial" w:hAnsi="Arial"/>
          <w:sz w:val="13"/>
          <w:szCs w:val="13"/>
          <w:color w:val="auto"/>
        </w:rPr>
      </w:pPr>
    </w:p>
    <w:p>
      <w:pPr>
        <w:ind w:left="520" w:right="520" w:hanging="261"/>
        <w:spacing w:after="0" w:line="28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increased susceptibility to the risk of information technology security breaches and other disruptions due to increased volumes of remote access to our information systems from our employees working at home;</w:t>
      </w:r>
    </w:p>
    <w:p>
      <w:pPr>
        <w:spacing w:after="0" w:line="37" w:lineRule="exact"/>
        <w:rPr>
          <w:rFonts w:ascii="Arial" w:cs="Arial" w:eastAsia="Arial" w:hAnsi="Arial"/>
          <w:sz w:val="14"/>
          <w:szCs w:val="14"/>
          <w:color w:val="auto"/>
        </w:rPr>
      </w:pPr>
    </w:p>
    <w:p>
      <w:pPr>
        <w:ind w:left="500" w:hanging="241"/>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increased operating costs if one of our facilities were to experience a COVID-19 outbreak;</w:t>
      </w:r>
    </w:p>
    <w:p>
      <w:pPr>
        <w:spacing w:after="0" w:line="82" w:lineRule="exact"/>
        <w:rPr>
          <w:rFonts w:ascii="Arial" w:cs="Arial" w:eastAsia="Arial" w:hAnsi="Arial"/>
          <w:sz w:val="14"/>
          <w:szCs w:val="14"/>
          <w:color w:val="auto"/>
        </w:rPr>
      </w:pPr>
    </w:p>
    <w:p>
      <w:pPr>
        <w:ind w:left="500" w:hanging="241"/>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disruption of the operations of our contract manufacturers, suppliers, and other business partners;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shortages or delays in the supply of components and materials used in our products; and</w:t>
      </w:r>
    </w:p>
    <w:p>
      <w:pPr>
        <w:spacing w:after="0" w:line="82" w:lineRule="exact"/>
        <w:rPr>
          <w:rFonts w:ascii="Arial" w:cs="Arial" w:eastAsia="Arial" w:hAnsi="Arial"/>
          <w:sz w:val="14"/>
          <w:szCs w:val="14"/>
          <w:color w:val="auto"/>
        </w:rPr>
      </w:pPr>
    </w:p>
    <w:p>
      <w:pPr>
        <w:ind w:left="500" w:hanging="241"/>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increased volatility in our stock price due to financial market instability.</w:t>
      </w:r>
    </w:p>
    <w:p>
      <w:pPr>
        <w:spacing w:after="0" w:line="125"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In addition to its negative impact on some aspects of our business, the COVID-19 pandemic has been a source of opportunity for our diagnostics business, opening up external funding sources to support innovation and product development and resulting in increased revenues due to sales of our Advanta Dx SARS-CoV-2 RT-PCR test and related sales of our microfluidics instruments. However, as vaccines and alternative testing options for the coronavirus have become available and the perceived threat of the pandemic has receded, the demand for our COVID-19 testing products has slowed, resulting in a corresponding decline in related revenue.</w:t>
      </w:r>
    </w:p>
    <w:p>
      <w:pPr>
        <w:spacing w:after="0" w:line="83" w:lineRule="exact"/>
        <w:rPr>
          <w:sz w:val="20"/>
          <w:szCs w:val="20"/>
          <w:color w:val="auto"/>
        </w:rPr>
      </w:pPr>
    </w:p>
    <w:p>
      <w:pPr>
        <w:ind w:firstLine="254"/>
        <w:spacing w:after="0" w:line="259" w:lineRule="auto"/>
        <w:rPr>
          <w:sz w:val="20"/>
          <w:szCs w:val="20"/>
          <w:color w:val="auto"/>
        </w:rPr>
      </w:pPr>
      <w:r>
        <w:rPr>
          <w:rFonts w:ascii="Arial" w:cs="Arial" w:eastAsia="Arial" w:hAnsi="Arial"/>
          <w:sz w:val="14"/>
          <w:szCs w:val="14"/>
          <w:color w:val="auto"/>
        </w:rPr>
        <w:t>In 2021, factors such as supply chain constraints, China trade restrictions, and the ongoing slowdown in the Asia-Pacific region caused our overall revenues to decline more than expected. The extent to which the COVID-19 pandemic will continue to impact our business and financial results will depend on future developments, which are highly uncertain and cannot be predicted with confidence, such as the continued spread and resurgences of the coronavirus; the emergence of new strains of the disease, such as the Delta and Omicron variants; the availability, efficacy, and acceptance of COVID-19 vaccines; the scope and duration of the public health emergency; and COVID-19 mitigation measures such as travel bans and restrictions, social distancing, quarantines, and business shutdowns and closures.</w:t>
      </w:r>
    </w:p>
    <w:p>
      <w:pPr>
        <w:spacing w:after="0" w:line="95" w:lineRule="exact"/>
        <w:rPr>
          <w:sz w:val="20"/>
          <w:szCs w:val="20"/>
          <w:color w:val="auto"/>
        </w:rPr>
      </w:pPr>
    </w:p>
    <w:p>
      <w:pPr>
        <w:ind w:right="40" w:firstLine="254"/>
        <w:spacing w:after="0" w:line="257" w:lineRule="auto"/>
        <w:rPr>
          <w:sz w:val="20"/>
          <w:szCs w:val="20"/>
          <w:color w:val="auto"/>
        </w:rPr>
      </w:pPr>
      <w:r>
        <w:rPr>
          <w:rFonts w:ascii="Arial" w:cs="Arial" w:eastAsia="Arial" w:hAnsi="Arial"/>
          <w:sz w:val="14"/>
          <w:szCs w:val="14"/>
          <w:color w:val="auto"/>
        </w:rPr>
        <w:t>Because the severity, magnitude, and duration of the COVID-19 pandemic and its economic consequences are uncertain, we are unable to predict the impact of COVID-19 on our operations, our financial performance, and our ability to successfully execute our business strategies and initiatives. The ultimate impact of the COVID-19 pandemic on our operations and financial performance depends on many factors that are not within our control, including, but not limited, to: governmental, business, and individual actions that have been and continue to be taken in response to the pandemic (including restrictions on travel,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labor and materials shortages; supply chain difficulties, including disruption of logistics, shipping, and other distribution operations; and the pace of recovery when the threat of COVID-19 subsides.</w:t>
      </w:r>
    </w:p>
    <w:p>
      <w:pPr>
        <w:spacing w:after="0" w:line="96" w:lineRule="exact"/>
        <w:rPr>
          <w:sz w:val="20"/>
          <w:szCs w:val="20"/>
          <w:color w:val="auto"/>
        </w:rPr>
      </w:pPr>
    </w:p>
    <w:p>
      <w:pPr>
        <w:ind w:right="40" w:firstLine="254"/>
        <w:spacing w:after="0" w:line="266" w:lineRule="auto"/>
        <w:rPr>
          <w:sz w:val="20"/>
          <w:szCs w:val="20"/>
          <w:color w:val="auto"/>
        </w:rPr>
      </w:pPr>
      <w:r>
        <w:rPr>
          <w:rFonts w:ascii="Arial" w:cs="Arial" w:eastAsia="Arial" w:hAnsi="Arial"/>
          <w:sz w:val="14"/>
          <w:szCs w:val="14"/>
          <w:color w:val="auto"/>
        </w:rPr>
        <w:t>As the COVID-19 pandemic continues to affect our operating and financial results, it may also have the effect of heightening many of the other risks described in our other risk factors below. COVID-19 may also affect our operating and financial results in a manner that is not presently known to us or that we currently do not expect to present significant risks to our operations or financial results, particularly if the pandemic and its associated impacts reoccur in the coming months.</w:t>
      </w:r>
    </w:p>
    <w:p>
      <w:pPr>
        <w:spacing w:after="0" w:line="138"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b w:val="1"/>
          <w:bCs w:val="1"/>
          <w:color w:val="auto"/>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spacing w:after="0" w:line="65" w:lineRule="exact"/>
        <w:rPr>
          <w:sz w:val="20"/>
          <w:szCs w:val="20"/>
          <w:color w:val="auto"/>
        </w:rPr>
      </w:pPr>
    </w:p>
    <w:p>
      <w:pPr>
        <w:ind w:right="20" w:firstLine="254"/>
        <w:spacing w:after="0" w:line="258" w:lineRule="auto"/>
        <w:rPr>
          <w:sz w:val="20"/>
          <w:szCs w:val="20"/>
          <w:color w:val="auto"/>
        </w:rPr>
      </w:pPr>
      <w:r>
        <w:rPr>
          <w:rFonts w:ascii="Arial" w:cs="Arial" w:eastAsia="Arial" w:hAnsi="Arial"/>
          <w:sz w:val="14"/>
          <w:szCs w:val="14"/>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Although our revenue increased year-over-year in 2020 compared to 2019 and in 2019 compared to 2018, we experienced a year-over-year decline in revenue in 2021 compared to 2020, and we may be similarly unable to achieve revenue growth in future periods. Variability in our quarterly or annual results of operations, mix of product revenue, including any decline in our revenue related to the COVID-19 pandemic, or variability in rates of revenue growth, if any, may lead to volatility in our stock price as research analysts and investors respond to these fluctuations. These fluctuations are due to numerous factors that are difficult to forecast, including:</w:t>
      </w:r>
    </w:p>
    <w:p>
      <w:pPr>
        <w:spacing w:after="0" w:line="95" w:lineRule="exact"/>
        <w:rPr>
          <w:sz w:val="20"/>
          <w:szCs w:val="20"/>
          <w:color w:val="auto"/>
        </w:rPr>
      </w:pPr>
    </w:p>
    <w:p>
      <w:pPr>
        <w:ind w:left="500" w:hanging="241"/>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fluctuations in demand for our products;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customer budget cycles, capital spending, and the availability of VAT and import tax exemptions;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seasonal variations in customer operations;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tendencies among some customers to defer purchase decisions to the end of the quarter;</w:t>
      </w:r>
    </w:p>
    <w:p>
      <w:pPr>
        <w:spacing w:after="0" w:line="32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27" w:name="page28"/>
    <w:bookmarkEnd w:id="27"/>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large unit value of our systems, particularly our proteomics systems;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our pricing and sales policies or the pricing and sales policies of our competitors;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design, manufacture, market, sell, and deliver products to our customers in a timely and cost-effective manner;</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ability to timely obtain adequate quantities of the materials or components used in our products, which in certain cases are purchased through sole and single source suppliers;</w:t>
      </w:r>
    </w:p>
    <w:p>
      <w:pPr>
        <w:spacing w:after="0" w:line="72" w:lineRule="exact"/>
        <w:rPr>
          <w:rFonts w:ascii="Arial" w:cs="Arial" w:eastAsia="Arial" w:hAnsi="Arial"/>
          <w:sz w:val="13"/>
          <w:szCs w:val="13"/>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staffing shortages, lack of skilled labor, increased turnover, and competitive job markets;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fluctuations or reductions in revenue from sales of legacy instruments that may have contributed significant revenue in prior periods;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quality control or yield problems in our manufacturing operations;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new product introductions and enhancements by us and our competitors;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unanticipated increases in costs or expenses;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complex, variable and, at times, lengthy sales cycle;</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trade restrictions and government protectionism;</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global economic conditions; and</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fluctuations in foreign currency exchange rates.</w:t>
      </w:r>
    </w:p>
    <w:p>
      <w:pPr>
        <w:spacing w:after="0" w:line="114"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90" w:lineRule="exact"/>
        <w:rPr>
          <w:sz w:val="20"/>
          <w:szCs w:val="20"/>
          <w:color w:val="auto"/>
        </w:rPr>
      </w:pPr>
    </w:p>
    <w:p>
      <w:pPr>
        <w:ind w:firstLine="254"/>
        <w:spacing w:after="0" w:line="309" w:lineRule="auto"/>
        <w:rPr>
          <w:sz w:val="20"/>
          <w:szCs w:val="20"/>
          <w:color w:val="auto"/>
        </w:rPr>
      </w:pPr>
      <w:r>
        <w:rPr>
          <w:rFonts w:ascii="Arial" w:cs="Arial" w:eastAsia="Arial" w:hAnsi="Arial"/>
          <w:sz w:val="12"/>
          <w:szCs w:val="12"/>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incurred losses since inception, and we may continue to incur substantial losses for the foreseeable future.</w:t>
      </w:r>
    </w:p>
    <w:p>
      <w:pPr>
        <w:spacing w:after="0" w:line="129" w:lineRule="exact"/>
        <w:rPr>
          <w:sz w:val="20"/>
          <w:szCs w:val="20"/>
          <w:color w:val="auto"/>
        </w:rPr>
      </w:pPr>
    </w:p>
    <w:p>
      <w:pPr>
        <w:ind w:right="40" w:firstLine="254"/>
        <w:spacing w:after="0" w:line="259" w:lineRule="auto"/>
        <w:rPr>
          <w:sz w:val="20"/>
          <w:szCs w:val="20"/>
          <w:color w:val="auto"/>
        </w:rPr>
      </w:pPr>
      <w:r>
        <w:rPr>
          <w:rFonts w:ascii="Arial" w:cs="Arial" w:eastAsia="Arial" w:hAnsi="Arial"/>
          <w:sz w:val="14"/>
          <w:szCs w:val="14"/>
          <w:color w:val="auto"/>
        </w:rPr>
        <w:t>We have incurred significant losses in each fiscal year since our inception, including net losses of $59.2 million, $53.0 million, and $64.8 million during the years 2021, 2020, and 2019, respectively. As of December 31, 2021, we had an accumulated deficit of $736.0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 Until we are able to generate additional revenue to support our level of operating expenses, we will continue to incur operating and net losses and negative cash flow from operations.</w:t>
      </w:r>
    </w:p>
    <w:p>
      <w:pPr>
        <w:spacing w:after="0" w:line="84" w:lineRule="exact"/>
        <w:rPr>
          <w:sz w:val="20"/>
          <w:szCs w:val="20"/>
          <w:color w:val="auto"/>
        </w:rPr>
      </w:pPr>
    </w:p>
    <w:p>
      <w:pPr>
        <w:ind w:right="40" w:firstLine="254"/>
        <w:spacing w:after="0" w:line="280" w:lineRule="auto"/>
        <w:rPr>
          <w:sz w:val="20"/>
          <w:szCs w:val="20"/>
          <w:color w:val="auto"/>
        </w:rPr>
      </w:pPr>
      <w:r>
        <w:rPr>
          <w:rFonts w:ascii="Arial" w:cs="Arial" w:eastAsia="Arial" w:hAnsi="Arial"/>
          <w:sz w:val="14"/>
          <w:szCs w:val="14"/>
          <w:color w:val="auto"/>
        </w:rPr>
        <w:t>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life science markets are highly competitive and subject to rapid technological change, and we may not be able to successfully compete.</w:t>
      </w:r>
    </w:p>
    <w:p>
      <w:pPr>
        <w:spacing w:after="0" w:line="129" w:lineRule="exact"/>
        <w:rPr>
          <w:sz w:val="20"/>
          <w:szCs w:val="20"/>
          <w:color w:val="auto"/>
        </w:rPr>
      </w:pPr>
    </w:p>
    <w:p>
      <w:pPr>
        <w:ind w:right="180" w:firstLine="254"/>
        <w:spacing w:after="0" w:line="261" w:lineRule="auto"/>
        <w:rPr>
          <w:sz w:val="20"/>
          <w:szCs w:val="20"/>
          <w:color w:val="auto"/>
        </w:rPr>
      </w:pPr>
      <w:r>
        <w:rPr>
          <w:rFonts w:ascii="Arial" w:cs="Arial" w:eastAsia="Arial" w:hAnsi="Arial"/>
          <w:sz w:val="14"/>
          <w:szCs w:val="14"/>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SNP genotyping, quantitative polymerase chain reaction (qPCR), digital PCR, flow cytometry, tissue imaging, and additional</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28" w:name="page29"/>
    <w:bookmarkEnd w:id="28"/>
    <w:p>
      <w:pPr>
        <w:ind w:right="140"/>
        <w:spacing w:after="0" w:line="261" w:lineRule="auto"/>
        <w:rPr>
          <w:sz w:val="20"/>
          <w:szCs w:val="20"/>
          <w:color w:val="auto"/>
        </w:rPr>
      </w:pPr>
      <w:r>
        <w:rPr>
          <w:rFonts w:ascii="Arial" w:cs="Arial" w:eastAsia="Arial" w:hAnsi="Arial"/>
          <w:sz w:val="14"/>
          <w:szCs w:val="14"/>
          <w:color w:val="auto"/>
        </w:rPr>
        <w:t>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83" w:lineRule="exact"/>
        <w:rPr>
          <w:sz w:val="20"/>
          <w:szCs w:val="20"/>
          <w:color w:val="auto"/>
        </w:rPr>
      </w:pPr>
    </w:p>
    <w:p>
      <w:pPr>
        <w:ind w:right="100" w:firstLine="254"/>
        <w:spacing w:after="0" w:line="259" w:lineRule="auto"/>
        <w:rPr>
          <w:sz w:val="20"/>
          <w:szCs w:val="20"/>
          <w:color w:val="auto"/>
        </w:rPr>
      </w:pPr>
      <w:r>
        <w:rPr>
          <w:rFonts w:ascii="Arial" w:cs="Arial" w:eastAsia="Arial" w:hAnsi="Arial"/>
          <w:sz w:val="14"/>
          <w:szCs w:val="14"/>
          <w:color w:val="auto"/>
        </w:rPr>
        <w:t>We consider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for our mass cytometry market share, and that IonPath Inc., Akoya Biosciences, Inc., NanoString, and 10x Genomics, Inc. are our principal competitors for our Imaging Mass Cytometry™ market share.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95" w:lineRule="exact"/>
        <w:rPr>
          <w:sz w:val="20"/>
          <w:szCs w:val="20"/>
          <w:color w:val="auto"/>
        </w:rPr>
      </w:pPr>
    </w:p>
    <w:p>
      <w:pPr>
        <w:ind w:right="20" w:firstLine="254"/>
        <w:spacing w:after="0" w:line="258" w:lineRule="auto"/>
        <w:rPr>
          <w:sz w:val="20"/>
          <w:szCs w:val="20"/>
          <w:color w:val="auto"/>
        </w:rPr>
      </w:pPr>
      <w:r>
        <w:rPr>
          <w:rFonts w:ascii="Arial" w:cs="Arial" w:eastAsia="Arial" w:hAnsi="Arial"/>
          <w:sz w:val="14"/>
          <w:szCs w:val="14"/>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76" w:lineRule="exact"/>
        <w:rPr>
          <w:sz w:val="20"/>
          <w:szCs w:val="20"/>
          <w:color w:val="auto"/>
        </w:rPr>
      </w:pPr>
    </w:p>
    <w:p>
      <w:pPr>
        <w:ind w:firstLine="254"/>
        <w:spacing w:after="0" w:line="305" w:lineRule="auto"/>
        <w:rPr>
          <w:sz w:val="20"/>
          <w:szCs w:val="20"/>
          <w:color w:val="auto"/>
        </w:rPr>
      </w:pPr>
      <w:r>
        <w:rPr>
          <w:rFonts w:ascii="Arial" w:cs="Arial" w:eastAsia="Arial" w:hAnsi="Arial"/>
          <w:sz w:val="12"/>
          <w:szCs w:val="12"/>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18"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65"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future success is dependent upon our ability to expand our customer base and introduce new applications.</w:t>
      </w:r>
    </w:p>
    <w:p>
      <w:pPr>
        <w:spacing w:after="0" w:line="129" w:lineRule="exact"/>
        <w:rPr>
          <w:sz w:val="20"/>
          <w:szCs w:val="20"/>
          <w:color w:val="auto"/>
        </w:rPr>
      </w:pPr>
    </w:p>
    <w:p>
      <w:pPr>
        <w:ind w:right="520" w:firstLine="254"/>
        <w:spacing w:after="0" w:line="367" w:lineRule="auto"/>
        <w:rPr>
          <w:sz w:val="20"/>
          <w:szCs w:val="20"/>
          <w:color w:val="auto"/>
        </w:rPr>
      </w:pPr>
      <w:r>
        <w:rPr>
          <w:rFonts w:ascii="Arial" w:cs="Arial" w:eastAsia="Arial" w:hAnsi="Arial"/>
          <w:sz w:val="12"/>
          <w:szCs w:val="12"/>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w:t>
      </w: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29" w:name="page30"/>
    <w:bookmarkEnd w:id="29"/>
    <w:p>
      <w:pPr>
        <w:jc w:val="both"/>
        <w:ind w:right="100"/>
        <w:spacing w:after="0" w:line="331" w:lineRule="auto"/>
        <w:rPr>
          <w:sz w:val="20"/>
          <w:szCs w:val="20"/>
          <w:color w:val="auto"/>
        </w:rPr>
      </w:pPr>
      <w:r>
        <w:rPr>
          <w:rFonts w:ascii="Arial" w:cs="Arial" w:eastAsia="Arial" w:hAnsi="Arial"/>
          <w:sz w:val="12"/>
          <w:szCs w:val="12"/>
          <w:color w:val="auto"/>
        </w:rPr>
        <w:t>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our products fail to achieve and sustain sufficient market acceptance, our revenue will be adversely affected.</w:t>
      </w:r>
    </w:p>
    <w:p>
      <w:pPr>
        <w:spacing w:after="0" w:line="118" w:lineRule="exact"/>
        <w:rPr>
          <w:sz w:val="20"/>
          <w:szCs w:val="20"/>
          <w:color w:val="auto"/>
        </w:rPr>
      </w:pPr>
    </w:p>
    <w:p>
      <w:pPr>
        <w:ind w:firstLine="254"/>
        <w:spacing w:after="0" w:line="258" w:lineRule="auto"/>
        <w:rPr>
          <w:sz w:val="20"/>
          <w:szCs w:val="20"/>
          <w:color w:val="auto"/>
        </w:rPr>
      </w:pPr>
      <w:r>
        <w:rPr>
          <w:rFonts w:ascii="Arial" w:cs="Arial" w:eastAsia="Arial" w:hAnsi="Arial"/>
          <w:sz w:val="14"/>
          <w:szCs w:val="14"/>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95" w:lineRule="exact"/>
        <w:rPr>
          <w:sz w:val="20"/>
          <w:szCs w:val="20"/>
          <w:color w:val="auto"/>
        </w:rPr>
      </w:pPr>
    </w:p>
    <w:p>
      <w:pPr>
        <w:ind w:right="140" w:firstLine="254"/>
        <w:spacing w:after="0" w:line="261" w:lineRule="auto"/>
        <w:rPr>
          <w:sz w:val="20"/>
          <w:szCs w:val="20"/>
          <w:color w:val="auto"/>
        </w:rPr>
      </w:pPr>
      <w:r>
        <w:rPr>
          <w:rFonts w:ascii="Arial" w:cs="Arial" w:eastAsia="Arial" w:hAnsi="Arial"/>
          <w:sz w:val="14"/>
          <w:szCs w:val="14"/>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43" w:lineRule="exact"/>
        <w:rPr>
          <w:sz w:val="20"/>
          <w:szCs w:val="20"/>
          <w:color w:val="auto"/>
        </w:rPr>
      </w:pPr>
    </w:p>
    <w:p>
      <w:pPr>
        <w:ind w:right="240"/>
        <w:spacing w:after="0" w:line="286" w:lineRule="auto"/>
        <w:rPr>
          <w:sz w:val="20"/>
          <w:szCs w:val="20"/>
          <w:color w:val="auto"/>
        </w:rPr>
      </w:pPr>
      <w:r>
        <w:rPr>
          <w:rFonts w:ascii="Arial" w:cs="Arial" w:eastAsia="Arial" w:hAnsi="Arial"/>
          <w:sz w:val="14"/>
          <w:szCs w:val="14"/>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76" w:lineRule="exact"/>
        <w:rPr>
          <w:sz w:val="20"/>
          <w:szCs w:val="20"/>
          <w:color w:val="auto"/>
        </w:rPr>
      </w:pPr>
    </w:p>
    <w:p>
      <w:pPr>
        <w:ind w:right="20" w:firstLine="254"/>
        <w:spacing w:after="0" w:line="301" w:lineRule="auto"/>
        <w:rPr>
          <w:sz w:val="20"/>
          <w:szCs w:val="20"/>
          <w:color w:val="auto"/>
        </w:rPr>
      </w:pPr>
      <w:r>
        <w:rPr>
          <w:rFonts w:ascii="Arial" w:cs="Arial" w:eastAsia="Arial" w:hAnsi="Arial"/>
          <w:sz w:val="12"/>
          <w:szCs w:val="12"/>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efficiency and cost-savings initiatives could be disruptive to our operations and adversely affect our results of operations and financial condition.</w:t>
      </w:r>
    </w:p>
    <w:p>
      <w:pPr>
        <w:spacing w:after="0" w:line="118" w:lineRule="exact"/>
        <w:rPr>
          <w:sz w:val="20"/>
          <w:szCs w:val="20"/>
          <w:color w:val="auto"/>
        </w:rPr>
      </w:pPr>
    </w:p>
    <w:p>
      <w:pPr>
        <w:ind w:right="20" w:firstLine="254"/>
        <w:spacing w:after="0" w:line="281" w:lineRule="auto"/>
        <w:rPr>
          <w:sz w:val="20"/>
          <w:szCs w:val="20"/>
          <w:color w:val="auto"/>
        </w:rPr>
      </w:pPr>
      <w:r>
        <w:rPr>
          <w:rFonts w:ascii="Arial" w:cs="Arial" w:eastAsia="Arial" w:hAnsi="Arial"/>
          <w:sz w:val="13"/>
          <w:szCs w:val="13"/>
          <w:color w:val="auto"/>
        </w:rPr>
        <w:t>From time to time, we have implemented efficiency and cost-savings initiatives intended to stabilize our business operations. These efficiency initiatives have included targeted workforce reductions, optimizing our facilities, and reducing excess space. In 2020, in response to the uncertainty arising from the COVID-19 pandemic, we initiated a range of additional actions aimed at temporarily reducing our operating expenses and preserving liquidity, including implementing temporary enterprise-wide salary reductions of 20% for employees at or above the ‘director’ level and 10% for all others, temporarily reducing our board members’ cash retainers by 20%, and constraining hiring. Although we discontinued our hiring constraints and pandemic-related pay reductions in 2020, we regularly review other possible actions to preserve liquidity and optimize our organization. For example, we may need to decrease or defer capital expenditures and development activities or implement further operating expense reduction measures. The implementation of these and other efficiency and cost-savings initiatives</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30" w:name="page31"/>
    <w:bookmarkEnd w:id="30"/>
    <w:p>
      <w:pPr>
        <w:ind w:right="140"/>
        <w:spacing w:after="0" w:line="266" w:lineRule="auto"/>
        <w:rPr>
          <w:sz w:val="20"/>
          <w:szCs w:val="20"/>
          <w:color w:val="auto"/>
        </w:rPr>
      </w:pPr>
      <w:r>
        <w:rPr>
          <w:rFonts w:ascii="Arial" w:cs="Arial" w:eastAsia="Arial" w:hAnsi="Arial"/>
          <w:sz w:val="14"/>
          <w:szCs w:val="14"/>
          <w:color w:val="auto"/>
        </w:rPr>
        <w:t>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w:t>
      </w:r>
    </w:p>
    <w:p>
      <w:pPr>
        <w:spacing w:after="0" w:line="138"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65" w:lineRule="exact"/>
        <w:rPr>
          <w:sz w:val="20"/>
          <w:szCs w:val="20"/>
          <w:color w:val="auto"/>
        </w:rPr>
      </w:pPr>
    </w:p>
    <w:p>
      <w:pPr>
        <w:ind w:firstLine="254"/>
        <w:spacing w:after="0" w:line="258" w:lineRule="auto"/>
        <w:rPr>
          <w:sz w:val="20"/>
          <w:szCs w:val="20"/>
          <w:color w:val="auto"/>
        </w:rPr>
      </w:pPr>
      <w:r>
        <w:rPr>
          <w:rFonts w:ascii="Arial" w:cs="Arial" w:eastAsia="Arial" w:hAnsi="Arial"/>
          <w:sz w:val="14"/>
          <w:szCs w:val="14"/>
          <w:color w:val="auto"/>
        </w:rPr>
        <w:t>We are considering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76" w:lineRule="exact"/>
        <w:rPr>
          <w:sz w:val="20"/>
          <w:szCs w:val="20"/>
          <w:color w:val="auto"/>
        </w:rPr>
      </w:pPr>
    </w:p>
    <w:p>
      <w:pPr>
        <w:ind w:right="160" w:firstLine="254"/>
        <w:spacing w:after="0" w:line="266" w:lineRule="auto"/>
        <w:rPr>
          <w:sz w:val="20"/>
          <w:szCs w:val="20"/>
          <w:color w:val="auto"/>
        </w:rPr>
      </w:pPr>
      <w:r>
        <w:rPr>
          <w:rFonts w:ascii="Arial" w:cs="Arial" w:eastAsia="Arial" w:hAnsi="Arial"/>
          <w:sz w:val="14"/>
          <w:szCs w:val="14"/>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58" w:lineRule="exact"/>
        <w:rPr>
          <w:sz w:val="20"/>
          <w:szCs w:val="20"/>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difficulties in integrating and managing the operations, technologies, and products of the companies we acquire;</w:t>
      </w:r>
    </w:p>
    <w:p>
      <w:pPr>
        <w:spacing w:after="0" w:line="82" w:lineRule="exact"/>
        <w:rPr>
          <w:rFonts w:ascii="Arial" w:cs="Arial" w:eastAsia="Arial" w:hAnsi="Arial"/>
          <w:sz w:val="14"/>
          <w:szCs w:val="14"/>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diversion of our management’s attention from normal daily operation of our business;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inability to maintain the key business relationships and the reputations of the businesses we acquire;</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inability to retain key personnel of the acquired company;</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uncertainty of entry into markets in which we have limited or no prior experience and in which competitors have stronger market positions;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dependence on unfamiliar affiliates and customers of the companies we acquire;</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insufficient revenue to offset our increased expenses associated with acquisitions;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responsibility for the liabilities of the businesses we acquire, including those which we may not anticipate;</w:t>
      </w:r>
    </w:p>
    <w:p>
      <w:pPr>
        <w:spacing w:after="0" w:line="61" w:lineRule="exact"/>
        <w:rPr>
          <w:rFonts w:ascii="Arial" w:cs="Arial" w:eastAsia="Arial" w:hAnsi="Arial"/>
          <w:sz w:val="14"/>
          <w:szCs w:val="14"/>
          <w:color w:val="auto"/>
        </w:rPr>
      </w:pPr>
    </w:p>
    <w:p>
      <w:pPr>
        <w:ind w:left="520" w:right="280" w:hanging="261"/>
        <w:spacing w:after="0" w:line="28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possibility that we may not realize the value of acquired assets recorded as goodwill or intangible assets, and would be required to incur material charges relating to the impairment of those assets; and</w:t>
      </w:r>
    </w:p>
    <w:p>
      <w:pPr>
        <w:spacing w:after="0" w:line="16" w:lineRule="exact"/>
        <w:rPr>
          <w:rFonts w:ascii="Arial" w:cs="Arial" w:eastAsia="Arial" w:hAnsi="Arial"/>
          <w:sz w:val="14"/>
          <w:szCs w:val="14"/>
          <w:color w:val="auto"/>
        </w:rPr>
      </w:pPr>
    </w:p>
    <w:p>
      <w:pPr>
        <w:ind w:left="500" w:hanging="241"/>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inability to maintain internal standards, controls, procedures, and policies.</w:t>
      </w:r>
    </w:p>
    <w:p>
      <w:pPr>
        <w:spacing w:after="0" w:line="125" w:lineRule="exact"/>
        <w:rPr>
          <w:sz w:val="20"/>
          <w:szCs w:val="20"/>
          <w:color w:val="auto"/>
        </w:rPr>
      </w:pPr>
    </w:p>
    <w:p>
      <w:pPr>
        <w:ind w:right="140" w:firstLine="254"/>
        <w:spacing w:after="0" w:line="266" w:lineRule="auto"/>
        <w:rPr>
          <w:sz w:val="20"/>
          <w:szCs w:val="20"/>
          <w:color w:val="auto"/>
        </w:rPr>
      </w:pPr>
      <w:r>
        <w:rPr>
          <w:rFonts w:ascii="Arial" w:cs="Arial" w:eastAsia="Arial" w:hAnsi="Arial"/>
          <w:sz w:val="14"/>
          <w:szCs w:val="14"/>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OPERATIONS AND RELIANCE ON THIRD PARTIES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experience development or manufacturing problems or delays that could limit the potential growth of our revenue or increase our losses.</w:t>
      </w:r>
    </w:p>
    <w:p>
      <w:pPr>
        <w:spacing w:after="0" w:line="129" w:lineRule="exact"/>
        <w:rPr>
          <w:sz w:val="20"/>
          <w:szCs w:val="20"/>
          <w:color w:val="auto"/>
        </w:rPr>
      </w:pPr>
    </w:p>
    <w:p>
      <w:pPr>
        <w:ind w:right="40" w:firstLine="254"/>
        <w:spacing w:after="0" w:line="288" w:lineRule="auto"/>
        <w:rPr>
          <w:sz w:val="20"/>
          <w:szCs w:val="20"/>
          <w:color w:val="auto"/>
        </w:rPr>
      </w:pPr>
      <w:r>
        <w:rPr>
          <w:rFonts w:ascii="Arial" w:cs="Arial" w:eastAsia="Arial" w:hAnsi="Arial"/>
          <w:sz w:val="13"/>
          <w:szCs w:val="13"/>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27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31" w:name="page32"/>
    <w:bookmarkEnd w:id="31"/>
    <w:p>
      <w:pPr>
        <w:ind w:right="80" w:firstLine="254"/>
        <w:spacing w:after="0" w:line="259" w:lineRule="auto"/>
        <w:rPr>
          <w:sz w:val="20"/>
          <w:szCs w:val="20"/>
          <w:color w:val="auto"/>
        </w:rPr>
      </w:pPr>
      <w:r>
        <w:rPr>
          <w:rFonts w:ascii="Arial" w:cs="Arial" w:eastAsia="Arial" w:hAnsi="Arial"/>
          <w:sz w:val="14"/>
          <w:szCs w:val="14"/>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84" w:lineRule="exact"/>
        <w:rPr>
          <w:sz w:val="20"/>
          <w:szCs w:val="20"/>
          <w:color w:val="auto"/>
        </w:rPr>
      </w:pPr>
    </w:p>
    <w:p>
      <w:pPr>
        <w:ind w:right="80" w:firstLine="254"/>
        <w:spacing w:after="0" w:line="266" w:lineRule="auto"/>
        <w:rPr>
          <w:sz w:val="20"/>
          <w:szCs w:val="20"/>
          <w:color w:val="auto"/>
        </w:rPr>
      </w:pPr>
      <w:r>
        <w:rPr>
          <w:rFonts w:ascii="Arial" w:cs="Arial" w:eastAsia="Arial" w:hAnsi="Arial"/>
          <w:sz w:val="14"/>
          <w:szCs w:val="14"/>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90" w:lineRule="exact"/>
        <w:rPr>
          <w:sz w:val="20"/>
          <w:szCs w:val="20"/>
          <w:color w:val="auto"/>
        </w:rPr>
      </w:pPr>
    </w:p>
    <w:p>
      <w:pPr>
        <w:ind w:right="40" w:firstLine="254"/>
        <w:spacing w:after="0" w:line="367" w:lineRule="auto"/>
        <w:rPr>
          <w:sz w:val="20"/>
          <w:szCs w:val="20"/>
          <w:color w:val="auto"/>
        </w:rPr>
      </w:pPr>
      <w:r>
        <w:rPr>
          <w:rFonts w:ascii="Arial" w:cs="Arial" w:eastAsia="Arial" w:hAnsi="Arial"/>
          <w:sz w:val="12"/>
          <w:szCs w:val="12"/>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 depends on research and development spending levels of our customers, a reduction in which could limit our ability to sell our products and adversely affect our business.</w:t>
      </w:r>
    </w:p>
    <w:p>
      <w:pPr>
        <w:spacing w:after="0" w:line="152" w:lineRule="exact"/>
        <w:rPr>
          <w:sz w:val="20"/>
          <w:szCs w:val="20"/>
          <w:color w:val="auto"/>
        </w:rPr>
      </w:pPr>
    </w:p>
    <w:p>
      <w:pPr>
        <w:ind w:firstLine="254"/>
        <w:spacing w:after="0" w:line="301" w:lineRule="auto"/>
        <w:rPr>
          <w:sz w:val="20"/>
          <w:szCs w:val="20"/>
          <w:color w:val="auto"/>
        </w:rPr>
      </w:pPr>
      <w:r>
        <w:rPr>
          <w:rFonts w:ascii="Arial" w:cs="Arial" w:eastAsia="Arial" w:hAnsi="Arial"/>
          <w:sz w:val="12"/>
          <w:szCs w:val="12"/>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been impacted by the COVID-19 pandemic and may additionally be impacted by other factors—have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because of the COVID-19 pandemic have resulted in lower than expected sales of our mass cytometry instruments. Additionally, the imposition of tariffs and delays in issuing VAT and import tax exemptions have adversely affected the sales of our products in China. Similar reductions and delays in customer spending have resulted and may continue to result from other factors that are not within our control, such as:</w:t>
      </w:r>
    </w:p>
    <w:p>
      <w:pPr>
        <w:spacing w:after="0" w:line="66" w:lineRule="exact"/>
        <w:rPr>
          <w:sz w:val="20"/>
          <w:szCs w:val="20"/>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economic conditions;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natural disasters or public health crises;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government programs that provide funding to research institutions and companies;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macroeconomic conditions and the political climate;</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governmental protectionism, the escalation of tariffs and other trade barriers;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availability of tax permits and incentives, including VAT and import tax exemptions;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the regulatory environment affecting life science and plant and animal research companies engaged in research and commercial activities;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our customers’ research priorities;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differences in budget cycles across various geographies and industries;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personnel shortages among our customers;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market-driven pressures on companies to consolidate operations and reduce costs;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mergers and acquisitions in the life science and plant and animal research industries; and</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factors affecting research and development spending.</w:t>
      </w:r>
    </w:p>
    <w:p>
      <w:pPr>
        <w:spacing w:after="0" w:line="125" w:lineRule="exact"/>
        <w:rPr>
          <w:sz w:val="20"/>
          <w:szCs w:val="20"/>
          <w:color w:val="auto"/>
        </w:rPr>
      </w:pPr>
    </w:p>
    <w:p>
      <w:pPr>
        <w:ind w:right="440" w:firstLine="254"/>
        <w:spacing w:after="0" w:line="280" w:lineRule="auto"/>
        <w:rPr>
          <w:sz w:val="20"/>
          <w:szCs w:val="20"/>
          <w:color w:val="auto"/>
        </w:rPr>
      </w:pPr>
      <w:r>
        <w:rPr>
          <w:rFonts w:ascii="Arial" w:cs="Arial" w:eastAsia="Arial" w:hAnsi="Arial"/>
          <w:sz w:val="14"/>
          <w:szCs w:val="14"/>
          <w:color w:val="auto"/>
        </w:rPr>
        <w:t>Any decrease in our customers’ budgets or expenditures or in the size, scope, or frequency of capital or operating expenditures, as well as any increase in local tariffs could materially and adversely affect our operations or financial condition.</w:t>
      </w: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018" w:right="379" w:bottom="1440" w:gutter="0" w:footer="0" w:header="0"/>
        </w:sectPr>
      </w:pPr>
    </w:p>
    <w:bookmarkStart w:id="32" w:name="page33"/>
    <w:bookmarkEnd w:id="32"/>
    <w:p>
      <w:pPr>
        <w:ind w:right="360"/>
        <w:spacing w:after="0" w:line="286" w:lineRule="auto"/>
        <w:rPr>
          <w:sz w:val="20"/>
          <w:szCs w:val="20"/>
          <w:color w:val="auto"/>
        </w:rPr>
      </w:pPr>
      <w:r>
        <w:rPr>
          <w:rFonts w:ascii="Arial" w:cs="Arial" w:eastAsia="Arial" w:hAnsi="Arial"/>
          <w:sz w:val="14"/>
          <w:szCs w:val="14"/>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76" w:lineRule="exact"/>
        <w:rPr>
          <w:sz w:val="20"/>
          <w:szCs w:val="20"/>
          <w:color w:val="auto"/>
        </w:rPr>
      </w:pPr>
    </w:p>
    <w:p>
      <w:pPr>
        <w:ind w:right="40" w:firstLine="254"/>
        <w:spacing w:after="0" w:line="256" w:lineRule="auto"/>
        <w:rPr>
          <w:sz w:val="20"/>
          <w:szCs w:val="20"/>
          <w:color w:val="auto"/>
        </w:rPr>
      </w:pPr>
      <w:r>
        <w:rPr>
          <w:rFonts w:ascii="Arial" w:cs="Arial" w:eastAsia="Arial" w:hAnsi="Arial"/>
          <w:sz w:val="14"/>
          <w:szCs w:val="14"/>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45" w:lineRule="exact"/>
        <w:rPr>
          <w:sz w:val="20"/>
          <w:szCs w:val="20"/>
          <w:color w:val="auto"/>
        </w:rPr>
      </w:pPr>
    </w:p>
    <w:p>
      <w:pPr>
        <w:ind w:right="360"/>
        <w:spacing w:after="0" w:line="374" w:lineRule="auto"/>
        <w:rPr>
          <w:sz w:val="20"/>
          <w:szCs w:val="20"/>
          <w:color w:val="auto"/>
        </w:rPr>
      </w:pPr>
      <w:r>
        <w:rPr>
          <w:rFonts w:ascii="Arial" w:cs="Arial" w:eastAsia="Arial" w:hAnsi="Arial"/>
          <w:sz w:val="12"/>
          <w:szCs w:val="12"/>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19" w:lineRule="exact"/>
        <w:rPr>
          <w:sz w:val="20"/>
          <w:szCs w:val="20"/>
          <w:color w:val="auto"/>
        </w:rPr>
      </w:pPr>
    </w:p>
    <w:p>
      <w:pPr>
        <w:ind w:right="60" w:firstLine="254"/>
        <w:spacing w:after="0" w:line="259" w:lineRule="auto"/>
        <w:rPr>
          <w:sz w:val="20"/>
          <w:szCs w:val="20"/>
          <w:color w:val="auto"/>
        </w:rPr>
      </w:pPr>
      <w:r>
        <w:rPr>
          <w:rFonts w:ascii="Arial" w:cs="Arial" w:eastAsia="Arial" w:hAnsi="Arial"/>
          <w:sz w:val="14"/>
          <w:szCs w:val="14"/>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(including the ongoing COVID-19 pandemic),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95" w:lineRule="exact"/>
        <w:rPr>
          <w:sz w:val="20"/>
          <w:szCs w:val="20"/>
          <w:color w:val="auto"/>
        </w:rPr>
      </w:pPr>
    </w:p>
    <w:p>
      <w:pPr>
        <w:jc w:val="both"/>
        <w:ind w:firstLine="254"/>
        <w:spacing w:after="0" w:line="280" w:lineRule="auto"/>
        <w:rPr>
          <w:sz w:val="20"/>
          <w:szCs w:val="20"/>
          <w:color w:val="auto"/>
        </w:rPr>
      </w:pPr>
      <w:r>
        <w:rPr>
          <w:rFonts w:ascii="Arial" w:cs="Arial" w:eastAsia="Arial" w:hAnsi="Arial"/>
          <w:sz w:val="14"/>
          <w:szCs w:val="14"/>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4"/>
          <w:szCs w:val="14"/>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76" w:lineRule="exact"/>
        <w:rPr>
          <w:sz w:val="20"/>
          <w:szCs w:val="20"/>
          <w:color w:val="auto"/>
        </w:rPr>
      </w:pPr>
    </w:p>
    <w:p>
      <w:pPr>
        <w:jc w:val="both"/>
        <w:ind w:right="20" w:firstLine="254"/>
        <w:spacing w:after="0" w:line="331" w:lineRule="auto"/>
        <w:rPr>
          <w:sz w:val="20"/>
          <w:szCs w:val="20"/>
          <w:color w:val="auto"/>
        </w:rPr>
      </w:pPr>
      <w:r>
        <w:rPr>
          <w:rFonts w:ascii="Arial" w:cs="Arial" w:eastAsia="Arial" w:hAnsi="Arial"/>
          <w:sz w:val="12"/>
          <w:szCs w:val="12"/>
          <w:color w:val="auto"/>
        </w:rPr>
        <w:t>We rely on a limited number of third-party suppliers for certain components and materials used in our products, including single and sole source suppliers. Additionally, several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43" w:lineRule="exact"/>
        <w:rPr>
          <w:sz w:val="20"/>
          <w:szCs w:val="20"/>
          <w:color w:val="auto"/>
        </w:rPr>
      </w:pPr>
    </w:p>
    <w:p>
      <w:pPr>
        <w:ind w:left="520" w:right="300" w:hanging="261"/>
        <w:spacing w:after="0" w:line="28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26" w:lineRule="exact"/>
        <w:rPr>
          <w:rFonts w:ascii="Arial" w:cs="Arial" w:eastAsia="Arial" w:hAnsi="Arial"/>
          <w:sz w:val="14"/>
          <w:szCs w:val="14"/>
          <w:color w:val="auto"/>
        </w:rPr>
      </w:pPr>
    </w:p>
    <w:p>
      <w:pPr>
        <w:ind w:left="500" w:hanging="241"/>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electron multiplier detector included in the Hyperion/CyTOF systems and certain metal isotopes used with the Hyperion/CyTOF systems are purchased from sole source suppliers.</w:t>
      </w:r>
    </w:p>
    <w:p>
      <w:pPr>
        <w:spacing w:after="0" w:line="72" w:lineRule="exact"/>
        <w:rPr>
          <w:rFonts w:ascii="Arial" w:cs="Arial" w:eastAsia="Arial" w:hAnsi="Arial"/>
          <w:sz w:val="13"/>
          <w:szCs w:val="13"/>
          <w:color w:val="auto"/>
        </w:rPr>
      </w:pPr>
    </w:p>
    <w:p>
      <w:pPr>
        <w:ind w:left="500" w:hanging="241"/>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raw materials for our Delta Gene and SNP Type assays and Access Array target-specific primers are available from a limited number of sources.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reliance on single and sole source suppliers and assembly service providers also subjects us to other risks that could harm our business, including the following:</w:t>
      </w:r>
    </w:p>
    <w:p>
      <w:pPr>
        <w:spacing w:after="0" w:line="114" w:lineRule="exact"/>
        <w:rPr>
          <w:sz w:val="20"/>
          <w:szCs w:val="20"/>
          <w:color w:val="auto"/>
        </w:rPr>
      </w:pPr>
    </w:p>
    <w:p>
      <w:pPr>
        <w:ind w:left="500" w:hanging="241"/>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be subject to increased component or assembly costs and</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not be able to obtain adequate supply or services in a timely manner or on commercially reasonable terms.</w:t>
      </w:r>
    </w:p>
    <w:p>
      <w:pPr>
        <w:spacing w:after="0" w:line="32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33" w:name="page34"/>
    <w:bookmarkEnd w:id="33"/>
    <w:p>
      <w:pPr>
        <w:ind w:right="40" w:firstLine="254"/>
        <w:spacing w:after="0" w:line="281" w:lineRule="auto"/>
        <w:rPr>
          <w:sz w:val="20"/>
          <w:szCs w:val="20"/>
          <w:color w:val="auto"/>
        </w:rPr>
      </w:pPr>
      <w:r>
        <w:rPr>
          <w:rFonts w:ascii="Arial" w:cs="Arial" w:eastAsia="Arial" w:hAnsi="Arial"/>
          <w:sz w:val="13"/>
          <w:szCs w:val="13"/>
          <w:color w:val="auto"/>
        </w:rPr>
        <w:t>In connection with the global supply chain disruptions following the onset of the COVID-19 pandemic, we experienced and are continuing to experience problems with some of our suppliers. In the third quarter of 2021, shortages of certain components caused a backlog and we were unable to fulfill all of the demand for our products during the quarter.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convert our orders in backlog into revenue.</w:t>
      </w:r>
    </w:p>
    <w:p>
      <w:pPr>
        <w:spacing w:after="0" w:line="129" w:lineRule="exact"/>
        <w:rPr>
          <w:sz w:val="20"/>
          <w:szCs w:val="20"/>
          <w:color w:val="auto"/>
        </w:rPr>
      </w:pPr>
    </w:p>
    <w:p>
      <w:pPr>
        <w:ind w:right="120" w:firstLine="254"/>
        <w:spacing w:after="0" w:line="280" w:lineRule="auto"/>
        <w:rPr>
          <w:sz w:val="20"/>
          <w:szCs w:val="20"/>
          <w:color w:val="auto"/>
        </w:rPr>
      </w:pPr>
      <w:r>
        <w:rPr>
          <w:rFonts w:ascii="Arial" w:cs="Arial" w:eastAsia="Arial" w:hAnsi="Arial"/>
          <w:sz w:val="14"/>
          <w:szCs w:val="14"/>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80" w:lineRule="exact"/>
        <w:rPr>
          <w:sz w:val="20"/>
          <w:szCs w:val="20"/>
          <w:color w:val="auto"/>
        </w:rPr>
      </w:pPr>
    </w:p>
    <w:p>
      <w:pPr>
        <w:ind w:firstLine="254"/>
        <w:spacing w:after="0" w:line="296" w:lineRule="auto"/>
        <w:rPr>
          <w:sz w:val="20"/>
          <w:szCs w:val="20"/>
          <w:color w:val="auto"/>
        </w:rPr>
      </w:pPr>
      <w:r>
        <w:rPr>
          <w:rFonts w:ascii="Arial" w:cs="Arial" w:eastAsia="Arial" w:hAnsi="Arial"/>
          <w:sz w:val="13"/>
          <w:szCs w:val="13"/>
          <w:color w:val="auto"/>
        </w:rPr>
        <w:t>Many events can cause an order to be delayed or not completed at all, some of which may be out of our control, including the potential impacts from the COVID-19 pandemic and our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21" w:lineRule="exact"/>
        <w:rPr>
          <w:sz w:val="20"/>
          <w:szCs w:val="20"/>
          <w:color w:val="auto"/>
        </w:rPr>
      </w:pPr>
    </w:p>
    <w:p>
      <w:pPr>
        <w:ind w:right="500"/>
        <w:spacing w:after="0" w:line="286" w:lineRule="auto"/>
        <w:rPr>
          <w:sz w:val="20"/>
          <w:szCs w:val="20"/>
          <w:color w:val="auto"/>
        </w:rPr>
      </w:pPr>
      <w:r>
        <w:rPr>
          <w:rFonts w:ascii="Arial" w:cs="Arial" w:eastAsia="Arial" w:hAnsi="Arial"/>
          <w:sz w:val="14"/>
          <w:szCs w:val="14"/>
          <w:b w:val="1"/>
          <w:bCs w:val="1"/>
          <w:color w:val="auto"/>
        </w:rPr>
        <w:t>Any disruption or delay in the shipping or off-loading of our products, whether domestically or internationally, may have an adverse effect on our financial condition and results of operations.</w:t>
      </w:r>
    </w:p>
    <w:p>
      <w:pPr>
        <w:spacing w:after="0" w:line="65" w:lineRule="exact"/>
        <w:rPr>
          <w:sz w:val="20"/>
          <w:szCs w:val="20"/>
          <w:color w:val="auto"/>
        </w:rPr>
      </w:pPr>
    </w:p>
    <w:p>
      <w:pPr>
        <w:ind w:right="300" w:firstLine="254"/>
        <w:spacing w:after="0" w:line="261" w:lineRule="auto"/>
        <w:rPr>
          <w:sz w:val="20"/>
          <w:szCs w:val="20"/>
          <w:color w:val="auto"/>
        </w:rPr>
      </w:pPr>
      <w:r>
        <w:rPr>
          <w:rFonts w:ascii="Arial" w:cs="Arial" w:eastAsia="Arial" w:hAnsi="Arial"/>
          <w:sz w:val="14"/>
          <w:szCs w:val="14"/>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(including the ongoing COVID-19 pandemic),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43"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76" w:lineRule="exact"/>
        <w:rPr>
          <w:sz w:val="20"/>
          <w:szCs w:val="20"/>
          <w:color w:val="auto"/>
        </w:rPr>
      </w:pPr>
    </w:p>
    <w:p>
      <w:pPr>
        <w:ind w:right="20" w:firstLine="254"/>
        <w:spacing w:after="0" w:line="278" w:lineRule="auto"/>
        <w:rPr>
          <w:sz w:val="20"/>
          <w:szCs w:val="20"/>
          <w:color w:val="auto"/>
        </w:rPr>
      </w:pPr>
      <w:r>
        <w:rPr>
          <w:rFonts w:ascii="Arial" w:cs="Arial" w:eastAsia="Arial" w:hAnsi="Arial"/>
          <w:sz w:val="13"/>
          <w:szCs w:val="13"/>
          <w:color w:val="auto"/>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We have experienced increased turnover at all levels since the start of the COVID-19 pandemic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We do not maintain significant key person life insurance with any of our employees and all our employees, including our management team, may terminate employment without notice and without cause or good reason.</w:t>
      </w:r>
    </w:p>
    <w:p>
      <w:pPr>
        <w:spacing w:after="0" w:line="83" w:lineRule="exact"/>
        <w:rPr>
          <w:sz w:val="20"/>
          <w:szCs w:val="20"/>
          <w:color w:val="auto"/>
        </w:rPr>
      </w:pPr>
    </w:p>
    <w:p>
      <w:pPr>
        <w:ind w:right="20" w:firstLine="254"/>
        <w:spacing w:after="0" w:line="258" w:lineRule="auto"/>
        <w:rPr>
          <w:sz w:val="20"/>
          <w:szCs w:val="20"/>
          <w:color w:val="auto"/>
        </w:rPr>
      </w:pPr>
      <w:r>
        <w:rPr>
          <w:rFonts w:ascii="Arial" w:cs="Arial" w:eastAsia="Arial" w:hAnsi="Arial"/>
          <w:sz w:val="14"/>
          <w:szCs w:val="14"/>
          <w:color w:val="auto"/>
        </w:rPr>
        <w:t>Additionally, to expand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34" w:name="page35"/>
    <w:bookmarkEnd w:id="34"/>
    <w:p>
      <w:pPr>
        <w:ind w:right="380"/>
        <w:spacing w:after="0" w:line="286" w:lineRule="auto"/>
        <w:rPr>
          <w:sz w:val="20"/>
          <w:szCs w:val="20"/>
          <w:color w:val="auto"/>
        </w:rPr>
      </w:pPr>
      <w:r>
        <w:rPr>
          <w:rFonts w:ascii="Arial" w:cs="Arial" w:eastAsia="Arial" w:hAnsi="Arial"/>
          <w:sz w:val="14"/>
          <w:szCs w:val="14"/>
          <w:b w:val="1"/>
          <w:bCs w:val="1"/>
          <w:color w:val="auto"/>
        </w:rPr>
        <w:t>If we are unable to expand our direct sales, field support, and marketing forces or distribution capabilities to adequately address our customers’ needs, our business will be adversely affected.</w:t>
      </w:r>
    </w:p>
    <w:p>
      <w:pPr>
        <w:spacing w:after="0" w:line="76" w:lineRule="exact"/>
        <w:rPr>
          <w:sz w:val="20"/>
          <w:szCs w:val="20"/>
          <w:color w:val="auto"/>
        </w:rPr>
      </w:pPr>
    </w:p>
    <w:p>
      <w:pPr>
        <w:ind w:firstLine="254"/>
        <w:spacing w:after="0" w:line="288" w:lineRule="auto"/>
        <w:rPr>
          <w:sz w:val="20"/>
          <w:szCs w:val="20"/>
          <w:color w:val="auto"/>
        </w:rPr>
      </w:pPr>
      <w:r>
        <w:rPr>
          <w:rFonts w:ascii="Arial" w:cs="Arial" w:eastAsia="Arial" w:hAnsi="Arial"/>
          <w:sz w:val="13"/>
          <w:szCs w:val="13"/>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increase the scope of our marketing efforts and develop and substantially expand our direct sales force and field application specialist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w:t>
      </w:r>
    </w:p>
    <w:p>
      <w:pPr>
        <w:spacing w:after="0" w:line="66" w:lineRule="exact"/>
        <w:rPr>
          <w:sz w:val="20"/>
          <w:szCs w:val="20"/>
          <w:color w:val="auto"/>
        </w:rPr>
      </w:pPr>
    </w:p>
    <w:p>
      <w:pPr>
        <w:ind w:right="20" w:firstLine="254"/>
        <w:spacing w:after="0" w:line="259" w:lineRule="auto"/>
        <w:rPr>
          <w:sz w:val="20"/>
          <w:szCs w:val="20"/>
          <w:color w:val="auto"/>
        </w:rPr>
      </w:pPr>
      <w:r>
        <w:rPr>
          <w:rFonts w:ascii="Arial" w:cs="Arial" w:eastAsia="Arial" w:hAnsi="Arial"/>
          <w:sz w:val="14"/>
          <w:szCs w:val="14"/>
          <w:color w:val="auto"/>
        </w:rPr>
        <w:t>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so. 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95"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43"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b w:val="1"/>
          <w:bCs w:val="1"/>
          <w:color w:val="auto"/>
        </w:rPr>
        <w:t>To use our products—our Biomark, EP1, CyTOF, and Hyperion systems in particular—customers typically need to purchase specialized reagents. Any interruption in the availability of these reagents for use in our products could limit our ability to market our products.</w:t>
      </w:r>
    </w:p>
    <w:p>
      <w:pPr>
        <w:spacing w:after="0" w:line="76" w:lineRule="exact"/>
        <w:rPr>
          <w:sz w:val="20"/>
          <w:szCs w:val="20"/>
          <w:color w:val="auto"/>
        </w:rPr>
      </w:pPr>
    </w:p>
    <w:p>
      <w:pPr>
        <w:ind w:right="20" w:firstLine="254"/>
        <w:spacing w:after="0" w:line="258" w:lineRule="auto"/>
        <w:rPr>
          <w:sz w:val="20"/>
          <w:szCs w:val="20"/>
          <w:color w:val="auto"/>
        </w:rPr>
      </w:pPr>
      <w:r>
        <w:rPr>
          <w:rFonts w:ascii="Arial" w:cs="Arial" w:eastAsia="Arial" w:hAnsi="Arial"/>
          <w:sz w:val="14"/>
          <w:szCs w:val="14"/>
          <w:color w:val="auto"/>
        </w:rPr>
        <w:t>Our products, our Biomark, EP1,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84" w:lineRule="exact"/>
        <w:rPr>
          <w:sz w:val="20"/>
          <w:szCs w:val="20"/>
          <w:color w:val="auto"/>
        </w:rPr>
      </w:pPr>
    </w:p>
    <w:p>
      <w:pPr>
        <w:ind w:right="60" w:firstLine="254"/>
        <w:spacing w:after="0" w:line="256" w:lineRule="auto"/>
        <w:rPr>
          <w:sz w:val="20"/>
          <w:szCs w:val="20"/>
          <w:color w:val="auto"/>
        </w:rPr>
      </w:pPr>
      <w:r>
        <w:rPr>
          <w:rFonts w:ascii="Arial" w:cs="Arial" w:eastAsia="Arial" w:hAnsi="Arial"/>
          <w:sz w:val="14"/>
          <w:szCs w:val="14"/>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4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76"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35" w:name="page36"/>
    <w:bookmarkEnd w:id="35"/>
    <w:p>
      <w:pPr>
        <w:spacing w:after="0" w:line="278" w:lineRule="auto"/>
        <w:rPr>
          <w:sz w:val="20"/>
          <w:szCs w:val="20"/>
          <w:color w:val="auto"/>
        </w:rPr>
      </w:pPr>
      <w:r>
        <w:rPr>
          <w:rFonts w:ascii="Arial" w:cs="Arial" w:eastAsia="Arial" w:hAnsi="Arial"/>
          <w:sz w:val="13"/>
          <w:szCs w:val="13"/>
          <w:color w:val="auto"/>
        </w:rPr>
        <w:t>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76" w:lineRule="exact"/>
        <w:rPr>
          <w:sz w:val="20"/>
          <w:szCs w:val="20"/>
          <w:color w:val="auto"/>
        </w:rPr>
      </w:pPr>
    </w:p>
    <w:p>
      <w:pPr>
        <w:ind w:right="40" w:firstLine="254"/>
        <w:spacing w:after="0" w:line="280" w:lineRule="auto"/>
        <w:rPr>
          <w:sz w:val="20"/>
          <w:szCs w:val="20"/>
          <w:color w:val="auto"/>
        </w:rPr>
      </w:pPr>
      <w:r>
        <w:rPr>
          <w:rFonts w:ascii="Arial" w:cs="Arial" w:eastAsia="Arial" w:hAnsi="Arial"/>
          <w:sz w:val="13"/>
          <w:szCs w:val="13"/>
          <w:color w:val="auto"/>
        </w:rPr>
        <w:t>We have implemented security controls to protect our information technology infrastructure but, due to the ever-evolving nature of information security threats, we are not fully insulated from technology disruptions that could adversely impact us.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data were determined to have been released in the course of any future event, it is possible that we could be the subject of actions by governmental authorities or claims from persons alleging they suffered damages from such a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82" w:lineRule="exact"/>
        <w:rPr>
          <w:sz w:val="20"/>
          <w:szCs w:val="20"/>
          <w:color w:val="auto"/>
        </w:rPr>
      </w:pPr>
    </w:p>
    <w:p>
      <w:pPr>
        <w:ind w:right="200" w:firstLine="254"/>
        <w:spacing w:after="0" w:line="266" w:lineRule="auto"/>
        <w:rPr>
          <w:sz w:val="20"/>
          <w:szCs w:val="20"/>
          <w:color w:val="auto"/>
        </w:rPr>
      </w:pPr>
      <w:r>
        <w:rPr>
          <w:rFonts w:ascii="Arial" w:cs="Arial" w:eastAsia="Arial" w:hAnsi="Arial"/>
          <w:sz w:val="14"/>
          <w:szCs w:val="14"/>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90"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Due to the COVID-19 pandemic, we have an increased number of employees working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security breaches, there is no guarantee that these measures will be adequate to safeguard all systems with the increased number of employees working remotely.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QUALITY AND THE REGULATORY ENVIRONMENT</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65" w:lineRule="exact"/>
        <w:rPr>
          <w:sz w:val="20"/>
          <w:szCs w:val="20"/>
          <w:color w:val="auto"/>
        </w:rPr>
      </w:pPr>
    </w:p>
    <w:p>
      <w:pPr>
        <w:ind w:right="60" w:firstLine="254"/>
        <w:spacing w:after="0" w:line="284" w:lineRule="auto"/>
        <w:rPr>
          <w:sz w:val="20"/>
          <w:szCs w:val="20"/>
          <w:color w:val="auto"/>
        </w:rPr>
      </w:pPr>
      <w:r>
        <w:rPr>
          <w:rFonts w:ascii="Arial" w:cs="Arial" w:eastAsia="Arial" w:hAnsi="Arial"/>
          <w:sz w:val="13"/>
          <w:szCs w:val="13"/>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79"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36" w:name="page37"/>
    <w:bookmarkEnd w:id="36"/>
    <w:p>
      <w:pPr>
        <w:ind w:left="260"/>
        <w:spacing w:after="0"/>
        <w:rPr>
          <w:sz w:val="20"/>
          <w:szCs w:val="20"/>
          <w:color w:val="auto"/>
        </w:rPr>
      </w:pPr>
      <w:r>
        <w:rPr>
          <w:rFonts w:ascii="Arial" w:cs="Arial" w:eastAsia="Arial" w:hAnsi="Arial"/>
          <w:sz w:val="14"/>
          <w:szCs w:val="14"/>
          <w:color w:val="auto"/>
        </w:rPr>
        <w:t>If our products contain defects, we may experience:</w:t>
      </w:r>
    </w:p>
    <w:p>
      <w:pPr>
        <w:spacing w:after="0" w:line="114" w:lineRule="exact"/>
        <w:rPr>
          <w:sz w:val="20"/>
          <w:szCs w:val="20"/>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failure to achieve market acceptance or expansion of our product sales;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loss of customer orders and delay in order fulfillment;</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damage to our brand reputation;</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increased cost of our warranty program due to product repair or replacement;</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product recalls or replacements;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inability to attract new customers;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diversion of resources from our manufacturing and research and development departments into our service department; and</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legal claims against us, including product liability claims, which could be costly and time consuming to defend and result in substantial damages.</w:t>
      </w:r>
    </w:p>
    <w:p>
      <w:pPr>
        <w:spacing w:after="0" w:line="114" w:lineRule="exact"/>
        <w:rPr>
          <w:sz w:val="20"/>
          <w:szCs w:val="20"/>
          <w:color w:val="auto"/>
        </w:rPr>
      </w:pPr>
    </w:p>
    <w:p>
      <w:pPr>
        <w:ind w:right="80" w:firstLine="254"/>
        <w:spacing w:after="0" w:line="266" w:lineRule="auto"/>
        <w:rPr>
          <w:sz w:val="20"/>
          <w:szCs w:val="20"/>
          <w:color w:val="auto"/>
        </w:rPr>
      </w:pPr>
      <w:r>
        <w:rPr>
          <w:rFonts w:ascii="Arial" w:cs="Arial" w:eastAsia="Arial" w:hAnsi="Arial"/>
          <w:sz w:val="14"/>
          <w:szCs w:val="14"/>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occurrence of any one or more of the foregoing could negatively affect our business, financial condition, and results of operations.</w:t>
      </w:r>
    </w:p>
    <w:p>
      <w:pPr>
        <w:spacing w:after="0" w:line="174" w:lineRule="exact"/>
        <w:rPr>
          <w:sz w:val="20"/>
          <w:szCs w:val="20"/>
          <w:color w:val="auto"/>
        </w:rPr>
      </w:pPr>
    </w:p>
    <w:p>
      <w:pPr>
        <w:spacing w:after="0" w:line="261" w:lineRule="auto"/>
        <w:rPr>
          <w:sz w:val="20"/>
          <w:szCs w:val="20"/>
          <w:color w:val="auto"/>
        </w:rPr>
      </w:pPr>
      <w:r>
        <w:rPr>
          <w:rFonts w:ascii="Arial" w:cs="Arial" w:eastAsia="Arial" w:hAnsi="Arial"/>
          <w:sz w:val="14"/>
          <w:szCs w:val="14"/>
          <w:b w:val="1"/>
          <w:bCs w:val="1"/>
          <w:color w:val="auto"/>
        </w:rPr>
        <w:t>Although the FDA granted Emergency Use Authorization (EUA) for our Advanta Dx SARS-CoV-2 RT-PCR Assay in August 2020 (which was updated for use with the AZOVA COVID-19 Test Collection Kit in February 2021, among other updates) and our Advanta Dx COVID-19 EASE Assay in February 2022, these authorizations are only valid during the COVID-19 public health emergency, and when the federally declared public health emergency ends, we will be required to stop commercial distribution of our assay and the collection kit immediately in the United States unless we comply with FDA requirements, which may include obtaining FDA clearance or approval for our assay under a traditional regulatory pathway for in vitro diagnostics, which is lengthy and expensive.</w:t>
      </w:r>
    </w:p>
    <w:p>
      <w:pPr>
        <w:spacing w:after="0" w:line="92" w:lineRule="exact"/>
        <w:rPr>
          <w:sz w:val="20"/>
          <w:szCs w:val="20"/>
          <w:color w:val="auto"/>
        </w:rPr>
      </w:pPr>
    </w:p>
    <w:p>
      <w:pPr>
        <w:ind w:right="40" w:firstLine="254"/>
        <w:spacing w:after="0" w:line="257" w:lineRule="auto"/>
        <w:rPr>
          <w:sz w:val="20"/>
          <w:szCs w:val="20"/>
          <w:color w:val="auto"/>
        </w:rPr>
      </w:pPr>
      <w:r>
        <w:rPr>
          <w:rFonts w:ascii="Arial" w:cs="Arial" w:eastAsia="Arial" w:hAnsi="Arial"/>
          <w:sz w:val="14"/>
          <w:szCs w:val="14"/>
          <w:color w:val="auto"/>
        </w:rPr>
        <w:t>Under section 564 of the Federal Food, Drug, and Cosmetic Act (FD&amp;C Act), the FDA has authority to allow certain unapproved medical products or unapproved uses of approved medical products to be used during a public health emergency under an EUA. In issuing an EUA, the FDA will consider the totality of scientific evidence available to the FDA regarding safety, efficacy and known and potential risks of such products and availability of alternatives to the emergency use products, among others. EUAs issued by the FDA will specify the scope of authorization and conditions of authorization, including limitations on distribution and conditions related to product advertising and promotion. Once granted, an EUA is effective until the declaration that circumstances exist justifying the authorization of the emergency use is terminated under Section 564(b)(2) of the FD&amp;C Act or the EUA is revoked under Section 564(g) of the FD&amp;C Act, after which the product must be cleared or approved by the FDA under a traditional pathway as defined by the FDA and we must comply with the FDA quality system regulations in order to remain on the market or to continue commercialization of the product.</w:t>
      </w:r>
    </w:p>
    <w:p>
      <w:pPr>
        <w:spacing w:after="0" w:line="85" w:lineRule="exact"/>
        <w:rPr>
          <w:sz w:val="20"/>
          <w:szCs w:val="20"/>
          <w:color w:val="auto"/>
        </w:rPr>
      </w:pPr>
    </w:p>
    <w:p>
      <w:pPr>
        <w:ind w:firstLine="254"/>
        <w:spacing w:after="0" w:line="255" w:lineRule="auto"/>
        <w:rPr>
          <w:sz w:val="20"/>
          <w:szCs w:val="20"/>
          <w:color w:val="auto"/>
        </w:rPr>
      </w:pPr>
      <w:r>
        <w:rPr>
          <w:rFonts w:ascii="Arial" w:cs="Arial" w:eastAsia="Arial" w:hAnsi="Arial"/>
          <w:sz w:val="14"/>
          <w:szCs w:val="14"/>
          <w:color w:val="auto"/>
        </w:rPr>
        <w:t xml:space="preserve">In August 2020, the FDA granted EUA for our Advanta Dx SARS-CoV-2 RT-PCR Assay for qualitative detection of nucleic acid from SARS-CoV-2 in saliva specimens from individuals suspected by their healthcare providers of having COVID-19, with the use of the assay limited to CLIA high complexity laboratories. Four supplements have been submitted and authorized as follows: S001 for addition of the FDA Reference Panel Results, S002 for software updates and labeling changes, S003 for addition of alternative source of targets and labeling updates, and S004 for addition of AZOVA home collection kit. In February 2021, the FDA updated that EUA for our Advanta Dx SARS-CoV-2 RT-PCR Assay for use with the AZOVA COVID-19 Test Collection Kit, which is authorized for self-collection of saliva specimens at home. In February 2022, </w:t>
      </w:r>
      <w:r>
        <w:rPr>
          <w:rFonts w:ascii="Arial" w:cs="Arial" w:eastAsia="Arial" w:hAnsi="Arial"/>
          <w:sz w:val="14"/>
          <w:szCs w:val="14"/>
          <w:color w:val="293849"/>
        </w:rPr>
        <w:t>we</w:t>
      </w:r>
      <w:r>
        <w:rPr>
          <w:rFonts w:ascii="Arial" w:cs="Arial" w:eastAsia="Arial" w:hAnsi="Arial"/>
          <w:sz w:val="14"/>
          <w:szCs w:val="14"/>
          <w:color w:val="auto"/>
        </w:rPr>
        <w:t xml:space="preserve"> were granted EUA for our </w:t>
      </w:r>
      <w:r>
        <w:rPr>
          <w:rFonts w:ascii="Arial" w:cs="Arial" w:eastAsia="Arial" w:hAnsi="Arial"/>
          <w:sz w:val="14"/>
          <w:szCs w:val="14"/>
          <w:color w:val="293849"/>
        </w:rPr>
        <w:t>the</w:t>
      </w:r>
      <w:r>
        <w:rPr>
          <w:rFonts w:ascii="Arial" w:cs="Arial" w:eastAsia="Arial" w:hAnsi="Arial"/>
          <w:sz w:val="14"/>
          <w:szCs w:val="14"/>
          <w:color w:val="auto"/>
        </w:rPr>
        <w:t xml:space="preserve"> Advanta Dx COVID-19 EASE Assay, which is authorized for the qualitative detection of nucleic acid from SARS-CoV-2 in nasopharyngeal swab, oropharyngeal swab, mid-turbinate nasal swab, and anterior nasal swab specimens from individuals suspected of COVID-19 by their healthcare provider. As set forth in each EUA, we are required to comply with the conditions of authorization, including certain requirements pertaining to FDA notification, distribution, printed materials, advertising and promotion. If we, our distributors, or authorized laboratories do not comply with the EUA requirements, our business, financial condition and results of operations may be adversely impacted, and we may be subject to regulatory or enforcement actions, including recall of our products and the issuance of an untitled letter, a warning letter, penalties, or fines, among other adverse actions.</w:t>
      </w:r>
    </w:p>
    <w:p>
      <w:pPr>
        <w:spacing w:after="0" w:line="100" w:lineRule="exact"/>
        <w:rPr>
          <w:sz w:val="20"/>
          <w:szCs w:val="20"/>
          <w:color w:val="auto"/>
        </w:rPr>
      </w:pPr>
    </w:p>
    <w:p>
      <w:pPr>
        <w:ind w:right="360" w:firstLine="254"/>
        <w:spacing w:after="0" w:line="280" w:lineRule="auto"/>
        <w:rPr>
          <w:sz w:val="20"/>
          <w:szCs w:val="20"/>
          <w:color w:val="auto"/>
        </w:rPr>
      </w:pPr>
      <w:r>
        <w:rPr>
          <w:rFonts w:ascii="Arial" w:cs="Arial" w:eastAsia="Arial" w:hAnsi="Arial"/>
          <w:sz w:val="14"/>
          <w:szCs w:val="14"/>
          <w:color w:val="auto"/>
        </w:rPr>
        <w:t>If the FDA’s policies and guidance change unexpectedly and/or materially or if we misinterpret them, potential sales of Advanta Dx SARS-CoV-2 RT-PCR and the AZOVA COVID-19 Test Collection Kit could be adversely impacted. In addition,</w:t>
      </w: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37" w:name="page38"/>
    <w:bookmarkEnd w:id="37"/>
    <w:p>
      <w:pPr>
        <w:ind w:right="60"/>
        <w:spacing w:after="0" w:line="284" w:lineRule="auto"/>
        <w:rPr>
          <w:sz w:val="20"/>
          <w:szCs w:val="20"/>
          <w:color w:val="auto"/>
        </w:rPr>
      </w:pPr>
      <w:r>
        <w:rPr>
          <w:rFonts w:ascii="Arial" w:cs="Arial" w:eastAsia="Arial" w:hAnsi="Arial"/>
          <w:sz w:val="13"/>
          <w:szCs w:val="13"/>
          <w:color w:val="auto"/>
        </w:rPr>
        <w:t>the FDA will revoke an EUA where it is determined that the underlying public health emergency no longer exists or warrants such authorization, or if new evidence becomes available that indicates the test does not meet the conditions of authorization or perform as provided in the EUA application. We cannot predict how long this EUA will remain effective. The termination or revocation of the EUA and changing policies and regulatory requirements could adversely impact our business, financial condition and results of operations. The demand for our product and our profitability may decline or be adversely impacted by the federal government’s implementation of a national COVID-19 testing strategy. Given the uncertain nature of the COVID-19 pandemic and future legislation and regulation in this space, we can provide no assurance with respect to our ability to achieve or sustain profitability on a quarterly or annual basis.</w:t>
      </w:r>
    </w:p>
    <w:p>
      <w:pPr>
        <w:spacing w:after="0" w:line="128"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b w:val="1"/>
          <w:bCs w:val="1"/>
          <w:color w:val="auto"/>
        </w:rPr>
        <w:t>The healthcare industry is highly regulated and if we fail to comply with applicable healthcare laws and regulations, we could suffer fines and penalties or be required to make significant changes to our operations which could have a significant adverse effect on the results of our business operations.</w:t>
      </w:r>
    </w:p>
    <w:p>
      <w:pPr>
        <w:spacing w:after="0" w:line="65"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We compete in markets in which we or our customers must comply with federal, state, local and foreign regulations, such as healthcare fraud and abuse, data privacy and medical product laws and regulations. The healthcare industry is subject to extensive and frequently changing international and United States federal, state and local laws and regulations. In addition, federal and state enforcement agencies have substantial powers and remedies to pursue suspected violations under broad laws and regulations relating to healthcare fraud and abuse, interactions and financial arrangements with healthcare professionals or entities, data privacy and misconduct involving government programs or contracts. If we, our employees, collaborators or contractors fail to comply with applicable laws and regulations, we could suffer civil and criminal damages, fines and penalties, exclusion from participation in governmental healthcare programs, and the loss of various licenses and authorizations necessary to operate our business, as well as incur liabilities from third-party claims, all of which could have a significant adverse effect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contract with the National Institutes of Health (NIH) could expose us to unique risks and costs as an entity contracting with the federal government.</w:t>
      </w:r>
    </w:p>
    <w:p>
      <w:pPr>
        <w:spacing w:after="0" w:line="129" w:lineRule="exact"/>
        <w:rPr>
          <w:sz w:val="20"/>
          <w:szCs w:val="20"/>
          <w:color w:val="auto"/>
        </w:rPr>
      </w:pPr>
    </w:p>
    <w:p>
      <w:pPr>
        <w:ind w:right="40" w:firstLine="254"/>
        <w:spacing w:after="0" w:line="257" w:lineRule="auto"/>
        <w:rPr>
          <w:sz w:val="20"/>
          <w:szCs w:val="20"/>
          <w:color w:val="auto"/>
        </w:rPr>
      </w:pPr>
      <w:r>
        <w:rPr>
          <w:rFonts w:ascii="Arial" w:cs="Arial" w:eastAsia="Arial" w:hAnsi="Arial"/>
          <w:sz w:val="14"/>
          <w:szCs w:val="14"/>
          <w:color w:val="auto"/>
        </w:rPr>
        <w:t>The NIH launched the Rapid Acceleration of Diagnostics (RADx) program to expedite development, commercialization, and implementation of technologies for COVID-19 testing to help increase testing in the United States. In July 2020, we entered into a letter contract with the NIH for a project under the RADx program. The letter contract provided access to approximately $12.2 million of the total proposed funding for the project prior to execution of a further definitive contract for the project. In September 2020, we executed a definitive contract with the NIH as an amendment to the letter contract (collectively, the NIH Contract) to expand production capacity and throughput capabilities for COVID-19 testing with our microfluidics technology. Pursuant to the terms of the NIH Contract, the funding for the project was increased by approximately $22.0 million, for a total contract value of up to approximately $34.0 million. Release of funding under the NIH Contract is based on the achievement of milestones, including expansion of our manufacturing facilities, addition of production lines, and achieving full production capacity. As of December 31, 2021, all milestones have been achieved and accepted by NIH.</w:t>
      </w:r>
    </w:p>
    <w:p>
      <w:pPr>
        <w:spacing w:after="0" w:line="96" w:lineRule="exact"/>
        <w:rPr>
          <w:sz w:val="20"/>
          <w:szCs w:val="20"/>
          <w:color w:val="auto"/>
        </w:rPr>
      </w:pPr>
    </w:p>
    <w:p>
      <w:pPr>
        <w:ind w:right="40" w:firstLine="254"/>
        <w:spacing w:after="0" w:line="296" w:lineRule="auto"/>
        <w:rPr>
          <w:sz w:val="20"/>
          <w:szCs w:val="20"/>
          <w:color w:val="auto"/>
        </w:rPr>
      </w:pPr>
      <w:r>
        <w:rPr>
          <w:rFonts w:ascii="Arial" w:cs="Arial" w:eastAsia="Arial" w:hAnsi="Arial"/>
          <w:sz w:val="13"/>
          <w:szCs w:val="13"/>
          <w:color w:val="auto"/>
        </w:rPr>
        <w:t>We must prioritize among many different opportunities, and we may expend our limited resources on programs that do not yield a successful or profitable product candidate and may forego other more profitable opportunities. Further, the Bayh-Dole Act applies to all NIH research and development funding granted to for-profit organizations, which requires the government to be provided a nonexclusive, nontransferable, irrevocable, paid-up license to practice or have practiced for or on behalf of the United States any subject invention throughout the world.</w:t>
      </w:r>
    </w:p>
    <w:p>
      <w:pPr>
        <w:spacing w:after="0" w:line="61" w:lineRule="exact"/>
        <w:rPr>
          <w:sz w:val="20"/>
          <w:szCs w:val="20"/>
          <w:color w:val="auto"/>
        </w:rPr>
      </w:pPr>
    </w:p>
    <w:p>
      <w:pPr>
        <w:ind w:firstLine="254"/>
        <w:spacing w:after="0" w:line="256" w:lineRule="auto"/>
        <w:rPr>
          <w:sz w:val="20"/>
          <w:szCs w:val="20"/>
          <w:color w:val="auto"/>
        </w:rPr>
      </w:pPr>
      <w:r>
        <w:rPr>
          <w:rFonts w:ascii="Arial" w:cs="Arial" w:eastAsia="Arial" w:hAnsi="Arial"/>
          <w:sz w:val="14"/>
          <w:szCs w:val="14"/>
          <w:color w:val="auto"/>
        </w:rPr>
        <w:t>The NIH Contract includes certain provisions from the Federal Acquisition Regulations, some of which are customary or legally required, that give the U.S. government substantial rights and remedies, many of which are not typically found in commercial contracts. For example, the NIH Contract contains provisions permitting unilateral termination or modification, in whole or in part, at the convenience of the U.S. government.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In addition, government contracts normally contain additional requirements that may increase our costs of doing business, reduce our profits, and expose us to liability for failure to comply with these terms and conditions. These requirements include, for example, mandatory internal control systems and policies, mandatory socioeconomic compliance requirements, including labor standards, non-discrimination and affirmative action programs and environmental compliance requirements and public disclosures of certain contract information, which may enable competitors to gain insights into our research program. If we fail</w:t>
      </w:r>
    </w:p>
    <w:p>
      <w:pPr>
        <w:spacing w:after="0" w:line="30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to maintain compliance with these requirements, we may be subject to potential contract or False Claims Act liability and to termination of our NIH Contract.</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examples of rights and remedies under the NIH Contract include provisions that allow NIH to:</w:t>
      </w:r>
    </w:p>
    <w:p>
      <w:pPr>
        <w:spacing w:after="0" w:line="125" w:lineRule="exact"/>
        <w:rPr>
          <w:sz w:val="20"/>
          <w:szCs w:val="20"/>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terminate the NIH Contract, in whole or in part, for any reason or no reason;</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unilaterally reduce or modify the U.S. government’s obligations under the NIH Contract, without our consent, including by imposing price adjustments;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claim rights, including intellectual property rights, in or to (i) products, (ii) data, and (iii) facilities, in each case developed under the NIH Contract;</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under certain circumstances involving public health and safety, license inventions made under such agreements to third parties;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suspend us from receiving new contracts pending resolution of alleged violations of procurement laws or regulations;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impose U.S. manufacturing requirements for products that embody inventions conceived or first reduced to practice under the NIH Contract;</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suspend or debar us from doing future business with the government;</w:t>
      </w:r>
    </w:p>
    <w:p>
      <w:pPr>
        <w:spacing w:after="0" w:line="61" w:lineRule="exact"/>
        <w:rPr>
          <w:rFonts w:ascii="Arial" w:cs="Arial" w:eastAsia="Arial" w:hAnsi="Arial"/>
          <w:sz w:val="14"/>
          <w:szCs w:val="14"/>
          <w:color w:val="auto"/>
        </w:rPr>
      </w:pPr>
    </w:p>
    <w:p>
      <w:pPr>
        <w:ind w:left="520" w:hanging="261"/>
        <w:spacing w:after="0" w:line="280"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change the course of a development program in a manner that differs from the NIH Contract’s original terms or from our desired development plan, including decisions regarding our partners in the program;</w:t>
      </w:r>
    </w:p>
    <w:p>
      <w:pPr>
        <w:spacing w:after="0" w:line="26" w:lineRule="exact"/>
        <w:rPr>
          <w:rFonts w:ascii="Arial" w:cs="Arial" w:eastAsia="Arial" w:hAnsi="Arial"/>
          <w:sz w:val="14"/>
          <w:szCs w:val="14"/>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pursue civil or criminal remedies under the False Claims Act and False Statements Act; and</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control or prohibit the export of products.</w:t>
      </w:r>
    </w:p>
    <w:p>
      <w:pPr>
        <w:spacing w:after="0" w:line="125" w:lineRule="exact"/>
        <w:rPr>
          <w:sz w:val="20"/>
          <w:szCs w:val="20"/>
          <w:color w:val="auto"/>
        </w:rPr>
      </w:pPr>
    </w:p>
    <w:p>
      <w:pPr>
        <w:jc w:val="both"/>
        <w:ind w:right="40" w:firstLine="254"/>
        <w:spacing w:after="0" w:line="261" w:lineRule="auto"/>
        <w:rPr>
          <w:sz w:val="20"/>
          <w:szCs w:val="20"/>
          <w:color w:val="auto"/>
        </w:rPr>
      </w:pPr>
      <w:r>
        <w:rPr>
          <w:rFonts w:ascii="Arial" w:cs="Arial" w:eastAsia="Arial" w:hAnsi="Arial"/>
          <w:sz w:val="14"/>
          <w:szCs w:val="14"/>
          <w:color w:val="auto"/>
        </w:rPr>
        <w:t>Furthermore, we may be required to enter into agreements and subcontracts with third parties, including suppliers, consultants and other third-party contractors in order to satisfy our contractual obligations pursuant to our agreements with the U.S. government. Negotiating and entering into such arrangements can be time-consuming and we may not be able to reach agreement with such third parties. Any such agreement must also be compliant with the terms of the NIH Contract. Any delay or inability to enter into such arrangements or entering into such arrangements in a manner that is non-compliant with the terms of our contract, may result in violations of our contract.</w:t>
      </w:r>
    </w:p>
    <w:p>
      <w:pPr>
        <w:spacing w:after="0" w:line="83" w:lineRule="exact"/>
        <w:rPr>
          <w:sz w:val="20"/>
          <w:szCs w:val="20"/>
          <w:color w:val="auto"/>
        </w:rPr>
      </w:pPr>
    </w:p>
    <w:p>
      <w:pPr>
        <w:ind w:right="60" w:firstLine="254"/>
        <w:spacing w:after="0" w:line="259" w:lineRule="auto"/>
        <w:rPr>
          <w:sz w:val="20"/>
          <w:szCs w:val="20"/>
          <w:color w:val="auto"/>
        </w:rPr>
      </w:pPr>
      <w:r>
        <w:rPr>
          <w:rFonts w:ascii="Arial" w:cs="Arial" w:eastAsia="Arial" w:hAnsi="Arial"/>
          <w:sz w:val="14"/>
          <w:szCs w:val="14"/>
          <w:color w:val="auto"/>
        </w:rPr>
        <w:t>U.S. government agencies routinely audit and investigate government contractors and recipients of federal grants and contracts (even after performance has been completed). These agencies review a contractor’s performance under its contracts, cost structure and compliance with applicable laws, regulations and standards. The audit may also include review of the adequacy of, and a contractor’s compliance with, its internal control systems and policies, including the contractor’s accounting, purchasing, property, estimating, compensation and management information systems. If an audit uncovers improper or illegal activities, we may be subject to civil and criminal penalties and administrative sanctions. In addition, we could suffer serious reputational harm if allegations of impropriety were made against us, which could cause our stock price to decrease.</w:t>
      </w:r>
    </w:p>
    <w:p>
      <w:pPr>
        <w:spacing w:after="0" w:line="144" w:lineRule="exact"/>
        <w:rPr>
          <w:sz w:val="20"/>
          <w:szCs w:val="20"/>
          <w:color w:val="auto"/>
        </w:rPr>
      </w:pPr>
    </w:p>
    <w:p>
      <w:pPr>
        <w:ind w:right="220"/>
        <w:spacing w:after="0" w:line="248" w:lineRule="auto"/>
        <w:rPr>
          <w:sz w:val="20"/>
          <w:szCs w:val="20"/>
          <w:color w:val="auto"/>
        </w:rPr>
      </w:pPr>
      <w:r>
        <w:rPr>
          <w:rFonts w:ascii="Arial" w:cs="Arial" w:eastAsia="Arial" w:hAnsi="Arial"/>
          <w:sz w:val="14"/>
          <w:szCs w:val="14"/>
          <w:b w:val="1"/>
          <w:bCs w:val="1"/>
          <w:color w:val="auto"/>
        </w:rPr>
        <w:t>To the extent we elect to label and promote any of our non-EUA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90"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Except for the Advanta Dx SARS-CoV-2 RT-PCR Assay and the AZOVA COVID-19 Test Collection Kit authorized by the FDA under an EUA granted in August 2020 and updated in February 2021, among other updates, and our Advanta Dx COVID-19 EASE Assay authorized by the FDA under an EUA granted in February 2022, our other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83" w:lineRule="exact"/>
        <w:rPr>
          <w:sz w:val="20"/>
          <w:szCs w:val="20"/>
          <w:color w:val="auto"/>
        </w:rPr>
      </w:pPr>
    </w:p>
    <w:p>
      <w:pPr>
        <w:ind w:right="160" w:firstLine="254"/>
        <w:spacing w:after="0" w:line="261" w:lineRule="auto"/>
        <w:rPr>
          <w:sz w:val="20"/>
          <w:szCs w:val="20"/>
          <w:color w:val="auto"/>
        </w:rPr>
      </w:pPr>
      <w:r>
        <w:rPr>
          <w:rFonts w:ascii="Arial" w:cs="Arial" w:eastAsia="Arial" w:hAnsi="Arial"/>
          <w:sz w:val="14"/>
          <w:szCs w:val="14"/>
          <w:color w:val="auto"/>
        </w:rPr>
        <w:t>We are currently registered with the FDA as a medical device manufacturer, with the reagents for the Advanta Dx SARS-CoV-2 RT-PCR Assay listed as our sole medical device product. As noted in the issued EUA for the Advanta Dx SARS-CoV-2 RT-PCR Assay (including the EUA update for use with the AZOVA COVID-19 Test Collection Kit, among other updates) and the issued EUA for the Advanta Dx COVID-19 EASE Assay, the FDA has waived certain quality system requirements under 21 CFR Part 820 for the duration of each EUA. We may in the future list some of our other products with the FDA pursuant to</w:t>
      </w: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39" w:name="page40"/>
    <w:bookmarkEnd w:id="39"/>
    <w:p>
      <w:pPr>
        <w:ind w:right="20"/>
        <w:spacing w:after="0" w:line="256" w:lineRule="auto"/>
        <w:rPr>
          <w:sz w:val="20"/>
          <w:szCs w:val="20"/>
          <w:color w:val="auto"/>
        </w:rPr>
      </w:pPr>
      <w:r>
        <w:rPr>
          <w:rFonts w:ascii="Arial" w:cs="Arial" w:eastAsia="Arial" w:hAnsi="Arial"/>
          <w:sz w:val="14"/>
          <w:szCs w:val="14"/>
          <w:color w:val="auto"/>
        </w:rPr>
        <w:t>an FDA Class I listing for general purpose laboratory equipment if we pursue clinical applications for such equipment. While this regulatory classification is generally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If we do not comply with all the requirements of the EUA or the normal regulatory requirements for any of our medical device products, including additional regulatory requirements that would apply to the Advanta Dx SARS-CoV-2 RT-PCR Assay and the AZOVA COVID-19 Test Collection Kit after the expiration or termination of the EUA, we may be subject to regulatory or enforcement actions, including the issuance of an untitled letter, a warning letter, penalties, or fines, among other adverse actions, any of which may adversely impact our business, financial condition and results of operations. Compliance with additional or changing regulatory requirements can be time-consuming and costly.</w:t>
      </w:r>
    </w:p>
    <w:p>
      <w:pPr>
        <w:spacing w:after="0" w:line="88" w:lineRule="exact"/>
        <w:rPr>
          <w:sz w:val="20"/>
          <w:szCs w:val="20"/>
          <w:color w:val="auto"/>
        </w:rPr>
      </w:pPr>
    </w:p>
    <w:p>
      <w:pPr>
        <w:ind w:right="40" w:firstLine="254"/>
        <w:spacing w:after="0" w:line="281" w:lineRule="auto"/>
        <w:rPr>
          <w:sz w:val="20"/>
          <w:szCs w:val="20"/>
          <w:color w:val="auto"/>
        </w:rPr>
      </w:pPr>
      <w:r>
        <w:rPr>
          <w:rFonts w:ascii="Arial" w:cs="Arial" w:eastAsia="Arial" w:hAnsi="Arial"/>
          <w:sz w:val="13"/>
          <w:szCs w:val="13"/>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83" w:lineRule="exact"/>
        <w:rPr>
          <w:sz w:val="20"/>
          <w:szCs w:val="20"/>
          <w:color w:val="auto"/>
        </w:rPr>
      </w:pPr>
    </w:p>
    <w:p>
      <w:pPr>
        <w:ind w:right="40" w:firstLine="254"/>
        <w:spacing w:after="0" w:line="281" w:lineRule="auto"/>
        <w:rPr>
          <w:sz w:val="20"/>
          <w:szCs w:val="20"/>
          <w:color w:val="auto"/>
        </w:rPr>
      </w:pPr>
      <w:r>
        <w:rPr>
          <w:rFonts w:ascii="Arial" w:cs="Arial" w:eastAsia="Arial" w:hAnsi="Arial"/>
          <w:sz w:val="13"/>
          <w:szCs w:val="13"/>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83"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In addition, to the extent we decide to seek regulatory marketing authorization for certain of our products in countries outside of the United States, we or our partners, or collaborators, will need to obtain regulatory marketing authorization for our products for the intended use in the jurisdiction where such products will be marketed. Regulatory clearance or approval in one jurisdiction does not mean that we will be successful in obtaining regulatory marketing authorization in other jurisdictions where we conduct business.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need to comply with the In Vitro Diagnostic Directive 98/79/EC and transition to the In Vitro Diagnostic Regulation 2017/746, which became effective May 26, 2017, with an application date of May 26, 2022.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February 2021, we announced a supply and distribution agreement to market our CyTOF technology, panels, and reagents to clinical labs in China. As part of the agreement, we are working to</w:t>
      </w:r>
    </w:p>
    <w:p>
      <w:pPr>
        <w:spacing w:after="0" w:line="63" w:lineRule="exact"/>
        <w:rPr>
          <w:sz w:val="20"/>
          <w:szCs w:val="20"/>
          <w:color w:val="auto"/>
        </w:rPr>
      </w:pPr>
    </w:p>
    <w:p>
      <w:pPr>
        <w:ind w:right="100"/>
        <w:spacing w:after="0" w:line="280" w:lineRule="auto"/>
        <w:rPr>
          <w:sz w:val="20"/>
          <w:szCs w:val="20"/>
          <w:color w:val="auto"/>
        </w:rPr>
      </w:pPr>
      <w:r>
        <w:rPr>
          <w:rFonts w:ascii="Arial" w:cs="Arial" w:eastAsia="Arial" w:hAnsi="Arial"/>
          <w:sz w:val="14"/>
          <w:szCs w:val="14"/>
          <w:color w:val="auto"/>
        </w:rPr>
        <w:t>seek National Medical Products Administration (NMPA) approval for our CyTOF instrument for diagnostic use in China. As we increase our operations outside of the United States, our compliance and operational costs will increase, and we will be exposed to greater liability under additional laws and regulations.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4"/>
          <w:szCs w:val="14"/>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76" w:lineRule="exact"/>
        <w:rPr>
          <w:sz w:val="20"/>
          <w:szCs w:val="20"/>
          <w:color w:val="auto"/>
        </w:rPr>
      </w:pPr>
    </w:p>
    <w:p>
      <w:pPr>
        <w:ind w:right="420" w:firstLine="254"/>
        <w:spacing w:after="0" w:line="367" w:lineRule="auto"/>
        <w:rPr>
          <w:sz w:val="20"/>
          <w:szCs w:val="20"/>
          <w:color w:val="auto"/>
        </w:rPr>
      </w:pPr>
      <w:r>
        <w:rPr>
          <w:rFonts w:ascii="Arial" w:cs="Arial" w:eastAsia="Arial" w:hAnsi="Arial"/>
          <w:sz w:val="12"/>
          <w:szCs w:val="12"/>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w:t>
      </w: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40" w:name="page41"/>
    <w:bookmarkEnd w:id="40"/>
    <w:p>
      <w:pPr>
        <w:spacing w:after="0" w:line="276" w:lineRule="auto"/>
        <w:rPr>
          <w:sz w:val="20"/>
          <w:szCs w:val="20"/>
          <w:color w:val="auto"/>
        </w:rPr>
      </w:pPr>
      <w:r>
        <w:rPr>
          <w:rFonts w:ascii="Arial" w:cs="Arial" w:eastAsia="Arial" w:hAnsi="Arial"/>
          <w:sz w:val="13"/>
          <w:szCs w:val="13"/>
          <w:color w:val="auto"/>
        </w:rPr>
        <w:t>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76" w:lineRule="exact"/>
        <w:rPr>
          <w:sz w:val="20"/>
          <w:szCs w:val="20"/>
          <w:color w:val="auto"/>
        </w:rPr>
      </w:pPr>
    </w:p>
    <w:p>
      <w:pPr>
        <w:ind w:right="80" w:firstLine="254"/>
        <w:spacing w:after="0" w:line="258" w:lineRule="auto"/>
        <w:rPr>
          <w:sz w:val="20"/>
          <w:szCs w:val="20"/>
          <w:color w:val="auto"/>
        </w:rPr>
      </w:pPr>
      <w:r>
        <w:rPr>
          <w:rFonts w:ascii="Arial" w:cs="Arial" w:eastAsia="Arial" w:hAnsi="Arial"/>
          <w:sz w:val="14"/>
          <w:szCs w:val="14"/>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95" w:lineRule="exact"/>
        <w:rPr>
          <w:sz w:val="20"/>
          <w:szCs w:val="20"/>
          <w:color w:val="auto"/>
        </w:rPr>
      </w:pPr>
    </w:p>
    <w:p>
      <w:pPr>
        <w:ind w:right="20" w:firstLine="254"/>
        <w:spacing w:after="0" w:line="306" w:lineRule="auto"/>
        <w:rPr>
          <w:sz w:val="20"/>
          <w:szCs w:val="20"/>
          <w:color w:val="auto"/>
        </w:rPr>
      </w:pPr>
      <w:r>
        <w:rPr>
          <w:rFonts w:ascii="Arial" w:cs="Arial" w:eastAsia="Arial" w:hAnsi="Arial"/>
          <w:sz w:val="12"/>
          <w:szCs w:val="12"/>
          <w:color w:val="auto"/>
        </w:rPr>
        <w:t>In August 2020, as part of the U.S. government’s efforts to combat COVID-19 and consistent with the direction in Executive Orders 13771 and 13924, the Department of Health and Human Services (HHS) announced rescission of guidances and other informal issuances of the FDA regarding premarket review of LDTs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However, laboratories opting to use LDTs without FDA premarket review or authorization would not be eligible for liability protection under the Public Readiness and Emergency Preparedness Act, or the PREP Act. In November 2021, HHS under the Biden administration issued a statement that withdrew the August 2020 policy announcement, stating that HHS does not have a policy on LDTs that is separate from FDA’s longstanding approach. The FDA also issued a revised version of its COVID-19 test policy that states the FDA expects newly offered COVID-19 tests, including LDTs, to have an EUA, or traditional marketing authorization such as a granted De Novo or cleared 510(k), prior to clinical use.</w:t>
      </w:r>
    </w:p>
    <w:p>
      <w:pPr>
        <w:spacing w:after="0" w:line="71" w:lineRule="exact"/>
        <w:rPr>
          <w:sz w:val="20"/>
          <w:szCs w:val="20"/>
          <w:color w:val="auto"/>
        </w:rPr>
      </w:pPr>
    </w:p>
    <w:p>
      <w:pPr>
        <w:ind w:right="20" w:firstLine="254"/>
        <w:spacing w:after="0" w:line="288" w:lineRule="auto"/>
        <w:rPr>
          <w:sz w:val="20"/>
          <w:szCs w:val="20"/>
          <w:color w:val="auto"/>
        </w:rPr>
      </w:pPr>
      <w:r>
        <w:rPr>
          <w:rFonts w:ascii="Arial" w:cs="Arial" w:eastAsia="Arial" w:hAnsi="Arial"/>
          <w:sz w:val="13"/>
          <w:szCs w:val="13"/>
          <w:color w:val="auto"/>
        </w:rPr>
        <w:t>Further, in June 2021, Congress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our ability to commercialize our products and the demand for our specialized reagents and instruments. Further, we could be required to obtain premarket clearance or approval from the FDA before we can sell our products to certain customers.</w:t>
      </w:r>
    </w:p>
    <w:p>
      <w:pPr>
        <w:spacing w:after="0" w:line="66" w:lineRule="exact"/>
        <w:rPr>
          <w:sz w:val="20"/>
          <w:szCs w:val="20"/>
          <w:color w:val="auto"/>
        </w:rPr>
      </w:pPr>
    </w:p>
    <w:p>
      <w:pPr>
        <w:ind w:right="140" w:firstLine="254"/>
        <w:spacing w:after="0" w:line="261" w:lineRule="auto"/>
        <w:rPr>
          <w:sz w:val="20"/>
          <w:szCs w:val="20"/>
          <w:color w:val="auto"/>
        </w:rPr>
      </w:pPr>
      <w:r>
        <w:rPr>
          <w:rFonts w:ascii="Arial" w:cs="Arial" w:eastAsia="Arial" w:hAnsi="Arial"/>
          <w:sz w:val="14"/>
          <w:szCs w:val="14"/>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41" w:name="page42"/>
    <w:bookmarkEnd w:id="41"/>
    <w:p>
      <w:pPr>
        <w:ind w:right="420"/>
        <w:spacing w:after="0" w:line="286" w:lineRule="auto"/>
        <w:rPr>
          <w:sz w:val="20"/>
          <w:szCs w:val="20"/>
          <w:color w:val="auto"/>
        </w:rPr>
      </w:pPr>
      <w:r>
        <w:rPr>
          <w:rFonts w:ascii="Arial" w:cs="Arial" w:eastAsia="Arial" w:hAnsi="Arial"/>
          <w:sz w:val="14"/>
          <w:szCs w:val="14"/>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76"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72" w:lineRule="exact"/>
        <w:rPr>
          <w:sz w:val="20"/>
          <w:szCs w:val="20"/>
          <w:color w:val="auto"/>
        </w:rPr>
      </w:pPr>
    </w:p>
    <w:p>
      <w:pPr>
        <w:jc w:val="both"/>
        <w:ind w:right="80" w:firstLine="254"/>
        <w:spacing w:after="0" w:line="266" w:lineRule="auto"/>
        <w:rPr>
          <w:sz w:val="20"/>
          <w:szCs w:val="20"/>
          <w:color w:val="auto"/>
        </w:rPr>
      </w:pPr>
      <w:r>
        <w:rPr>
          <w:rFonts w:ascii="Arial" w:cs="Arial" w:eastAsia="Arial" w:hAnsi="Arial"/>
          <w:sz w:val="14"/>
          <w:szCs w:val="14"/>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90" w:lineRule="exact"/>
        <w:rPr>
          <w:sz w:val="20"/>
          <w:szCs w:val="20"/>
          <w:color w:val="auto"/>
        </w:rPr>
      </w:pPr>
    </w:p>
    <w:p>
      <w:pPr>
        <w:ind w:right="240" w:firstLine="254"/>
        <w:spacing w:after="0" w:line="261" w:lineRule="auto"/>
        <w:rPr>
          <w:sz w:val="20"/>
          <w:szCs w:val="20"/>
          <w:color w:val="auto"/>
        </w:rPr>
      </w:pPr>
      <w:r>
        <w:rPr>
          <w:rFonts w:ascii="Arial" w:cs="Arial" w:eastAsia="Arial" w:hAnsi="Arial"/>
          <w:sz w:val="14"/>
          <w:szCs w:val="14"/>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ECONOMIC CONDITIONS AND OPERATING A GLOBAL BUSINESS</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4"/>
          <w:szCs w:val="14"/>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76" w:lineRule="exact"/>
        <w:rPr>
          <w:sz w:val="20"/>
          <w:szCs w:val="20"/>
          <w:color w:val="auto"/>
        </w:rPr>
      </w:pPr>
    </w:p>
    <w:p>
      <w:pPr>
        <w:ind w:right="120" w:firstLine="254"/>
        <w:spacing w:after="0" w:line="266" w:lineRule="auto"/>
        <w:rPr>
          <w:sz w:val="20"/>
          <w:szCs w:val="20"/>
          <w:color w:val="auto"/>
        </w:rPr>
      </w:pPr>
      <w:r>
        <w:rPr>
          <w:rFonts w:ascii="Arial" w:cs="Arial" w:eastAsia="Arial" w:hAnsi="Arial"/>
          <w:sz w:val="14"/>
          <w:szCs w:val="14"/>
          <w:color w:val="auto"/>
        </w:rPr>
        <w:t>During the years 2021, 2020, and 2019, approximately 56%, 54%, and 63%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79" w:lineRule="exact"/>
        <w:rPr>
          <w:sz w:val="20"/>
          <w:szCs w:val="20"/>
          <w:color w:val="auto"/>
        </w:rPr>
      </w:pPr>
    </w:p>
    <w:p>
      <w:pPr>
        <w:ind w:left="520" w:right="20" w:hanging="261"/>
        <w:spacing w:after="0" w:line="26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required compliance with existing and changing foreign regulatory requirements and laws that are or may be applicable to our business in the future, such as the European Union’s General Data Protection Regulation, the California Consumer Privacy Act,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93" w:lineRule="exact"/>
        <w:rPr>
          <w:rFonts w:ascii="Arial" w:cs="Arial" w:eastAsia="Arial" w:hAnsi="Arial"/>
          <w:sz w:val="14"/>
          <w:szCs w:val="14"/>
          <w:color w:val="auto"/>
        </w:rPr>
      </w:pPr>
    </w:p>
    <w:p>
      <w:pPr>
        <w:ind w:left="500" w:hanging="241"/>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required compliance with U.S. laws such as the Foreign Corrupt Practices Act, and other U.S. federal laws and regulations established by the Office of Foreign Assets Control;</w:t>
      </w:r>
    </w:p>
    <w:p>
      <w:pPr>
        <w:spacing w:after="0" w:line="104" w:lineRule="exact"/>
        <w:rPr>
          <w:rFonts w:ascii="Arial" w:cs="Arial" w:eastAsia="Arial" w:hAnsi="Arial"/>
          <w:sz w:val="13"/>
          <w:szCs w:val="13"/>
          <w:color w:val="auto"/>
        </w:rPr>
      </w:pPr>
    </w:p>
    <w:p>
      <w:pPr>
        <w:ind w:left="500" w:hanging="241"/>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export requirements and import or trade restrictions;</w:t>
      </w:r>
    </w:p>
    <w:p>
      <w:pPr>
        <w:spacing w:after="0" w:line="93" w:lineRule="exact"/>
        <w:rPr>
          <w:rFonts w:ascii="Arial" w:cs="Arial" w:eastAsia="Arial" w:hAnsi="Arial"/>
          <w:sz w:val="14"/>
          <w:szCs w:val="14"/>
          <w:color w:val="auto"/>
        </w:rPr>
      </w:pPr>
    </w:p>
    <w:p>
      <w:pPr>
        <w:ind w:left="500" w:hanging="241"/>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laws and business practices favoring local companies;</w:t>
      </w:r>
    </w:p>
    <w:p>
      <w:pPr>
        <w:spacing w:after="0" w:line="93" w:lineRule="exact"/>
        <w:rPr>
          <w:rFonts w:ascii="Arial" w:cs="Arial" w:eastAsia="Arial" w:hAnsi="Arial"/>
          <w:sz w:val="14"/>
          <w:szCs w:val="14"/>
          <w:color w:val="auto"/>
        </w:rPr>
      </w:pPr>
    </w:p>
    <w:p>
      <w:pPr>
        <w:ind w:left="500" w:hanging="241"/>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longer payment cycles and difficulties in enforcing agreements and collecting receivables through certain foreign legal systems;</w:t>
      </w:r>
    </w:p>
    <w:p>
      <w:pPr>
        <w:spacing w:after="0" w:line="32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42" w:name="page43"/>
    <w:bookmarkEnd w:id="42"/>
    <w:p>
      <w:pPr>
        <w:jc w:val="both"/>
        <w:ind w:left="520" w:right="20" w:hanging="261"/>
        <w:spacing w:after="0" w:line="248" w:lineRule="auto"/>
        <w:tabs>
          <w:tab w:leader="none" w:pos="490" w:val="left"/>
        </w:tabs>
        <w:numPr>
          <w:ilvl w:val="0"/>
          <w:numId w:val="34"/>
        </w:numPr>
        <w:rPr>
          <w:rFonts w:ascii="Arial" w:cs="Arial" w:eastAsia="Arial" w:hAnsi="Arial"/>
          <w:sz w:val="16"/>
          <w:szCs w:val="16"/>
          <w:color w:val="auto"/>
        </w:rPr>
      </w:pPr>
      <w:r>
        <w:rPr>
          <w:rFonts w:ascii="Arial" w:cs="Arial" w:eastAsia="Arial" w:hAnsi="Arial"/>
          <w:sz w:val="14"/>
          <w:szCs w:val="14"/>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or the Russian invasion of Ukraine;</w:t>
      </w:r>
    </w:p>
    <w:p>
      <w:pPr>
        <w:spacing w:after="0" w:line="70" w:lineRule="exact"/>
        <w:rPr>
          <w:rFonts w:ascii="Arial" w:cs="Arial" w:eastAsia="Arial" w:hAnsi="Arial"/>
          <w:sz w:val="16"/>
          <w:szCs w:val="16"/>
          <w:color w:val="auto"/>
        </w:rPr>
      </w:pPr>
    </w:p>
    <w:p>
      <w:pPr>
        <w:ind w:left="520" w:right="160" w:hanging="261"/>
        <w:spacing w:after="0" w:line="280"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business interruptions and travel restrictions resulting from global sociopolitical events, including war and terrorism, public health crises (including the ongoing COVID-19 pandemic), and natural disasters including earthquakes, typhoons, floods and fires;</w:t>
      </w:r>
    </w:p>
    <w:p>
      <w:pPr>
        <w:spacing w:after="0" w:line="47" w:lineRule="exact"/>
        <w:rPr>
          <w:rFonts w:ascii="Arial" w:cs="Arial" w:eastAsia="Arial" w:hAnsi="Arial"/>
          <w:sz w:val="14"/>
          <w:szCs w:val="14"/>
          <w:color w:val="auto"/>
        </w:rPr>
      </w:pPr>
    </w:p>
    <w:p>
      <w:pPr>
        <w:ind w:left="500" w:hanging="241"/>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potentially adverse tax consequences, tariffs, customs charges, bureaucratic requirements, and other trade barriers;</w:t>
      </w:r>
    </w:p>
    <w:p>
      <w:pPr>
        <w:spacing w:after="0" w:line="93" w:lineRule="exact"/>
        <w:rPr>
          <w:rFonts w:ascii="Arial" w:cs="Arial" w:eastAsia="Arial" w:hAnsi="Arial"/>
          <w:sz w:val="14"/>
          <w:szCs w:val="14"/>
          <w:color w:val="auto"/>
        </w:rPr>
      </w:pPr>
    </w:p>
    <w:p>
      <w:pPr>
        <w:ind w:left="500" w:hanging="241"/>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difficulties and costs of staffing and managing foreign operations; and</w:t>
      </w:r>
    </w:p>
    <w:p>
      <w:pPr>
        <w:spacing w:after="0" w:line="114" w:lineRule="exact"/>
        <w:rPr>
          <w:rFonts w:ascii="Arial" w:cs="Arial" w:eastAsia="Arial" w:hAnsi="Arial"/>
          <w:sz w:val="14"/>
          <w:szCs w:val="14"/>
          <w:color w:val="auto"/>
        </w:rPr>
      </w:pPr>
    </w:p>
    <w:p>
      <w:pPr>
        <w:ind w:left="500" w:hanging="241"/>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difficulties protecting or procuring intellectual property rights.</w:t>
      </w:r>
    </w:p>
    <w:p>
      <w:pPr>
        <w:spacing w:after="0" w:line="125" w:lineRule="exact"/>
        <w:rPr>
          <w:sz w:val="20"/>
          <w:szCs w:val="20"/>
          <w:color w:val="auto"/>
        </w:rPr>
      </w:pPr>
    </w:p>
    <w:p>
      <w:pPr>
        <w:jc w:val="both"/>
        <w:ind w:firstLine="254"/>
        <w:spacing w:after="0" w:line="296" w:lineRule="auto"/>
        <w:rPr>
          <w:sz w:val="20"/>
          <w:szCs w:val="20"/>
          <w:color w:val="auto"/>
        </w:rPr>
      </w:pPr>
      <w:r>
        <w:rPr>
          <w:rFonts w:ascii="Arial" w:cs="Arial" w:eastAsia="Arial" w:hAnsi="Arial"/>
          <w:sz w:val="13"/>
          <w:szCs w:val="13"/>
          <w:color w:val="auto"/>
        </w:rPr>
        <w:t>Since the beginning of the COVID-19 pandemic, travel restrictions have caused significant slowdowns in China, Japan, and other parts of the Asia-Pacific region. These slowdowns, in addition to shipment delays in China due to delays in obtaining VAT and import tax exemptions for our products, have caused our financial results to suffer. If these situations continue, or if other risks occur, we could be forced to dedicate significant resources to their resolution, and if we are unsuccessful in finding a solution, our financial condition and results will suffer.</w:t>
      </w:r>
    </w:p>
    <w:p>
      <w:pPr>
        <w:spacing w:after="0" w:line="72" w:lineRule="exact"/>
        <w:rPr>
          <w:sz w:val="20"/>
          <w:szCs w:val="20"/>
          <w:color w:val="auto"/>
        </w:rPr>
      </w:pPr>
    </w:p>
    <w:p>
      <w:pPr>
        <w:ind w:right="40" w:firstLine="254"/>
        <w:spacing w:after="0" w:line="280" w:lineRule="auto"/>
        <w:rPr>
          <w:sz w:val="20"/>
          <w:szCs w:val="20"/>
          <w:color w:val="auto"/>
        </w:rPr>
      </w:pPr>
      <w:r>
        <w:rPr>
          <w:rFonts w:ascii="Arial" w:cs="Arial" w:eastAsia="Arial" w:hAnsi="Arial"/>
          <w:sz w:val="13"/>
          <w:szCs w:val="13"/>
          <w:color w:val="auto"/>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of products manufactured in that foreign country and imported into the United States. The United States has commenced certain trade actions, including imposing increased tariffs on certain goods imported into the United States from China, which has resulted in retaliatory tariffs by China. In addition, the United States has commenced certain trade actions as a result of the Russian invasion of Ukraine, which are widely expected to result in retaliatory measures or actions, including tariffs, by Russia. Any increased trade barriers or restrictions on global trade imposed by the United States, or further retaliatory trade measures taken by China, Russia, or other countries in response, could adversely affect our business, financial condition, and results of operations.</w:t>
      </w:r>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b w:val="1"/>
          <w:bCs w:val="1"/>
          <w:color w:val="auto"/>
        </w:rPr>
        <w:t>Our business is subject to a variety of new U.S. and foreign export controls and economic sanctions regulations that were issued in response to Russia’s invasion of Ukraine; our failure to comply with these laws and regulations could harm our business.</w:t>
      </w:r>
    </w:p>
    <w:p>
      <w:pPr>
        <w:spacing w:after="0" w:line="65" w:lineRule="exact"/>
        <w:rPr>
          <w:sz w:val="20"/>
          <w:szCs w:val="20"/>
          <w:color w:val="auto"/>
        </w:rPr>
      </w:pPr>
    </w:p>
    <w:p>
      <w:pPr>
        <w:ind w:right="20" w:firstLine="254"/>
        <w:spacing w:after="0" w:line="257" w:lineRule="auto"/>
        <w:rPr>
          <w:sz w:val="20"/>
          <w:szCs w:val="20"/>
          <w:color w:val="auto"/>
        </w:rPr>
      </w:pPr>
      <w:r>
        <w:rPr>
          <w:rFonts w:ascii="Arial" w:cs="Arial" w:eastAsia="Arial" w:hAnsi="Arial"/>
          <w:sz w:val="14"/>
          <w:szCs w:val="14"/>
          <w:color w:val="auto"/>
        </w:rPr>
        <w:t>Due to recent regulations, U.S. companies can no longer provide or receive services or conduct any business with, including selling, shipping, or otherwise transferring any U.S.-controlled products to, the Donetsk People’s Republic (DNR) and Luhansk People’s Republic (LNR) regions of Ukraine. Additionally, existing U.S. sanctions continue to extend these prohibitions to the Crimea region of Ukraine. Our business is also subject to the expansion of previously existing sanctions imposed by the Treasury Department’s Office of Foreign Assets Controls that now cover a significant number of individuals and entities located in Russia, Belarus, and surrounding regions as well as new U.S. export controls imposed by the U.S. Department of Commerce’s Export Administration Regulations on exports to Russia.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w:t>
      </w:r>
    </w:p>
    <w:p>
      <w:pPr>
        <w:spacing w:after="0" w:line="96" w:lineRule="exact"/>
        <w:rPr>
          <w:sz w:val="20"/>
          <w:szCs w:val="20"/>
          <w:color w:val="auto"/>
        </w:rPr>
      </w:pPr>
    </w:p>
    <w:p>
      <w:pPr>
        <w:ind w:right="60" w:firstLine="254"/>
        <w:spacing w:after="0" w:line="318" w:lineRule="auto"/>
        <w:rPr>
          <w:sz w:val="20"/>
          <w:szCs w:val="20"/>
          <w:color w:val="auto"/>
        </w:rPr>
      </w:pPr>
      <w:r>
        <w:rPr>
          <w:rFonts w:ascii="Arial" w:cs="Arial" w:eastAsia="Arial" w:hAnsi="Arial"/>
          <w:sz w:val="12"/>
          <w:szCs w:val="12"/>
          <w:color w:val="auto"/>
        </w:rPr>
        <w:t>We are currently implementing new measures to reduce our exposure to this liability. The implementation of these measures may require us to expend substantial resources or to discontinue certain products or services, which would negatively affect our business, financial condition, and operating results. 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conditions in the global economy and disruption of financial markets may significantly harm our revenue, profitability, and results of operations.</w:t>
      </w:r>
    </w:p>
    <w:p>
      <w:pPr>
        <w:spacing w:after="0" w:line="129" w:lineRule="exact"/>
        <w:rPr>
          <w:sz w:val="20"/>
          <w:szCs w:val="20"/>
          <w:color w:val="auto"/>
        </w:rPr>
      </w:pPr>
    </w:p>
    <w:p>
      <w:pPr>
        <w:ind w:right="60" w:firstLine="254"/>
        <w:spacing w:after="0" w:line="320" w:lineRule="auto"/>
        <w:rPr>
          <w:sz w:val="20"/>
          <w:szCs w:val="20"/>
          <w:color w:val="auto"/>
        </w:rPr>
      </w:pPr>
      <w:r>
        <w:rPr>
          <w:rFonts w:ascii="Arial" w:cs="Arial" w:eastAsia="Arial" w:hAnsi="Arial"/>
          <w:sz w:val="13"/>
          <w:szCs w:val="13"/>
          <w:color w:val="auto"/>
        </w:rPr>
        <w:t>Adverse economic conditions in the U.S. and international markets, including the worldwide economic disruption related to the COVID-19 pandemic and related slowdowns in China, Japan, and elsewhere in the Asia-Pacific region, have negatively affected our revenues and operating results and may continue to do so. Even before the current public health crisis took hold,</w:t>
      </w:r>
    </w:p>
    <w:p>
      <w:pPr>
        <w:spacing w:after="0" w:line="37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43" w:name="page44"/>
    <w:bookmarkEnd w:id="43"/>
    <w:p>
      <w:pPr>
        <w:ind w:right="60"/>
        <w:spacing w:after="0" w:line="255" w:lineRule="auto"/>
        <w:rPr>
          <w:sz w:val="20"/>
          <w:szCs w:val="20"/>
          <w:color w:val="auto"/>
        </w:rPr>
      </w:pPr>
      <w:r>
        <w:rPr>
          <w:rFonts w:ascii="Arial" w:cs="Arial" w:eastAsia="Arial" w:hAnsi="Arial"/>
          <w:sz w:val="14"/>
          <w:szCs w:val="14"/>
          <w:color w:val="auto"/>
        </w:rPr>
        <w:t>the global credit and financial markets had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Geopolitical events including the COVID-19 pandemic, the Russian invasion of Ukraine, including any resulting adoption and expansion of trade restrictions by the United States,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fluctuations in the exchange rate of the U.S. dollar and foreign currencies.</w:t>
      </w:r>
    </w:p>
    <w:p>
      <w:pPr>
        <w:spacing w:after="0" w:line="118"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FINANCIAL, TAX, AND ACCOUNTING RISKS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4"/>
          <w:szCs w:val="14"/>
          <w:b w:val="1"/>
          <w:bCs w:val="1"/>
          <w:color w:val="auto"/>
        </w:rPr>
        <w:t>As disclosed in footnote two of our consolidated financial statements, and referenced in our independent registered public accounting firm’s report, we believe that our current level of cash and cash equivalents, together with committed financing facilities, are not sufficient to fund ongoing operations for at least the twelve-month period after the financial statements were issued. The existence of these conditions raises substantial doubt about our ability to continue as a “going concern” for at least the twelve-month period following the date the financial statements were issued.</w:t>
      </w:r>
    </w:p>
    <w:p>
      <w:pPr>
        <w:spacing w:after="0" w:line="93" w:lineRule="exact"/>
        <w:rPr>
          <w:sz w:val="20"/>
          <w:szCs w:val="20"/>
          <w:color w:val="auto"/>
        </w:rPr>
      </w:pPr>
    </w:p>
    <w:p>
      <w:pPr>
        <w:ind w:right="20" w:firstLine="254"/>
        <w:spacing w:after="0" w:line="277" w:lineRule="auto"/>
        <w:rPr>
          <w:sz w:val="20"/>
          <w:szCs w:val="20"/>
          <w:color w:val="auto"/>
        </w:rPr>
      </w:pPr>
      <w:r>
        <w:rPr>
          <w:rFonts w:ascii="Arial" w:cs="Arial" w:eastAsia="Arial" w:hAnsi="Arial"/>
          <w:sz w:val="13"/>
          <w:szCs w:val="13"/>
          <w:color w:val="auto"/>
        </w:rPr>
        <w:t>Our current cash position and recurring operating losses have raised substantial doubt about our ability to continue as a going concern for at least the twelve-month period following the date the financial statements were issued. As of December 31, 2021, we had $29.5 million in cash, cash equivalents and restricted cash. Due to an extended strategic review process related to the pending Private Placement Issuance, we were unable in 2021 to implement certain cash management actions, including potential financing and/or cost reduction initiatives. Further, we have incurred, and expect to continue to incur, negative cash flows in pursuit of our business plans for at least the twelve-month period following the date the financial statements were issued. Management’s plans to address the doubt regarding our ability to continue as a going concern are discussed under Part II, Item 7, “Management’s discussion and analysis of financial condition and results of operations.” Our ability to continue as a going concern is dependent upon our success in obtaining additional equity or debt financing, attaining further operating efficiencies, reducing expenditures and ultimately, generating significant revenue growth. Our plans to raise additional capital, including our ability to consummate the Private Placement Issuance, or take other actions to address the doubt regarding our ability to continue as a going concern, may not be successful. There can be no assurance that the Company would be able to obtain additional liquidity when needed or under acceptable terms, if at all. The perception of our ability to continue as a going concern may make it more difficult for us to obtain financing for the continuation of our operations and could result in the loss of confidence by investors, suppliers and employees.</w:t>
      </w: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44" w:name="page45"/>
    <w:bookmarkEnd w:id="44"/>
    <w:p>
      <w:pPr>
        <w:ind w:right="200"/>
        <w:spacing w:after="0" w:line="286" w:lineRule="auto"/>
        <w:rPr>
          <w:sz w:val="20"/>
          <w:szCs w:val="20"/>
          <w:color w:val="auto"/>
        </w:rPr>
      </w:pPr>
      <w:r>
        <w:rPr>
          <w:rFonts w:ascii="Arial" w:cs="Arial" w:eastAsia="Arial" w:hAnsi="Arial"/>
          <w:sz w:val="14"/>
          <w:szCs w:val="14"/>
          <w:b w:val="1"/>
          <w:bCs w:val="1"/>
          <w:color w:val="auto"/>
        </w:rPr>
        <w:t>Our future capital needs are uncertain and we may need to raise additional funds in the future, which may cause dilution to stockholders or may be upon terms that are not favorable to us.</w:t>
      </w:r>
    </w:p>
    <w:p>
      <w:pPr>
        <w:spacing w:after="0" w:line="65" w:lineRule="exact"/>
        <w:rPr>
          <w:sz w:val="20"/>
          <w:szCs w:val="20"/>
          <w:color w:val="auto"/>
        </w:rPr>
      </w:pPr>
    </w:p>
    <w:p>
      <w:pPr>
        <w:ind w:right="240" w:firstLine="254"/>
        <w:spacing w:after="0" w:line="286" w:lineRule="auto"/>
        <w:rPr>
          <w:sz w:val="20"/>
          <w:szCs w:val="20"/>
          <w:color w:val="auto"/>
        </w:rPr>
      </w:pPr>
      <w:r>
        <w:rPr>
          <w:rFonts w:ascii="Arial" w:cs="Arial" w:eastAsia="Arial" w:hAnsi="Arial"/>
          <w:sz w:val="13"/>
          <w:szCs w:val="13"/>
          <w:color w:val="auto"/>
        </w:rPr>
        <w:t>We have continued to experience losses and, if that trend continues, we may need to seek additional sources of financing. If our plans to raise capital and to consummate the Private Placement Issuance are not successful, or if such funds are insufficient to meet our cash requirements, we may need to raise substantial capital for various purposes, including:</w:t>
      </w:r>
    </w:p>
    <w:p>
      <w:pPr>
        <w:spacing w:after="0" w:line="57" w:lineRule="exact"/>
        <w:rPr>
          <w:sz w:val="20"/>
          <w:szCs w:val="20"/>
          <w:color w:val="auto"/>
        </w:rPr>
      </w:pPr>
    </w:p>
    <w:p>
      <w:pPr>
        <w:ind w:left="500" w:hanging="241"/>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funding our operations;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expanding the commercialization of our products;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furthering our research and development; and</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acquiring other businesses or assets and licensing technologies.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future funding requirements will depend on many factors, including:</w:t>
      </w:r>
    </w:p>
    <w:p>
      <w:pPr>
        <w:spacing w:after="0" w:line="125" w:lineRule="exact"/>
        <w:rPr>
          <w:sz w:val="20"/>
          <w:szCs w:val="20"/>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market acceptance of our products;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of our research and development activities;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of filing and prosecuting patent applications;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of defending any litigation including intellectual property, employment, contractual or other litigation;</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and timing of regulatory clearances or approvals, if any;</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and timing of establishing additional sales, marketing, and distribution capabilities;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cost and timing of establishing additional technical support capabilities;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fluctuations in cash demands (e.g., due to interest or principal payments or payouts under existing cash compensation plans);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variability in sales and timing of related cash collections;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effectiveness of our efficiency and cost-savings initiatives;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impact of any natural disasters or public health crises (including the COVID-19 pandemic);</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37" w:lineRule="exact"/>
        <w:rPr>
          <w:sz w:val="20"/>
          <w:szCs w:val="20"/>
          <w:color w:val="auto"/>
        </w:rPr>
      </w:pPr>
    </w:p>
    <w:p>
      <w:pPr>
        <w:ind w:firstLine="254"/>
        <w:spacing w:after="0" w:line="277" w:lineRule="auto"/>
        <w:rPr>
          <w:sz w:val="20"/>
          <w:szCs w:val="20"/>
          <w:color w:val="auto"/>
        </w:rPr>
      </w:pPr>
      <w:r>
        <w:rPr>
          <w:rFonts w:ascii="Arial" w:cs="Arial" w:eastAsia="Arial" w:hAnsi="Arial"/>
          <w:sz w:val="13"/>
          <w:szCs w:val="13"/>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The ongoing COVID-19 pandemic has led to significant disruption and volatility in the global capital markets, increasing the cost of—and adversely impacting access to—capital. We entered into an Open Market Sale Agreement (Sale Agreement) with Jefferies LLC (Jefferies) to sell shares of our common stock having aggregate sales proceeds of up to $50 million, from time to time, through an at-the-market (ATM) equity offering program under which Jefferies acts as sales agent. During the third quarter of 2020, we sold approximately 2.5 million shares of our common stock pursuant to the Sale Agreement, for aggregate gross proceeds of $20.9 million. Our net proceeds were approximately $20.1 million, after deducting related expenses, including commissions of approximately $0.6 million and issuance costs of approximately $0.2 million. If we raise additional funds by issuing equity securities, either under the ATM program or otherwise, our stockholders will experience dilution. Debt financing in addition to our credit facility,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w:t>
      </w:r>
    </w:p>
    <w:p>
      <w:pPr>
        <w:spacing w:after="0" w:line="86" w:lineRule="exact"/>
        <w:rPr>
          <w:sz w:val="20"/>
          <w:szCs w:val="20"/>
          <w:color w:val="auto"/>
        </w:rPr>
      </w:pPr>
    </w:p>
    <w:p>
      <w:pPr>
        <w:ind w:right="20" w:firstLine="254"/>
        <w:spacing w:after="0" w:line="288" w:lineRule="auto"/>
        <w:rPr>
          <w:sz w:val="20"/>
          <w:szCs w:val="20"/>
          <w:color w:val="auto"/>
        </w:rPr>
      </w:pPr>
      <w:r>
        <w:rPr>
          <w:rFonts w:ascii="Arial" w:cs="Arial" w:eastAsia="Arial" w:hAnsi="Arial"/>
          <w:sz w:val="13"/>
          <w:szCs w:val="13"/>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39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45" w:name="page46"/>
    <w:bookmarkEnd w:id="45"/>
    <w:p>
      <w:pPr>
        <w:ind w:right="80"/>
        <w:spacing w:after="0" w:line="286" w:lineRule="auto"/>
        <w:rPr>
          <w:sz w:val="20"/>
          <w:szCs w:val="20"/>
          <w:color w:val="auto"/>
        </w:rPr>
      </w:pPr>
      <w:r>
        <w:rPr>
          <w:rFonts w:ascii="Arial" w:cs="Arial" w:eastAsia="Arial" w:hAnsi="Arial"/>
          <w:sz w:val="14"/>
          <w:szCs w:val="14"/>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76" w:lineRule="exact"/>
        <w:rPr>
          <w:sz w:val="20"/>
          <w:szCs w:val="20"/>
          <w:color w:val="auto"/>
        </w:rPr>
      </w:pPr>
    </w:p>
    <w:p>
      <w:pPr>
        <w:ind w:firstLine="254"/>
        <w:spacing w:after="0" w:line="296" w:lineRule="auto"/>
        <w:rPr>
          <w:sz w:val="20"/>
          <w:szCs w:val="20"/>
          <w:color w:val="auto"/>
        </w:rPr>
      </w:pPr>
      <w:r>
        <w:rPr>
          <w:rFonts w:ascii="Arial" w:cs="Arial" w:eastAsia="Arial" w:hAnsi="Arial"/>
          <w:sz w:val="13"/>
          <w:szCs w:val="13"/>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61" w:lineRule="exact"/>
        <w:rPr>
          <w:sz w:val="20"/>
          <w:szCs w:val="20"/>
          <w:color w:val="auto"/>
        </w:rPr>
      </w:pPr>
    </w:p>
    <w:p>
      <w:pPr>
        <w:ind w:right="60" w:firstLine="254"/>
        <w:spacing w:after="0" w:line="259" w:lineRule="auto"/>
        <w:rPr>
          <w:sz w:val="20"/>
          <w:szCs w:val="20"/>
          <w:color w:val="auto"/>
        </w:rPr>
      </w:pPr>
      <w:r>
        <w:rPr>
          <w:rFonts w:ascii="Arial" w:cs="Arial" w:eastAsia="Arial" w:hAnsi="Arial"/>
          <w:sz w:val="14"/>
          <w:szCs w:val="14"/>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Stock Market LLC, the SEC, or other regulatory authorities, which would require additional financial and management resources.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realize the value of our goodwill or other intangible assets, which would be reflected in an impairment charge.</w:t>
      </w:r>
    </w:p>
    <w:p>
      <w:pPr>
        <w:spacing w:after="0" w:line="129" w:lineRule="exact"/>
        <w:rPr>
          <w:sz w:val="20"/>
          <w:szCs w:val="20"/>
          <w:color w:val="auto"/>
        </w:rPr>
      </w:pPr>
    </w:p>
    <w:p>
      <w:pPr>
        <w:ind w:right="80" w:firstLine="254"/>
        <w:spacing w:after="0" w:line="284" w:lineRule="auto"/>
        <w:rPr>
          <w:sz w:val="20"/>
          <w:szCs w:val="20"/>
          <w:color w:val="auto"/>
        </w:rPr>
      </w:pPr>
      <w:r>
        <w:rPr>
          <w:rFonts w:ascii="Arial" w:cs="Arial" w:eastAsia="Arial" w:hAnsi="Arial"/>
          <w:sz w:val="13"/>
          <w:szCs w:val="13"/>
          <w:color w:val="auto"/>
        </w:rPr>
        <w:t>Our business acquisitions typically result in goodwill and other intangible assets, which affect the amount of future period amortization expense and possible impairment expense. We make estimates and assumptions in valuing such intangible assets that affect our consolidated financial statements. As of December 31, 2021, we had approximately $135.6 million of goodwill and net intangible assets, including approximately $106.4 million of goodwill and $29.2 million of net intangible assets. These assets represent a significant portion of the assets recorded on our consolidated balance sheet and relate primarily to our acquisition of DVS Sciences, Inc. (DVS) in February 2014 and InstruNor in 2020. In addition, if in the future we acquire additional businesses, technologies, or other intangible assets, a substantial portion of the value of such assets may be recorded as goodwill or intangible assets.</w:t>
      </w:r>
    </w:p>
    <w:p>
      <w:pPr>
        <w:spacing w:after="0" w:line="79" w:lineRule="exact"/>
        <w:rPr>
          <w:sz w:val="20"/>
          <w:szCs w:val="20"/>
          <w:color w:val="auto"/>
        </w:rPr>
      </w:pPr>
    </w:p>
    <w:p>
      <w:pPr>
        <w:ind w:right="220" w:firstLine="254"/>
        <w:spacing w:after="0" w:line="259" w:lineRule="auto"/>
        <w:rPr>
          <w:sz w:val="20"/>
          <w:szCs w:val="20"/>
          <w:color w:val="auto"/>
        </w:rPr>
      </w:pPr>
      <w:r>
        <w:rPr>
          <w:rFonts w:ascii="Arial" w:cs="Arial" w:eastAsia="Arial" w:hAnsi="Arial"/>
          <w:sz w:val="14"/>
          <w:szCs w:val="14"/>
          <w:color w:val="auto"/>
        </w:rPr>
        <w:t>We assess the realizability of goodwill and indefinite-lived intangible assets annually as well as whenever events or changes in circumstances indicate that these assets may be impaired. We assess the realizability of definite-lived intangible assets whenever events or changes in circumstances indicate that these assets may be impaired. These events or circumstances would generally include operating losses or a significant decline in earnings associated with the acquired business or asset. Our ability to realize the value of the goodwill and intangible assets will depend on the future cash flows of these businesses. These cash flows in turn depend in part on how well we have integrated these businesses. If we are not able to realize the value of the goodwill and intangible assets, we may be required to incur material charges relating to the impairment of those assets.</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b w:val="1"/>
          <w:bCs w:val="1"/>
          <w:color w:val="auto"/>
        </w:rPr>
        <w:t>If we fail to comply with the covenants and other obligations under our debt facilities, the lenders may be able to accelerate amounts owed under the facilities and, in the case of our Credit Facility (as defined below), may foreclose upon the assets securing our obligations.</w:t>
      </w:r>
    </w:p>
    <w:p>
      <w:pPr>
        <w:spacing w:after="0" w:line="65" w:lineRule="exact"/>
        <w:rPr>
          <w:sz w:val="20"/>
          <w:szCs w:val="20"/>
          <w:color w:val="auto"/>
        </w:rPr>
      </w:pPr>
    </w:p>
    <w:p>
      <w:pPr>
        <w:ind w:right="60" w:firstLine="254"/>
        <w:spacing w:after="0" w:line="256" w:lineRule="auto"/>
        <w:rPr>
          <w:sz w:val="20"/>
          <w:szCs w:val="20"/>
          <w:color w:val="auto"/>
        </w:rPr>
      </w:pPr>
      <w:r>
        <w:rPr>
          <w:rFonts w:ascii="Arial" w:cs="Arial" w:eastAsia="Arial" w:hAnsi="Arial"/>
          <w:sz w:val="14"/>
          <w:szCs w:val="14"/>
          <w:color w:val="auto"/>
        </w:rPr>
        <w:t>In August 2021, we amended our Loan and Security Agreement dated as of August 2, 2018, between the Company and Silicon Valley Bank (SVB) (the Credit Agreement), which provides for secured revolving loans in an aggregate amount of up to $15.0 million (the Revolving Credit Facility), to extend the maturity date to August 2, 2023 and to provide for a new $10.0 million term loan facility (the Term Loan Facility and, together with the Revolving Credit Facility, the Credit Facility). The Credit Facility is secured by substantially all of our assets, other than intellectual property. The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Additionally, we are required to maintain a minimum Adjusted Quick Ratio (as defined in the amendment) of at least 1.25 to 1.00. If we fail to comply with the covenants and our other obligations under the Credit Facility, the lenders would be able to accelerate the required repayment of amounts due under the Credit Facility and, if they are not repaid, could foreclose upon the assets securing our obligations under the Credit Facility.</w:t>
      </w:r>
    </w:p>
    <w:p>
      <w:pPr>
        <w:spacing w:after="0" w:line="98" w:lineRule="exact"/>
        <w:rPr>
          <w:sz w:val="20"/>
          <w:szCs w:val="20"/>
          <w:color w:val="auto"/>
        </w:rPr>
      </w:pPr>
    </w:p>
    <w:p>
      <w:pPr>
        <w:ind w:right="180" w:firstLine="254"/>
        <w:spacing w:after="0" w:line="259" w:lineRule="auto"/>
        <w:rPr>
          <w:sz w:val="20"/>
          <w:szCs w:val="20"/>
          <w:color w:val="auto"/>
        </w:rPr>
      </w:pPr>
      <w:r>
        <w:rPr>
          <w:rFonts w:ascii="Arial" w:cs="Arial" w:eastAsia="Arial" w:hAnsi="Arial"/>
          <w:sz w:val="14"/>
          <w:szCs w:val="14"/>
          <w:color w:val="auto"/>
        </w:rPr>
        <w:t>In January 2022, we entered into the Bridge Loan Agreements. Each Bridge Loan Agreement provides for a $12.5 million term loan to the Company. Each Bridge Loan Agreement contains customary affirmative and negative covenants which, unless waived by the applicable lenders,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Bridge Loan Agreements, the lenders would, subject to a subordination agreement, be able to accelerate the required repayment of amounts due under the Bridge Loan Agreements.</w:t>
      </w: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Our ability to use net operating loss carryforwards to offset future taxable income for U.S. federal income tax purposes and other tax benefits may be limited.</w:t>
      </w:r>
    </w:p>
    <w:p>
      <w:pPr>
        <w:spacing w:after="0" w:line="129" w:lineRule="exact"/>
        <w:rPr>
          <w:sz w:val="20"/>
          <w:szCs w:val="20"/>
          <w:color w:val="auto"/>
        </w:rPr>
      </w:pPr>
    </w:p>
    <w:p>
      <w:pPr>
        <w:ind w:right="140" w:firstLine="254"/>
        <w:spacing w:after="0" w:line="261" w:lineRule="auto"/>
        <w:rPr>
          <w:sz w:val="20"/>
          <w:szCs w:val="20"/>
          <w:color w:val="auto"/>
        </w:rPr>
      </w:pPr>
      <w:r>
        <w:rPr>
          <w:rFonts w:ascii="Arial" w:cs="Arial" w:eastAsia="Arial" w:hAnsi="Arial"/>
          <w:sz w:val="14"/>
          <w:szCs w:val="14"/>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83" w:lineRule="exact"/>
        <w:rPr>
          <w:sz w:val="20"/>
          <w:szCs w:val="20"/>
          <w:color w:val="auto"/>
        </w:rPr>
      </w:pPr>
    </w:p>
    <w:p>
      <w:pPr>
        <w:ind w:firstLine="254"/>
        <w:spacing w:after="0" w:line="296" w:lineRule="auto"/>
        <w:rPr>
          <w:sz w:val="20"/>
          <w:szCs w:val="20"/>
          <w:color w:val="auto"/>
        </w:rPr>
      </w:pPr>
      <w:r>
        <w:rPr>
          <w:rFonts w:ascii="Arial" w:cs="Arial" w:eastAsia="Arial" w:hAnsi="Arial"/>
          <w:sz w:val="13"/>
          <w:szCs w:val="13"/>
          <w:color w:val="auto"/>
        </w:rPr>
        <w:t>We may experience an ownership change in connection with the Private Placement Issuance. Additionally, any other 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72" w:lineRule="exact"/>
        <w:rPr>
          <w:sz w:val="20"/>
          <w:szCs w:val="20"/>
          <w:color w:val="auto"/>
        </w:rPr>
      </w:pPr>
    </w:p>
    <w:p>
      <w:pPr>
        <w:ind w:right="20" w:firstLine="254"/>
        <w:spacing w:after="0" w:line="331" w:lineRule="auto"/>
        <w:rPr>
          <w:sz w:val="20"/>
          <w:szCs w:val="20"/>
          <w:color w:val="auto"/>
        </w:rPr>
      </w:pPr>
      <w:r>
        <w:rPr>
          <w:rFonts w:ascii="Arial" w:cs="Arial" w:eastAsia="Arial" w:hAnsi="Arial"/>
          <w:sz w:val="12"/>
          <w:szCs w:val="12"/>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103" w:lineRule="exact"/>
        <w:rPr>
          <w:sz w:val="20"/>
          <w:szCs w:val="20"/>
          <w:color w:val="auto"/>
        </w:rPr>
      </w:pPr>
    </w:p>
    <w:p>
      <w:pPr>
        <w:ind w:right="260"/>
        <w:spacing w:after="0" w:line="286" w:lineRule="auto"/>
        <w:rPr>
          <w:sz w:val="20"/>
          <w:szCs w:val="20"/>
          <w:color w:val="auto"/>
        </w:rPr>
      </w:pPr>
      <w:r>
        <w:rPr>
          <w:rFonts w:ascii="Arial" w:cs="Arial" w:eastAsia="Arial" w:hAnsi="Arial"/>
          <w:sz w:val="14"/>
          <w:szCs w:val="14"/>
          <w:b w:val="1"/>
          <w:bCs w:val="1"/>
          <w:color w:val="auto"/>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p>
    <w:p>
      <w:pPr>
        <w:spacing w:after="0" w:line="76" w:lineRule="exact"/>
        <w:rPr>
          <w:sz w:val="20"/>
          <w:szCs w:val="20"/>
          <w:color w:val="auto"/>
        </w:rPr>
      </w:pPr>
    </w:p>
    <w:p>
      <w:pPr>
        <w:ind w:right="80" w:firstLine="254"/>
        <w:spacing w:after="0" w:line="278" w:lineRule="auto"/>
        <w:rPr>
          <w:sz w:val="20"/>
          <w:szCs w:val="20"/>
          <w:color w:val="auto"/>
        </w:rPr>
      </w:pPr>
      <w:r>
        <w:rPr>
          <w:rFonts w:ascii="Arial" w:cs="Arial" w:eastAsia="Arial" w:hAnsi="Arial"/>
          <w:sz w:val="13"/>
          <w:szCs w:val="13"/>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accounting principles, or interpretations thereof, could have a significant impact on our financial position and results of operations.</w:t>
      </w:r>
    </w:p>
    <w:p>
      <w:pPr>
        <w:spacing w:after="0" w:line="118" w:lineRule="exact"/>
        <w:rPr>
          <w:sz w:val="20"/>
          <w:szCs w:val="20"/>
          <w:color w:val="auto"/>
        </w:rPr>
      </w:pPr>
    </w:p>
    <w:p>
      <w:pPr>
        <w:ind w:right="280" w:firstLine="254"/>
        <w:spacing w:after="0" w:line="261" w:lineRule="auto"/>
        <w:rPr>
          <w:sz w:val="20"/>
          <w:szCs w:val="20"/>
          <w:color w:val="auto"/>
        </w:rPr>
      </w:pPr>
      <w:r>
        <w:rPr>
          <w:rFonts w:ascii="Arial" w:cs="Arial" w:eastAsia="Arial" w:hAnsi="Arial"/>
          <w:sz w:val="14"/>
          <w:szCs w:val="14"/>
          <w:color w:val="auto"/>
        </w:rPr>
        <w:t>We prepare our consolidated financial statements in accordance with accounting principles generally accepted in the United States of America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94" w:lineRule="exact"/>
        <w:rPr>
          <w:sz w:val="20"/>
          <w:szCs w:val="20"/>
          <w:color w:val="auto"/>
        </w:rPr>
      </w:pPr>
    </w:p>
    <w:p>
      <w:pPr>
        <w:ind w:right="40" w:firstLine="254"/>
        <w:spacing w:after="0" w:line="280" w:lineRule="auto"/>
        <w:rPr>
          <w:sz w:val="20"/>
          <w:szCs w:val="20"/>
          <w:color w:val="auto"/>
        </w:rPr>
      </w:pPr>
      <w:r>
        <w:rPr>
          <w:rFonts w:ascii="Arial" w:cs="Arial" w:eastAsia="Arial" w:hAnsi="Arial"/>
          <w:sz w:val="14"/>
          <w:szCs w:val="14"/>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a significant amount of outstanding indebtedness, and our financial condition and results of operations could be adversely affected if we do not efficiently manage our liabilities.</w:t>
      </w:r>
    </w:p>
    <w:p>
      <w:pPr>
        <w:spacing w:after="0" w:line="152"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We have significant outstanding convertible debt. As of December 31, 2021, we had outstanding $0.6 million aggregate principal amount of our 2.75% Senior Convertible Notes due 2034 (2014 Notes) and $55.0 million aggregate principal amount of our 5.25% convertible senior notes due 2024 (2019 Notes, and collectively with the 2014 Notes, the Convertible Notes). The 2014 Notes will mature on February 1, 2034, unless earlier converted, redeemed, or repurchased in accordance with the terms of the 2014 Notes. Pursuant to the terms of the indenture governing the 2014 Notes (2014 Notes Indenture), holders of the 2014</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47" w:name="page48"/>
    <w:bookmarkEnd w:id="47"/>
    <w:p>
      <w:pPr>
        <w:jc w:val="both"/>
        <w:ind w:right="20"/>
        <w:spacing w:after="0" w:line="367" w:lineRule="auto"/>
        <w:rPr>
          <w:sz w:val="20"/>
          <w:szCs w:val="20"/>
          <w:color w:val="auto"/>
        </w:rPr>
      </w:pPr>
      <w:r>
        <w:rPr>
          <w:rFonts w:ascii="Arial" w:cs="Arial" w:eastAsia="Arial" w:hAnsi="Arial"/>
          <w:sz w:val="12"/>
          <w:szCs w:val="12"/>
          <w:color w:val="auto"/>
        </w:rPr>
        <w:t>Notes may require us to repurchase all or a portion of the 2014 Notes at a repurchase price in cash equal to 100% of the principal amount of such 2014 Notes plus accrued and unpaid interest thereon, on each of February 6, 2024 and February 6, 2029. The 2019 Notes will mature on December 1, 2024, unless earlier converted, or repurchased in accordance with the terms of the 2019 Notes.</w:t>
      </w:r>
    </w:p>
    <w:p>
      <w:pPr>
        <w:spacing w:after="0" w:line="23" w:lineRule="exact"/>
        <w:rPr>
          <w:sz w:val="20"/>
          <w:szCs w:val="20"/>
          <w:color w:val="auto"/>
        </w:rPr>
      </w:pPr>
    </w:p>
    <w:p>
      <w:pPr>
        <w:jc w:val="both"/>
        <w:ind w:right="20" w:firstLine="254"/>
        <w:spacing w:after="0" w:line="261" w:lineRule="auto"/>
        <w:rPr>
          <w:sz w:val="20"/>
          <w:szCs w:val="20"/>
          <w:color w:val="auto"/>
        </w:rPr>
      </w:pPr>
      <w:r>
        <w:rPr>
          <w:rFonts w:ascii="Arial" w:cs="Arial" w:eastAsia="Arial" w:hAnsi="Arial"/>
          <w:sz w:val="14"/>
          <w:szCs w:val="14"/>
          <w:color w:val="auto"/>
        </w:rPr>
        <w:t>If we undergo a fundamental change (as defined in the 2014 Notes Indenture or the indenture governing the 2019 Notes, as applicable),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all or any portion of the Convertible Notes, we may issue additional convertible notes or other debt, which could include additional company obligations and represent more dilution to existing stockholders and noteholders.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significant amount of debt has important risks to us and our investors, including:</w:t>
      </w:r>
    </w:p>
    <w:p>
      <w:pPr>
        <w:spacing w:after="0" w:line="125" w:lineRule="exact"/>
        <w:rPr>
          <w:sz w:val="20"/>
          <w:szCs w:val="20"/>
          <w:color w:val="auto"/>
        </w:rPr>
      </w:pPr>
    </w:p>
    <w:p>
      <w:pPr>
        <w:ind w:left="500" w:hanging="241"/>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requiring a portion of our cash flow from operations to make interest payments on this debt;</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increasing our vulnerability to general adverse economic and industry conditions;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reducing the cash flow available to fund capital expenditures and other corporate purposes and to grow our business;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limiting our flexibility in planning for, or reacting to, changes in our business and the industry; and</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limiting our ability to borrow additional funds as needed or take advantage of business opportunities as they arise.</w:t>
      </w:r>
    </w:p>
    <w:p>
      <w:pPr>
        <w:spacing w:after="0" w:line="125"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In January 2022, we borrowed $25.0 million under the Bridge Loan Agreements in connection with the Private Placement Issuance. 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85"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protect our intellectual property and proprietary technology through patents and other means is uncertain.</w:t>
      </w:r>
    </w:p>
    <w:p>
      <w:pPr>
        <w:spacing w:after="0" w:line="118"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87" w:lineRule="exact"/>
        <w:rPr>
          <w:sz w:val="20"/>
          <w:szCs w:val="20"/>
          <w:color w:val="auto"/>
        </w:rPr>
      </w:pPr>
    </w:p>
    <w:p>
      <w:pPr>
        <w:jc w:val="both"/>
        <w:ind w:right="240" w:firstLine="254"/>
        <w:spacing w:after="0" w:line="288" w:lineRule="auto"/>
        <w:rPr>
          <w:sz w:val="20"/>
          <w:szCs w:val="20"/>
          <w:color w:val="auto"/>
        </w:rPr>
      </w:pPr>
      <w:r>
        <w:rPr>
          <w:rFonts w:ascii="Arial" w:cs="Arial" w:eastAsia="Arial" w:hAnsi="Arial"/>
          <w:sz w:val="13"/>
          <w:szCs w:val="13"/>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77" w:lineRule="exact"/>
        <w:rPr>
          <w:sz w:val="20"/>
          <w:szCs w:val="20"/>
          <w:color w:val="auto"/>
        </w:rPr>
      </w:pPr>
    </w:p>
    <w:p>
      <w:pPr>
        <w:ind w:left="500" w:hanging="241"/>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might not have been the first to make the inventions covered by each of our pending patent applications;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might not have been the first to file patent applications for these inventions;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 and</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products and technologies or duplicate any of our products and technologies.</w:t>
      </w: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018" w:right="359" w:bottom="1440" w:gutter="0" w:footer="0" w:header="0"/>
        </w:sectPr>
      </w:pPr>
    </w:p>
    <w:bookmarkStart w:id="48" w:name="page49"/>
    <w:bookmarkEnd w:id="48"/>
    <w:p>
      <w:pPr>
        <w:ind w:right="140" w:firstLine="254"/>
        <w:spacing w:after="0" w:line="280" w:lineRule="auto"/>
        <w:rPr>
          <w:sz w:val="20"/>
          <w:szCs w:val="20"/>
          <w:color w:val="auto"/>
        </w:rPr>
      </w:pPr>
      <w:r>
        <w:rPr>
          <w:rFonts w:ascii="Arial" w:cs="Arial" w:eastAsia="Arial" w:hAnsi="Arial"/>
          <w:sz w:val="14"/>
          <w:szCs w:val="14"/>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29" w:lineRule="exact"/>
        <w:rPr>
          <w:sz w:val="20"/>
          <w:szCs w:val="20"/>
          <w:color w:val="auto"/>
        </w:rPr>
      </w:pPr>
    </w:p>
    <w:p>
      <w:pPr>
        <w:ind w:right="240"/>
        <w:spacing w:after="0" w:line="327" w:lineRule="auto"/>
        <w:rPr>
          <w:sz w:val="20"/>
          <w:szCs w:val="20"/>
          <w:color w:val="auto"/>
        </w:rPr>
      </w:pPr>
      <w:r>
        <w:rPr>
          <w:rFonts w:ascii="Arial" w:cs="Arial" w:eastAsia="Arial" w:hAnsi="Arial"/>
          <w:sz w:val="13"/>
          <w:szCs w:val="13"/>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41" w:lineRule="exact"/>
        <w:rPr>
          <w:sz w:val="20"/>
          <w:szCs w:val="20"/>
          <w:color w:val="auto"/>
        </w:rPr>
      </w:pPr>
    </w:p>
    <w:p>
      <w:pPr>
        <w:ind w:firstLine="254"/>
        <w:spacing w:after="0" w:line="258" w:lineRule="auto"/>
        <w:rPr>
          <w:sz w:val="20"/>
          <w:szCs w:val="20"/>
          <w:color w:val="auto"/>
        </w:rPr>
      </w:pPr>
      <w:r>
        <w:rPr>
          <w:rFonts w:ascii="Arial" w:cs="Arial" w:eastAsia="Arial" w:hAnsi="Arial"/>
          <w:sz w:val="14"/>
          <w:szCs w:val="14"/>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95" w:lineRule="exact"/>
        <w:rPr>
          <w:sz w:val="20"/>
          <w:szCs w:val="20"/>
          <w:color w:val="auto"/>
        </w:rPr>
      </w:pPr>
    </w:p>
    <w:p>
      <w:pPr>
        <w:ind w:right="20" w:firstLine="254"/>
        <w:spacing w:after="0" w:line="280" w:lineRule="auto"/>
        <w:rPr>
          <w:sz w:val="20"/>
          <w:szCs w:val="20"/>
          <w:color w:val="auto"/>
        </w:rPr>
      </w:pPr>
      <w:r>
        <w:rPr>
          <w:rFonts w:ascii="Arial" w:cs="Arial" w:eastAsia="Arial" w:hAnsi="Arial"/>
          <w:sz w:val="13"/>
          <w:szCs w:val="13"/>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2013 U.S. Supreme Court decision held, among other things, that claims to isolated genomic DNA occurring in nature are not patent eligible, while claims relating to synthetic DNA may be patent eligible.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82"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32" w:lineRule="exact"/>
        <w:rPr>
          <w:sz w:val="20"/>
          <w:szCs w:val="20"/>
          <w:color w:val="auto"/>
        </w:rPr>
      </w:pPr>
    </w:p>
    <w:p>
      <w:pPr>
        <w:ind w:right="500"/>
        <w:spacing w:after="0" w:line="286" w:lineRule="auto"/>
        <w:rPr>
          <w:sz w:val="20"/>
          <w:szCs w:val="20"/>
          <w:color w:val="auto"/>
        </w:rPr>
      </w:pPr>
      <w:r>
        <w:rPr>
          <w:rFonts w:ascii="Arial" w:cs="Arial" w:eastAsia="Arial" w:hAnsi="Arial"/>
          <w:sz w:val="14"/>
          <w:szCs w:val="14"/>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65" w:lineRule="exact"/>
        <w:rPr>
          <w:sz w:val="20"/>
          <w:szCs w:val="20"/>
          <w:color w:val="auto"/>
        </w:rPr>
      </w:pPr>
    </w:p>
    <w:p>
      <w:pPr>
        <w:ind w:right="160" w:firstLine="254"/>
        <w:spacing w:after="0" w:line="258" w:lineRule="auto"/>
        <w:rPr>
          <w:sz w:val="20"/>
          <w:szCs w:val="20"/>
          <w:color w:val="auto"/>
        </w:rPr>
      </w:pPr>
      <w:r>
        <w:rPr>
          <w:rFonts w:ascii="Arial" w:cs="Arial" w:eastAsia="Arial" w:hAnsi="Arial"/>
          <w:sz w:val="14"/>
          <w:szCs w:val="14"/>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144" w:lineRule="exact"/>
        <w:rPr>
          <w:sz w:val="20"/>
          <w:szCs w:val="20"/>
          <w:color w:val="auto"/>
        </w:rPr>
      </w:pPr>
    </w:p>
    <w:p>
      <w:pPr>
        <w:ind w:right="100"/>
        <w:spacing w:after="0" w:line="286" w:lineRule="auto"/>
        <w:rPr>
          <w:sz w:val="20"/>
          <w:szCs w:val="20"/>
          <w:color w:val="auto"/>
        </w:rPr>
      </w:pPr>
      <w:r>
        <w:rPr>
          <w:rFonts w:ascii="Arial" w:cs="Arial" w:eastAsia="Arial" w:hAnsi="Arial"/>
          <w:sz w:val="14"/>
          <w:szCs w:val="14"/>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76" w:lineRule="exact"/>
        <w:rPr>
          <w:sz w:val="20"/>
          <w:szCs w:val="20"/>
          <w:color w:val="auto"/>
        </w:rPr>
      </w:pPr>
    </w:p>
    <w:p>
      <w:pPr>
        <w:ind w:right="620" w:firstLine="254"/>
        <w:spacing w:after="0" w:line="367" w:lineRule="auto"/>
        <w:rPr>
          <w:sz w:val="20"/>
          <w:szCs w:val="20"/>
          <w:color w:val="auto"/>
        </w:rPr>
      </w:pPr>
      <w:r>
        <w:rPr>
          <w:rFonts w:ascii="Arial" w:cs="Arial" w:eastAsia="Arial" w:hAnsi="Arial"/>
          <w:sz w:val="12"/>
          <w:szCs w:val="12"/>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w:t>
      </w: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49" w:name="page50"/>
    <w:bookmarkEnd w:id="49"/>
    <w:p>
      <w:pPr>
        <w:ind w:right="80"/>
        <w:spacing w:after="0" w:line="259" w:lineRule="auto"/>
        <w:rPr>
          <w:sz w:val="20"/>
          <w:szCs w:val="20"/>
          <w:color w:val="auto"/>
        </w:rPr>
      </w:pPr>
      <w:r>
        <w:rPr>
          <w:rFonts w:ascii="Arial" w:cs="Arial" w:eastAsia="Arial" w:hAnsi="Arial"/>
          <w:sz w:val="14"/>
          <w:szCs w:val="14"/>
          <w:color w:val="auto"/>
        </w:rPr>
        <w:t>Additionally, our business and product development plans anticipate and may substantially depend on future in-license agreements with additional third parties, some of which are currently in the early discussion phase. For example, Fluidigm Canada Inc. (Fluidigm Canada), an Ontario corporation and wholly owned subsidiary of Fluidigm Sciences, was party to an interim license agreement, now expired, with Nodality, Inc.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84" w:lineRule="exact"/>
        <w:rPr>
          <w:sz w:val="20"/>
          <w:szCs w:val="20"/>
          <w:color w:val="auto"/>
        </w:rPr>
      </w:pPr>
    </w:p>
    <w:p>
      <w:pPr>
        <w:ind w:right="140" w:firstLine="254"/>
        <w:spacing w:after="0" w:line="266" w:lineRule="auto"/>
        <w:rPr>
          <w:sz w:val="20"/>
          <w:szCs w:val="20"/>
          <w:color w:val="auto"/>
        </w:rPr>
      </w:pPr>
      <w:r>
        <w:rPr>
          <w:rFonts w:ascii="Arial" w:cs="Arial" w:eastAsia="Arial" w:hAnsi="Arial"/>
          <w:sz w:val="14"/>
          <w:szCs w:val="14"/>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90" w:lineRule="exact"/>
        <w:rPr>
          <w:sz w:val="20"/>
          <w:szCs w:val="20"/>
          <w:color w:val="auto"/>
        </w:rPr>
      </w:pPr>
    </w:p>
    <w:p>
      <w:pPr>
        <w:ind w:firstLine="254"/>
        <w:spacing w:after="0" w:line="276" w:lineRule="auto"/>
        <w:rPr>
          <w:sz w:val="20"/>
          <w:szCs w:val="20"/>
          <w:color w:val="auto"/>
        </w:rPr>
      </w:pPr>
      <w:r>
        <w:rPr>
          <w:rFonts w:ascii="Arial" w:cs="Arial" w:eastAsia="Arial" w:hAnsi="Arial"/>
          <w:sz w:val="13"/>
          <w:szCs w:val="13"/>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certain manufacturing restrictions related to licensed technologies that were developed with the financial assistance of U.S. governmental grants.</w:t>
      </w:r>
    </w:p>
    <w:p>
      <w:pPr>
        <w:spacing w:after="0" w:line="129" w:lineRule="exact"/>
        <w:rPr>
          <w:sz w:val="20"/>
          <w:szCs w:val="20"/>
          <w:color w:val="auto"/>
        </w:rPr>
      </w:pPr>
    </w:p>
    <w:p>
      <w:pPr>
        <w:ind w:firstLine="254"/>
        <w:spacing w:after="0" w:line="275" w:lineRule="auto"/>
        <w:rPr>
          <w:sz w:val="20"/>
          <w:szCs w:val="20"/>
          <w:color w:val="auto"/>
        </w:rPr>
      </w:pPr>
      <w:r>
        <w:rPr>
          <w:rFonts w:ascii="Arial" w:cs="Arial" w:eastAsia="Arial" w:hAnsi="Arial"/>
          <w:sz w:val="13"/>
          <w:szCs w:val="13"/>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w:t>
      </w: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50" w:name="page51"/>
    <w:bookmarkEnd w:id="50"/>
    <w:p>
      <w:pPr>
        <w:spacing w:after="0" w:line="280" w:lineRule="auto"/>
        <w:rPr>
          <w:sz w:val="20"/>
          <w:szCs w:val="20"/>
          <w:color w:val="auto"/>
        </w:rPr>
      </w:pPr>
      <w:r>
        <w:rPr>
          <w:rFonts w:ascii="Arial" w:cs="Arial" w:eastAsia="Arial" w:hAnsi="Arial"/>
          <w:sz w:val="14"/>
          <w:szCs w:val="14"/>
          <w:color w:val="auto"/>
        </w:rPr>
        <w:t>termination of our license of the relevant patents or the relocation of our manufacturing of microfluidic systems and IFCs to the United States could materially adversely affect our business,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certain obligations and restrictions relating to technologies developed in cooperation with Canadian government agencies.</w:t>
      </w:r>
    </w:p>
    <w:p>
      <w:pPr>
        <w:spacing w:after="0" w:line="118" w:lineRule="exact"/>
        <w:rPr>
          <w:sz w:val="20"/>
          <w:szCs w:val="20"/>
          <w:color w:val="auto"/>
        </w:rPr>
      </w:pPr>
    </w:p>
    <w:p>
      <w:pPr>
        <w:ind w:firstLine="254"/>
        <w:spacing w:after="0" w:line="276" w:lineRule="auto"/>
        <w:rPr>
          <w:sz w:val="20"/>
          <w:szCs w:val="20"/>
          <w:color w:val="auto"/>
        </w:rPr>
      </w:pPr>
      <w:r>
        <w:rPr>
          <w:rFonts w:ascii="Arial" w:cs="Arial" w:eastAsia="Arial" w:hAnsi="Arial"/>
          <w:sz w:val="13"/>
          <w:szCs w:val="13"/>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stock price is volatile.</w:t>
      </w:r>
    </w:p>
    <w:p>
      <w:pPr>
        <w:spacing w:after="0" w:line="129" w:lineRule="exact"/>
        <w:rPr>
          <w:sz w:val="20"/>
          <w:szCs w:val="20"/>
          <w:color w:val="auto"/>
        </w:rPr>
      </w:pPr>
    </w:p>
    <w:p>
      <w:pPr>
        <w:ind w:right="60" w:firstLine="254"/>
        <w:spacing w:after="0" w:line="305" w:lineRule="auto"/>
        <w:rPr>
          <w:sz w:val="20"/>
          <w:szCs w:val="20"/>
          <w:color w:val="auto"/>
        </w:rPr>
      </w:pPr>
      <w:r>
        <w:rPr>
          <w:rFonts w:ascii="Arial" w:cs="Arial" w:eastAsia="Arial" w:hAnsi="Arial"/>
          <w:sz w:val="12"/>
          <w:szCs w:val="12"/>
          <w:color w:val="auto"/>
        </w:rPr>
        <w:t>Our stock is currently traded on the Nasdaq Global Select Market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2021, we had 76,919,287 shares of common stock outstanding, and stockholders holding at least 5% of our stock, individually or with affiliated persons or entities, collectively beneficially owned or controlled approximately 51% of such shares. Sales of large numbers of shares by any of our large stockholders, including in connection with the Private Placement Issuance,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51% held by our top seven stockholders as of December 31, 2021) means that a relatively small number of stockholders have significant control over the outcomes of stockholder voting.</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trading price of our common stock is highly volatile and subject to wide fluctuations in response to various factors, some of which are beyond our control. These factors include:</w:t>
      </w:r>
    </w:p>
    <w:p>
      <w:pPr>
        <w:spacing w:after="0" w:line="136" w:lineRule="exact"/>
        <w:rPr>
          <w:sz w:val="20"/>
          <w:szCs w:val="20"/>
          <w:color w:val="auto"/>
        </w:rPr>
      </w:pPr>
    </w:p>
    <w:p>
      <w:pPr>
        <w:ind w:left="500" w:hanging="241"/>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impact of public health crises, including the COVID-19 pandemic, on global financial markets;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actual or anticipated quarterly variation in our results of operations or the results of our competitors;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failure to achieve performance consistent with our financial guidance and/or market expectations;</w:t>
      </w:r>
    </w:p>
    <w:p>
      <w:pPr>
        <w:spacing w:after="0" w:line="71" w:lineRule="exact"/>
        <w:rPr>
          <w:rFonts w:ascii="Arial" w:cs="Arial" w:eastAsia="Arial" w:hAnsi="Arial"/>
          <w:sz w:val="14"/>
          <w:szCs w:val="14"/>
          <w:color w:val="auto"/>
        </w:rPr>
      </w:pPr>
    </w:p>
    <w:p>
      <w:pPr>
        <w:jc w:val="both"/>
        <w:ind w:left="520" w:right="720" w:hanging="261"/>
        <w:spacing w:after="0" w:line="340" w:lineRule="auto"/>
        <w:tabs>
          <w:tab w:leader="none" w:pos="516" w:val="left"/>
        </w:tabs>
        <w:numPr>
          <w:ilvl w:val="0"/>
          <w:numId w:val="39"/>
        </w:numPr>
        <w:rPr>
          <w:rFonts w:ascii="Arial" w:cs="Arial" w:eastAsia="Arial" w:hAnsi="Arial"/>
          <w:sz w:val="12"/>
          <w:szCs w:val="12"/>
          <w:color w:val="auto"/>
        </w:rPr>
      </w:pPr>
      <w:r>
        <w:rPr>
          <w:rFonts w:ascii="Arial" w:cs="Arial" w:eastAsia="Arial" w:hAnsi="Arial"/>
          <w:sz w:val="12"/>
          <w:szCs w:val="12"/>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ind w:left="500" w:hanging="241"/>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issuance of new or changed securities analysts’ reports or recommendations for our stock;</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commencement of, or our involvement in, litigation;</w:t>
      </w:r>
    </w:p>
    <w:p>
      <w:pPr>
        <w:spacing w:after="0" w:line="32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51" w:name="page52"/>
    <w:bookmarkEnd w:id="51"/>
    <w:p>
      <w:pPr>
        <w:ind w:left="500" w:hanging="241"/>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market conditions in the life science, plant and animal research, and contract research organization sectors;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failure to complete significant sales;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manufacturing disruptions that could occur if we are unable to successfully expand our production in our current or an alternative facility;</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supply chain disruptions;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future sales of our common stock or other securities in connection with raising additional capital or otherwise, including the Private Placement Issuance;</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major change to the composition of our board of directors or management;</w:t>
      </w:r>
    </w:p>
    <w:p>
      <w:pPr>
        <w:spacing w:after="0" w:line="71" w:lineRule="exact"/>
        <w:rPr>
          <w:rFonts w:ascii="Arial" w:cs="Arial" w:eastAsia="Arial" w:hAnsi="Arial"/>
          <w:sz w:val="14"/>
          <w:szCs w:val="14"/>
          <w:color w:val="auto"/>
        </w:rPr>
      </w:pPr>
    </w:p>
    <w:p>
      <w:pPr>
        <w:ind w:left="520" w:right="20" w:hanging="261"/>
        <w:spacing w:after="0" w:line="280"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general market conditions and other factors unrelated to our operating performance or the operating performance of our competitors, including deteriorating market conditions due to investor concerns regarding inflation and hostilities between Russia and Ukraine; and</w:t>
      </w:r>
    </w:p>
    <w:p>
      <w:pPr>
        <w:spacing w:after="0" w:line="16" w:lineRule="exact"/>
        <w:rPr>
          <w:rFonts w:ascii="Arial" w:cs="Arial" w:eastAsia="Arial" w:hAnsi="Arial"/>
          <w:sz w:val="14"/>
          <w:szCs w:val="14"/>
          <w:color w:val="auto"/>
        </w:rPr>
      </w:pPr>
    </w:p>
    <w:p>
      <w:pPr>
        <w:ind w:left="500" w:hanging="241"/>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w:t>
      </w:r>
    </w:p>
    <w:p>
      <w:pPr>
        <w:spacing w:after="0" w:line="125"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w:t>
      </w:r>
    </w:p>
    <w:p>
      <w:pPr>
        <w:spacing w:after="0" w:line="79" w:lineRule="exact"/>
        <w:rPr>
          <w:sz w:val="20"/>
          <w:szCs w:val="20"/>
          <w:color w:val="auto"/>
        </w:rPr>
      </w:pPr>
    </w:p>
    <w:p>
      <w:pPr>
        <w:ind w:right="100" w:firstLine="254"/>
        <w:spacing w:after="0" w:line="261" w:lineRule="auto"/>
        <w:rPr>
          <w:sz w:val="20"/>
          <w:szCs w:val="20"/>
          <w:color w:val="auto"/>
        </w:rPr>
      </w:pPr>
      <w:r>
        <w:rPr>
          <w:rFonts w:ascii="Arial" w:cs="Arial" w:eastAsia="Arial" w:hAnsi="Arial"/>
          <w:sz w:val="14"/>
          <w:szCs w:val="14"/>
          <w:color w:val="auto"/>
        </w:rPr>
        <w:t>In several recent situations where the market price of a stock has been volatile, holders of that stock have instituted securities class action litigation against the company that issued the stock. As discussed in Part I Item 3 (Legal Proceedings) of this Annual Report on Form 10-K, a class action securities lawsuit against us is currently pending. While we are continuing to defend such action vigorously, the defense of this action and any additional actions can be costly, divert the time and attention of our management, and harm our operating results, and any judgment against us or any future stockholder litigation could result in substantial costs.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sales of our common stock in the public market could cause our stock price to fall.</w:t>
      </w:r>
    </w:p>
    <w:p>
      <w:pPr>
        <w:spacing w:after="0" w:line="129" w:lineRule="exact"/>
        <w:rPr>
          <w:sz w:val="20"/>
          <w:szCs w:val="20"/>
          <w:color w:val="auto"/>
        </w:rPr>
      </w:pPr>
    </w:p>
    <w:p>
      <w:pPr>
        <w:ind w:firstLine="254"/>
        <w:spacing w:after="0" w:line="280" w:lineRule="auto"/>
        <w:rPr>
          <w:sz w:val="20"/>
          <w:szCs w:val="20"/>
          <w:color w:val="auto"/>
        </w:rPr>
      </w:pPr>
      <w:r>
        <w:rPr>
          <w:rFonts w:ascii="Arial" w:cs="Arial" w:eastAsia="Arial" w:hAnsi="Arial"/>
          <w:sz w:val="14"/>
          <w:szCs w:val="14"/>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80" w:lineRule="exact"/>
        <w:rPr>
          <w:sz w:val="20"/>
          <w:szCs w:val="20"/>
          <w:color w:val="auto"/>
        </w:rPr>
      </w:pPr>
    </w:p>
    <w:p>
      <w:pPr>
        <w:ind w:right="120" w:firstLine="254"/>
        <w:spacing w:after="0" w:line="266" w:lineRule="auto"/>
        <w:rPr>
          <w:sz w:val="20"/>
          <w:szCs w:val="20"/>
          <w:color w:val="auto"/>
        </w:rPr>
      </w:pPr>
      <w:r>
        <w:rPr>
          <w:rFonts w:ascii="Arial" w:cs="Arial" w:eastAsia="Arial" w:hAnsi="Arial"/>
          <w:sz w:val="14"/>
          <w:szCs w:val="14"/>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issuances pursuant to our ATM equity offering program under our Sale Agreement with Jefferies, could result in substantial dilution to our existing stockholders and could cause our stock price to decline.</w:t>
      </w:r>
    </w:p>
    <w:p>
      <w:pPr>
        <w:spacing w:after="0" w:line="138" w:lineRule="exact"/>
        <w:rPr>
          <w:sz w:val="20"/>
          <w:szCs w:val="20"/>
          <w:color w:val="auto"/>
        </w:rPr>
      </w:pPr>
    </w:p>
    <w:p>
      <w:pPr>
        <w:ind w:right="180"/>
        <w:spacing w:after="0" w:line="286" w:lineRule="auto"/>
        <w:rPr>
          <w:sz w:val="20"/>
          <w:szCs w:val="20"/>
          <w:color w:val="auto"/>
        </w:rPr>
      </w:pPr>
      <w:r>
        <w:rPr>
          <w:rFonts w:ascii="Arial" w:cs="Arial" w:eastAsia="Arial" w:hAnsi="Arial"/>
          <w:sz w:val="14"/>
          <w:szCs w:val="14"/>
          <w:b w:val="1"/>
          <w:bCs w:val="1"/>
          <w:color w:val="auto"/>
        </w:rPr>
        <w:t>We will have broad discretion over the use of the proceeds to us from our ATM equity offering program and may apply the proceeds to uses that do not improve our operating results or the value of your securities.</w:t>
      </w:r>
    </w:p>
    <w:p>
      <w:pPr>
        <w:spacing w:after="0" w:line="65"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We will have broad discretion to use the net proceeds to us from our ATM equity offering program, and investors will be relying solely on the judgment of our board of directors and management regarding the application of these proceeds. Investors will not have the opportunity, as part of their investment decision, to assess whether the proceeds are being used appropriately. Our use of the proceeds may not improve our operating results or increase the value of the securities offered pursuant to the ATM equity offering program.</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securities or industry analysts publish unfavorable research about us or cease to cover our business, our stock price and/or trading volume could decline.</w:t>
      </w:r>
    </w:p>
    <w:p>
      <w:pPr>
        <w:spacing w:after="0" w:line="129"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52" w:name="page53"/>
    <w:bookmarkEnd w:id="52"/>
    <w:p>
      <w:pPr>
        <w:ind w:right="120"/>
        <w:spacing w:after="0" w:line="286" w:lineRule="auto"/>
        <w:rPr>
          <w:sz w:val="20"/>
          <w:szCs w:val="20"/>
          <w:color w:val="auto"/>
        </w:rPr>
      </w:pPr>
      <w:r>
        <w:rPr>
          <w:rFonts w:ascii="Arial" w:cs="Arial" w:eastAsia="Arial" w:hAnsi="Arial"/>
          <w:sz w:val="14"/>
          <w:szCs w:val="14"/>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Provisions in our certificate of incorporation and bylaws may have the effect of delaying or preventing a change of control or changes in our management, including provisions that:</w:t>
      </w:r>
    </w:p>
    <w:p>
      <w:pPr>
        <w:spacing w:after="0" w:line="126" w:lineRule="exact"/>
        <w:rPr>
          <w:sz w:val="20"/>
          <w:szCs w:val="20"/>
          <w:color w:val="auto"/>
        </w:rPr>
      </w:pPr>
    </w:p>
    <w:p>
      <w:pPr>
        <w:ind w:left="500" w:hanging="241"/>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authorize our board of directors to issue, without further action by the stockholders, up to 10,000,000 shares of undesignated preferred stock;</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require that any action to be taken by our stockholders be effected at a duly called annual or special meeting and not by written consent;</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specify that special meetings of our stockholders can be called only by our board of directors, the chairman of the board, the chief executive officer or the president;</w:t>
      </w:r>
    </w:p>
    <w:p>
      <w:pPr>
        <w:spacing w:after="0" w:line="61" w:lineRule="exact"/>
        <w:rPr>
          <w:rFonts w:ascii="Arial" w:cs="Arial" w:eastAsia="Arial" w:hAnsi="Arial"/>
          <w:sz w:val="14"/>
          <w:szCs w:val="14"/>
          <w:color w:val="auto"/>
        </w:rPr>
      </w:pPr>
    </w:p>
    <w:p>
      <w:pPr>
        <w:ind w:left="520" w:right="220" w:hanging="261"/>
        <w:spacing w:after="0" w:line="280"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establish an advance notice procedure for stockholder approvals to be brought before an annual meeting of our stockholders, including proposed nominations of persons for election to our board of directors;</w:t>
      </w:r>
    </w:p>
    <w:p>
      <w:pPr>
        <w:spacing w:after="0" w:line="26" w:lineRule="exact"/>
        <w:rPr>
          <w:rFonts w:ascii="Arial" w:cs="Arial" w:eastAsia="Arial" w:hAnsi="Arial"/>
          <w:sz w:val="14"/>
          <w:szCs w:val="14"/>
          <w:color w:val="auto"/>
        </w:rPr>
      </w:pPr>
    </w:p>
    <w:p>
      <w:pPr>
        <w:ind w:left="500" w:hanging="241"/>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establish that our board of directors is divided into three classes, Class I, Class II, and Class III, with each class serving staggered three-year terms;</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provide that our directors may be removed only for cause;</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provide that vacancies on our board of directors may be filled only by a majority of directors then in office, even though less than a quorum;</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specify that no stockholder is permitted to cumulate votes at any election of directors; and</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require a super-majority of votes to amend certain of the above-mentioned provisions.</w:t>
      </w:r>
    </w:p>
    <w:p>
      <w:pPr>
        <w:spacing w:after="0" w:line="125" w:lineRule="exact"/>
        <w:rPr>
          <w:sz w:val="20"/>
          <w:szCs w:val="20"/>
          <w:color w:val="auto"/>
        </w:rPr>
      </w:pPr>
    </w:p>
    <w:p>
      <w:pPr>
        <w:ind w:firstLine="254"/>
        <w:spacing w:after="0" w:line="296" w:lineRule="auto"/>
        <w:rPr>
          <w:sz w:val="20"/>
          <w:szCs w:val="20"/>
          <w:color w:val="auto"/>
        </w:rPr>
      </w:pPr>
      <w:r>
        <w:rPr>
          <w:rFonts w:ascii="Arial" w:cs="Arial" w:eastAsia="Arial" w:hAnsi="Arial"/>
          <w:sz w:val="13"/>
          <w:szCs w:val="13"/>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(DGCL), which limits the ability of stockholders owning in excess of 15% of our outstanding voting stock to merge or combine with us.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b w:val="1"/>
          <w:bCs w:val="1"/>
          <w:color w:val="auto"/>
        </w:rPr>
        <w:t>The forum selection provision in our bylaws could limit the ability of our stockholders to bring a claim in a judicial forum viewed by the stockholders as more favorable for disputes with us or our directors, officers or other employees.</w:t>
      </w:r>
    </w:p>
    <w:p>
      <w:pPr>
        <w:spacing w:after="0" w:line="65"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4" w:lineRule="exact"/>
        <w:rPr>
          <w:sz w:val="20"/>
          <w:szCs w:val="20"/>
          <w:color w:val="auto"/>
        </w:rPr>
      </w:pPr>
    </w:p>
    <w:p>
      <w:pPr>
        <w:ind w:left="500" w:hanging="241"/>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derivative action or proceeding brought on our behalf;</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action asserting a claim of breach of fiduciary duty;</w:t>
      </w:r>
    </w:p>
    <w:p>
      <w:pPr>
        <w:spacing w:after="0" w:line="71" w:lineRule="exact"/>
        <w:rPr>
          <w:rFonts w:ascii="Arial" w:cs="Arial" w:eastAsia="Arial" w:hAnsi="Arial"/>
          <w:sz w:val="14"/>
          <w:szCs w:val="14"/>
          <w:color w:val="auto"/>
        </w:rPr>
      </w:pPr>
    </w:p>
    <w:p>
      <w:pPr>
        <w:ind w:left="500" w:hanging="241"/>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action asserting a claim against us arising under the DGCL, our certificate of incorporation or our bylaws; and</w:t>
      </w:r>
    </w:p>
    <w:p>
      <w:pPr>
        <w:spacing w:after="0" w:line="61" w:lineRule="exact"/>
        <w:rPr>
          <w:rFonts w:ascii="Arial" w:cs="Arial" w:eastAsia="Arial" w:hAnsi="Arial"/>
          <w:sz w:val="14"/>
          <w:szCs w:val="14"/>
          <w:color w:val="auto"/>
        </w:rPr>
      </w:pPr>
    </w:p>
    <w:p>
      <w:pPr>
        <w:ind w:left="500" w:hanging="241"/>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action asserting a claim against us that is governed by the internal-affairs doctrine.</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This provision does not apply to suits brought to enforce a duty or liability created by the Exchange Act or any other claim for which the U.S. federal courts have exclusive jurisdiction.</w:t>
      </w:r>
    </w:p>
    <w:p>
      <w:pPr>
        <w:spacing w:after="0" w:line="126" w:lineRule="exact"/>
        <w:rPr>
          <w:sz w:val="20"/>
          <w:szCs w:val="20"/>
          <w:color w:val="auto"/>
        </w:rPr>
      </w:pPr>
    </w:p>
    <w:p>
      <w:pPr>
        <w:ind w:right="280" w:firstLine="254"/>
        <w:spacing w:after="0" w:line="280" w:lineRule="auto"/>
        <w:rPr>
          <w:sz w:val="20"/>
          <w:szCs w:val="20"/>
          <w:color w:val="auto"/>
        </w:rPr>
      </w:pPr>
      <w:r>
        <w:rPr>
          <w:rFonts w:ascii="Arial" w:cs="Arial" w:eastAsia="Arial" w:hAnsi="Arial"/>
          <w:sz w:val="14"/>
          <w:szCs w:val="14"/>
          <w:color w:val="auto"/>
        </w:rPr>
        <w:t>Our bylaws further provide that the federal district courts of the United States of America will be the exclusive forum for resolving any complaint asserting a cause of action arising under the Securities Act.</w:t>
      </w:r>
    </w:p>
    <w:p>
      <w:pPr>
        <w:spacing w:after="0" w:line="80"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53" w:name="page54"/>
    <w:bookmarkEnd w:id="53"/>
    <w:p>
      <w:pPr>
        <w:ind w:right="140" w:firstLine="254"/>
        <w:spacing w:after="0" w:line="280" w:lineRule="auto"/>
        <w:rPr>
          <w:sz w:val="20"/>
          <w:szCs w:val="20"/>
          <w:color w:val="auto"/>
        </w:rPr>
      </w:pPr>
      <w:r>
        <w:rPr>
          <w:rFonts w:ascii="Arial" w:cs="Arial" w:eastAsia="Arial" w:hAnsi="Arial"/>
          <w:sz w:val="14"/>
          <w:szCs w:val="14"/>
          <w:color w:val="auto"/>
        </w:rPr>
        <w:t>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4"/>
          <w:szCs w:val="14"/>
          <w:b w:val="1"/>
          <w:bCs w:val="1"/>
          <w:color w:val="auto"/>
        </w:rPr>
        <w:t>Any conversions of the 2014 Notes, the 2019 Notes, or the Bridge Loans will dilute the ownership interest of our existing stockholders and may otherwise depress the price of our common stock.</w:t>
      </w:r>
    </w:p>
    <w:p>
      <w:pPr>
        <w:spacing w:after="0" w:line="65" w:lineRule="exact"/>
        <w:rPr>
          <w:sz w:val="20"/>
          <w:szCs w:val="20"/>
          <w:color w:val="auto"/>
        </w:rPr>
      </w:pPr>
    </w:p>
    <w:p>
      <w:pPr>
        <w:ind w:firstLine="254"/>
        <w:spacing w:after="0" w:line="261" w:lineRule="auto"/>
        <w:rPr>
          <w:sz w:val="20"/>
          <w:szCs w:val="20"/>
          <w:color w:val="auto"/>
        </w:rPr>
      </w:pPr>
      <w:r>
        <w:rPr>
          <w:rFonts w:ascii="Arial" w:cs="Arial" w:eastAsia="Arial" w:hAnsi="Arial"/>
          <w:sz w:val="14"/>
          <w:szCs w:val="14"/>
          <w:color w:val="auto"/>
        </w:rPr>
        <w:t>Any conversion of some or all of the 2014 Notes, 2019 Notes, or Bridge Loans will dilute the ownership interests of our existing stockholders. Any sales in the public market of our common stock issuable upon such conversion could also adversely affect prevailing market prices of our common stock. In addition, holders of the 2014 Notes, 2019 Notes, or Bridge Loans may hedge their position in such convertible notes by entering into short positions with respect to the underlying common stock. As a result, any anticipated conversion of the 2014 Notes, 2019 Notes, or Bridge Loans could depress the market price of our common stock and impair our ability to raise capital through the sale of additional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29" w:lineRule="exact"/>
        <w:rPr>
          <w:sz w:val="20"/>
          <w:szCs w:val="20"/>
          <w:color w:val="auto"/>
        </w:rPr>
      </w:pPr>
    </w:p>
    <w:p>
      <w:pPr>
        <w:ind w:right="100" w:firstLine="254"/>
        <w:spacing w:after="0" w:line="312" w:lineRule="auto"/>
        <w:rPr>
          <w:sz w:val="20"/>
          <w:szCs w:val="20"/>
          <w:color w:val="auto"/>
        </w:rPr>
      </w:pPr>
      <w:r>
        <w:rPr>
          <w:rFonts w:ascii="Arial" w:cs="Arial" w:eastAsia="Arial" w:hAnsi="Arial"/>
          <w:sz w:val="12"/>
          <w:szCs w:val="12"/>
          <w:color w:val="auto"/>
        </w:rPr>
        <w:t>We lease approximately 78,000 square feet of office and laboratory space at our headquarters in South San Francisco, California under a lease that commenced in March 2020 for a lease term of approximately 10 years. Additionally, we lease office, laboratory, and manufacturing space in Singapore consisting of approximately 40,000 square feet expiring in June 2027, and approximately 5,000 square feet expiring in March 2023. In Ontario, Canada, we have leased two properties, comprising approximately 44,500 square feet expiring in March 2026 and approximately 19,000 square feet expiring in March 2027. As of December 31, 2021, we also leased office space in Japan, China, and France, with various expiration dates through February 2026. We believe that our properties are in good condition and are adequate and suitable for their purposes. Refer to Note 10 of our consolidated financial statements for additional information about leased properties in this Form 10-K.</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18"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In September 2020, a putative class action complaint alleging violations of the federal securities laws was filed against the Company (also naming our Chief Executive Officer and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A second amended complaint was filed on September 14, 2021. The Company filed a motion to dismiss the second amended complaint on October 29, 2021 and, on February 14, 2022, the Court granted defendants’ motion and dismissed the second amended complaint with prejudice. The plaintiff has 30 days following the Court’s entry of judgment to file an appeal. We believe the claims alleged in the complaint lack merit and, should an appeal be filed, we intend to defend this action vigorously.</w:t>
      </w:r>
    </w:p>
    <w:p>
      <w:pPr>
        <w:spacing w:after="0" w:line="87" w:lineRule="exact"/>
        <w:rPr>
          <w:sz w:val="20"/>
          <w:szCs w:val="20"/>
          <w:color w:val="auto"/>
        </w:rPr>
      </w:pPr>
    </w:p>
    <w:p>
      <w:pPr>
        <w:ind w:right="140" w:firstLine="254"/>
        <w:spacing w:after="0" w:line="261" w:lineRule="auto"/>
        <w:rPr>
          <w:sz w:val="20"/>
          <w:szCs w:val="20"/>
          <w:color w:val="auto"/>
        </w:rPr>
      </w:pPr>
      <w:r>
        <w:rPr>
          <w:rFonts w:ascii="Arial" w:cs="Arial" w:eastAsia="Arial" w:hAnsi="Arial"/>
          <w:sz w:val="14"/>
          <w:szCs w:val="14"/>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54" w:name="page55"/>
    <w:bookmarkEnd w:id="54"/>
    <w:p>
      <w:pPr>
        <w:ind w:left="5380"/>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for Our Common Stock; Dividends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common stock began trading on the Nasdaq Global Select Market under the symbol “FLDM” on February 10, 2011.</w:t>
      </w:r>
    </w:p>
    <w:p>
      <w:pPr>
        <w:spacing w:after="0" w:line="125" w:lineRule="exact"/>
        <w:rPr>
          <w:sz w:val="20"/>
          <w:szCs w:val="20"/>
          <w:color w:val="auto"/>
        </w:rPr>
      </w:pPr>
    </w:p>
    <w:p>
      <w:pPr>
        <w:ind w:right="160" w:firstLine="254"/>
        <w:spacing w:after="0" w:line="280" w:lineRule="auto"/>
        <w:rPr>
          <w:sz w:val="20"/>
          <w:szCs w:val="20"/>
          <w:color w:val="auto"/>
        </w:rPr>
      </w:pPr>
      <w:r>
        <w:rPr>
          <w:rFonts w:ascii="Arial" w:cs="Arial" w:eastAsia="Arial" w:hAnsi="Arial"/>
          <w:sz w:val="14"/>
          <w:szCs w:val="14"/>
          <w:color w:val="auto"/>
        </w:rPr>
        <w:t>We had 82 stockholders of record as of January 31, 2022; however, because many of our outstanding shares are held by brokers or other institutions on behalf of stockholders, we are unable to estimate the total number of beneficial owners represented by the holders of record.</w:t>
      </w:r>
    </w:p>
    <w:p>
      <w:pPr>
        <w:spacing w:after="0" w:line="69" w:lineRule="exact"/>
        <w:rPr>
          <w:sz w:val="20"/>
          <w:szCs w:val="20"/>
          <w:color w:val="auto"/>
        </w:rPr>
      </w:pPr>
    </w:p>
    <w:p>
      <w:pPr>
        <w:ind w:right="240" w:firstLine="254"/>
        <w:spacing w:after="0" w:line="280" w:lineRule="auto"/>
        <w:rPr>
          <w:sz w:val="20"/>
          <w:szCs w:val="20"/>
          <w:color w:val="auto"/>
        </w:rPr>
      </w:pPr>
      <w:r>
        <w:rPr>
          <w:rFonts w:ascii="Arial" w:cs="Arial" w:eastAsia="Arial" w:hAnsi="Arial"/>
          <w:sz w:val="14"/>
          <w:szCs w:val="14"/>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129"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The following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90" w:lineRule="exact"/>
        <w:rPr>
          <w:sz w:val="20"/>
          <w:szCs w:val="20"/>
          <w:color w:val="auto"/>
        </w:rPr>
      </w:pPr>
    </w:p>
    <w:p>
      <w:pPr>
        <w:jc w:val="both"/>
        <w:ind w:right="360" w:firstLine="254"/>
        <w:spacing w:after="0" w:line="266" w:lineRule="auto"/>
        <w:rPr>
          <w:sz w:val="20"/>
          <w:szCs w:val="20"/>
          <w:color w:val="auto"/>
        </w:rPr>
      </w:pPr>
      <w:r>
        <w:rPr>
          <w:rFonts w:ascii="Arial" w:cs="Arial" w:eastAsia="Arial" w:hAnsi="Arial"/>
          <w:sz w:val="14"/>
          <w:szCs w:val="14"/>
          <w:color w:val="auto"/>
        </w:rPr>
        <w:t>The following graph compares, from December 31, 2016 through December 31, 2021, the cumulative total return for our common stock, the Nasdaq Composite Total Return Index, and the Nasdaq US Benchmark Medical Equipment Index, assuming in each case an initial investment of $100 and reinvestment of all dividends.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57150</wp:posOffset>
            </wp:positionV>
            <wp:extent cx="4122420" cy="2353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22420" cy="2353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Unregistered Securities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did not repurchase any shares of our common stock during the year ended December 31, 2021.</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341"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951"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92" w:lineRule="exact"/>
        <w:rPr>
          <w:sz w:val="20"/>
          <w:szCs w:val="20"/>
          <w:color w:val="auto"/>
        </w:rPr>
      </w:pPr>
    </w:p>
    <w:p>
      <w:pPr>
        <w:ind w:right="40" w:firstLine="254"/>
        <w:spacing w:after="0" w:line="247" w:lineRule="auto"/>
        <w:rPr>
          <w:sz w:val="20"/>
          <w:szCs w:val="20"/>
          <w:color w:val="auto"/>
        </w:rPr>
      </w:pPr>
      <w:r>
        <w:rPr>
          <w:rFonts w:ascii="Arial" w:cs="Arial" w:eastAsia="Arial" w:hAnsi="Arial"/>
          <w:sz w:val="13"/>
          <w:szCs w:val="13"/>
          <w:i w:val="1"/>
          <w:iCs w:val="1"/>
          <w:color w:val="auto"/>
        </w:rPr>
        <w:t>The following Management’s Discussion and Analysis of Financial Condition and Results of Operations (MD&amp;A) is intended to help the reader understand the results of operations and financial condition of Fluidigm. MD&amp;A is provided as a supplement to, and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ind w:right="300" w:firstLine="254"/>
        <w:spacing w:after="0" w:line="261" w:lineRule="auto"/>
        <w:rPr>
          <w:sz w:val="20"/>
          <w:szCs w:val="20"/>
          <w:color w:val="auto"/>
        </w:rPr>
      </w:pPr>
      <w:r>
        <w:rPr>
          <w:rFonts w:ascii="Arial" w:cs="Arial" w:eastAsia="Arial" w:hAnsi="Arial"/>
          <w:sz w:val="14"/>
          <w:szCs w:val="14"/>
          <w:color w:val="auto"/>
        </w:rPr>
        <w:t>Fluidigm improves life by driving meaningful insights in health and disease. Our innovative technologies explore the biological complexities of disease to advance human health through research, diagnostics and clinical applications. We create, manufacture, and market a range of products and services, including instruments, consumables, reagents and software that are used by researchers and clinical labs worldwide. Our customers are leading academic and government laboratories, as well as pharmaceutical, biotechnology, plant and animal research organizations, and clinical laboratories worldwide. Together with our customers, we strive to increase the quality of life for all.</w:t>
      </w:r>
    </w:p>
    <w:p>
      <w:pPr>
        <w:spacing w:after="0" w:line="83" w:lineRule="exact"/>
        <w:rPr>
          <w:sz w:val="20"/>
          <w:szCs w:val="20"/>
          <w:color w:val="auto"/>
        </w:rPr>
      </w:pPr>
    </w:p>
    <w:p>
      <w:pPr>
        <w:ind w:right="160" w:firstLine="254"/>
        <w:spacing w:after="0" w:line="230" w:lineRule="auto"/>
        <w:rPr>
          <w:sz w:val="20"/>
          <w:szCs w:val="20"/>
          <w:color w:val="auto"/>
        </w:rPr>
      </w:pPr>
      <w:r>
        <w:rPr>
          <w:rFonts w:ascii="Arial" w:cs="Arial" w:eastAsia="Arial" w:hAnsi="Arial"/>
          <w:sz w:val="14"/>
          <w:szCs w:val="14"/>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integrated fluidic circuits (IFCs) as well as our microfluidics instruments, which are assembled by our contract manufacturer located within our Singapore facility. Our mass cytometry instruments, assays and reagents are manufactured at our facility in Canada. In 2021, we manufactured microfluidics reagents in our facilities in Canada and South San Francisco as well as through U.S.-based third-party contract manufacturers for reagent manufacturing.</w:t>
      </w:r>
    </w:p>
    <w:p>
      <w:pPr>
        <w:spacing w:after="0" w:line="86"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Our total revenue was $130.6 million in 2021 compared to $138.1 million and $117.2 million in 2020 and 2019, respectively. Product and service revenue was $126.3 million in 2021 compared to $122.5 million and $116.7 million in 2020 and 2019, respectively. We have incurred significant net losses since our inception in 1999 and, as of December 31, 2021, our accumulated deficit was $736.0 million.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129"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In 2020, we were awarded the NIH Contract under the RADx program to support the expansion of our production capacity and throughput capabilities for COVID-19 testing with our microfluidics technology. As of December 31, 2021, we have achieved the required milestones and have received the total NIH Contract value of $34.0 million. Proceeds from the NIH Contract have been primarily used for capital expenditures to expand production capacity and, to a lesser extent, to offset applicable operating costs. With the funding from the NIH Contract, IFC manufacturing capacity increased from 12,000 IFCs per month to 36,000 IFCs per month in our Singapore facility.</w:t>
      </w:r>
    </w:p>
    <w:p>
      <w:pPr>
        <w:spacing w:after="0" w:line="73" w:lineRule="exact"/>
        <w:rPr>
          <w:sz w:val="20"/>
          <w:szCs w:val="20"/>
          <w:color w:val="auto"/>
        </w:rPr>
      </w:pPr>
    </w:p>
    <w:p>
      <w:pPr>
        <w:jc w:val="both"/>
        <w:ind w:right="200" w:firstLine="254"/>
        <w:spacing w:after="0" w:line="254" w:lineRule="auto"/>
        <w:rPr>
          <w:sz w:val="20"/>
          <w:szCs w:val="20"/>
          <w:color w:val="auto"/>
        </w:rPr>
      </w:pPr>
      <w:r>
        <w:rPr>
          <w:rFonts w:ascii="Arial" w:cs="Arial" w:eastAsia="Arial" w:hAnsi="Arial"/>
          <w:sz w:val="13"/>
          <w:szCs w:val="13"/>
          <w:color w:val="auto"/>
        </w:rPr>
        <w:t>As vaccines and alternative testing options for the coronavirus have become more available and the perceived threat of the pandemic began to recede in 2021, the demand for our COVID-19 testing products slowed, resulting in a corresponding decline in COVID-19 testing revenue in 2021, compared to the third and fourth quarters of 2020. The pandemic also negatively impacted our base business revenue, which excludes COVID-19 related revenue. It is difficult to predict the impact of new strains of the coronavirus on our business or the impact they may have on the research priorities of our customers. For additional information on the various risks posed by the pandemic, refer to Part I, Item 1A- Risk Factors of this Form 10-K.</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Global logistics and supply chain disruptions resulted in component delays and supply constraints with some of our suppliers. While some of these issues have been resolved, shortages of certain</w:t>
      </w:r>
    </w:p>
    <w:p>
      <w:pPr>
        <w:spacing w:after="0" w:line="63" w:lineRule="exact"/>
        <w:rPr>
          <w:sz w:val="20"/>
          <w:szCs w:val="20"/>
          <w:color w:val="auto"/>
        </w:rPr>
      </w:pPr>
    </w:p>
    <w:p>
      <w:pPr>
        <w:ind w:right="300"/>
        <w:spacing w:after="0" w:line="320" w:lineRule="auto"/>
        <w:rPr>
          <w:sz w:val="20"/>
          <w:szCs w:val="20"/>
          <w:color w:val="auto"/>
        </w:rPr>
      </w:pPr>
      <w:r>
        <w:rPr>
          <w:rFonts w:ascii="Arial" w:cs="Arial" w:eastAsia="Arial" w:hAnsi="Arial"/>
          <w:sz w:val="13"/>
          <w:szCs w:val="13"/>
          <w:color w:val="auto"/>
        </w:rPr>
        <w:t>components have resulted in longer component order lead times to meet future demand. We expect to be able to meet product demand in 2022, but continued supply disruptions of components or materials or our inability to obtain components, materials, or assembly services from alternate sources could impact our ability to meet the ongoing demand of our customers.</w:t>
      </w:r>
    </w:p>
    <w:p>
      <w:pPr>
        <w:spacing w:after="0" w:line="57" w:lineRule="exact"/>
        <w:rPr>
          <w:sz w:val="20"/>
          <w:szCs w:val="20"/>
          <w:color w:val="auto"/>
        </w:rPr>
      </w:pPr>
    </w:p>
    <w:p>
      <w:pPr>
        <w:ind w:right="200" w:firstLine="254"/>
        <w:spacing w:after="0" w:line="288" w:lineRule="auto"/>
        <w:rPr>
          <w:sz w:val="20"/>
          <w:szCs w:val="20"/>
          <w:color w:val="auto"/>
        </w:rPr>
      </w:pPr>
      <w:r>
        <w:rPr>
          <w:rFonts w:ascii="Arial" w:cs="Arial" w:eastAsia="Arial" w:hAnsi="Arial"/>
          <w:sz w:val="13"/>
          <w:szCs w:val="13"/>
          <w:color w:val="auto"/>
        </w:rPr>
        <w:t>On August 2, 2021, the Company amended its Loan and Security Agreement dated as of August 2, 2018, between the Company and Silicon Valley Bank (SVB) (the Amendment). The Amendment extends the maturity date of our $15.0 million revolving credit facility (Revolving Credit Facility) by one year, to August 2, 2023, and also provides for a term loan facility in an aggregate principal amount of $10.0 million (the Term Loan Facility). The stated maturity date of the Term Loan Facility is July 1, 2025, however if, as of June 1, 2024, the principal amount of our convertible debt exceeds $0.6 million or if the maturity date of our 2019 Notes has not been extended beyond January 1, 2026, then the maturity date of the Term Loan Facility will be</w:t>
      </w:r>
    </w:p>
    <w:p>
      <w:pPr>
        <w:spacing w:after="0" w:line="39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56" w:name="page57"/>
    <w:bookmarkEnd w:id="56"/>
    <w:p>
      <w:pPr>
        <w:ind w:right="340"/>
        <w:spacing w:after="0" w:line="426" w:lineRule="auto"/>
        <w:rPr>
          <w:sz w:val="20"/>
          <w:szCs w:val="20"/>
          <w:color w:val="auto"/>
        </w:rPr>
      </w:pPr>
      <w:r>
        <w:rPr>
          <w:rFonts w:ascii="Arial" w:cs="Arial" w:eastAsia="Arial" w:hAnsi="Arial"/>
          <w:sz w:val="14"/>
          <w:szCs w:val="14"/>
          <w:color w:val="auto"/>
        </w:rPr>
        <w:t xml:space="preserve">on June 1, 2024. There were $6.8 million of advances outstanding under the Revolving Credit Facility at December 31, 2021. The Term Loan Facility was fully drawn as of December 31, 2021. </w:t>
      </w:r>
      <w:r>
        <w:rPr>
          <w:rFonts w:ascii="Arial" w:cs="Arial" w:eastAsia="Arial" w:hAnsi="Arial"/>
          <w:sz w:val="14"/>
          <w:szCs w:val="14"/>
          <w:b w:val="1"/>
          <w:bCs w:val="1"/>
          <w:i w:val="1"/>
          <w:iCs w:val="1"/>
          <w:color w:val="auto"/>
        </w:rPr>
        <w:t>Strategic Investment Transaction</w:t>
      </w:r>
    </w:p>
    <w:p>
      <w:pPr>
        <w:ind w:right="20" w:firstLine="254"/>
        <w:spacing w:after="0" w:line="289" w:lineRule="auto"/>
        <w:rPr>
          <w:sz w:val="20"/>
          <w:szCs w:val="20"/>
          <w:color w:val="auto"/>
        </w:rPr>
      </w:pPr>
      <w:r>
        <w:rPr>
          <w:rFonts w:ascii="Arial" w:cs="Arial" w:eastAsia="Arial" w:hAnsi="Arial"/>
          <w:sz w:val="13"/>
          <w:szCs w:val="13"/>
          <w:color w:val="auto"/>
        </w:rPr>
        <w:t>On January 23, 2022, the Company entered into (i) a Loan Agreement (the Casdin Loan Agreement) with Casdin Private Growth Equity Fund II, L.P. and Casdin Partners Master Fund, L.P. (collectively, Casdin) and (ii) a Loan Agreement (the Viking Loan Agreement, and together with the Casdin Loan Agreement, the Bridge Loan Agreements) with Viking Global Opportunities Illiquid Investments Sub-Master LP and Viking Global Opportunities Drawdown (Aggregator) LP (collectively, Viking and, together with Casdin, the Purchasers and each, a Purchaser). Each Bridge Loan</w:t>
      </w:r>
    </w:p>
    <w:p>
      <w:pPr>
        <w:ind w:right="40"/>
        <w:spacing w:after="0" w:line="288" w:lineRule="auto"/>
        <w:rPr>
          <w:sz w:val="20"/>
          <w:szCs w:val="20"/>
          <w:color w:val="auto"/>
        </w:rPr>
      </w:pPr>
      <w:r>
        <w:rPr>
          <w:rFonts w:ascii="Arial" w:cs="Arial" w:eastAsia="Arial" w:hAnsi="Arial"/>
          <w:sz w:val="13"/>
          <w:szCs w:val="13"/>
          <w:color w:val="auto"/>
        </w:rPr>
        <w:t>Agreement provides for a $12.5 million term loan to the Company (each, a Bridge Loan and collectively, the Bridge Loans). Subject to approval by the Company’s stockholders, upon the issuance of the shares of Series B Preferred Stock (as defined below) pursuant to the Purchase Agreements (as defined below), the Bridge Loans will be automatically converted into a number of shares of Series B-1 Preferred Stock (as defined below) or Series B-2 Preferred Stock (as defined below), as applicable, in accordance with the terms of the Bridge Loan Agreements. The Bridge Loans were fully drawn on January 24, 2022. The proceeds of the Bridge Loans may be used for working capital and general corporate purposes.</w:t>
      </w:r>
    </w:p>
    <w:p>
      <w:pPr>
        <w:spacing w:after="0" w:line="66"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Also on January 23, 2022, the Company entered into separate Series B Convertible Preferred Stock Purchase Agreements (the Purchase Agreements) with each of the Purchasers pursuant to which, among other things, at the closing of the transactions contemplated thereby, and on the terms and subject to the conditions set forth therein, including the approval of the Company’s stockholders, the Company will issue and sell an aggregate of $225 million of convertible preferred stock, consisting of: (i) 112,500 shares of the Company's Series B-1 Convertible Preferred Stock, par value $0.001 per share (the Series B-1 Preferred Stock), at a purchase price of $1,000.00 per share to Casdin, and (ii) 112,500 shares of the Company’s Series B-2 Convertible Preferred Stock, par value $0.001 per share (the Series B-2 Preferred Stock, and together with the Series B-1 Preferred Stock, the Series B Preferred Stock) at a purchase price of $1,000.00 per share to Viking (clauses (i) and (ii), the Preferred Equity Financing, and together with the issuance of shares of Series B Preferred Stock in connection with the conversion of the Bridge Loans, the Private Placement Issuance). The Series B Preferred Stock to be purchased by Casdin and Viking pursuant to the Purchase Agreements is in addition to any Series B Preferred Stock to be issued upon conversion of outstanding amounts under the Bridge Loan Agreements. The proceeds of the Preferred Equity Transactions will be used by the Company for expenses related to the Preferred Equity Transactions, as well as working capital, general corporate purposes and merger and acquisition opportunities that the Company may identify from time to time.</w:t>
      </w:r>
    </w:p>
    <w:p>
      <w:pPr>
        <w:spacing w:after="0" w:line="83" w:lineRule="exact"/>
        <w:rPr>
          <w:sz w:val="20"/>
          <w:szCs w:val="20"/>
          <w:color w:val="auto"/>
        </w:rPr>
      </w:pPr>
    </w:p>
    <w:p>
      <w:pPr>
        <w:ind w:right="60" w:firstLine="254"/>
        <w:spacing w:after="0" w:line="266" w:lineRule="auto"/>
        <w:rPr>
          <w:sz w:val="20"/>
          <w:szCs w:val="20"/>
          <w:color w:val="auto"/>
        </w:rPr>
      </w:pPr>
      <w:r>
        <w:rPr>
          <w:rFonts w:ascii="Arial" w:cs="Arial" w:eastAsia="Arial" w:hAnsi="Arial"/>
          <w:sz w:val="14"/>
          <w:szCs w:val="14"/>
          <w:color w:val="auto"/>
        </w:rPr>
        <w:t>In connection with the Private Placement Issuance, the Company will change its name to “Standard BioTools Inc.” and Dr. Michael Egholm will be appointed as the Company’s President and Chief Executive Officer and as a member of our Board of Directors (the Board), each occurring upon the closing of the transactions contemplated by the Purchase Agreements (Closing). Dr. Egholm will succeed Chris Linthwaite, who will continue as the Company’s Chief Executive Officer until the earlier of the Closing or May 15, 2022.</w:t>
      </w:r>
    </w:p>
    <w:p>
      <w:pPr>
        <w:spacing w:after="0" w:line="90" w:lineRule="exact"/>
        <w:rPr>
          <w:sz w:val="20"/>
          <w:szCs w:val="20"/>
          <w:color w:val="auto"/>
        </w:rPr>
      </w:pPr>
    </w:p>
    <w:p>
      <w:pPr>
        <w:ind w:right="180" w:firstLine="254"/>
        <w:spacing w:after="0" w:line="367" w:lineRule="auto"/>
        <w:rPr>
          <w:sz w:val="20"/>
          <w:szCs w:val="20"/>
          <w:color w:val="auto"/>
        </w:rPr>
      </w:pPr>
      <w:r>
        <w:rPr>
          <w:rFonts w:ascii="Arial" w:cs="Arial" w:eastAsia="Arial" w:hAnsi="Arial"/>
          <w:sz w:val="12"/>
          <w:szCs w:val="12"/>
          <w:color w:val="auto"/>
        </w:rPr>
        <w:t>The Closing is subject to customary closing conditions for a transaction of this nature, including approval by the Company’s stockholders of the issuance of the Series B Preferred Stock in connection with the Private Placement Issuance. Each Private Placement Issuance is also conditioned on the substantially contemporaneous consummation of the other Private Placement Issuance.</w:t>
      </w:r>
    </w:p>
    <w:p>
      <w:pPr>
        <w:spacing w:after="0" w:line="23" w:lineRule="exact"/>
        <w:rPr>
          <w:sz w:val="20"/>
          <w:szCs w:val="20"/>
          <w:color w:val="auto"/>
        </w:rPr>
      </w:pPr>
    </w:p>
    <w:p>
      <w:pPr>
        <w:ind w:right="40" w:firstLine="254"/>
        <w:spacing w:after="0" w:line="305" w:lineRule="auto"/>
        <w:rPr>
          <w:sz w:val="20"/>
          <w:szCs w:val="20"/>
          <w:color w:val="auto"/>
        </w:rPr>
      </w:pPr>
      <w:r>
        <w:rPr>
          <w:rFonts w:ascii="Arial" w:cs="Arial" w:eastAsia="Arial" w:hAnsi="Arial"/>
          <w:sz w:val="12"/>
          <w:szCs w:val="12"/>
          <w:color w:val="auto"/>
        </w:rPr>
        <w:t>The Company’s Board has called a special meeting to be held on March 25, 2022 (the Special Meeting) to ask the Company’s stockholders to consider, vote upon and approve (i) a proposal to amend the Company’s Eighth Amended and Restated Certificate of Incorporation (the Charter) to, among other things, increase the number of shares of common stock, par value $0.001 per share, of the Company (Common Stock) that the Company is authorized to issue from two hundred million (200,000,000) shares to four hundred million (400,000,000) shares and to change the Company’s name to Standard BioTools Inc. (together, the Charter Amendment Proposal); and (ii) to approve the issuance of (A) the Series B-1 Preferred Stock and the Series B-2 Preferred Stock pursuant to the Purchase Agreements, (B) the Series B-1 Preferred Stock and the Series B-2 Preferred Stock issuable pursuant to the terms of the Bridge Loan Agreements and (C) the Common Stock issuable upon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the conversion of the Series B Preferred Stock (clauses (A) through (C), the Private Placement Issuance Proposal). The Private Placement Issuance Proposal is conditioned on the approval of the</w:t>
      </w:r>
    </w:p>
    <w:p>
      <w:pPr>
        <w:spacing w:after="0" w:line="52"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Charter Amendment Proposal. The Charter Amendment Proposal is conditioned on the approval of the Private Placement Issuance Proposal. If both proposals do not receive the requisite vote for approval, neither the Charter Amendment Proposal nor the Private Placement Issuance Proposal will take effect. The parties have agreed that they will not be obligated to close the Private Placement Issuance if the Charter Amendment Proposal has not been approved at the Special Meeting.</w:t>
      </w:r>
    </w:p>
    <w:p>
      <w:pPr>
        <w:spacing w:after="0" w:line="90"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If the Charter Amendment Proposal and the Private Placement Issuance Proposal are not approved by the Company’s stockholders at the Special Meeting or the Purchase Agreements otherwise terminated, then the Bridge Loans will become</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955" w:right="359" w:bottom="1440" w:gutter="0" w:footer="0" w:header="0"/>
        </w:sectPr>
      </w:pPr>
    </w:p>
    <w:bookmarkStart w:id="57" w:name="page58"/>
    <w:bookmarkEnd w:id="57"/>
    <w:p>
      <w:pPr>
        <w:ind w:right="20"/>
        <w:spacing w:after="0" w:line="281" w:lineRule="auto"/>
        <w:rPr>
          <w:sz w:val="20"/>
          <w:szCs w:val="20"/>
          <w:color w:val="auto"/>
        </w:rPr>
      </w:pPr>
      <w:r>
        <w:rPr>
          <w:rFonts w:ascii="Arial" w:cs="Arial" w:eastAsia="Arial" w:hAnsi="Arial"/>
          <w:sz w:val="13"/>
          <w:szCs w:val="13"/>
          <w:color w:val="auto"/>
        </w:rPr>
        <w:t>convertible, at each lender’s option, into Common Stock at an initial conversion rate of 352.1126 shares of Common Stock per $1,000 of conversion amount, subject to the cap set forth in the Bridge Loan Agreements. The conversion rate is subject to customary adjustments as set forth in the Bridge Loan Agreements. The Bridge Loans bear interest (i) from and including the effective date of the Bridge Loan Agreements to but excluding March 1, 2022, at 10%, (ii) from and including March 1, 2022 to but excluding June 1, 2022, at 12%, (iii) from and including June 1, 2022 to but excluding September 1, 2022, at 14%, and (iv) from and including September 1, 2022 and thereafter, at 16%. Interest accrues daily and is payable in kind by adding the accrued interest to the outstanding principal amount on the last date of each month. The Bridge Loans mature on the 91st calendar day after the latest maturity date of the loans borrowed under the Company’s Loan and Security Agreement, dated as of August 2, 2018, with Silicon Valley Bank, and the principal, together with accrued and unpaid interest, is due on the maturity date.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Going Concern</w:t>
      </w:r>
    </w:p>
    <w:p>
      <w:pPr>
        <w:spacing w:after="0" w:line="125" w:lineRule="exact"/>
        <w:rPr>
          <w:sz w:val="20"/>
          <w:szCs w:val="20"/>
          <w:color w:val="auto"/>
        </w:rPr>
      </w:pPr>
    </w:p>
    <w:p>
      <w:pPr>
        <w:ind w:right="60" w:firstLine="254"/>
        <w:spacing w:after="0" w:line="280" w:lineRule="auto"/>
        <w:rPr>
          <w:sz w:val="20"/>
          <w:szCs w:val="20"/>
          <w:color w:val="auto"/>
        </w:rPr>
      </w:pPr>
      <w:r>
        <w:rPr>
          <w:rFonts w:ascii="Arial" w:cs="Arial" w:eastAsia="Arial" w:hAnsi="Arial"/>
          <w:sz w:val="13"/>
          <w:szCs w:val="13"/>
          <w:color w:val="auto"/>
        </w:rPr>
        <w:t>For this annual report, we performed an assessment to determine whether there are conditions or events, considered in the aggregate, that raise substantial doubt about our ability to continue as a going concern for at least the twelve-month period following the date the financial statements were issued. As of December 31, 2021, we had $29.5 million in cash, cash equivalents and restricted cash. Due to an extended strategic review process related to the pending Private Placement Issuance, we were unable in 2021 to implement certain cash management actions, including potential financing and/or cost reduction initiatives. Further, we have incurred, and expect to continue to incur, negative cash flows in pursuit of our business plans for at least the twelve-month period following the date the financial statements were issued. As a result, we believe that our current level of cash and cash equivalents, together with committed financing facilities, are not sufficient to fund ongoing operations for at least the twelve-month period following the date the financial statements were issued. The existence of these conditions raises substantial doubt about our ability to continue as a going concern for the twelve-month period following the date the financial statements were issued.</w:t>
      </w:r>
    </w:p>
    <w:p>
      <w:pPr>
        <w:spacing w:after="0" w:line="156"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Our ability to continue as a going concern is dependent upon our success in obtaining additional equity or debt financing, attaining further operating efficiencies, reducing expenditures and ultimately, generating significant revenue growth. We are evaluating strategies to obtain the required additional funding for future operations including the potential consummation of the $225 million Private Placement Issuance, which is contingent on stockholder approval and satisfaction of customary closing conditions. In the event the proposed investment does not occur, we would need to obtain the required additional funding for future operations from alternative sources. These sources may include, but are not limited to, equity financing, debt or other financing arrangements, and restructuring of operations to grow revenues and decrease expenses. Our plans to raise additional capital, including our ability to consummate the Private Placement Issuance, or take the other actions to address the doubt regarding our ability to continue as a going concern, may not be successful. There can be no assurance that we would be able to obtain additional liquidity when needed or under acceptable terms, if at all. Our financial results discussed below do not include any adjustments related to the recoverability and classification of recorded asset amounts or the amounts and classification of liabilities that might be necessary should we be unable to continue as a going concern.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Significant Judgments and Estimates</w:t>
      </w:r>
    </w:p>
    <w:p>
      <w:pPr>
        <w:spacing w:after="0" w:line="129" w:lineRule="exact"/>
        <w:rPr>
          <w:sz w:val="20"/>
          <w:szCs w:val="20"/>
          <w:color w:val="auto"/>
        </w:rPr>
      </w:pPr>
    </w:p>
    <w:p>
      <w:pPr>
        <w:ind w:right="20" w:firstLine="254"/>
        <w:spacing w:after="0" w:line="278" w:lineRule="auto"/>
        <w:rPr>
          <w:sz w:val="20"/>
          <w:szCs w:val="20"/>
          <w:color w:val="auto"/>
        </w:rPr>
      </w:pPr>
      <w:r>
        <w:rPr>
          <w:rFonts w:ascii="Arial" w:cs="Arial" w:eastAsia="Arial" w:hAnsi="Arial"/>
          <w:sz w:val="13"/>
          <w:szCs w:val="13"/>
          <w:color w:val="auto"/>
        </w:rPr>
        <w:t>Our consolidated financial statements and the related notes included elsewhere in this Form 10-K are prepared in accordance with accounting principles generally accepted in the United States. 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We assessed certain accounting matters that generally require consideration of forecasted financial information, including the unknown impact of COVID-19 pandemic. These accounting matters included, but were not limited to, our inventory and related reserves, and the carrying value of goodwill and other long-lived assets. Actual results could differ materially from these estimates and could have a material adverse effect on our consolidated financial statements.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w:t>
      </w:r>
    </w:p>
    <w:p>
      <w:pPr>
        <w:spacing w:after="0" w:line="87" w:lineRule="exact"/>
        <w:rPr>
          <w:sz w:val="20"/>
          <w:szCs w:val="20"/>
          <w:color w:val="auto"/>
        </w:rPr>
      </w:pPr>
    </w:p>
    <w:p>
      <w:pPr>
        <w:ind w:right="120" w:firstLine="254"/>
        <w:spacing w:after="0" w:line="280" w:lineRule="auto"/>
        <w:rPr>
          <w:sz w:val="20"/>
          <w:szCs w:val="20"/>
          <w:color w:val="auto"/>
        </w:rPr>
      </w:pPr>
      <w:r>
        <w:rPr>
          <w:rFonts w:ascii="Arial" w:cs="Arial" w:eastAsia="Arial" w:hAnsi="Arial"/>
          <w:sz w:val="14"/>
          <w:szCs w:val="14"/>
          <w:color w:val="auto"/>
        </w:rPr>
        <w:t>We believe that the following critical accounting policies involve a greater degree of judgment and complexity than our other accounting policies. Accordingly, these are the policies we believe are the most critical to understanding and evaluating our audited 2021 consolidated financial statements.</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955"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14"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We generate revenue primarily from the sale of our products and services. Product revenue is derived from the sale of instruments and consumables, including IFCs, assays and reagents. Service revenue is primarily derived from the sale of instrument service contracts, repairs, installation, training and other specialized product support services. We also generate revenue from product development agreements, license and royalty agreements and grants. Revenue is reported net of any sales, use and value-added taxes we collect from customers as required by government authorities. Research and development cost includes costs associated with development and grant revenue.</w:t>
      </w:r>
    </w:p>
    <w:p>
      <w:pPr>
        <w:spacing w:after="0" w:line="94" w:lineRule="exact"/>
        <w:rPr>
          <w:sz w:val="20"/>
          <w:szCs w:val="20"/>
          <w:color w:val="auto"/>
        </w:rPr>
      </w:pPr>
    </w:p>
    <w:p>
      <w:pPr>
        <w:ind w:firstLine="254"/>
        <w:spacing w:after="0" w:line="261" w:lineRule="auto"/>
        <w:rPr>
          <w:sz w:val="20"/>
          <w:szCs w:val="20"/>
          <w:color w:val="auto"/>
        </w:rPr>
      </w:pPr>
      <w:r>
        <w:rPr>
          <w:rFonts w:ascii="Arial" w:cs="Arial" w:eastAsia="Arial" w:hAnsi="Arial"/>
          <w:sz w:val="14"/>
          <w:szCs w:val="14"/>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Revenue</w:t>
      </w:r>
    </w:p>
    <w:p>
      <w:pPr>
        <w:spacing w:after="0" w:line="129"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Service Revenue</w:t>
      </w:r>
    </w:p>
    <w:p>
      <w:pPr>
        <w:spacing w:after="0" w:line="118"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80"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Development Revenue</w:t>
      </w:r>
    </w:p>
    <w:p>
      <w:pPr>
        <w:spacing w:after="0" w:line="129" w:lineRule="exact"/>
        <w:rPr>
          <w:sz w:val="20"/>
          <w:szCs w:val="20"/>
          <w:color w:val="auto"/>
        </w:rPr>
      </w:pPr>
    </w:p>
    <w:p>
      <w:pPr>
        <w:ind w:right="100" w:firstLine="254"/>
        <w:spacing w:after="0" w:line="261" w:lineRule="auto"/>
        <w:rPr>
          <w:sz w:val="20"/>
          <w:szCs w:val="20"/>
          <w:color w:val="auto"/>
        </w:rPr>
      </w:pPr>
      <w:r>
        <w:rPr>
          <w:rFonts w:ascii="Arial" w:cs="Arial" w:eastAsia="Arial" w:hAnsi="Arial"/>
          <w:sz w:val="14"/>
          <w:szCs w:val="14"/>
          <w:color w:val="auto"/>
        </w:rPr>
        <w:t>We have entered and may continue to enter into development agreements with third parties that provide for up-front and periodic milestone payments. Our development agreements may include more than one performance obligation. At the inception of the contract, we assess whether each obligation represents a separate performance obligation or whether such obligations should be combined as a single performance obligation. The transaction price for each development agreement is determined based on the amount of consideration we expect to be entitled to for satisfying all performance obligations within the agreement.</w:t>
      </w:r>
    </w:p>
    <w:p>
      <w:pPr>
        <w:spacing w:after="0" w:line="83" w:lineRule="exact"/>
        <w:rPr>
          <w:sz w:val="20"/>
          <w:szCs w:val="20"/>
          <w:color w:val="auto"/>
        </w:rPr>
      </w:pPr>
    </w:p>
    <w:p>
      <w:pPr>
        <w:ind w:right="100" w:firstLine="254"/>
        <w:spacing w:after="0" w:line="284" w:lineRule="auto"/>
        <w:rPr>
          <w:sz w:val="20"/>
          <w:szCs w:val="20"/>
          <w:color w:val="auto"/>
        </w:rPr>
      </w:pPr>
      <w:r>
        <w:rPr>
          <w:rFonts w:ascii="Arial" w:cs="Arial" w:eastAsia="Arial" w:hAnsi="Arial"/>
          <w:sz w:val="13"/>
          <w:szCs w:val="13"/>
          <w:color w:val="auto"/>
        </w:rPr>
        <w:t>We assess the nature of the combined performance obligation to determine whether the combined performance obligation is satisfied over time or at a point in time and, if over time, the appropriate method of measuring progress for purposes of recognizing revenue. In arrangements where we satisfy performance obligation(s) over time, we recognize development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spacing w:after="0" w:line="79" w:lineRule="exact"/>
        <w:rPr>
          <w:sz w:val="20"/>
          <w:szCs w:val="20"/>
          <w:color w:val="auto"/>
        </w:rPr>
      </w:pPr>
    </w:p>
    <w:p>
      <w:pPr>
        <w:ind w:right="120" w:firstLine="254"/>
        <w:spacing w:after="0" w:line="280" w:lineRule="auto"/>
        <w:rPr>
          <w:sz w:val="20"/>
          <w:szCs w:val="20"/>
          <w:color w:val="auto"/>
        </w:rPr>
      </w:pPr>
      <w:r>
        <w:rPr>
          <w:rFonts w:ascii="Arial" w:cs="Arial" w:eastAsia="Arial" w:hAnsi="Arial"/>
          <w:sz w:val="14"/>
          <w:szCs w:val="14"/>
          <w:color w:val="auto"/>
        </w:rPr>
        <w:t>We may also generate revenue from development or collaboration agreements that do not include upfront or milestone-based payments. For these types of arrangements, we generally recognize revenue over time as the development services are provided.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Revenue</w:t>
      </w:r>
    </w:p>
    <w:p>
      <w:pPr>
        <w:spacing w:after="0" w:line="129"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Other revenue consists of license revenue, royalty revenue, and grant revenue. We recognize revenue from license agreements when the license is transferred to the customer and the customer is able to use and benefit from the license. For contracts that include sales-based royalties, we recognize revenue at the later of (i) when the related sales occur, or (ii) when the performance obligation to which some or all of the royalty has been allocated has been satisfied.</w:t>
      </w:r>
    </w:p>
    <w:p>
      <w:pPr>
        <w:spacing w:after="0" w:line="200" w:lineRule="exact"/>
        <w:rPr>
          <w:sz w:val="20"/>
          <w:szCs w:val="20"/>
          <w:color w:val="auto"/>
        </w:rPr>
      </w:pP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59" w:name="page60"/>
    <w:bookmarkEnd w:id="59"/>
    <w:p>
      <w:pPr>
        <w:ind w:right="200" w:firstLine="254"/>
        <w:spacing w:after="0" w:line="261" w:lineRule="auto"/>
        <w:rPr>
          <w:sz w:val="20"/>
          <w:szCs w:val="20"/>
          <w:color w:val="auto"/>
        </w:rPr>
      </w:pPr>
      <w:r>
        <w:rPr>
          <w:rFonts w:ascii="Arial" w:cs="Arial" w:eastAsia="Arial" w:hAnsi="Arial"/>
          <w:sz w:val="14"/>
          <w:szCs w:val="14"/>
          <w:color w:val="auto"/>
        </w:rPr>
        <w:t>We receive grants from various entities to perform research and development activities over contractually defined periods. Grant revenue is not accounted for under ASC 606 Revenue from Contracts with Customers, as the grant agreement is not with a customer. As there is no authoritative U.S. GAAP guidance for grants awarded to for-profit entities, we have applied the guidance in ASC 958 Not-for-Profit Entities by analogy. Revenue is generally recognized provided that the conditions under which the grants were provided have been met and any remaining performance obligations are perfunctory.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Warranties</w:t>
      </w:r>
    </w:p>
    <w:p>
      <w:pPr>
        <w:spacing w:after="0" w:line="129" w:lineRule="exact"/>
        <w:rPr>
          <w:sz w:val="20"/>
          <w:szCs w:val="20"/>
          <w:color w:val="auto"/>
        </w:rPr>
      </w:pPr>
    </w:p>
    <w:p>
      <w:pPr>
        <w:ind w:right="140" w:firstLine="254"/>
        <w:spacing w:after="0" w:line="266" w:lineRule="auto"/>
        <w:rPr>
          <w:sz w:val="20"/>
          <w:szCs w:val="20"/>
          <w:color w:val="auto"/>
        </w:rPr>
      </w:pPr>
      <w:r>
        <w:rPr>
          <w:rFonts w:ascii="Arial" w:cs="Arial" w:eastAsia="Arial" w:hAnsi="Arial"/>
          <w:sz w:val="14"/>
          <w:szCs w:val="14"/>
          <w:color w:val="auto"/>
        </w:rPr>
        <w:t>We generally provide a one-year warranty on our instruments and establish a liability for the estimated cost of the obligation at the time the product is shipped. We periodically review our warranty liability and record adjustments based on specific terms provided to customers and our overall historical experience with usage. This expense is recorded as a component of cost of product revenue in the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Judgments</w:t>
      </w:r>
    </w:p>
    <w:p>
      <w:pPr>
        <w:spacing w:after="0" w:line="129" w:lineRule="exact"/>
        <w:rPr>
          <w:sz w:val="20"/>
          <w:szCs w:val="20"/>
          <w:color w:val="auto"/>
        </w:rPr>
      </w:pPr>
    </w:p>
    <w:p>
      <w:pPr>
        <w:ind w:right="80" w:firstLine="254"/>
        <w:spacing w:after="0" w:line="331" w:lineRule="auto"/>
        <w:rPr>
          <w:sz w:val="20"/>
          <w:szCs w:val="20"/>
          <w:color w:val="auto"/>
        </w:rPr>
      </w:pPr>
      <w:r>
        <w:rPr>
          <w:rFonts w:ascii="Arial" w:cs="Arial" w:eastAsia="Arial" w:hAnsi="Arial"/>
          <w:sz w:val="12"/>
          <w:szCs w:val="12"/>
          <w:color w:val="auto"/>
        </w:rPr>
        <w:t>Applying the revenue recognition practices discussed above often requires significant judgment. Significant judgment is required when interpreting commercial terms in sales agreements and determining when control of goods and services passes to the customer. Judgment is also required when identifying performance obligations, estimating SSP and allocating purchase consideration in agreements that include multiple performance obligations. Any material changes created by errors in judgment could have a material effect on our operating results and overall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 net</w:t>
      </w:r>
    </w:p>
    <w:p>
      <w:pPr>
        <w:spacing w:after="0" w:line="104" w:lineRule="exact"/>
        <w:rPr>
          <w:sz w:val="20"/>
          <w:szCs w:val="20"/>
          <w:color w:val="auto"/>
        </w:rPr>
      </w:pPr>
    </w:p>
    <w:p>
      <w:pPr>
        <w:ind w:right="180" w:firstLine="254"/>
        <w:spacing w:after="0" w:line="236" w:lineRule="auto"/>
        <w:rPr>
          <w:sz w:val="20"/>
          <w:szCs w:val="20"/>
          <w:color w:val="auto"/>
        </w:rPr>
      </w:pPr>
      <w:r>
        <w:rPr>
          <w:rFonts w:ascii="Arial" w:cs="Arial" w:eastAsia="Arial" w:hAnsi="Arial"/>
          <w:sz w:val="14"/>
          <w:szCs w:val="14"/>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 Judgment is required in determining the amounts of any such allowances.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 net</w:t>
      </w:r>
    </w:p>
    <w:p>
      <w:pPr>
        <w:spacing w:after="0" w:line="114" w:lineRule="exact"/>
        <w:rPr>
          <w:sz w:val="20"/>
          <w:szCs w:val="20"/>
          <w:color w:val="auto"/>
        </w:rPr>
      </w:pPr>
    </w:p>
    <w:p>
      <w:pPr>
        <w:ind w:right="100" w:firstLine="254"/>
        <w:spacing w:after="0" w:line="262" w:lineRule="auto"/>
        <w:rPr>
          <w:sz w:val="20"/>
          <w:szCs w:val="20"/>
          <w:color w:val="auto"/>
        </w:rPr>
      </w:pPr>
      <w:r>
        <w:rPr>
          <w:rFonts w:ascii="Arial" w:cs="Arial" w:eastAsia="Arial" w:hAnsi="Arial"/>
          <w:sz w:val="13"/>
          <w:szCs w:val="13"/>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and quality issues.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25" w:lineRule="exact"/>
        <w:rPr>
          <w:sz w:val="20"/>
          <w:szCs w:val="20"/>
          <w:color w:val="auto"/>
        </w:rPr>
      </w:pPr>
    </w:p>
    <w:p>
      <w:pPr>
        <w:ind w:right="40" w:firstLine="254"/>
        <w:spacing w:after="0" w:line="258" w:lineRule="auto"/>
        <w:rPr>
          <w:sz w:val="20"/>
          <w:szCs w:val="20"/>
          <w:color w:val="auto"/>
        </w:rPr>
      </w:pPr>
      <w:r>
        <w:rPr>
          <w:rFonts w:ascii="Arial" w:cs="Arial" w:eastAsia="Arial" w:hAnsi="Arial"/>
          <w:sz w:val="14"/>
          <w:szCs w:val="14"/>
          <w:color w:val="auto"/>
        </w:rPr>
        <w:t>We determine if an arrangement is a lease, or contains a lease, at inception. Operating leases are included in operating lease right-of-use (ROU) assets, net and current and non-current operating lease liabilities in our consolidated balance sheets. ROU assets represent our right-to-use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Significant judgment is required in determining the incremental collateralized borrowing rate. Lease expense for lease payments is recognized on a straight-line basis over the lease term.</w:t>
      </w:r>
    </w:p>
    <w:p>
      <w:pPr>
        <w:spacing w:after="0" w:line="84"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We elected the short-term lease recognition exemption for all leases that qualify. For those leases that qualify, we will not recognize ROU assets or lease liabilities for leases with an initial lease term of one year or less. We also elected not to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 Goodwill, Intangible Assets and Other Long-Lived Assets</w:t>
      </w:r>
    </w:p>
    <w:p>
      <w:pPr>
        <w:spacing w:after="0" w:line="125" w:lineRule="exact"/>
        <w:rPr>
          <w:sz w:val="20"/>
          <w:szCs w:val="20"/>
          <w:color w:val="auto"/>
        </w:rPr>
      </w:pPr>
    </w:p>
    <w:p>
      <w:pPr>
        <w:ind w:right="260" w:firstLine="254"/>
        <w:spacing w:after="0" w:line="288" w:lineRule="auto"/>
        <w:rPr>
          <w:sz w:val="20"/>
          <w:szCs w:val="20"/>
          <w:color w:val="auto"/>
        </w:rPr>
      </w:pPr>
      <w:r>
        <w:rPr>
          <w:rFonts w:ascii="Arial" w:cs="Arial" w:eastAsia="Arial" w:hAnsi="Arial"/>
          <w:sz w:val="13"/>
          <w:szCs w:val="13"/>
          <w:color w:val="auto"/>
        </w:rPr>
        <w:t>We have completed acquisitions of businesses in the past and may acquire additional businesses or technologies in the future. The results of businesses acquired in a business combination are included in our consolidated financial statements from the date of acquisition. We allocate the purchase price, which is the sum of the consideration provided in a business combination, to the identifiable assets and liabilities of the acquired business at their acquisition date fair values. Determining the fair value of assets acquired and liabilities assumed requires management to use significant judgment and estimates, including the selection of valuation methodologies and estimates of future revenue.</w:t>
      </w:r>
    </w:p>
    <w:p>
      <w:pPr>
        <w:spacing w:after="0" w:line="394"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955" w:right="339" w:bottom="1440" w:gutter="0" w:footer="0" w:header="0"/>
        </w:sectPr>
      </w:pPr>
    </w:p>
    <w:bookmarkStart w:id="60" w:name="page61"/>
    <w:bookmarkEnd w:id="60"/>
    <w:p>
      <w:pPr>
        <w:ind w:firstLine="254"/>
        <w:spacing w:after="0" w:line="266" w:lineRule="auto"/>
        <w:rPr>
          <w:sz w:val="20"/>
          <w:szCs w:val="20"/>
          <w:color w:val="auto"/>
        </w:rPr>
      </w:pPr>
      <w:r>
        <w:rPr>
          <w:rFonts w:ascii="Arial" w:cs="Arial" w:eastAsia="Arial" w:hAnsi="Arial"/>
          <w:sz w:val="14"/>
          <w:szCs w:val="14"/>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 Judgment is needed to assess the factors that could indicate an impairment of our intangible assets.</w:t>
      </w:r>
    </w:p>
    <w:p>
      <w:pPr>
        <w:spacing w:after="0" w:line="90" w:lineRule="exact"/>
        <w:rPr>
          <w:sz w:val="20"/>
          <w:szCs w:val="20"/>
          <w:color w:val="auto"/>
        </w:rPr>
      </w:pPr>
    </w:p>
    <w:p>
      <w:pPr>
        <w:ind w:right="40" w:firstLine="254"/>
        <w:spacing w:after="0" w:line="258" w:lineRule="auto"/>
        <w:rPr>
          <w:sz w:val="20"/>
          <w:szCs w:val="20"/>
          <w:color w:val="auto"/>
        </w:rPr>
      </w:pPr>
      <w:r>
        <w:rPr>
          <w:rFonts w:ascii="Arial" w:cs="Arial" w:eastAsia="Arial" w:hAnsi="Arial"/>
          <w:sz w:val="14"/>
          <w:szCs w:val="14"/>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economic downturns and other macroeconomic events, including the current COVID-19 pandemic,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95" w:lineRule="exact"/>
        <w:rPr>
          <w:sz w:val="20"/>
          <w:szCs w:val="20"/>
          <w:color w:val="auto"/>
        </w:rPr>
      </w:pPr>
    </w:p>
    <w:p>
      <w:pPr>
        <w:ind w:firstLine="254"/>
        <w:spacing w:after="0" w:line="259" w:lineRule="auto"/>
        <w:rPr>
          <w:sz w:val="20"/>
          <w:szCs w:val="20"/>
          <w:color w:val="auto"/>
        </w:rPr>
      </w:pPr>
      <w:r>
        <w:rPr>
          <w:rFonts w:ascii="Arial" w:cs="Arial" w:eastAsia="Arial" w:hAnsi="Arial"/>
          <w:sz w:val="14"/>
          <w:szCs w:val="14"/>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an impairment loss equal to the difference would be recorded to goodwill. We did not recognize any impairment of goodwill for any of the periods presented herein.</w:t>
      </w:r>
    </w:p>
    <w:p>
      <w:pPr>
        <w:spacing w:after="0" w:line="84" w:lineRule="exact"/>
        <w:rPr>
          <w:sz w:val="20"/>
          <w:szCs w:val="20"/>
          <w:color w:val="auto"/>
        </w:rPr>
      </w:pPr>
    </w:p>
    <w:p>
      <w:pPr>
        <w:ind w:right="60" w:firstLine="254"/>
        <w:spacing w:after="0" w:line="259" w:lineRule="auto"/>
        <w:rPr>
          <w:sz w:val="20"/>
          <w:szCs w:val="20"/>
          <w:color w:val="auto"/>
        </w:rPr>
      </w:pPr>
      <w:r>
        <w:rPr>
          <w:rFonts w:ascii="Arial" w:cs="Arial" w:eastAsia="Arial" w:hAnsi="Arial"/>
          <w:sz w:val="14"/>
          <w:szCs w:val="14"/>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intangibles for 2021 or 2020. In 2019, we recognized an impairment charge of $0.4 million on patents and licenses that were not used in the current products and were not expected to be used in future product offerings.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Grant Income</w:t>
      </w:r>
    </w:p>
    <w:p>
      <w:pPr>
        <w:spacing w:after="0" w:line="125"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In September 2020, we executed a definitive contract with the National Institutes of Health (NIH) for a project under the NIH Rapid Acceleration of Diagnostics (RADx) program. The definitive contract, which amended the letter contract we entered into with NIH in July 2020 (collectively the NIH Contract), has a total value of up to $34.0 million upon the achievement of certain milestones, which were achieved and accepted by the NIH as of December 31, 2021. Proceeds from the NIH Contract have been and will be used primarily to expand production capacity and throughput capabilities.</w:t>
      </w:r>
    </w:p>
    <w:p>
      <w:pPr>
        <w:spacing w:after="0" w:line="94"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Accounting for the NIH Contract does not fall under ASC 606, Revenue from Contracts with Customers, as the NIH will not benefit directly from our expansion or product development. As there is no authoritative guidance under U.S. GAAP on accounting for government assistance to for-profit business entities, we applied International Accounting Standards (IAS) 20, Accounting for Government Grants and Disclosure of Government Assistance, by analogy when accounting for the NIH Contract payments to Fluidigm.</w:t>
      </w:r>
    </w:p>
    <w:p>
      <w:pPr>
        <w:spacing w:after="0" w:line="79" w:lineRule="exact"/>
        <w:rPr>
          <w:sz w:val="20"/>
          <w:szCs w:val="20"/>
          <w:color w:val="auto"/>
        </w:rPr>
      </w:pPr>
    </w:p>
    <w:p>
      <w:pPr>
        <w:ind w:right="40" w:firstLine="254"/>
        <w:spacing w:after="0" w:line="288" w:lineRule="auto"/>
        <w:rPr>
          <w:sz w:val="20"/>
          <w:szCs w:val="20"/>
          <w:color w:val="auto"/>
        </w:rPr>
      </w:pPr>
      <w:r>
        <w:rPr>
          <w:rFonts w:ascii="Arial" w:cs="Arial" w:eastAsia="Arial" w:hAnsi="Arial"/>
          <w:sz w:val="13"/>
          <w:szCs w:val="13"/>
          <w:color w:val="auto"/>
        </w:rPr>
        <w:t>The NIH Contract proceeds used for production capacity expansion meet the definition of grants related to assets as the primary purpose for the payments is to fund the purchase and construction of capital assets to scale up production capacity. Under IAS 20, government grants related to assets are presented in the statement of financial position either by setting up the grant as deferred income or by deducting the grant in arriving at the carrying amount of the asset. Either of these two methods of presentation of grants related to assets in financial statements are regarded as acceptable alternatives under IAS 20. We have elected to record the grants received as deferred income using the first method.</w:t>
      </w:r>
    </w:p>
    <w:p>
      <w:pPr>
        <w:spacing w:after="0" w:line="151" w:lineRule="exact"/>
        <w:rPr>
          <w:sz w:val="20"/>
          <w:szCs w:val="20"/>
          <w:color w:val="auto"/>
        </w:rPr>
      </w:pPr>
    </w:p>
    <w:p>
      <w:pPr>
        <w:ind w:right="60" w:firstLine="254"/>
        <w:spacing w:after="0" w:line="288" w:lineRule="auto"/>
        <w:rPr>
          <w:sz w:val="20"/>
          <w:szCs w:val="20"/>
          <w:color w:val="auto"/>
        </w:rPr>
      </w:pPr>
      <w:r>
        <w:rPr>
          <w:rFonts w:ascii="Arial" w:cs="Arial" w:eastAsia="Arial" w:hAnsi="Arial"/>
          <w:sz w:val="13"/>
          <w:szCs w:val="13"/>
          <w:color w:val="auto"/>
        </w:rPr>
        <w:t>Under IAS 20, grant proceeds are recognized when there is reasonable assurance the conditions of the grant will be met and the grant will be received. With the NIH Contract, this occurred when either each milestone was accepted by NIH or management concluded the conditions of the grant were substantially met. Deferred grant income related to production capacity expansion is being amortized over the period of depreciation for the related assets as a reduction of depreciation expense. Grant income related to reimbursement of operating costs is recorded as a reduction of those expenses incurred to date. Grant proceeds that exceed the cost of the capital expenditures and expenses expected to be incurred are recorded in other non-operating income.</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i w:val="1"/>
          <w:iCs w:val="1"/>
          <w:color w:val="auto"/>
        </w:rPr>
        <w:t>Term Loan, net</w:t>
      </w:r>
    </w:p>
    <w:p>
      <w:pPr>
        <w:spacing w:after="0" w:line="114" w:lineRule="exact"/>
        <w:rPr>
          <w:sz w:val="20"/>
          <w:szCs w:val="20"/>
          <w:color w:val="auto"/>
        </w:rPr>
      </w:pPr>
    </w:p>
    <w:p>
      <w:pPr>
        <w:ind w:right="40" w:firstLine="254"/>
        <w:spacing w:after="0" w:line="280" w:lineRule="auto"/>
        <w:rPr>
          <w:sz w:val="20"/>
          <w:szCs w:val="20"/>
          <w:color w:val="auto"/>
        </w:rPr>
      </w:pPr>
      <w:r>
        <w:rPr>
          <w:rFonts w:ascii="Arial" w:cs="Arial" w:eastAsia="Arial" w:hAnsi="Arial"/>
          <w:sz w:val="13"/>
          <w:szCs w:val="13"/>
          <w:color w:val="auto"/>
        </w:rPr>
        <w:t>On August 2, 2021, we entered into a Fourth Agreement to our Loan and Security Agreement (the Amendment) with Silicon Valley Bank. The Amendment extended the maturity date of our $15.0 million Revolving Credit Facility by one year, to August 2, 2023, and provided for a term loan facility in an aggregate principal amount up to $10.0 million (Term Loan Facility). As of December 31, 2021, the Term Loan Facility was fully drawn. Interest is payable monthly and principal balances are required to be repaid in 24 equal monthly installments beginning on August 1, 2023. In addition, a final payment equal to 6.5% of the original principal amount of each advance is due on the earlier of the maturity date or the date the advance is repaid. The final payment is being accreted to the carrying value of the term loan through the expected maturity of July 1, 2025 using the effective interest method. Debt issuance costs were recorded as an offset to the carrying value of the loan and are amortized over the expected term using the effective interest method. The carrying value of the term loan includes the outstanding principal amount and the cumulative accreted final payment, less unamortized debt issuance costs. Amortization of the debt issuance costs and accretion of the final payment are reflected in interest expense.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Notes, net</w:t>
      </w:r>
    </w:p>
    <w:p>
      <w:pPr>
        <w:spacing w:after="0" w:line="125" w:lineRule="exact"/>
        <w:rPr>
          <w:sz w:val="20"/>
          <w:szCs w:val="20"/>
          <w:color w:val="auto"/>
        </w:rPr>
      </w:pPr>
    </w:p>
    <w:p>
      <w:pPr>
        <w:ind w:right="160" w:firstLine="254"/>
        <w:spacing w:after="0" w:line="259" w:lineRule="auto"/>
        <w:rPr>
          <w:sz w:val="20"/>
          <w:szCs w:val="20"/>
          <w:color w:val="auto"/>
        </w:rPr>
      </w:pPr>
      <w:r>
        <w:rPr>
          <w:rFonts w:ascii="Arial" w:cs="Arial" w:eastAsia="Arial" w:hAnsi="Arial"/>
          <w:sz w:val="14"/>
          <w:szCs w:val="14"/>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2.75% Exchange Convertible Senior Notes due 2034 (2018 Notes). In the first quarter of 2019, the 2018 Notes were converted into 19.5 million shares of our common stock and the 2018 Notes were retired. We recorded a loss of $9.0 million on the retirement of the 2018 Notes at conversion in the first quarter of 2019. We determined the fair value of the 2018 Notes using valuation techniques that required us to make assumptions related to the implied discount rate.</w:t>
      </w:r>
    </w:p>
    <w:p>
      <w:pPr>
        <w:spacing w:after="0" w:line="95" w:lineRule="exact"/>
        <w:rPr>
          <w:sz w:val="20"/>
          <w:szCs w:val="20"/>
          <w:color w:val="auto"/>
        </w:rPr>
      </w:pPr>
    </w:p>
    <w:p>
      <w:pPr>
        <w:ind w:right="180" w:firstLine="254"/>
        <w:spacing w:after="0" w:line="261" w:lineRule="auto"/>
        <w:rPr>
          <w:sz w:val="20"/>
          <w:szCs w:val="20"/>
          <w:color w:val="auto"/>
        </w:rPr>
      </w:pPr>
      <w:r>
        <w:rPr>
          <w:rFonts w:ascii="Arial" w:cs="Arial" w:eastAsia="Arial" w:hAnsi="Arial"/>
          <w:sz w:val="14"/>
          <w:szCs w:val="14"/>
          <w:color w:val="auto"/>
        </w:rPr>
        <w:t>In November 2019, we closed a private placement for $55.0 million aggregate principal amount of our 5.25% Senior Convertible Notes due 2024 (2019 Notes). The majority of the issuance proceeds were used to retire approximately $50.2 million of aggregate principal amount of our 2014 Notes. We recorded a loss of $3.0 million on the extinguishment of the 2014 Notes in the fourth quarter of 2019. This amount represented the difference between the fair value of the 2019 Notes used to extinguish the debt and the carrying value of the 2014 Notes, including unamortized debt issuance costs.</w:t>
      </w:r>
    </w:p>
    <w:p>
      <w:pPr>
        <w:spacing w:after="0" w:line="83"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As provided by the indenture governing the 2014 Notes, in February 2021, holders of $0.5 million of the 2014 Notes required us to repurchase their notes at 100% of the principal amount plus accrued and unpaid interest. We recorded a loss of $9 thousand on the extinguishment of those notes, representing the difference between the price paid to extinguish the 2014 Notes and their carrying value, including unamortized debt issuance costs.</w:t>
      </w:r>
    </w:p>
    <w:p>
      <w:pPr>
        <w:spacing w:after="0" w:line="90" w:lineRule="exact"/>
        <w:rPr>
          <w:sz w:val="20"/>
          <w:szCs w:val="20"/>
          <w:color w:val="auto"/>
        </w:rPr>
      </w:pPr>
    </w:p>
    <w:p>
      <w:pPr>
        <w:ind w:firstLine="254"/>
        <w:spacing w:after="0" w:line="280" w:lineRule="auto"/>
        <w:rPr>
          <w:sz w:val="20"/>
          <w:szCs w:val="20"/>
          <w:color w:val="auto"/>
        </w:rPr>
      </w:pPr>
      <w:r>
        <w:rPr>
          <w:rFonts w:ascii="Arial" w:cs="Arial" w:eastAsia="Arial" w:hAnsi="Arial"/>
          <w:sz w:val="14"/>
          <w:szCs w:val="14"/>
          <w:color w:val="auto"/>
        </w:rPr>
        <w:t>Offering-related costs, including underwriting costs, on the 2014 Notes and 2019 Notes were capitalized as debt issuance costs, recorded as an offset to the carrying value of the related Notes, and are amortized over the expected term of the related Notes using the effective interest method.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14"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Our board of directors sets the terms, conditions, and restrictions related to our Employee Stock Purchase Plan (ESPP) and the grant of stock options, restricted share units (RSUs) and performance-based awards (PSUs) under our various stock-based plans. Our board of directors determines the number of awards to grant and sets the vesting criteria. For PSUs,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94" w:lineRule="exact"/>
        <w:rPr>
          <w:sz w:val="20"/>
          <w:szCs w:val="20"/>
          <w:color w:val="auto"/>
        </w:rPr>
      </w:pPr>
    </w:p>
    <w:p>
      <w:pPr>
        <w:ind w:right="140" w:firstLine="254"/>
        <w:spacing w:after="0" w:line="284" w:lineRule="auto"/>
        <w:rPr>
          <w:sz w:val="20"/>
          <w:szCs w:val="20"/>
          <w:color w:val="auto"/>
        </w:rPr>
      </w:pPr>
      <w:r>
        <w:rPr>
          <w:rFonts w:ascii="Arial" w:cs="Arial" w:eastAsia="Arial" w:hAnsi="Arial"/>
          <w:sz w:val="13"/>
          <w:szCs w:val="13"/>
          <w:color w:val="auto"/>
        </w:rPr>
        <w:t>We recognize compensation costs for all stock-based awards, including stock options, RSUs, PSUs and stock purchased under our ESPP, based on the grant date fair value of the award. We recognize stock-based compensation expense on a straight-line basis over the requisite service periods for non-performance-based awards. For RSUs, fair value is measured based on the closing fair market value of our common stock on the date of grant. For PSUs with a market condition, we use a Monte Carlo simulation pricing model to incorporate the market condition effects at our grant date. The Monte Carlo pricing model requires inputs which are subjective and generally requires judgment by us. For PSUs with performance conditions, stock-based compensation expense is recognized over the requisite service period when the achievement of each individual performance goal becomes probable.</w:t>
      </w:r>
    </w:p>
    <w:p>
      <w:pPr>
        <w:spacing w:after="0" w:line="79" w:lineRule="exact"/>
        <w:rPr>
          <w:sz w:val="20"/>
          <w:szCs w:val="20"/>
          <w:color w:val="auto"/>
        </w:rPr>
      </w:pPr>
    </w:p>
    <w:p>
      <w:pPr>
        <w:ind w:right="140" w:firstLine="254"/>
        <w:spacing w:after="0" w:line="261" w:lineRule="auto"/>
        <w:rPr>
          <w:sz w:val="20"/>
          <w:szCs w:val="20"/>
          <w:color w:val="auto"/>
        </w:rPr>
      </w:pPr>
      <w:r>
        <w:rPr>
          <w:rFonts w:ascii="Arial" w:cs="Arial" w:eastAsia="Arial" w:hAnsi="Arial"/>
          <w:sz w:val="14"/>
          <w:szCs w:val="14"/>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 value of our common stock. These assumptions generally require judgment. We determine the expected volatility based on our historical stock price volatility generally commensurate with the estimated expected term of the stock awards. The expected term of an award is based on historical forfeiture experience, exercise activity, and the terms and</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sectPr>
      </w:pPr>
    </w:p>
    <w:bookmarkStart w:id="62" w:name="page63"/>
    <w:bookmarkEnd w:id="62"/>
    <w:p>
      <w:pPr>
        <w:ind w:right="140"/>
        <w:spacing w:after="0" w:line="280" w:lineRule="auto"/>
        <w:rPr>
          <w:sz w:val="20"/>
          <w:szCs w:val="20"/>
          <w:color w:val="auto"/>
        </w:rPr>
      </w:pPr>
      <w:r>
        <w:rPr>
          <w:rFonts w:ascii="Arial" w:cs="Arial" w:eastAsia="Arial" w:hAnsi="Arial"/>
          <w:sz w:val="14"/>
          <w:szCs w:val="14"/>
          <w:color w:val="auto"/>
        </w:rPr>
        <w:t>conditions of the stock awards. The risk-free interest rate is based on the U.S. Treasury yield in effect at the time of grant for zero coupon U.S. Treasury notes with maturities approximately equal to each grant’s expected term. We account for forfeitures as they occur.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5"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83"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Changes and Accounting Pronouncements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Adoption of New Accounting Guidanc</w:t>
      </w:r>
      <w:r>
        <w:rPr>
          <w:rFonts w:ascii="Arial" w:cs="Arial" w:eastAsia="Arial" w:hAnsi="Arial"/>
          <w:sz w:val="14"/>
          <w:szCs w:val="14"/>
          <w:i w:val="1"/>
          <w:iCs w:val="1"/>
          <w:color w:val="auto"/>
        </w:rPr>
        <w:t>e</w:t>
      </w:r>
    </w:p>
    <w:p>
      <w:pPr>
        <w:spacing w:after="0" w:line="114" w:lineRule="exact"/>
        <w:rPr>
          <w:sz w:val="20"/>
          <w:szCs w:val="20"/>
          <w:color w:val="auto"/>
        </w:rPr>
      </w:pPr>
    </w:p>
    <w:p>
      <w:pPr>
        <w:ind w:right="60" w:firstLine="254"/>
        <w:spacing w:after="0" w:line="259" w:lineRule="auto"/>
        <w:rPr>
          <w:sz w:val="20"/>
          <w:szCs w:val="20"/>
          <w:color w:val="auto"/>
        </w:rPr>
      </w:pPr>
      <w:r>
        <w:rPr>
          <w:rFonts w:ascii="Arial" w:cs="Arial" w:eastAsia="Arial" w:hAnsi="Arial"/>
          <w:sz w:val="14"/>
          <w:szCs w:val="14"/>
          <w:color w:val="auto"/>
        </w:rPr>
        <w:t>In November 2019, the FASB issued ASU 2019-12-Income Taxes (Topic 740): Simplifying the Accounting for Income Taxes. The amendments in this update improve consistent application of and simplify U.S.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The adoption of the new guidance did not have a significant impact on our financial results.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14" w:lineRule="exact"/>
        <w:rPr>
          <w:sz w:val="20"/>
          <w:szCs w:val="20"/>
          <w:color w:val="auto"/>
        </w:rPr>
      </w:pPr>
    </w:p>
    <w:p>
      <w:pPr>
        <w:ind w:right="60" w:firstLine="254"/>
        <w:spacing w:after="0" w:line="282" w:lineRule="auto"/>
        <w:rPr>
          <w:sz w:val="20"/>
          <w:szCs w:val="20"/>
          <w:color w:val="auto"/>
        </w:rPr>
      </w:pPr>
      <w:r>
        <w:rPr>
          <w:rFonts w:ascii="Arial" w:cs="Arial" w:eastAsia="Arial" w:hAnsi="Arial"/>
          <w:sz w:val="12"/>
          <w:szCs w:val="12"/>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amendments in this update reduce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The adoption of the new guidance is not expected to have a significant impact on our financial results.</w:t>
      </w:r>
    </w:p>
    <w:p>
      <w:pPr>
        <w:spacing w:after="0" w:line="72" w:lineRule="exact"/>
        <w:rPr>
          <w:sz w:val="20"/>
          <w:szCs w:val="20"/>
          <w:color w:val="auto"/>
        </w:rPr>
      </w:pPr>
    </w:p>
    <w:p>
      <w:pPr>
        <w:ind w:right="60" w:firstLine="254"/>
        <w:spacing w:after="0" w:line="242" w:lineRule="auto"/>
        <w:rPr>
          <w:sz w:val="20"/>
          <w:szCs w:val="20"/>
          <w:color w:val="auto"/>
        </w:rPr>
      </w:pPr>
      <w:r>
        <w:rPr>
          <w:rFonts w:ascii="Arial" w:cs="Arial" w:eastAsia="Arial" w:hAnsi="Arial"/>
          <w:sz w:val="14"/>
          <w:szCs w:val="14"/>
          <w:color w:val="auto"/>
        </w:rPr>
        <w:t>In November 2021, the FASB issued ASU 2021-10-Government Assistance (Topic 832): Disclosures by Business Entities about Government Assistance. The amendment is effective for annual periods beginning after December 15, 2021. The amendment establishes financial disclosure requirements for business entities that receive government assistance that they account for by analogizing to a grant or contribution model because there is no specific authoritative guidance under U.S. GAAP that applies to the transaction. Entities that receive this type of assistance should include the following information in their annual report: (1) the nature of the transaction, (2) the significant terms and conditions, (3) the accounting treatment, (4) the line items on the balance sheet and income statement that are affected along with (5) the respective amounts that have been recorded. We are currently evaluating the impact the new standard will have on the disclosures included in our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right="580" w:firstLine="254"/>
        <w:spacing w:after="0" w:line="271" w:lineRule="auto"/>
        <w:rPr>
          <w:sz w:val="20"/>
          <w:szCs w:val="20"/>
          <w:color w:val="auto"/>
        </w:rPr>
      </w:pPr>
      <w:r>
        <w:rPr>
          <w:rFonts w:ascii="Arial" w:cs="Arial" w:eastAsia="Arial" w:hAnsi="Arial"/>
          <w:sz w:val="14"/>
          <w:szCs w:val="14"/>
          <w:color w:val="auto"/>
        </w:rPr>
        <w:t>The following table presents our historical consolidated statements of operations data for the years ended December 31, 2021, 2020, and 2019, and as a percentage of total revenue for the respective years (in thousands):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51"/>
        </w:trPr>
        <w:tc>
          <w:tcPr>
            <w:tcW w:w="32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1"/>
                <w:szCs w:val="11"/>
                <w:b w:val="1"/>
                <w:bCs w:val="1"/>
                <w:color w:val="auto"/>
              </w:rPr>
              <w:t>2021</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769"/>
              <w:spacing w:after="0"/>
              <w:rPr>
                <w:sz w:val="20"/>
                <w:szCs w:val="20"/>
                <w:color w:val="auto"/>
              </w:rPr>
            </w:pPr>
            <w:r>
              <w:rPr>
                <w:rFonts w:ascii="Arial" w:cs="Arial" w:eastAsia="Arial" w:hAnsi="Arial"/>
                <w:sz w:val="11"/>
                <w:szCs w:val="11"/>
                <w:b w:val="1"/>
                <w:bCs w:val="1"/>
                <w:color w:val="auto"/>
              </w:rPr>
              <w:t>2019</w:t>
            </w:r>
          </w:p>
        </w:tc>
      </w:tr>
      <w:tr>
        <w:trPr>
          <w:trHeight w:val="161"/>
        </w:trPr>
        <w:tc>
          <w:tcPr>
            <w:tcW w:w="3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w:t>
            </w: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3220" w:type="dxa"/>
            <w:vAlign w:val="bottom"/>
          </w:tcPr>
          <w:p>
            <w:pPr>
              <w:ind w:left="340"/>
              <w:spacing w:after="0"/>
              <w:rPr>
                <w:sz w:val="20"/>
                <w:szCs w:val="20"/>
                <w:color w:val="auto"/>
              </w:rPr>
            </w:pPr>
            <w:r>
              <w:rPr>
                <w:rFonts w:ascii="Arial" w:cs="Arial" w:eastAsia="Arial" w:hAnsi="Arial"/>
                <w:sz w:val="14"/>
                <w:szCs w:val="14"/>
                <w:color w:val="auto"/>
              </w:rPr>
              <w:t>Total revenue</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130,581</w:t>
            </w:r>
          </w:p>
        </w:tc>
        <w:tc>
          <w:tcPr>
            <w:tcW w:w="1060" w:type="dxa"/>
            <w:vAlign w:val="bottom"/>
            <w:gridSpan w:val="2"/>
          </w:tcPr>
          <w:p>
            <w:pPr>
              <w:jc w:val="right"/>
              <w:ind w:right="129"/>
              <w:spacing w:after="0"/>
              <w:rPr>
                <w:sz w:val="20"/>
                <w:szCs w:val="20"/>
                <w:color w:val="auto"/>
              </w:rPr>
            </w:pPr>
            <w:r>
              <w:rPr>
                <w:rFonts w:ascii="Arial" w:cs="Arial" w:eastAsia="Arial" w:hAnsi="Arial"/>
                <w:sz w:val="14"/>
                <w:szCs w:val="14"/>
                <w:color w:val="auto"/>
              </w:rPr>
              <w:t>100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138,144</w:t>
            </w:r>
          </w:p>
        </w:tc>
        <w:tc>
          <w:tcPr>
            <w:tcW w:w="1060" w:type="dxa"/>
            <w:vAlign w:val="bottom"/>
            <w:gridSpan w:val="2"/>
          </w:tcPr>
          <w:p>
            <w:pPr>
              <w:jc w:val="right"/>
              <w:ind w:right="129"/>
              <w:spacing w:after="0"/>
              <w:rPr>
                <w:sz w:val="20"/>
                <w:szCs w:val="20"/>
                <w:color w:val="auto"/>
              </w:rPr>
            </w:pPr>
            <w:r>
              <w:rPr>
                <w:rFonts w:ascii="Arial" w:cs="Arial" w:eastAsia="Arial" w:hAnsi="Arial"/>
                <w:sz w:val="14"/>
                <w:szCs w:val="14"/>
                <w:color w:val="auto"/>
              </w:rPr>
              <w:t>100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117,243</w:t>
            </w:r>
          </w:p>
        </w:tc>
        <w:tc>
          <w:tcPr>
            <w:tcW w:w="1160" w:type="dxa"/>
            <w:vAlign w:val="bottom"/>
            <w:gridSpan w:val="2"/>
          </w:tcPr>
          <w:p>
            <w:pPr>
              <w:jc w:val="right"/>
              <w:ind w:right="229"/>
              <w:spacing w:after="0"/>
              <w:rPr>
                <w:sz w:val="20"/>
                <w:szCs w:val="20"/>
                <w:color w:val="auto"/>
              </w:rPr>
            </w:pPr>
            <w:r>
              <w:rPr>
                <w:rFonts w:ascii="Arial" w:cs="Arial" w:eastAsia="Arial" w:hAnsi="Arial"/>
                <w:sz w:val="14"/>
                <w:szCs w:val="14"/>
                <w:color w:val="auto"/>
              </w:rPr>
              <w:t>100</w:t>
            </w:r>
          </w:p>
        </w:tc>
      </w:tr>
      <w:tr>
        <w:trPr>
          <w:trHeight w:val="180"/>
        </w:trPr>
        <w:tc>
          <w:tcPr>
            <w:tcW w:w="3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and expenses:</w:t>
            </w: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220" w:type="dxa"/>
            <w:vAlign w:val="bottom"/>
          </w:tcPr>
          <w:p>
            <w:pPr>
              <w:ind w:left="500"/>
              <w:spacing w:after="0"/>
              <w:rPr>
                <w:sz w:val="20"/>
                <w:szCs w:val="20"/>
                <w:color w:val="auto"/>
              </w:rPr>
            </w:pPr>
            <w:r>
              <w:rPr>
                <w:rFonts w:ascii="Arial" w:cs="Arial" w:eastAsia="Arial" w:hAnsi="Arial"/>
                <w:sz w:val="14"/>
                <w:szCs w:val="14"/>
                <w:color w:val="auto"/>
              </w:rPr>
              <w:t>Cost of product revenue</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53,315</w:t>
            </w:r>
          </w:p>
        </w:tc>
        <w:tc>
          <w:tcPr>
            <w:tcW w:w="1060" w:type="dxa"/>
            <w:vAlign w:val="bottom"/>
            <w:gridSpan w:val="2"/>
          </w:tcPr>
          <w:p>
            <w:pPr>
              <w:jc w:val="right"/>
              <w:ind w:right="129"/>
              <w:spacing w:after="0"/>
              <w:rPr>
                <w:sz w:val="20"/>
                <w:szCs w:val="20"/>
                <w:color w:val="auto"/>
              </w:rPr>
            </w:pPr>
            <w:r>
              <w:rPr>
                <w:rFonts w:ascii="Arial" w:cs="Arial" w:eastAsia="Arial" w:hAnsi="Arial"/>
                <w:sz w:val="14"/>
                <w:szCs w:val="14"/>
                <w:color w:val="auto"/>
              </w:rPr>
              <w:t>41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47,527</w:t>
            </w:r>
          </w:p>
        </w:tc>
        <w:tc>
          <w:tcPr>
            <w:tcW w:w="1060" w:type="dxa"/>
            <w:vAlign w:val="bottom"/>
            <w:gridSpan w:val="2"/>
          </w:tcPr>
          <w:p>
            <w:pPr>
              <w:jc w:val="right"/>
              <w:ind w:right="129"/>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45,461</w:t>
            </w:r>
          </w:p>
        </w:tc>
        <w:tc>
          <w:tcPr>
            <w:tcW w:w="1160" w:type="dxa"/>
            <w:vAlign w:val="bottom"/>
            <w:gridSpan w:val="2"/>
          </w:tcPr>
          <w:p>
            <w:pPr>
              <w:jc w:val="right"/>
              <w:ind w:right="229"/>
              <w:spacing w:after="0"/>
              <w:rPr>
                <w:sz w:val="20"/>
                <w:szCs w:val="20"/>
                <w:color w:val="auto"/>
              </w:rPr>
            </w:pPr>
            <w:r>
              <w:rPr>
                <w:rFonts w:ascii="Arial" w:cs="Arial" w:eastAsia="Arial" w:hAnsi="Arial"/>
                <w:sz w:val="14"/>
                <w:szCs w:val="14"/>
                <w:color w:val="auto"/>
              </w:rPr>
              <w:t>39</w:t>
            </w:r>
          </w:p>
        </w:tc>
      </w:tr>
      <w:tr>
        <w:trPr>
          <w:trHeight w:val="180"/>
        </w:trPr>
        <w:tc>
          <w:tcPr>
            <w:tcW w:w="32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Cost of service revenue</w:t>
            </w: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7,893</w:t>
            </w:r>
          </w:p>
        </w:tc>
        <w:tc>
          <w:tcPr>
            <w:tcW w:w="10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10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w:t>
            </w:r>
          </w:p>
        </w:tc>
        <w:tc>
          <w:tcPr>
            <w:tcW w:w="116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6</w:t>
            </w:r>
          </w:p>
        </w:tc>
      </w:tr>
      <w:tr>
        <w:trPr>
          <w:trHeight w:val="180"/>
        </w:trPr>
        <w:tc>
          <w:tcPr>
            <w:tcW w:w="3220" w:type="dxa"/>
            <w:vAlign w:val="bottom"/>
          </w:tcPr>
          <w:p>
            <w:pPr>
              <w:ind w:left="500"/>
              <w:spacing w:after="0"/>
              <w:rPr>
                <w:sz w:val="20"/>
                <w:szCs w:val="20"/>
                <w:color w:val="auto"/>
              </w:rPr>
            </w:pPr>
            <w:r>
              <w:rPr>
                <w:rFonts w:ascii="Arial" w:cs="Arial" w:eastAsia="Arial" w:hAnsi="Arial"/>
                <w:sz w:val="14"/>
                <w:szCs w:val="14"/>
                <w:color w:val="auto"/>
              </w:rPr>
              <w:t>Research and development</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37,944</w:t>
            </w:r>
          </w:p>
        </w:tc>
        <w:tc>
          <w:tcPr>
            <w:tcW w:w="1060" w:type="dxa"/>
            <w:vAlign w:val="bottom"/>
            <w:gridSpan w:val="2"/>
          </w:tcPr>
          <w:p>
            <w:pPr>
              <w:jc w:val="right"/>
              <w:ind w:right="129"/>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36,461</w:t>
            </w:r>
          </w:p>
        </w:tc>
        <w:tc>
          <w:tcPr>
            <w:tcW w:w="1060" w:type="dxa"/>
            <w:vAlign w:val="bottom"/>
            <w:gridSpan w:val="2"/>
          </w:tcPr>
          <w:p>
            <w:pPr>
              <w:jc w:val="right"/>
              <w:ind w:right="129"/>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31,640</w:t>
            </w:r>
          </w:p>
        </w:tc>
        <w:tc>
          <w:tcPr>
            <w:tcW w:w="1160" w:type="dxa"/>
            <w:vAlign w:val="bottom"/>
            <w:gridSpan w:val="2"/>
          </w:tcPr>
          <w:p>
            <w:pPr>
              <w:jc w:val="right"/>
              <w:ind w:right="229"/>
              <w:spacing w:after="0"/>
              <w:rPr>
                <w:sz w:val="20"/>
                <w:szCs w:val="20"/>
                <w:color w:val="auto"/>
              </w:rPr>
            </w:pPr>
            <w:r>
              <w:rPr>
                <w:rFonts w:ascii="Arial" w:cs="Arial" w:eastAsia="Arial" w:hAnsi="Arial"/>
                <w:sz w:val="14"/>
                <w:szCs w:val="14"/>
                <w:color w:val="auto"/>
              </w:rPr>
              <w:t>27</w:t>
            </w:r>
          </w:p>
        </w:tc>
      </w:tr>
      <w:tr>
        <w:trPr>
          <w:trHeight w:val="180"/>
        </w:trPr>
        <w:tc>
          <w:tcPr>
            <w:tcW w:w="32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Selling, general and administrative</w:t>
            </w: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98,888</w:t>
            </w:r>
          </w:p>
        </w:tc>
        <w:tc>
          <w:tcPr>
            <w:tcW w:w="10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76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97,901</w:t>
            </w:r>
          </w:p>
        </w:tc>
        <w:tc>
          <w:tcPr>
            <w:tcW w:w="10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71</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84,478</w:t>
            </w:r>
          </w:p>
        </w:tc>
        <w:tc>
          <w:tcPr>
            <w:tcW w:w="116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72</w:t>
            </w:r>
          </w:p>
        </w:tc>
      </w:tr>
      <w:tr>
        <w:trPr>
          <w:trHeight w:val="170"/>
        </w:trPr>
        <w:tc>
          <w:tcPr>
            <w:tcW w:w="32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5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198,040</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152</w:t>
            </w:r>
          </w:p>
        </w:tc>
        <w:tc>
          <w:tcPr>
            <w:tcW w:w="2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189,180</w:t>
            </w:r>
          </w:p>
        </w:tc>
        <w:tc>
          <w:tcPr>
            <w:tcW w:w="8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136</w:t>
            </w:r>
          </w:p>
        </w:tc>
        <w:tc>
          <w:tcPr>
            <w:tcW w:w="2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169,082</w:t>
            </w:r>
          </w:p>
        </w:tc>
        <w:tc>
          <w:tcPr>
            <w:tcW w:w="8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rPr>
              <w:t>144</w:t>
            </w:r>
          </w:p>
        </w:tc>
      </w:tr>
      <w:tr>
        <w:trPr>
          <w:trHeight w:val="171"/>
        </w:trPr>
        <w:tc>
          <w:tcPr>
            <w:tcW w:w="3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from operations</w:t>
            </w: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(67,459)</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(52)</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(51,036)</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(36)</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(51,839)</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(44)</w:t>
            </w:r>
          </w:p>
        </w:tc>
      </w:tr>
      <w:tr>
        <w:trPr>
          <w:trHeight w:val="180"/>
        </w:trPr>
        <w:tc>
          <w:tcPr>
            <w:tcW w:w="322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(3,823)</w:t>
            </w:r>
          </w:p>
        </w:tc>
        <w:tc>
          <w:tcPr>
            <w:tcW w:w="1060" w:type="dxa"/>
            <w:vAlign w:val="bottom"/>
            <w:gridSpan w:val="2"/>
          </w:tcPr>
          <w:p>
            <w:pPr>
              <w:jc w:val="right"/>
              <w:ind w:right="89"/>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(3,572)</w:t>
            </w:r>
          </w:p>
        </w:tc>
        <w:tc>
          <w:tcPr>
            <w:tcW w:w="1060" w:type="dxa"/>
            <w:vAlign w:val="bottom"/>
            <w:gridSpan w:val="2"/>
          </w:tcPr>
          <w:p>
            <w:pPr>
              <w:jc w:val="right"/>
              <w:ind w:right="89"/>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(4,279)</w:t>
            </w:r>
          </w:p>
        </w:tc>
        <w:tc>
          <w:tcPr>
            <w:tcW w:w="1160" w:type="dxa"/>
            <w:vAlign w:val="bottom"/>
            <w:gridSpan w:val="2"/>
          </w:tcPr>
          <w:p>
            <w:pPr>
              <w:jc w:val="right"/>
              <w:ind w:right="189"/>
              <w:spacing w:after="0"/>
              <w:rPr>
                <w:sz w:val="20"/>
                <w:szCs w:val="20"/>
                <w:color w:val="auto"/>
              </w:rPr>
            </w:pPr>
            <w:r>
              <w:rPr>
                <w:rFonts w:ascii="Arial" w:cs="Arial" w:eastAsia="Arial" w:hAnsi="Arial"/>
                <w:sz w:val="14"/>
                <w:szCs w:val="14"/>
                <w:color w:val="auto"/>
              </w:rPr>
              <w:t>(4)</w:t>
            </w:r>
          </w:p>
        </w:tc>
      </w:tr>
      <w:tr>
        <w:trPr>
          <w:trHeight w:val="180"/>
        </w:trPr>
        <w:tc>
          <w:tcPr>
            <w:tcW w:w="3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Surplus funding from NIH Contract</w:t>
            </w: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c>
          <w:tcPr>
            <w:tcW w:w="10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r>
      <w:tr>
        <w:trPr>
          <w:trHeight w:val="180"/>
        </w:trPr>
        <w:tc>
          <w:tcPr>
            <w:tcW w:w="3220" w:type="dxa"/>
            <w:vAlign w:val="bottom"/>
          </w:tcPr>
          <w:p>
            <w:pPr>
              <w:ind w:left="340"/>
              <w:spacing w:after="0"/>
              <w:rPr>
                <w:sz w:val="20"/>
                <w:szCs w:val="20"/>
                <w:color w:val="auto"/>
              </w:rPr>
            </w:pPr>
            <w:r>
              <w:rPr>
                <w:rFonts w:ascii="Arial" w:cs="Arial" w:eastAsia="Arial" w:hAnsi="Arial"/>
                <w:sz w:val="14"/>
                <w:szCs w:val="14"/>
                <w:color w:val="auto"/>
              </w:rPr>
              <w:t>Loss from extinguishment of debt</w:t>
            </w: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(12,020)</w:t>
            </w:r>
          </w:p>
        </w:tc>
        <w:tc>
          <w:tcPr>
            <w:tcW w:w="1160" w:type="dxa"/>
            <w:vAlign w:val="bottom"/>
            <w:gridSpan w:val="2"/>
          </w:tcPr>
          <w:p>
            <w:pPr>
              <w:jc w:val="right"/>
              <w:ind w:right="189"/>
              <w:spacing w:after="0"/>
              <w:rPr>
                <w:sz w:val="20"/>
                <w:szCs w:val="20"/>
                <w:color w:val="auto"/>
              </w:rPr>
            </w:pPr>
            <w:r>
              <w:rPr>
                <w:rFonts w:ascii="Arial" w:cs="Arial" w:eastAsia="Arial" w:hAnsi="Arial"/>
                <w:sz w:val="14"/>
                <w:szCs w:val="14"/>
                <w:color w:val="auto"/>
              </w:rPr>
              <w:t>(10)</w:t>
            </w:r>
          </w:p>
        </w:tc>
      </w:tr>
      <w:tr>
        <w:trPr>
          <w:trHeight w:val="180"/>
        </w:trPr>
        <w:tc>
          <w:tcPr>
            <w:tcW w:w="3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income, net</w:t>
            </w: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16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1</w:t>
            </w:r>
          </w:p>
        </w:tc>
      </w:tr>
      <w:tr>
        <w:trPr>
          <w:trHeight w:val="170"/>
        </w:trPr>
        <w:tc>
          <w:tcPr>
            <w:tcW w:w="3220" w:type="dxa"/>
            <w:vAlign w:val="bottom"/>
          </w:tcPr>
          <w:p>
            <w:pPr>
              <w:ind w:left="340"/>
              <w:spacing w:after="0"/>
              <w:rPr>
                <w:sz w:val="20"/>
                <w:szCs w:val="20"/>
                <w:color w:val="auto"/>
              </w:rPr>
            </w:pPr>
            <w:r>
              <w:rPr>
                <w:rFonts w:ascii="Arial" w:cs="Arial" w:eastAsia="Arial" w:hAnsi="Arial"/>
                <w:sz w:val="14"/>
                <w:szCs w:val="14"/>
                <w:color w:val="auto"/>
              </w:rPr>
              <w:t>Loss before income taxes</w:t>
            </w: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(63,660)</w:t>
            </w: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(48)</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(54,101)</w:t>
            </w: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(39)</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(66,705)</w:t>
            </w:r>
          </w:p>
        </w:tc>
        <w:tc>
          <w:tcPr>
            <w:tcW w:w="80" w:type="dxa"/>
            <w:vAlign w:val="bottom"/>
          </w:tcPr>
          <w:p>
            <w:pPr>
              <w:spacing w:after="0"/>
              <w:rPr>
                <w:sz w:val="14"/>
                <w:szCs w:val="14"/>
                <w:color w:val="auto"/>
              </w:rPr>
            </w:pPr>
          </w:p>
        </w:tc>
        <w:tc>
          <w:tcPr>
            <w:tcW w:w="108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(57)</w:t>
            </w:r>
          </w:p>
        </w:tc>
      </w:tr>
      <w:tr>
        <w:trPr>
          <w:trHeight w:val="180"/>
        </w:trPr>
        <w:tc>
          <w:tcPr>
            <w:tcW w:w="3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 benefit</w:t>
            </w: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4,423</w:t>
            </w:r>
          </w:p>
        </w:tc>
        <w:tc>
          <w:tcPr>
            <w:tcW w:w="10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116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2</w:t>
            </w:r>
          </w:p>
        </w:tc>
      </w:tr>
      <w:tr>
        <w:trPr>
          <w:trHeight w:val="171"/>
        </w:trPr>
        <w:tc>
          <w:tcPr>
            <w:tcW w:w="3220" w:type="dxa"/>
            <w:vAlign w:val="bottom"/>
          </w:tcPr>
          <w:p>
            <w:pPr>
              <w:ind w:left="340"/>
              <w:spacing w:after="0"/>
              <w:rPr>
                <w:sz w:val="20"/>
                <w:szCs w:val="20"/>
                <w:color w:val="auto"/>
              </w:rPr>
            </w:pPr>
            <w:r>
              <w:rPr>
                <w:rFonts w:ascii="Arial" w:cs="Arial" w:eastAsia="Arial" w:hAnsi="Arial"/>
                <w:sz w:val="14"/>
                <w:szCs w:val="14"/>
                <w:color w:val="auto"/>
              </w:rPr>
              <w:t>Net loss</w:t>
            </w:r>
          </w:p>
        </w:tc>
        <w:tc>
          <w:tcPr>
            <w:tcW w:w="5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(59,237)</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(45)</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(53,020)</w:t>
            </w:r>
          </w:p>
        </w:tc>
        <w:tc>
          <w:tcPr>
            <w:tcW w:w="8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(38)</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(64,790)</w:t>
            </w:r>
          </w:p>
        </w:tc>
        <w:tc>
          <w:tcPr>
            <w:tcW w:w="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rPr>
              <w:t>(55)</w:t>
            </w:r>
          </w:p>
        </w:tc>
      </w:tr>
      <w:tr>
        <w:trPr>
          <w:trHeight w:val="20"/>
        </w:trPr>
        <w:tc>
          <w:tcPr>
            <w:tcW w:w="3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14" w:lineRule="exact"/>
        <w:rPr>
          <w:sz w:val="20"/>
          <w:szCs w:val="20"/>
          <w:color w:val="auto"/>
        </w:rPr>
      </w:pPr>
    </w:p>
    <w:p>
      <w:pPr>
        <w:ind w:right="100" w:firstLine="254"/>
        <w:spacing w:after="0" w:line="259" w:lineRule="auto"/>
        <w:rPr>
          <w:sz w:val="20"/>
          <w:szCs w:val="20"/>
          <w:color w:val="auto"/>
        </w:rPr>
      </w:pPr>
      <w:r>
        <w:rPr>
          <w:rFonts w:ascii="Arial" w:cs="Arial" w:eastAsia="Arial" w:hAnsi="Arial"/>
          <w:sz w:val="14"/>
          <w:szCs w:val="14"/>
          <w:color w:val="auto"/>
        </w:rPr>
        <w:t>We generate revenue primarily from the sale of our products and services and by entering into product development agreements, license and royalty agreements, and grants. Our product revenue consists of sales of instruments and consumables. Consumables revenue is largely driven by the size of our installed base of instruments and the annual level of pull-through per instrument. Service revenue is linked to the sales and active installed base of our instruments as our service revenue primarily consists of post-warranty service contracts, preventive maintenance plans, instrument parts, installation and training. We sell our products to leading academic and government laboratories, as well as pharmaceutical, biotechnology, clinical, plant and animal research organizations and clinical laboratories worldwide.</w:t>
      </w:r>
    </w:p>
    <w:p>
      <w:pPr>
        <w:spacing w:after="0" w:line="148" w:lineRule="exact"/>
        <w:rPr>
          <w:sz w:val="20"/>
          <w:szCs w:val="20"/>
          <w:color w:val="auto"/>
        </w:rPr>
      </w:pPr>
    </w:p>
    <w:p>
      <w:pPr>
        <w:ind w:right="180" w:firstLine="254"/>
        <w:spacing w:after="0" w:line="259" w:lineRule="auto"/>
        <w:rPr>
          <w:sz w:val="20"/>
          <w:szCs w:val="20"/>
          <w:color w:val="auto"/>
        </w:rPr>
      </w:pPr>
      <w:r>
        <w:rPr>
          <w:rFonts w:ascii="Arial" w:cs="Arial" w:eastAsia="Arial" w:hAnsi="Arial"/>
          <w:sz w:val="14"/>
          <w:szCs w:val="14"/>
          <w:i w:val="1"/>
          <w:iCs w:val="1"/>
          <w:color w:val="auto"/>
        </w:rPr>
        <w:t>Development Revenue</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Effective March 31, 2020, we signed an OEM Supply and Development Agreement (Development Agreement) with a customer. Under the Development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Fluidigm developed products based on its microfluidics technology. The Development Agreement provided up-front and periodic milestone payments during the development stage, which was completed in the third quarter of 2021, and on-going annual payments of $0.4 million for sustaining efforts. We recognized $2.6 million and $8.8 million of development revenue from the agreement for the years ended December 31, 2021 and 2020, respectively. Costs associated with the Development Agreement were recorded in research and development expense in the consolidated statement of operations.</w:t>
      </w:r>
    </w:p>
    <w:p>
      <w:pPr>
        <w:spacing w:after="0" w:line="148" w:lineRule="exact"/>
        <w:rPr>
          <w:sz w:val="20"/>
          <w:szCs w:val="20"/>
          <w:color w:val="auto"/>
        </w:rPr>
      </w:pPr>
    </w:p>
    <w:p>
      <w:pPr>
        <w:ind w:right="100" w:firstLine="254"/>
        <w:spacing w:after="0" w:line="367" w:lineRule="auto"/>
        <w:rPr>
          <w:sz w:val="20"/>
          <w:szCs w:val="20"/>
          <w:color w:val="auto"/>
        </w:rPr>
      </w:pPr>
      <w:r>
        <w:rPr>
          <w:rFonts w:ascii="Arial" w:cs="Arial" w:eastAsia="Arial" w:hAnsi="Arial"/>
          <w:sz w:val="12"/>
          <w:szCs w:val="12"/>
          <w:i w:val="1"/>
          <w:iCs w:val="1"/>
          <w:color w:val="auto"/>
        </w:rPr>
        <w:t>Grant Revenue</w:t>
      </w:r>
      <w:r>
        <w:rPr>
          <w:rFonts w:ascii="Arial" w:cs="Arial" w:eastAsia="Arial" w:hAnsi="Arial"/>
          <w:sz w:val="12"/>
          <w:szCs w:val="12"/>
          <w:b w:val="1"/>
          <w:bCs w:val="1"/>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We receive grants to perform research and development activities over contractually defined periods. Grant revenue is attributable to a grant agreement entered into in the second</w:t>
      </w:r>
      <w:r>
        <w:rPr>
          <w:rFonts w:ascii="Arial" w:cs="Arial" w:eastAsia="Arial" w:hAnsi="Arial"/>
          <w:sz w:val="12"/>
          <w:szCs w:val="12"/>
          <w:i w:val="1"/>
          <w:iCs w:val="1"/>
          <w:color w:val="auto"/>
        </w:rPr>
        <w:t xml:space="preserve"> </w:t>
      </w:r>
      <w:r>
        <w:rPr>
          <w:rFonts w:ascii="Arial" w:cs="Arial" w:eastAsia="Arial" w:hAnsi="Arial"/>
          <w:sz w:val="12"/>
          <w:szCs w:val="12"/>
          <w:color w:val="auto"/>
        </w:rPr>
        <w:t>half of 2019, which was completed in the third quarter of 2021. Costs associated with the arrangement were recorded in research and development expense in the consolidated statement of operations.</w:t>
      </w:r>
    </w:p>
    <w:p>
      <w:pPr>
        <w:spacing w:after="0" w:line="86" w:lineRule="exact"/>
        <w:rPr>
          <w:sz w:val="20"/>
          <w:szCs w:val="20"/>
          <w:color w:val="auto"/>
        </w:rPr>
      </w:pPr>
    </w:p>
    <w:p>
      <w:pPr>
        <w:ind w:right="260" w:firstLine="254"/>
        <w:spacing w:after="0" w:line="266" w:lineRule="auto"/>
        <w:rPr>
          <w:sz w:val="20"/>
          <w:szCs w:val="20"/>
          <w:color w:val="auto"/>
        </w:rPr>
      </w:pPr>
      <w:r>
        <w:rPr>
          <w:rFonts w:ascii="Arial" w:cs="Arial" w:eastAsia="Arial" w:hAnsi="Arial"/>
          <w:sz w:val="14"/>
          <w:szCs w:val="14"/>
          <w:i w:val="1"/>
          <w:iCs w:val="1"/>
          <w:color w:val="auto"/>
        </w:rPr>
        <w:t>License Revenue</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In March 2020, we entered into an agreement to settle intellectual property infringement claims and received a $3.5 million payment in exchange for a perpetual license to</w:t>
      </w:r>
      <w:r>
        <w:rPr>
          <w:rFonts w:ascii="Arial" w:cs="Arial" w:eastAsia="Arial" w:hAnsi="Arial"/>
          <w:sz w:val="14"/>
          <w:szCs w:val="14"/>
          <w:i w:val="1"/>
          <w:iCs w:val="1"/>
          <w:color w:val="auto"/>
        </w:rPr>
        <w:t xml:space="preserve"> </w:t>
      </w:r>
      <w:r>
        <w:rPr>
          <w:rFonts w:ascii="Arial" w:cs="Arial" w:eastAsia="Arial" w:hAnsi="Arial"/>
          <w:sz w:val="14"/>
          <w:szCs w:val="14"/>
          <w:color w:val="auto"/>
        </w:rPr>
        <w:t>certain of our intellectual property. The settlement was accounted for as a multi-element arrangement. Accordingly, $3.1 million of the proceeds was recognized in 2020 as license revenue and $0.4 million was offset against legal costs.</w:t>
      </w:r>
    </w:p>
    <w:p>
      <w:pPr>
        <w:spacing w:after="0" w:line="90" w:lineRule="exact"/>
        <w:rPr>
          <w:sz w:val="20"/>
          <w:szCs w:val="20"/>
          <w:color w:val="auto"/>
        </w:rPr>
      </w:pPr>
    </w:p>
    <w:p>
      <w:pPr>
        <w:ind w:right="140" w:firstLine="254"/>
        <w:spacing w:after="0" w:line="280" w:lineRule="auto"/>
        <w:rPr>
          <w:sz w:val="20"/>
          <w:szCs w:val="20"/>
          <w:color w:val="auto"/>
        </w:rPr>
      </w:pPr>
      <w:r>
        <w:rPr>
          <w:rFonts w:ascii="Arial" w:cs="Arial" w:eastAsia="Arial" w:hAnsi="Arial"/>
          <w:sz w:val="14"/>
          <w:szCs w:val="14"/>
          <w:color w:val="auto"/>
        </w:rPr>
        <w:t>No single customer represented more than 10% of our total revenue for 2021 and 2020. Revenue from our five largest customers was 23% for both the years ended December 31, 2021 and 2020, respectively.</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60"/>
          </w:cols>
          <w:pgMar w:left="300" w:top="1014" w:right="239" w:bottom="1440" w:gutter="0" w:footer="0" w:header="0"/>
        </w:sectPr>
      </w:pPr>
    </w:p>
    <w:bookmarkStart w:id="64" w:name="page65"/>
    <w:bookmarkEnd w:id="64"/>
    <w:p>
      <w:pPr>
        <w:ind w:left="260"/>
        <w:spacing w:after="0"/>
        <w:rPr>
          <w:sz w:val="20"/>
          <w:szCs w:val="20"/>
          <w:color w:val="auto"/>
        </w:rPr>
      </w:pPr>
      <w:r>
        <w:rPr>
          <w:rFonts w:ascii="Arial" w:cs="Arial" w:eastAsia="Arial" w:hAnsi="Arial"/>
          <w:sz w:val="13"/>
          <w:szCs w:val="13"/>
          <w:color w:val="auto"/>
        </w:rPr>
        <w:t>The following table presents our revenue by source for the years ended December 31, 2021, 2020, and 2019, and as a percentage of total revenue for the respective years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7"/>
          </w:tcPr>
          <w:p>
            <w:pPr>
              <w:ind w:left="220"/>
              <w:spacing w:after="0"/>
              <w:rPr>
                <w:sz w:val="20"/>
                <w:szCs w:val="20"/>
                <w:color w:val="auto"/>
              </w:rPr>
            </w:pPr>
            <w:r>
              <w:rPr>
                <w:rFonts w:ascii="Arial" w:cs="Arial" w:eastAsia="Arial" w:hAnsi="Arial"/>
                <w:sz w:val="11"/>
                <w:szCs w:val="11"/>
                <w:b w:val="1"/>
                <w:bCs w:val="1"/>
                <w:color w:val="auto"/>
              </w:rPr>
              <w:t>Year Ended December 31,</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gridSpan w:val="3"/>
          </w:tcPr>
          <w:p>
            <w:pPr>
              <w:jc w:val="right"/>
              <w:ind w:right="149"/>
              <w:spacing w:after="0"/>
              <w:rPr>
                <w:sz w:val="20"/>
                <w:szCs w:val="20"/>
                <w:color w:val="auto"/>
              </w:rPr>
            </w:pPr>
            <w:r>
              <w:rPr>
                <w:rFonts w:ascii="Arial" w:cs="Arial" w:eastAsia="Arial" w:hAnsi="Arial"/>
                <w:sz w:val="11"/>
                <w:szCs w:val="11"/>
                <w:b w:val="1"/>
                <w:bCs w:val="1"/>
                <w:color w:val="auto"/>
                <w:w w:val="89"/>
              </w:rPr>
              <w:t>2021</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5"/>
          </w:tcPr>
          <w:p>
            <w:pPr>
              <w:ind w:left="700"/>
              <w:spacing w:after="0"/>
              <w:rPr>
                <w:sz w:val="20"/>
                <w:szCs w:val="20"/>
                <w:color w:val="auto"/>
              </w:rPr>
            </w:pPr>
            <w:r>
              <w:rPr>
                <w:rFonts w:ascii="Arial" w:cs="Arial" w:eastAsia="Arial" w:hAnsi="Arial"/>
                <w:sz w:val="11"/>
                <w:szCs w:val="11"/>
                <w:b w:val="1"/>
                <w:bCs w:val="1"/>
                <w:color w:val="auto"/>
                <w:w w:val="97"/>
              </w:rPr>
              <w:t>2020</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ind w:right="171"/>
              <w:spacing w:after="0"/>
              <w:rPr>
                <w:sz w:val="20"/>
                <w:szCs w:val="20"/>
                <w:color w:val="auto"/>
              </w:rPr>
            </w:pPr>
            <w:r>
              <w:rPr>
                <w:rFonts w:ascii="Arial" w:cs="Arial" w:eastAsia="Arial" w:hAnsi="Arial"/>
                <w:sz w:val="11"/>
                <w:szCs w:val="11"/>
                <w:b w:val="1"/>
                <w:bCs w:val="1"/>
                <w:color w:val="auto"/>
                <w:w w:val="81"/>
              </w:rPr>
              <w:t>2021</w:t>
            </w:r>
          </w:p>
        </w:tc>
        <w:tc>
          <w:tcPr>
            <w:tcW w:w="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1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Revenue:</w:t>
            </w:r>
          </w:p>
        </w:tc>
        <w:tc>
          <w:tcPr>
            <w:tcW w:w="6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220" w:type="dxa"/>
            <w:vAlign w:val="bottom"/>
          </w:tcPr>
          <w:p>
            <w:pPr>
              <w:ind w:left="360"/>
              <w:spacing w:after="0"/>
              <w:rPr>
                <w:sz w:val="20"/>
                <w:szCs w:val="20"/>
                <w:color w:val="auto"/>
              </w:rPr>
            </w:pPr>
            <w:r>
              <w:rPr>
                <w:rFonts w:ascii="Arial" w:cs="Arial" w:eastAsia="Arial" w:hAnsi="Arial"/>
                <w:sz w:val="14"/>
                <w:szCs w:val="14"/>
                <w:color w:val="auto"/>
              </w:rPr>
              <w:t>Instruments</w:t>
            </w:r>
          </w:p>
        </w:tc>
        <w:tc>
          <w:tcPr>
            <w:tcW w:w="6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42,498</w:t>
            </w:r>
          </w:p>
        </w:tc>
        <w:tc>
          <w:tcPr>
            <w:tcW w:w="800" w:type="dxa"/>
            <w:vAlign w:val="bottom"/>
            <w:gridSpan w:val="4"/>
          </w:tcPr>
          <w:p>
            <w:pPr>
              <w:jc w:val="right"/>
              <w:ind w:right="69"/>
              <w:spacing w:after="0"/>
              <w:rPr>
                <w:sz w:val="20"/>
                <w:szCs w:val="20"/>
                <w:color w:val="auto"/>
              </w:rPr>
            </w:pPr>
            <w:r>
              <w:rPr>
                <w:rFonts w:ascii="Arial" w:cs="Arial" w:eastAsia="Arial" w:hAnsi="Arial"/>
                <w:sz w:val="14"/>
                <w:szCs w:val="14"/>
                <w:color w:val="auto"/>
              </w:rPr>
              <w:t>33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45,536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15"/>
                <w:szCs w:val="15"/>
                <w:color w:val="auto"/>
              </w:rPr>
            </w:pPr>
          </w:p>
        </w:tc>
        <w:tc>
          <w:tcPr>
            <w:tcW w:w="6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50,004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gridSpan w:val="2"/>
          </w:tcPr>
          <w:p>
            <w:pPr>
              <w:jc w:val="right"/>
              <w:ind w:right="89"/>
              <w:spacing w:after="0"/>
              <w:rPr>
                <w:sz w:val="20"/>
                <w:szCs w:val="20"/>
                <w:color w:val="auto"/>
              </w:rPr>
            </w:pPr>
            <w:r>
              <w:rPr>
                <w:rFonts w:ascii="Arial" w:cs="Arial" w:eastAsia="Arial" w:hAnsi="Arial"/>
                <w:sz w:val="14"/>
                <w:szCs w:val="14"/>
                <w:color w:val="auto"/>
              </w:rPr>
              <w:t>43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9"/>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2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8"/>
              </w:rPr>
              <w:t>Consumables</w:t>
            </w:r>
          </w:p>
        </w:tc>
        <w:tc>
          <w:tcPr>
            <w:tcW w:w="6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57,878</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44</w:t>
            </w: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54,408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45,412</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39</w:t>
            </w:r>
          </w:p>
        </w:tc>
        <w:tc>
          <w:tcPr>
            <w:tcW w:w="3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1220" w:type="dxa"/>
            <w:vAlign w:val="bottom"/>
          </w:tcPr>
          <w:p>
            <w:pPr>
              <w:ind w:left="360"/>
              <w:spacing w:after="0" w:line="118" w:lineRule="exact"/>
              <w:rPr>
                <w:sz w:val="20"/>
                <w:szCs w:val="20"/>
                <w:color w:val="auto"/>
              </w:rPr>
            </w:pPr>
            <w:r>
              <w:rPr>
                <w:rFonts w:ascii="Arial" w:cs="Arial" w:eastAsia="Arial" w:hAnsi="Arial"/>
                <w:sz w:val="13"/>
                <w:szCs w:val="13"/>
                <w:color w:val="auto"/>
              </w:rPr>
              <w:t>Product</w:t>
            </w:r>
          </w:p>
        </w:tc>
        <w:tc>
          <w:tcPr>
            <w:tcW w:w="6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100,376</w:t>
            </w:r>
          </w:p>
        </w:tc>
        <w:tc>
          <w:tcPr>
            <w:tcW w:w="800" w:type="dxa"/>
            <w:vAlign w:val="bottom"/>
            <w:gridSpan w:val="4"/>
            <w:vMerge w:val="restart"/>
          </w:tcPr>
          <w:p>
            <w:pPr>
              <w:jc w:val="right"/>
              <w:ind w:right="69"/>
              <w:spacing w:after="0"/>
              <w:rPr>
                <w:sz w:val="20"/>
                <w:szCs w:val="20"/>
                <w:color w:val="auto"/>
              </w:rPr>
            </w:pPr>
            <w:r>
              <w:rPr>
                <w:rFonts w:ascii="Arial" w:cs="Arial" w:eastAsia="Arial" w:hAnsi="Arial"/>
                <w:sz w:val="14"/>
                <w:szCs w:val="14"/>
                <w:color w:val="auto"/>
              </w:rPr>
              <w:t>77</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99,944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95,416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2"/>
            <w:vMerge w:val="restart"/>
          </w:tcPr>
          <w:p>
            <w:pPr>
              <w:jc w:val="right"/>
              <w:ind w:right="89"/>
              <w:spacing w:after="0"/>
              <w:rPr>
                <w:sz w:val="20"/>
                <w:szCs w:val="20"/>
                <w:color w:val="auto"/>
              </w:rPr>
            </w:pPr>
            <w:r>
              <w:rPr>
                <w:rFonts w:ascii="Arial" w:cs="Arial" w:eastAsia="Arial" w:hAnsi="Arial"/>
                <w:sz w:val="14"/>
                <w:szCs w:val="14"/>
                <w:color w:val="auto"/>
              </w:rPr>
              <w:t>82</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0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revenue</w:t>
            </w: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22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Service</w:t>
            </w:r>
          </w:p>
        </w:tc>
        <w:tc>
          <w:tcPr>
            <w:tcW w:w="6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25,917</w:t>
            </w:r>
          </w:p>
        </w:tc>
        <w:tc>
          <w:tcPr>
            <w:tcW w:w="40" w:type="dxa"/>
            <w:vAlign w:val="bottom"/>
            <w:vMerge w:val="restart"/>
            <w:shd w:val="clear" w:color="auto" w:fill="CCEEFF"/>
          </w:tcPr>
          <w:p>
            <w:pPr>
              <w:spacing w:after="0"/>
              <w:rPr>
                <w:sz w:val="11"/>
                <w:szCs w:val="11"/>
                <w:color w:val="auto"/>
              </w:rPr>
            </w:pPr>
          </w:p>
        </w:tc>
        <w:tc>
          <w:tcPr>
            <w:tcW w:w="60" w:type="dxa"/>
            <w:vAlign w:val="bottom"/>
            <w:vMerge w:val="restart"/>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20</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22,579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21,277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18</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6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700" w:type="dxa"/>
            <w:vAlign w:val="bottom"/>
            <w:tcBorders>
              <w:bottom w:val="single" w:sz="8" w:color="auto"/>
            </w:tcBorders>
            <w:gridSpan w:val="2"/>
            <w:vMerge w:val="continue"/>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1220" w:type="dxa"/>
            <w:vAlign w:val="bottom"/>
          </w:tcPr>
          <w:p>
            <w:pPr>
              <w:ind w:left="360"/>
              <w:spacing w:after="0" w:line="118" w:lineRule="exact"/>
              <w:rPr>
                <w:sz w:val="20"/>
                <w:szCs w:val="20"/>
                <w:color w:val="auto"/>
              </w:rPr>
            </w:pPr>
            <w:r>
              <w:rPr>
                <w:rFonts w:ascii="Arial" w:cs="Arial" w:eastAsia="Arial" w:hAnsi="Arial"/>
                <w:sz w:val="13"/>
                <w:szCs w:val="13"/>
                <w:color w:val="auto"/>
              </w:rPr>
              <w:t>Product and</w:t>
            </w:r>
          </w:p>
        </w:tc>
        <w:tc>
          <w:tcPr>
            <w:tcW w:w="6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126,293</w:t>
            </w:r>
          </w:p>
        </w:tc>
        <w:tc>
          <w:tcPr>
            <w:tcW w:w="800" w:type="dxa"/>
            <w:vAlign w:val="bottom"/>
            <w:gridSpan w:val="4"/>
            <w:vMerge w:val="restart"/>
          </w:tcPr>
          <w:p>
            <w:pPr>
              <w:jc w:val="right"/>
              <w:ind w:right="69"/>
              <w:spacing w:after="0"/>
              <w:rPr>
                <w:sz w:val="20"/>
                <w:szCs w:val="20"/>
                <w:color w:val="auto"/>
              </w:rPr>
            </w:pPr>
            <w:r>
              <w:rPr>
                <w:rFonts w:ascii="Arial" w:cs="Arial" w:eastAsia="Arial" w:hAnsi="Arial"/>
                <w:sz w:val="14"/>
                <w:szCs w:val="14"/>
                <w:color w:val="auto"/>
              </w:rPr>
              <w:t>97</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122,523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4"/>
              </w:rPr>
              <w:t>116,693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2"/>
            <w:vMerge w:val="restart"/>
          </w:tcPr>
          <w:p>
            <w:pPr>
              <w:jc w:val="right"/>
              <w:ind w:right="89"/>
              <w:spacing w:after="0"/>
              <w:rPr>
                <w:sz w:val="20"/>
                <w:szCs w:val="20"/>
                <w:color w:val="auto"/>
              </w:rPr>
            </w:pPr>
            <w:r>
              <w:rPr>
                <w:rFonts w:ascii="Arial" w:cs="Arial" w:eastAsia="Arial" w:hAnsi="Arial"/>
                <w:sz w:val="14"/>
                <w:szCs w:val="14"/>
                <w:color w:val="auto"/>
                <w:w w:val="94"/>
              </w:rPr>
              <w:t>100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3</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0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service revenue</w:t>
            </w: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22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Development</w:t>
            </w:r>
          </w:p>
        </w:tc>
        <w:tc>
          <w:tcPr>
            <w:tcW w:w="6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800" w:type="dxa"/>
            <w:vAlign w:val="bottom"/>
            <w:gridSpan w:val="4"/>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8,865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7"/>
                <w:szCs w:val="7"/>
                <w:color w:val="auto"/>
                <w:w w:val="78"/>
              </w:rPr>
              <w:t>N</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6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0" w:type="dxa"/>
            <w:vAlign w:val="bottom"/>
            <w:gridSpan w:val="4"/>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220" w:type="dxa"/>
            <w:vAlign w:val="bottom"/>
          </w:tcPr>
          <w:p>
            <w:pPr>
              <w:ind w:left="360"/>
              <w:spacing w:after="0" w:line="138" w:lineRule="exact"/>
              <w:rPr>
                <w:sz w:val="20"/>
                <w:szCs w:val="20"/>
                <w:color w:val="auto"/>
              </w:rPr>
            </w:pPr>
            <w:r>
              <w:rPr>
                <w:rFonts w:ascii="Arial" w:cs="Arial" w:eastAsia="Arial" w:hAnsi="Arial"/>
                <w:sz w:val="14"/>
                <w:szCs w:val="14"/>
                <w:color w:val="auto"/>
              </w:rPr>
              <w:t>Grant</w:t>
            </w:r>
          </w:p>
        </w:tc>
        <w:tc>
          <w:tcPr>
            <w:tcW w:w="6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1,582</w:t>
            </w:r>
          </w:p>
        </w:tc>
        <w:tc>
          <w:tcPr>
            <w:tcW w:w="800" w:type="dxa"/>
            <w:vAlign w:val="bottom"/>
            <w:gridSpan w:val="4"/>
            <w:vMerge w:val="restart"/>
          </w:tcPr>
          <w:p>
            <w:pPr>
              <w:jc w:val="right"/>
              <w:ind w:right="69"/>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3,593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550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(56)</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09"/>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revenue</w:t>
            </w: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22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License</w:t>
            </w:r>
          </w:p>
        </w:tc>
        <w:tc>
          <w:tcPr>
            <w:tcW w:w="6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3,163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7"/>
                <w:szCs w:val="7"/>
                <w:color w:val="auto"/>
                <w:w w:val="78"/>
              </w:rPr>
              <w:t>N</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6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gridSpan w:val="2"/>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1220" w:type="dxa"/>
            <w:vAlign w:val="bottom"/>
          </w:tcPr>
          <w:p>
            <w:pPr>
              <w:ind w:left="440"/>
              <w:spacing w:after="0" w:line="118" w:lineRule="exact"/>
              <w:rPr>
                <w:sz w:val="20"/>
                <w:szCs w:val="20"/>
                <w:color w:val="auto"/>
              </w:rPr>
            </w:pPr>
            <w:r>
              <w:rPr>
                <w:rFonts w:ascii="Arial" w:cs="Arial" w:eastAsia="Arial" w:hAnsi="Arial"/>
                <w:sz w:val="13"/>
                <w:szCs w:val="13"/>
                <w:color w:val="auto"/>
              </w:rPr>
              <w:t>Total</w:t>
            </w:r>
          </w:p>
        </w:tc>
        <w:tc>
          <w:tcPr>
            <w:tcW w:w="60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130,581</w:t>
            </w:r>
          </w:p>
        </w:tc>
        <w:tc>
          <w:tcPr>
            <w:tcW w:w="4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70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100</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vMerge w:val="restart"/>
          </w:tcPr>
          <w:p>
            <w:pPr>
              <w:jc w:val="right"/>
              <w:ind w:right="109"/>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138,144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10"/>
                <w:szCs w:val="10"/>
                <w:color w:val="auto"/>
              </w:rPr>
            </w:pPr>
          </w:p>
        </w:tc>
        <w:tc>
          <w:tcPr>
            <w:tcW w:w="660" w:type="dxa"/>
            <w:vAlign w:val="bottom"/>
            <w:vMerge w:val="restart"/>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4"/>
              </w:rPr>
              <w:t>117,243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2"/>
            <w:vMerge w:val="restart"/>
          </w:tcPr>
          <w:p>
            <w:pPr>
              <w:jc w:val="right"/>
              <w:ind w:right="89"/>
              <w:spacing w:after="0"/>
              <w:rPr>
                <w:sz w:val="20"/>
                <w:szCs w:val="20"/>
                <w:color w:val="auto"/>
              </w:rPr>
            </w:pPr>
            <w:r>
              <w:rPr>
                <w:rFonts w:ascii="Arial" w:cs="Arial" w:eastAsia="Arial" w:hAnsi="Arial"/>
                <w:sz w:val="14"/>
                <w:szCs w:val="14"/>
                <w:color w:val="auto"/>
                <w:w w:val="94"/>
              </w:rPr>
              <w:t>100</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09"/>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1220" w:type="dxa"/>
            <w:vAlign w:val="bottom"/>
          </w:tcPr>
          <w:p>
            <w:pPr>
              <w:ind w:left="100"/>
              <w:spacing w:after="0" w:line="159" w:lineRule="exact"/>
              <w:rPr>
                <w:sz w:val="20"/>
                <w:szCs w:val="20"/>
                <w:color w:val="auto"/>
              </w:rPr>
            </w:pPr>
            <w:r>
              <w:rPr>
                <w:rFonts w:ascii="Arial" w:cs="Arial" w:eastAsia="Arial" w:hAnsi="Arial"/>
                <w:sz w:val="14"/>
                <w:szCs w:val="14"/>
                <w:color w:val="auto"/>
              </w:rPr>
              <w:t>revenue</w:t>
            </w:r>
          </w:p>
        </w:tc>
        <w:tc>
          <w:tcPr>
            <w:tcW w:w="60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9360" w:type="dxa"/>
            <w:vAlign w:val="bottom"/>
            <w:gridSpan w:val="34"/>
          </w:tcPr>
          <w:p>
            <w:pPr>
              <w:ind w:left="260"/>
              <w:spacing w:after="0"/>
              <w:rPr>
                <w:sz w:val="20"/>
                <w:szCs w:val="20"/>
                <w:color w:val="auto"/>
              </w:rPr>
            </w:pPr>
            <w:r>
              <w:rPr>
                <w:rFonts w:ascii="Arial" w:cs="Arial" w:eastAsia="Arial" w:hAnsi="Arial"/>
                <w:sz w:val="14"/>
                <w:szCs w:val="14"/>
                <w:color w:val="auto"/>
                <w:w w:val="91"/>
              </w:rPr>
              <w:t>The following table presents our total revenue by geographic area of our customers and as a percentage of total revenue for each year presented (in thousands):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6"/>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2021</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5"/>
          </w:tcPr>
          <w:p>
            <w:pPr>
              <w:jc w:val="right"/>
              <w:ind w:right="229"/>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51"/>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4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Americas</w:t>
            </w:r>
          </w:p>
        </w:tc>
        <w:tc>
          <w:tcPr>
            <w:tcW w:w="6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gridSpan w:val="3"/>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63,877</w:t>
            </w: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74,586</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88"/>
              </w:rPr>
              <w:t>47,016</w:t>
            </w: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gridSpan w:val="2"/>
          </w:tcPr>
          <w:p>
            <w:pPr>
              <w:ind w:left="20"/>
              <w:spacing w:after="0"/>
              <w:rPr>
                <w:sz w:val="20"/>
                <w:szCs w:val="20"/>
                <w:color w:val="auto"/>
              </w:rPr>
            </w:pPr>
            <w:r>
              <w:rPr>
                <w:rFonts w:ascii="Arial" w:cs="Arial" w:eastAsia="Arial" w:hAnsi="Arial"/>
                <w:sz w:val="14"/>
                <w:szCs w:val="14"/>
                <w:color w:val="auto"/>
              </w:rPr>
              <w:t>EMEA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color w:val="auto"/>
              </w:rPr>
              <w:t>42,722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91"/>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37,776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4"/>
                <w:szCs w:val="14"/>
                <w:color w:val="auto"/>
                <w:w w:val="88"/>
              </w:rPr>
              <w:t>40,024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13 %</w:t>
            </w:r>
          </w:p>
        </w:tc>
        <w:tc>
          <w:tcPr>
            <w:tcW w:w="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Asia-Pacific</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23,982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25,782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88"/>
              </w:rPr>
              <w:t>30,203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580" w:type="dxa"/>
            <w:vAlign w:val="bottom"/>
            <w:gridSpan w:val="2"/>
          </w:tcPr>
          <w:p>
            <w:pPr>
              <w:ind w:left="180"/>
              <w:spacing w:after="0"/>
              <w:rPr>
                <w:sz w:val="20"/>
                <w:szCs w:val="20"/>
                <w:color w:val="auto"/>
              </w:rPr>
            </w:pPr>
            <w:r>
              <w:rPr>
                <w:rFonts w:ascii="Arial" w:cs="Arial" w:eastAsia="Arial" w:hAnsi="Arial"/>
                <w:sz w:val="14"/>
                <w:szCs w:val="14"/>
                <w:color w:val="auto"/>
              </w:rPr>
              <w:t>Total revenue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130,581</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$138,144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$117,243</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right="220" w:firstLine="254"/>
        <w:spacing w:after="0" w:line="266" w:lineRule="auto"/>
        <w:rPr>
          <w:sz w:val="20"/>
          <w:szCs w:val="20"/>
          <w:color w:val="auto"/>
        </w:rPr>
      </w:pPr>
      <w:r>
        <w:rPr>
          <w:rFonts w:ascii="Arial" w:cs="Arial" w:eastAsia="Arial" w:hAnsi="Arial"/>
          <w:sz w:val="14"/>
          <w:szCs w:val="14"/>
          <w:color w:val="auto"/>
        </w:rPr>
        <w:t>The Americas revenue includes revenue generated in the United States of $60.2 million, $72.0 million, and $43.4 million for 2021, 2020 and 2019, respectively. Asia-Pacific revenue includes sales to customers in China of $12.5 million, $11.1 million and $15.4 million for 2021, 2020 and 2019, respectively. There was no foreign country or jurisdiction with sales in excess of 10% of total revenue in 2021, 2020, and 2019, except for China in 2019.</w:t>
      </w:r>
    </w:p>
    <w:p>
      <w:pPr>
        <w:spacing w:after="0" w:line="100" w:lineRule="exact"/>
        <w:rPr>
          <w:sz w:val="20"/>
          <w:szCs w:val="20"/>
          <w:color w:val="auto"/>
        </w:rPr>
      </w:pPr>
    </w:p>
    <w:p>
      <w:pPr>
        <w:ind w:right="320" w:firstLine="254"/>
        <w:spacing w:after="0" w:line="266" w:lineRule="auto"/>
        <w:rPr>
          <w:sz w:val="20"/>
          <w:szCs w:val="20"/>
          <w:color w:val="auto"/>
        </w:rPr>
      </w:pPr>
      <w:r>
        <w:rPr>
          <w:rFonts w:ascii="Arial" w:cs="Arial" w:eastAsia="Arial" w:hAnsi="Arial"/>
          <w:sz w:val="14"/>
          <w:szCs w:val="14"/>
          <w:color w:val="auto"/>
        </w:rPr>
        <w:t>The following section includes management discussion and analysis for the fiscal year ended December 31, 2021. Refer to Part I Item 7 of the Annual Report on Form 10-K for the fiscal year ended December 31, 2020 filed with the SEC on February 25, 2021, for a discussion of the comparative results for 2020 and 2019, which discussion of comparative results is incorporated by reference into this Form 10-K.</w:t>
      </w:r>
    </w:p>
    <w:p>
      <w:pPr>
        <w:spacing w:after="0" w:line="90" w:lineRule="exact"/>
        <w:rPr>
          <w:sz w:val="20"/>
          <w:szCs w:val="20"/>
          <w:color w:val="auto"/>
        </w:rPr>
      </w:pPr>
    </w:p>
    <w:p>
      <w:pPr>
        <w:ind w:right="200" w:firstLine="254"/>
        <w:spacing w:after="0" w:line="280" w:lineRule="auto"/>
        <w:rPr>
          <w:sz w:val="20"/>
          <w:szCs w:val="20"/>
          <w:color w:val="auto"/>
        </w:rPr>
      </w:pPr>
      <w:r>
        <w:rPr>
          <w:rFonts w:ascii="Arial" w:cs="Arial" w:eastAsia="Arial" w:hAnsi="Arial"/>
          <w:sz w:val="14"/>
          <w:szCs w:val="14"/>
          <w:i w:val="1"/>
          <w:iCs w:val="1"/>
          <w:color w:val="auto"/>
        </w:rPr>
        <w:t xml:space="preserve">Total Revenue. </w:t>
      </w:r>
      <w:r>
        <w:rPr>
          <w:rFonts w:ascii="Arial" w:cs="Arial" w:eastAsia="Arial" w:hAnsi="Arial"/>
          <w:sz w:val="14"/>
          <w:szCs w:val="14"/>
          <w:color w:val="auto"/>
        </w:rPr>
        <w:t>Total revenue decreased by $7.6 million, or 5%, for the twelve months ended December 31, 2021, compared to the twelve months ended December 31, 2020, driven primarily by</w:t>
      </w:r>
      <w:r>
        <w:rPr>
          <w:rFonts w:ascii="Arial" w:cs="Arial" w:eastAsia="Arial" w:hAnsi="Arial"/>
          <w:sz w:val="14"/>
          <w:szCs w:val="14"/>
          <w:i w:val="1"/>
          <w:iCs w:val="1"/>
          <w:color w:val="auto"/>
        </w:rPr>
        <w:t xml:space="preserve"> </w:t>
      </w:r>
      <w:r>
        <w:rPr>
          <w:rFonts w:ascii="Arial" w:cs="Arial" w:eastAsia="Arial" w:hAnsi="Arial"/>
          <w:sz w:val="14"/>
          <w:szCs w:val="14"/>
          <w:color w:val="auto"/>
        </w:rPr>
        <w:t>lower development, grant and license revenue, partially offset by higher service revenue. Product revenue was essentially unchanged year over year.</w:t>
      </w:r>
    </w:p>
    <w:p>
      <w:pPr>
        <w:spacing w:after="0" w:line="69" w:lineRule="exact"/>
        <w:rPr>
          <w:sz w:val="20"/>
          <w:szCs w:val="20"/>
          <w:color w:val="auto"/>
        </w:rPr>
      </w:pPr>
    </w:p>
    <w:p>
      <w:pPr>
        <w:ind w:right="100" w:firstLine="254"/>
        <w:spacing w:after="0" w:line="278" w:lineRule="auto"/>
        <w:rPr>
          <w:sz w:val="20"/>
          <w:szCs w:val="20"/>
          <w:color w:val="auto"/>
        </w:rPr>
      </w:pPr>
      <w:r>
        <w:rPr>
          <w:rFonts w:ascii="Arial" w:cs="Arial" w:eastAsia="Arial" w:hAnsi="Arial"/>
          <w:sz w:val="13"/>
          <w:szCs w:val="13"/>
          <w:color w:val="auto"/>
        </w:rPr>
        <w:t>Americas revenue declined by $10.7 million, or 14%, for the twelve months ended December 31, 2021, compared to the twelve months ended December 31, 2020, driven by lower development, grant and license revenue, and lower unit sales of instruments, partially offset by higher consumables and service revenue. The decline in instrument revenue in 2021 is attributable to reduced demand for the analytical test instruments used in COVID-19 test applications following the initial wave of investments by testing laboratories in 2020. The reduction in development revenue and grant revenue reflects the completion of the underlying contracts in 2021 and the associated deceleration of project activity. The reduction in license revenue is attributable to the non-recurring nature of the 2020 settlement agreement discussed above. In Asia-Pacific, revenue decreased by $1.8 million, or 7%, primarily due to lower unit sales of mass cytometry instruments, partially offset by increased microfluidics consumable revenues. EMEA revenue increased by $4.9 million, or 13%, primarily driven by higher unit sales of mass cytometry instruments. A weaker U.S. dollar contributed 2.6 percentage points of the 13 percentage point increase in EMEA revenue in 2021. Changes in foreign exchange rates increased total company revenues by 0.7 percentage points for the year ended December 31, 2021, compared to the year ended December 31, 2020.</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60"/>
          </w:cols>
          <w:pgMar w:left="300" w:top="955" w:right="2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i w:val="1"/>
          <w:iCs w:val="1"/>
          <w:color w:val="auto"/>
        </w:rPr>
        <w:t>Product and Service Revenue</w:t>
      </w:r>
    </w:p>
    <w:p>
      <w:pPr>
        <w:spacing w:after="0" w:line="104" w:lineRule="exact"/>
        <w:rPr>
          <w:sz w:val="20"/>
          <w:szCs w:val="20"/>
          <w:color w:val="auto"/>
        </w:rPr>
      </w:pPr>
    </w:p>
    <w:p>
      <w:pPr>
        <w:ind w:right="200" w:firstLine="254"/>
        <w:spacing w:after="0" w:line="247" w:lineRule="auto"/>
        <w:rPr>
          <w:sz w:val="20"/>
          <w:szCs w:val="20"/>
          <w:color w:val="auto"/>
        </w:rPr>
      </w:pPr>
      <w:r>
        <w:rPr>
          <w:rFonts w:ascii="Arial" w:cs="Arial" w:eastAsia="Arial" w:hAnsi="Arial"/>
          <w:sz w:val="14"/>
          <w:szCs w:val="14"/>
          <w:color w:val="auto"/>
        </w:rPr>
        <w:t>The following tables present the split of product and service revenue between mass cytometry and microfluidic product categories and as a percentage of the respective category’s total product and service revenue for each year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2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1"/>
                <w:szCs w:val="11"/>
                <w:b w:val="1"/>
                <w:bCs w:val="1"/>
                <w:color w:val="auto"/>
                <w:w w:val="89"/>
              </w:rPr>
              <w:t>Change</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3"/>
          </w:tcPr>
          <w:p>
            <w:pPr>
              <w:jc w:val="right"/>
              <w:ind w:right="509"/>
              <w:spacing w:after="0"/>
              <w:rPr>
                <w:sz w:val="20"/>
                <w:szCs w:val="20"/>
                <w:color w:val="auto"/>
              </w:rPr>
            </w:pPr>
            <w:r>
              <w:rPr>
                <w:rFonts w:ascii="Arial" w:cs="Arial" w:eastAsia="Arial" w:hAnsi="Arial"/>
                <w:sz w:val="11"/>
                <w:szCs w:val="11"/>
                <w:b w:val="1"/>
                <w:bCs w:val="1"/>
                <w:color w:val="auto"/>
                <w:w w:val="97"/>
              </w:rPr>
              <w:t>2021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jc w:val="center"/>
              <w:ind w:right="509"/>
              <w:spacing w:after="0"/>
              <w:rPr>
                <w:sz w:val="20"/>
                <w:szCs w:val="20"/>
                <w:color w:val="auto"/>
              </w:rPr>
            </w:pPr>
            <w:r>
              <w:rPr>
                <w:rFonts w:ascii="Arial" w:cs="Arial" w:eastAsia="Arial" w:hAnsi="Arial"/>
                <w:sz w:val="11"/>
                <w:szCs w:val="11"/>
                <w:b w:val="1"/>
                <w:bCs w:val="1"/>
                <w:color w:val="auto"/>
                <w:w w:val="89"/>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jc w:val="right"/>
              <w:ind w:right="529"/>
              <w:spacing w:after="0"/>
              <w:rPr>
                <w:sz w:val="20"/>
                <w:szCs w:val="20"/>
                <w:color w:val="auto"/>
              </w:rPr>
            </w:pPr>
            <w:r>
              <w:rPr>
                <w:rFonts w:ascii="Arial" w:cs="Arial" w:eastAsia="Arial" w:hAnsi="Arial"/>
                <w:sz w:val="11"/>
                <w:szCs w:val="11"/>
                <w:b w:val="1"/>
                <w:bCs w:val="1"/>
                <w:color w:val="auto"/>
                <w:w w:val="97"/>
              </w:rPr>
              <w:t>2019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520"/>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Mass cytometry:</w:t>
            </w:r>
          </w:p>
        </w:tc>
        <w:tc>
          <w:tcPr>
            <w:tcW w:w="5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Pr>
          <w:p>
            <w:pPr>
              <w:ind w:left="280"/>
              <w:spacing w:after="0"/>
              <w:rPr>
                <w:sz w:val="20"/>
                <w:szCs w:val="20"/>
                <w:color w:val="auto"/>
              </w:rPr>
            </w:pPr>
            <w:r>
              <w:rPr>
                <w:rFonts w:ascii="Arial" w:cs="Arial" w:eastAsia="Arial" w:hAnsi="Arial"/>
                <w:sz w:val="14"/>
                <w:szCs w:val="14"/>
                <w:color w:val="auto"/>
              </w:rPr>
              <w:t>Instruments</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29,964</w:t>
            </w:r>
          </w:p>
        </w:tc>
        <w:tc>
          <w:tcPr>
            <w:tcW w:w="840" w:type="dxa"/>
            <w:vAlign w:val="bottom"/>
            <w:gridSpan w:val="3"/>
          </w:tcPr>
          <w:p>
            <w:pPr>
              <w:jc w:val="right"/>
              <w:ind w:right="89"/>
              <w:spacing w:after="0"/>
              <w:rPr>
                <w:sz w:val="20"/>
                <w:szCs w:val="20"/>
                <w:color w:val="auto"/>
              </w:rPr>
            </w:pPr>
            <w:r>
              <w:rPr>
                <w:rFonts w:ascii="Arial" w:cs="Arial" w:eastAsia="Arial" w:hAnsi="Arial"/>
                <w:sz w:val="14"/>
                <w:szCs w:val="14"/>
                <w:color w:val="auto"/>
              </w:rPr>
              <w:t>44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28,484</w:t>
            </w:r>
          </w:p>
        </w:tc>
        <w:tc>
          <w:tcPr>
            <w:tcW w:w="880" w:type="dxa"/>
            <w:vAlign w:val="bottom"/>
            <w:gridSpan w:val="3"/>
          </w:tcPr>
          <w:p>
            <w:pPr>
              <w:jc w:val="right"/>
              <w:ind w:right="109"/>
              <w:spacing w:after="0"/>
              <w:rPr>
                <w:sz w:val="20"/>
                <w:szCs w:val="20"/>
                <w:color w:val="auto"/>
              </w:rPr>
            </w:pPr>
            <w:r>
              <w:rPr>
                <w:rFonts w:ascii="Arial" w:cs="Arial" w:eastAsia="Arial" w:hAnsi="Arial"/>
                <w:sz w:val="14"/>
                <w:szCs w:val="14"/>
                <w:color w:val="auto"/>
              </w:rPr>
              <w:t>46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41,575</w:t>
            </w:r>
          </w:p>
        </w:tc>
        <w:tc>
          <w:tcPr>
            <w:tcW w:w="860" w:type="dxa"/>
            <w:vAlign w:val="bottom"/>
            <w:gridSpan w:val="3"/>
          </w:tcPr>
          <w:p>
            <w:pPr>
              <w:jc w:val="right"/>
              <w:ind w:right="89"/>
              <w:spacing w:after="0"/>
              <w:rPr>
                <w:sz w:val="20"/>
                <w:szCs w:val="20"/>
                <w:color w:val="auto"/>
              </w:rPr>
            </w:pPr>
            <w:r>
              <w:rPr>
                <w:rFonts w:ascii="Arial" w:cs="Arial" w:eastAsia="Arial" w:hAnsi="Arial"/>
                <w:sz w:val="14"/>
                <w:szCs w:val="14"/>
                <w:color w:val="auto"/>
              </w:rPr>
              <w:t>57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Consumables</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18,960</w:t>
            </w:r>
          </w:p>
        </w:tc>
        <w:tc>
          <w:tcPr>
            <w:tcW w:w="8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28</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8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17,850</w:t>
            </w:r>
          </w:p>
        </w:tc>
        <w:tc>
          <w:tcPr>
            <w:tcW w:w="86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280" w:type="dxa"/>
            <w:vAlign w:val="bottom"/>
          </w:tcPr>
          <w:p>
            <w:pPr>
              <w:ind w:left="280"/>
              <w:spacing w:after="0"/>
              <w:rPr>
                <w:sz w:val="20"/>
                <w:szCs w:val="20"/>
                <w:color w:val="auto"/>
              </w:rPr>
            </w:pPr>
            <w:r>
              <w:rPr>
                <w:rFonts w:ascii="Arial" w:cs="Arial" w:eastAsia="Arial" w:hAnsi="Arial"/>
                <w:sz w:val="14"/>
                <w:szCs w:val="14"/>
                <w:color w:val="auto"/>
              </w:rPr>
              <w:t>Total product revenue</w:t>
            </w:r>
          </w:p>
        </w:tc>
        <w:tc>
          <w:tcPr>
            <w:tcW w:w="5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48,924</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72</w:t>
            </w:r>
          </w:p>
        </w:tc>
        <w:tc>
          <w:tcPr>
            <w:tcW w:w="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46,507</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75</w:t>
            </w: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59,425</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81</w:t>
            </w:r>
          </w:p>
        </w:tc>
        <w:tc>
          <w:tcPr>
            <w:tcW w:w="260" w:type="dxa"/>
            <w:vAlign w:val="bottom"/>
            <w:tcBorders>
              <w:top w:val="single" w:sz="8" w:color="auto"/>
            </w:tcBorders>
          </w:tcPr>
          <w:p>
            <w:pPr>
              <w:spacing w:after="0"/>
              <w:rPr>
                <w:sz w:val="14"/>
                <w:szCs w:val="1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 revenue</w:t>
            </w: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18,733</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15,625</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25</w:t>
            </w: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13,895</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gridSpan w:val="2"/>
            <w:shd w:val="clear" w:color="auto" w:fill="CCEEFF"/>
          </w:tcPr>
          <w:p>
            <w:pPr>
              <w:jc w:val="right"/>
              <w:ind w:right="184"/>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280" w:type="dxa"/>
            <w:vAlign w:val="bottom"/>
          </w:tcPr>
          <w:p>
            <w:pPr>
              <w:ind w:left="440"/>
              <w:spacing w:after="0" w:line="118" w:lineRule="exact"/>
              <w:rPr>
                <w:sz w:val="20"/>
                <w:szCs w:val="20"/>
                <w:color w:val="auto"/>
              </w:rPr>
            </w:pPr>
            <w:r>
              <w:rPr>
                <w:rFonts w:ascii="Arial" w:cs="Arial" w:eastAsia="Arial" w:hAnsi="Arial"/>
                <w:sz w:val="13"/>
                <w:szCs w:val="13"/>
                <w:color w:val="auto"/>
              </w:rPr>
              <w:t>Total product and service</w:t>
            </w:r>
          </w:p>
        </w:tc>
        <w:tc>
          <w:tcPr>
            <w:tcW w:w="50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67,657</w:t>
            </w:r>
          </w:p>
        </w:tc>
        <w:tc>
          <w:tcPr>
            <w:tcW w:w="4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720" w:type="dxa"/>
            <w:vAlign w:val="bottom"/>
            <w:vMerge w:val="restart"/>
          </w:tcPr>
          <w:p>
            <w:pPr>
              <w:jc w:val="right"/>
              <w:ind w:right="89"/>
              <w:spacing w:after="0"/>
              <w:rPr>
                <w:sz w:val="20"/>
                <w:szCs w:val="20"/>
                <w:color w:val="auto"/>
              </w:rPr>
            </w:pPr>
            <w:r>
              <w:rPr>
                <w:rFonts w:ascii="Arial" w:cs="Arial" w:eastAsia="Arial" w:hAnsi="Arial"/>
                <w:sz w:val="14"/>
                <w:szCs w:val="14"/>
                <w:color w:val="auto"/>
              </w:rPr>
              <w:t>100</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62,132</w:t>
            </w:r>
          </w:p>
        </w:tc>
        <w:tc>
          <w:tcPr>
            <w:tcW w:w="4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760" w:type="dxa"/>
            <w:vAlign w:val="bottom"/>
            <w:vMerge w:val="restart"/>
          </w:tcPr>
          <w:p>
            <w:pPr>
              <w:jc w:val="right"/>
              <w:ind w:right="109"/>
              <w:spacing w:after="0"/>
              <w:rPr>
                <w:sz w:val="20"/>
                <w:szCs w:val="20"/>
                <w:color w:val="auto"/>
              </w:rPr>
            </w:pPr>
            <w:r>
              <w:rPr>
                <w:rFonts w:ascii="Arial" w:cs="Arial" w:eastAsia="Arial" w:hAnsi="Arial"/>
                <w:sz w:val="14"/>
                <w:szCs w:val="14"/>
                <w:color w:val="auto"/>
              </w:rPr>
              <w:t>100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52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73,320</w:t>
            </w:r>
          </w:p>
        </w:tc>
        <w:tc>
          <w:tcPr>
            <w:tcW w:w="4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740" w:type="dxa"/>
            <w:vAlign w:val="bottom"/>
            <w:vMerge w:val="restart"/>
          </w:tcPr>
          <w:p>
            <w:pPr>
              <w:jc w:val="right"/>
              <w:ind w:right="89"/>
              <w:spacing w:after="0"/>
              <w:rPr>
                <w:sz w:val="20"/>
                <w:szCs w:val="20"/>
                <w:color w:val="auto"/>
              </w:rPr>
            </w:pPr>
            <w:r>
              <w:rPr>
                <w:rFonts w:ascii="Arial" w:cs="Arial" w:eastAsia="Arial" w:hAnsi="Arial"/>
                <w:sz w:val="14"/>
                <w:szCs w:val="14"/>
                <w:color w:val="auto"/>
              </w:rPr>
              <w:t>100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9</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(15)</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280" w:type="dxa"/>
            <w:vAlign w:val="bottom"/>
          </w:tcPr>
          <w:p>
            <w:pPr>
              <w:ind w:left="180"/>
              <w:spacing w:after="0" w:line="159" w:lineRule="exact"/>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1"/>
                <w:szCs w:val="11"/>
                <w:b w:val="1"/>
                <w:bCs w:val="1"/>
                <w:color w:val="auto"/>
                <w:w w:val="89"/>
              </w:rPr>
              <w:t>Change</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3"/>
          </w:tcPr>
          <w:p>
            <w:pPr>
              <w:jc w:val="right"/>
              <w:ind w:right="509"/>
              <w:spacing w:after="0"/>
              <w:rPr>
                <w:sz w:val="20"/>
                <w:szCs w:val="20"/>
                <w:color w:val="auto"/>
              </w:rPr>
            </w:pPr>
            <w:r>
              <w:rPr>
                <w:rFonts w:ascii="Arial" w:cs="Arial" w:eastAsia="Arial" w:hAnsi="Arial"/>
                <w:sz w:val="11"/>
                <w:szCs w:val="11"/>
                <w:b w:val="1"/>
                <w:bCs w:val="1"/>
                <w:color w:val="auto"/>
                <w:w w:val="97"/>
              </w:rPr>
              <w:t>2021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jc w:val="center"/>
              <w:ind w:right="509"/>
              <w:spacing w:after="0"/>
              <w:rPr>
                <w:sz w:val="20"/>
                <w:szCs w:val="20"/>
                <w:color w:val="auto"/>
              </w:rPr>
            </w:pPr>
            <w:r>
              <w:rPr>
                <w:rFonts w:ascii="Arial" w:cs="Arial" w:eastAsia="Arial" w:hAnsi="Arial"/>
                <w:sz w:val="11"/>
                <w:szCs w:val="11"/>
                <w:b w:val="1"/>
                <w:bCs w:val="1"/>
                <w:color w:val="auto"/>
                <w:w w:val="89"/>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jc w:val="right"/>
              <w:ind w:right="529"/>
              <w:spacing w:after="0"/>
              <w:rPr>
                <w:sz w:val="20"/>
                <w:szCs w:val="20"/>
                <w:color w:val="auto"/>
              </w:rPr>
            </w:pPr>
            <w:r>
              <w:rPr>
                <w:rFonts w:ascii="Arial" w:cs="Arial" w:eastAsia="Arial" w:hAnsi="Arial"/>
                <w:sz w:val="11"/>
                <w:szCs w:val="11"/>
                <w:b w:val="1"/>
                <w:bCs w:val="1"/>
                <w:color w:val="auto"/>
                <w:w w:val="97"/>
              </w:rPr>
              <w:t>2019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520"/>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Microfluidics:</w:t>
            </w:r>
          </w:p>
        </w:tc>
        <w:tc>
          <w:tcPr>
            <w:tcW w:w="5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Pr>
          <w:p>
            <w:pPr>
              <w:ind w:left="280"/>
              <w:spacing w:after="0"/>
              <w:rPr>
                <w:sz w:val="20"/>
                <w:szCs w:val="20"/>
                <w:color w:val="auto"/>
              </w:rPr>
            </w:pPr>
            <w:r>
              <w:rPr>
                <w:rFonts w:ascii="Arial" w:cs="Arial" w:eastAsia="Arial" w:hAnsi="Arial"/>
                <w:sz w:val="14"/>
                <w:szCs w:val="14"/>
                <w:color w:val="auto"/>
              </w:rPr>
              <w:t>Instruments</w:t>
            </w:r>
          </w:p>
        </w:tc>
        <w:tc>
          <w:tcPr>
            <w:tcW w:w="5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12,534</w:t>
            </w:r>
          </w:p>
        </w:tc>
        <w:tc>
          <w:tcPr>
            <w:tcW w:w="840" w:type="dxa"/>
            <w:vAlign w:val="bottom"/>
            <w:gridSpan w:val="3"/>
          </w:tcPr>
          <w:p>
            <w:pPr>
              <w:jc w:val="right"/>
              <w:ind w:right="89"/>
              <w:spacing w:after="0"/>
              <w:rPr>
                <w:sz w:val="20"/>
                <w:szCs w:val="20"/>
                <w:color w:val="auto"/>
              </w:rPr>
            </w:pPr>
            <w:r>
              <w:rPr>
                <w:rFonts w:ascii="Arial" w:cs="Arial" w:eastAsia="Arial" w:hAnsi="Arial"/>
                <w:sz w:val="14"/>
                <w:szCs w:val="14"/>
                <w:color w:val="auto"/>
              </w:rPr>
              <w:t>21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17,053</w:t>
            </w:r>
          </w:p>
        </w:tc>
        <w:tc>
          <w:tcPr>
            <w:tcW w:w="880" w:type="dxa"/>
            <w:vAlign w:val="bottom"/>
            <w:gridSpan w:val="3"/>
          </w:tcPr>
          <w:p>
            <w:pPr>
              <w:jc w:val="right"/>
              <w:ind w:right="109"/>
              <w:spacing w:after="0"/>
              <w:rPr>
                <w:sz w:val="20"/>
                <w:szCs w:val="20"/>
                <w:color w:val="auto"/>
              </w:rPr>
            </w:pPr>
            <w:r>
              <w:rPr>
                <w:rFonts w:ascii="Arial" w:cs="Arial" w:eastAsia="Arial" w:hAnsi="Arial"/>
                <w:sz w:val="14"/>
                <w:szCs w:val="14"/>
                <w:color w:val="auto"/>
              </w:rPr>
              <w:t>28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8,429</w:t>
            </w:r>
          </w:p>
        </w:tc>
        <w:tc>
          <w:tcPr>
            <w:tcW w:w="860" w:type="dxa"/>
            <w:vAlign w:val="bottom"/>
            <w:gridSpan w:val="3"/>
          </w:tcPr>
          <w:p>
            <w:pPr>
              <w:jc w:val="right"/>
              <w:ind w:right="89"/>
              <w:spacing w:after="0"/>
              <w:rPr>
                <w:sz w:val="20"/>
                <w:szCs w:val="20"/>
                <w:color w:val="auto"/>
              </w:rPr>
            </w:pPr>
            <w:r>
              <w:rPr>
                <w:rFonts w:ascii="Arial" w:cs="Arial" w:eastAsia="Arial" w:hAnsi="Arial"/>
                <w:sz w:val="14"/>
                <w:szCs w:val="14"/>
                <w:color w:val="auto"/>
              </w:rPr>
              <w:t>19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4"/>
              <w:spacing w:after="0"/>
              <w:rPr>
                <w:sz w:val="20"/>
                <w:szCs w:val="20"/>
                <w:color w:val="auto"/>
              </w:rPr>
            </w:pPr>
            <w:r>
              <w:rPr>
                <w:rFonts w:ascii="Arial" w:cs="Arial" w:eastAsia="Arial" w:hAnsi="Arial"/>
                <w:sz w:val="14"/>
                <w:szCs w:val="14"/>
                <w:color w:val="auto"/>
              </w:rPr>
              <w:t>(26)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102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Consumables</w:t>
            </w: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38,918</w:t>
            </w:r>
          </w:p>
        </w:tc>
        <w:tc>
          <w:tcPr>
            <w:tcW w:w="8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67</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36,384</w:t>
            </w:r>
          </w:p>
        </w:tc>
        <w:tc>
          <w:tcPr>
            <w:tcW w:w="88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27,562</w:t>
            </w:r>
          </w:p>
        </w:tc>
        <w:tc>
          <w:tcPr>
            <w:tcW w:w="86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64</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280" w:type="dxa"/>
            <w:vAlign w:val="bottom"/>
          </w:tcPr>
          <w:p>
            <w:pPr>
              <w:ind w:left="280"/>
              <w:spacing w:after="0"/>
              <w:rPr>
                <w:sz w:val="20"/>
                <w:szCs w:val="20"/>
                <w:color w:val="auto"/>
              </w:rPr>
            </w:pPr>
            <w:r>
              <w:rPr>
                <w:rFonts w:ascii="Arial" w:cs="Arial" w:eastAsia="Arial" w:hAnsi="Arial"/>
                <w:sz w:val="14"/>
                <w:szCs w:val="14"/>
                <w:color w:val="auto"/>
              </w:rPr>
              <w:t>Total product revenue</w:t>
            </w:r>
          </w:p>
        </w:tc>
        <w:tc>
          <w:tcPr>
            <w:tcW w:w="5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51,452</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88</w:t>
            </w:r>
          </w:p>
        </w:tc>
        <w:tc>
          <w:tcPr>
            <w:tcW w:w="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53,437</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88</w:t>
            </w: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35,991</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83</w:t>
            </w:r>
          </w:p>
        </w:tc>
        <w:tc>
          <w:tcPr>
            <w:tcW w:w="260" w:type="dxa"/>
            <w:vAlign w:val="bottom"/>
            <w:tcBorders>
              <w:top w:val="single" w:sz="8" w:color="auto"/>
            </w:tcBorders>
          </w:tcPr>
          <w:p>
            <w:pPr>
              <w:spacing w:after="0"/>
              <w:rPr>
                <w:sz w:val="14"/>
                <w:szCs w:val="14"/>
                <w:color w:val="auto"/>
              </w:rPr>
            </w:pPr>
          </w:p>
        </w:tc>
        <w:tc>
          <w:tcPr>
            <w:tcW w:w="920" w:type="dxa"/>
            <w:vAlign w:val="bottom"/>
            <w:gridSpan w:val="2"/>
          </w:tcPr>
          <w:p>
            <w:pPr>
              <w:jc w:val="right"/>
              <w:ind w:right="144"/>
              <w:spacing w:after="0"/>
              <w:rPr>
                <w:sz w:val="20"/>
                <w:szCs w:val="20"/>
                <w:color w:val="auto"/>
              </w:rPr>
            </w:pPr>
            <w:r>
              <w:rPr>
                <w:rFonts w:ascii="Arial" w:cs="Arial" w:eastAsia="Arial" w:hAnsi="Arial"/>
                <w:sz w:val="14"/>
                <w:szCs w:val="14"/>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48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 revenue</w:t>
            </w:r>
          </w:p>
        </w:tc>
        <w:tc>
          <w:tcPr>
            <w:tcW w:w="5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7,184</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6,954</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7,382</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280" w:type="dxa"/>
            <w:vAlign w:val="bottom"/>
          </w:tcPr>
          <w:p>
            <w:pPr>
              <w:ind w:left="440"/>
              <w:spacing w:after="0" w:line="118" w:lineRule="exact"/>
              <w:rPr>
                <w:sz w:val="20"/>
                <w:szCs w:val="20"/>
                <w:color w:val="auto"/>
              </w:rPr>
            </w:pPr>
            <w:r>
              <w:rPr>
                <w:rFonts w:ascii="Arial" w:cs="Arial" w:eastAsia="Arial" w:hAnsi="Arial"/>
                <w:sz w:val="13"/>
                <w:szCs w:val="13"/>
                <w:color w:val="auto"/>
              </w:rPr>
              <w:t>Total product and service</w:t>
            </w:r>
          </w:p>
        </w:tc>
        <w:tc>
          <w:tcPr>
            <w:tcW w:w="50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58,636</w:t>
            </w:r>
          </w:p>
        </w:tc>
        <w:tc>
          <w:tcPr>
            <w:tcW w:w="84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100</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60,391</w:t>
            </w:r>
          </w:p>
        </w:tc>
        <w:tc>
          <w:tcPr>
            <w:tcW w:w="880" w:type="dxa"/>
            <w:vAlign w:val="bottom"/>
            <w:gridSpan w:val="3"/>
            <w:vMerge w:val="restart"/>
          </w:tcPr>
          <w:p>
            <w:pPr>
              <w:jc w:val="right"/>
              <w:ind w:right="109"/>
              <w:spacing w:after="0"/>
              <w:rPr>
                <w:sz w:val="20"/>
                <w:szCs w:val="20"/>
                <w:color w:val="auto"/>
              </w:rPr>
            </w:pPr>
            <w:r>
              <w:rPr>
                <w:rFonts w:ascii="Arial" w:cs="Arial" w:eastAsia="Arial" w:hAnsi="Arial"/>
                <w:sz w:val="14"/>
                <w:szCs w:val="14"/>
                <w:color w:val="auto"/>
              </w:rPr>
              <w:t>100</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52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43,373</w:t>
            </w:r>
          </w:p>
        </w:tc>
        <w:tc>
          <w:tcPr>
            <w:tcW w:w="86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100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44"/>
              <w:spacing w:after="0"/>
              <w:rPr>
                <w:sz w:val="20"/>
                <w:szCs w:val="20"/>
                <w:color w:val="auto"/>
              </w:rPr>
            </w:pPr>
            <w:r>
              <w:rPr>
                <w:rFonts w:ascii="Arial" w:cs="Arial" w:eastAsia="Arial" w:hAnsi="Arial"/>
                <w:sz w:val="14"/>
                <w:szCs w:val="14"/>
                <w:color w:val="auto"/>
              </w:rPr>
              <w:t>(3)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39</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80" w:type="dxa"/>
            <w:vAlign w:val="bottom"/>
          </w:tcPr>
          <w:p>
            <w:pPr>
              <w:ind w:left="180"/>
              <w:spacing w:after="0" w:line="159" w:lineRule="exact"/>
              <w:rPr>
                <w:sz w:val="20"/>
                <w:szCs w:val="20"/>
                <w:color w:val="auto"/>
              </w:rPr>
            </w:pPr>
            <w:r>
              <w:rPr>
                <w:rFonts w:ascii="Arial" w:cs="Arial" w:eastAsia="Arial" w:hAnsi="Arial"/>
                <w:sz w:val="14"/>
                <w:szCs w:val="14"/>
                <w:color w:val="auto"/>
              </w:rPr>
              <w:t>revenue</w:t>
            </w:r>
          </w:p>
        </w:tc>
        <w:tc>
          <w:tcPr>
            <w:tcW w:w="5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00" w:firstLine="254"/>
        <w:spacing w:after="0" w:line="232" w:lineRule="auto"/>
        <w:rPr>
          <w:sz w:val="20"/>
          <w:szCs w:val="20"/>
          <w:color w:val="auto"/>
        </w:rPr>
      </w:pPr>
      <w:r>
        <w:rPr>
          <w:rFonts w:ascii="Arial" w:cs="Arial" w:eastAsia="Arial" w:hAnsi="Arial"/>
          <w:sz w:val="14"/>
          <w:szCs w:val="14"/>
          <w:color w:val="auto"/>
        </w:rPr>
        <w:t>Mass cytometry product and service revenue increased $5.5 million, or 9%, for the twelve months ended December 31, 2021, compared to the twelve months ended December 31, 2020. Product revenue increased $2.4 million, or 5%, primarily due to sales of the new CyTOF XT system, which was launched in May 2021, along with growth in our imaging platforms, partially offset by lower Helios sales. Lower average unit selling prices partially offset the increased unit volume of mass cytometry instruments by $4.3 million. Service revenue increased $3.1 million, or 20%, year over year, driven by the growing number of service contracts and mass cytometry instrument installations.</w:t>
      </w:r>
    </w:p>
    <w:p>
      <w:pPr>
        <w:spacing w:after="0" w:line="87" w:lineRule="exact"/>
        <w:rPr>
          <w:sz w:val="20"/>
          <w:szCs w:val="20"/>
          <w:color w:val="auto"/>
        </w:rPr>
      </w:pPr>
    </w:p>
    <w:p>
      <w:pPr>
        <w:ind w:right="260" w:firstLine="254"/>
        <w:spacing w:after="0" w:line="236" w:lineRule="auto"/>
        <w:rPr>
          <w:sz w:val="20"/>
          <w:szCs w:val="20"/>
          <w:color w:val="auto"/>
        </w:rPr>
      </w:pPr>
      <w:r>
        <w:rPr>
          <w:rFonts w:ascii="Arial" w:cs="Arial" w:eastAsia="Arial" w:hAnsi="Arial"/>
          <w:sz w:val="14"/>
          <w:szCs w:val="14"/>
          <w:color w:val="auto"/>
        </w:rPr>
        <w:t>Microfluidics product and service revenue decreased $1.8 million, or 3%, during the twelve months ended December 31, 2021 compared to the twelve months ended December 31, 2020. The decline in 2021 is attributable to lower COVID-19 testing revenue, primarily lower instrument revenue. Excluding COVID-19 related revenue, base microfluidics product and service revenue increased $6.7 million, or 18%, due to the launch of our OEM instrument and higher consumables revenue.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expect the average selling prices of our products to fluctuate over time based on market conditions, product mix, and currency fluctuations.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and Service Cost, Product and Service Gross Profit, and Product and Service Margin</w:t>
      </w:r>
    </w:p>
    <w:p>
      <w:pPr>
        <w:spacing w:after="0" w:line="125" w:lineRule="exact"/>
        <w:rPr>
          <w:sz w:val="20"/>
          <w:szCs w:val="20"/>
          <w:color w:val="auto"/>
        </w:rPr>
      </w:pPr>
    </w:p>
    <w:p>
      <w:pPr>
        <w:ind w:right="420" w:firstLine="254"/>
        <w:spacing w:after="0" w:line="261" w:lineRule="auto"/>
        <w:rPr>
          <w:sz w:val="20"/>
          <w:szCs w:val="20"/>
          <w:color w:val="auto"/>
        </w:rPr>
      </w:pPr>
      <w:r>
        <w:rPr>
          <w:rFonts w:ascii="Arial" w:cs="Arial" w:eastAsia="Arial" w:hAnsi="Arial"/>
          <w:sz w:val="14"/>
          <w:szCs w:val="14"/>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94" w:lineRule="exact"/>
        <w:rPr>
          <w:sz w:val="20"/>
          <w:szCs w:val="20"/>
          <w:color w:val="auto"/>
        </w:rPr>
      </w:pPr>
    </w:p>
    <w:p>
      <w:pPr>
        <w:ind w:right="120" w:firstLine="254"/>
        <w:spacing w:after="0" w:line="280" w:lineRule="auto"/>
        <w:rPr>
          <w:sz w:val="20"/>
          <w:szCs w:val="20"/>
          <w:color w:val="auto"/>
        </w:rPr>
      </w:pPr>
      <w:r>
        <w:rPr>
          <w:rFonts w:ascii="Arial" w:cs="Arial" w:eastAsia="Arial" w:hAnsi="Arial"/>
          <w:sz w:val="14"/>
          <w:szCs w:val="14"/>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39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44" w:right="319" w:bottom="1440" w:gutter="0" w:footer="0" w:header="0"/>
        </w:sectPr>
      </w:pPr>
    </w:p>
    <w:bookmarkStart w:id="66" w:name="page67"/>
    <w:bookmarkEnd w:id="66"/>
    <w:p>
      <w:pPr>
        <w:ind w:left="260"/>
        <w:spacing w:after="0"/>
        <w:rPr>
          <w:sz w:val="20"/>
          <w:szCs w:val="20"/>
          <w:color w:val="auto"/>
        </w:rPr>
      </w:pPr>
      <w:r>
        <w:rPr>
          <w:rFonts w:ascii="Arial" w:cs="Arial" w:eastAsia="Arial" w:hAnsi="Arial"/>
          <w:sz w:val="14"/>
          <w:szCs w:val="14"/>
          <w:color w:val="auto"/>
        </w:rPr>
        <w:t>The following table presents our product and service cost, product and service gross profit, and product and service margin for each year presented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ind w:left="340"/>
              <w:spacing w:after="0"/>
              <w:rPr>
                <w:sz w:val="20"/>
                <w:szCs w:val="20"/>
                <w:color w:val="auto"/>
              </w:rPr>
            </w:pPr>
            <w:r>
              <w:rPr>
                <w:rFonts w:ascii="Arial" w:cs="Arial" w:eastAsia="Arial" w:hAnsi="Arial"/>
                <w:sz w:val="11"/>
                <w:szCs w:val="11"/>
                <w:b w:val="1"/>
                <w:bCs w:val="1"/>
                <w:color w:val="auto"/>
              </w:rPr>
              <w:t>Change</w:t>
            </w:r>
          </w:p>
        </w:tc>
        <w:tc>
          <w:tcPr>
            <w:tcW w:w="1580" w:type="dxa"/>
            <w:vAlign w:val="bottom"/>
            <w:gridSpan w:val="2"/>
          </w:tcPr>
          <w:p>
            <w:pPr>
              <w:ind w:left="360"/>
              <w:spacing w:after="0"/>
              <w:rPr>
                <w:sz w:val="20"/>
                <w:szCs w:val="20"/>
                <w:color w:val="auto"/>
              </w:rPr>
            </w:pPr>
            <w:r>
              <w:rPr>
                <w:rFonts w:ascii="Arial" w:cs="Arial" w:eastAsia="Arial" w:hAnsi="Arial"/>
                <w:sz w:val="11"/>
                <w:szCs w:val="11"/>
                <w:b w:val="1"/>
                <w:bCs w:val="1"/>
                <w:color w:val="auto"/>
              </w:rPr>
              <w:t>Change</w:t>
            </w:r>
          </w:p>
        </w:tc>
      </w:tr>
      <w:tr>
        <w:trPr>
          <w:trHeight w:val="146"/>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5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5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52"/>
              <w:spacing w:after="0"/>
              <w:rPr>
                <w:sz w:val="20"/>
                <w:szCs w:val="20"/>
                <w:color w:val="auto"/>
              </w:rPr>
            </w:pPr>
            <w:r>
              <w:rPr>
                <w:rFonts w:ascii="Arial" w:cs="Arial" w:eastAsia="Arial" w:hAnsi="Arial"/>
                <w:sz w:val="11"/>
                <w:szCs w:val="11"/>
                <w:b w:val="1"/>
                <w:bCs w:val="1"/>
                <w:color w:val="auto"/>
              </w:rPr>
              <w:t>2019</w:t>
            </w:r>
          </w:p>
        </w:tc>
        <w:tc>
          <w:tcPr>
            <w:tcW w:w="1140" w:type="dxa"/>
            <w:vAlign w:val="bottom"/>
            <w:gridSpan w:val="2"/>
          </w:tcPr>
          <w:p>
            <w:pPr>
              <w:jc w:val="right"/>
              <w:ind w:right="334"/>
              <w:spacing w:after="0"/>
              <w:rPr>
                <w:sz w:val="20"/>
                <w:szCs w:val="20"/>
                <w:color w:val="auto"/>
              </w:rPr>
            </w:pPr>
            <w:r>
              <w:rPr>
                <w:rFonts w:ascii="Arial" w:cs="Arial" w:eastAsia="Arial" w:hAnsi="Arial"/>
                <w:sz w:val="11"/>
                <w:szCs w:val="11"/>
                <w:b w:val="1"/>
                <w:bCs w:val="1"/>
                <w:color w:val="auto"/>
              </w:rPr>
              <w:t>2021</w:t>
            </w:r>
          </w:p>
        </w:tc>
        <w:tc>
          <w:tcPr>
            <w:tcW w:w="660" w:type="dxa"/>
            <w:vAlign w:val="bottom"/>
          </w:tcPr>
          <w:p>
            <w:pPr>
              <w:spacing w:after="0"/>
              <w:rPr>
                <w:sz w:val="12"/>
                <w:szCs w:val="12"/>
                <w:color w:val="auto"/>
              </w:rPr>
            </w:pPr>
          </w:p>
        </w:tc>
        <w:tc>
          <w:tcPr>
            <w:tcW w:w="1080" w:type="dxa"/>
            <w:vAlign w:val="bottom"/>
          </w:tcPr>
          <w:p>
            <w:pPr>
              <w:jc w:val="right"/>
              <w:ind w:right="353"/>
              <w:spacing w:after="0"/>
              <w:rPr>
                <w:sz w:val="20"/>
                <w:szCs w:val="20"/>
                <w:color w:val="auto"/>
              </w:rPr>
            </w:pPr>
            <w:r>
              <w:rPr>
                <w:rFonts w:ascii="Arial" w:cs="Arial" w:eastAsia="Arial" w:hAnsi="Arial"/>
                <w:sz w:val="11"/>
                <w:szCs w:val="11"/>
                <w:b w:val="1"/>
                <w:bCs w:val="1"/>
                <w:color w:val="auto"/>
              </w:rPr>
              <w:t>2020</w:t>
            </w:r>
          </w:p>
        </w:tc>
        <w:tc>
          <w:tcPr>
            <w:tcW w:w="500" w:type="dxa"/>
            <w:vAlign w:val="bottom"/>
          </w:tcPr>
          <w:p>
            <w:pPr>
              <w:spacing w:after="0"/>
              <w:rPr>
                <w:sz w:val="12"/>
                <w:szCs w:val="12"/>
                <w:color w:val="auto"/>
              </w:rPr>
            </w:pP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product revenue</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53,315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47,527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45,461</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6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500" w:type="dxa"/>
            <w:vAlign w:val="bottom"/>
            <w:tcBorders>
              <w:top w:val="single" w:sz="8" w:color="CCEEFF"/>
            </w:tcBorders>
            <w:shd w:val="clear" w:color="auto" w:fill="CCEEFF"/>
          </w:tcPr>
          <w:p>
            <w:pPr>
              <w:spacing w:after="0"/>
              <w:rPr>
                <w:sz w:val="14"/>
                <w:szCs w:val="14"/>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service revenue</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7,893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7,291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7,503</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8 %</w:t>
            </w:r>
          </w:p>
        </w:tc>
        <w:tc>
          <w:tcPr>
            <w:tcW w:w="6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w:t>
            </w:r>
          </w:p>
        </w:tc>
        <w:tc>
          <w:tcPr>
            <w:tcW w:w="500" w:type="dxa"/>
            <w:vAlign w:val="bottom"/>
            <w:tcBorders>
              <w:bottom w:val="single" w:sz="8" w:color="CCEEFF"/>
            </w:tcBorders>
          </w:tcPr>
          <w:p>
            <w:pPr>
              <w:spacing w:after="0"/>
              <w:rPr>
                <w:sz w:val="15"/>
                <w:szCs w:val="15"/>
                <w:color w:val="auto"/>
              </w:rPr>
            </w:pP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product and service revenue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61,208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54,818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52,964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6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500" w:type="dxa"/>
            <w:vAlign w:val="bottom"/>
            <w:tcBorders>
              <w:bottom w:val="single" w:sz="8" w:color="CCEEFF"/>
            </w:tcBorders>
            <w:shd w:val="clear" w:color="auto" w:fill="CCEEFF"/>
          </w:tcPr>
          <w:p>
            <w:pPr>
              <w:spacing w:after="0"/>
              <w:rPr>
                <w:sz w:val="16"/>
                <w:szCs w:val="16"/>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r>
        <w:trPr>
          <w:trHeight w:val="142"/>
        </w:trPr>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8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and service gross profit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65,085</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67,705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63,729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500" w:type="dxa"/>
            <w:vAlign w:val="bottom"/>
            <w:shd w:val="clear" w:color="auto" w:fill="CCEEFF"/>
          </w:tcPr>
          <w:p>
            <w:pPr>
              <w:spacing w:after="0"/>
              <w:rPr>
                <w:sz w:val="15"/>
                <w:szCs w:val="15"/>
                <w:color w:val="auto"/>
              </w:rPr>
            </w:pP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color w:val="auto"/>
              </w:rPr>
              <w:t>Product and service margin</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55.3 %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54.6 %</w:t>
            </w:r>
          </w:p>
        </w:tc>
        <w:tc>
          <w:tcPr>
            <w:tcW w:w="100" w:type="dxa"/>
            <w:vAlign w:val="bottom"/>
          </w:tcPr>
          <w:p>
            <w:pPr>
              <w:spacing w:after="0"/>
              <w:rPr>
                <w:sz w:val="15"/>
                <w:szCs w:val="15"/>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(3.8)  ppts.</w:t>
            </w:r>
          </w:p>
        </w:tc>
        <w:tc>
          <w:tcPr>
            <w:tcW w:w="1580" w:type="dxa"/>
            <w:vAlign w:val="bottom"/>
            <w:gridSpan w:val="2"/>
          </w:tcPr>
          <w:p>
            <w:pPr>
              <w:ind w:left="740"/>
              <w:spacing w:after="0"/>
              <w:rPr>
                <w:sz w:val="20"/>
                <w:szCs w:val="20"/>
                <w:color w:val="auto"/>
              </w:rPr>
            </w:pPr>
            <w:r>
              <w:rPr>
                <w:rFonts w:ascii="Arial" w:cs="Arial" w:eastAsia="Arial" w:hAnsi="Arial"/>
                <w:sz w:val="14"/>
                <w:szCs w:val="14"/>
                <w:color w:val="auto"/>
              </w:rPr>
              <w:t>0.7   ppts.</w:t>
            </w:r>
          </w:p>
        </w:tc>
      </w:tr>
    </w:tbl>
    <w:p>
      <w:pPr>
        <w:spacing w:after="0" w:line="254" w:lineRule="exact"/>
        <w:rPr>
          <w:sz w:val="20"/>
          <w:szCs w:val="20"/>
          <w:color w:val="auto"/>
        </w:rPr>
      </w:pPr>
    </w:p>
    <w:p>
      <w:pPr>
        <w:ind w:right="320" w:firstLine="254"/>
        <w:spacing w:after="0" w:line="266" w:lineRule="auto"/>
        <w:rPr>
          <w:sz w:val="20"/>
          <w:szCs w:val="20"/>
          <w:color w:val="auto"/>
        </w:rPr>
      </w:pPr>
      <w:r>
        <w:rPr>
          <w:rFonts w:ascii="Arial" w:cs="Arial" w:eastAsia="Arial" w:hAnsi="Arial"/>
          <w:sz w:val="14"/>
          <w:szCs w:val="14"/>
          <w:color w:val="auto"/>
        </w:rPr>
        <w:t>Product and service margin decreased by 3.8 percentage points for the year ended December 31, 2021 compared to the year ended December 31, 2020. Product and service margins were impacted by lower average selling prices for mass cytometry instruments, unfavorable product mix from sales of our OEM instrument and lower COVID-19 consumables sales, and the absence of COVID-19 related government subsidies.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our operating expenses for each year presented (in thousands):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51"/>
        </w:trPr>
        <w:tc>
          <w:tcPr>
            <w:tcW w:w="45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69"/>
              <w:spacing w:after="0"/>
              <w:rPr>
                <w:sz w:val="20"/>
                <w:szCs w:val="20"/>
                <w:color w:val="auto"/>
              </w:rPr>
            </w:pPr>
            <w:r>
              <w:rPr>
                <w:rFonts w:ascii="Arial" w:cs="Arial" w:eastAsia="Arial" w:hAnsi="Arial"/>
                <w:sz w:val="11"/>
                <w:szCs w:val="11"/>
                <w:b w:val="1"/>
                <w:bCs w:val="1"/>
                <w:color w:val="auto"/>
                <w:w w:val="94"/>
              </w:rPr>
              <w:t>Change</w:t>
            </w:r>
          </w:p>
        </w:tc>
      </w:tr>
      <w:tr>
        <w:trPr>
          <w:trHeight w:val="142"/>
        </w:trPr>
        <w:tc>
          <w:tcPr>
            <w:tcW w:w="4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jc w:val="right"/>
              <w:ind w:right="29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ind w:right="29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29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20" w:type="dxa"/>
            <w:vAlign w:val="bottom"/>
          </w:tcPr>
          <w:p>
            <w:pPr>
              <w:jc w:val="right"/>
              <w:ind w:right="56"/>
              <w:spacing w:after="0"/>
              <w:rPr>
                <w:sz w:val="20"/>
                <w:szCs w:val="20"/>
                <w:color w:val="auto"/>
              </w:rPr>
            </w:pPr>
            <w:r>
              <w:rPr>
                <w:rFonts w:ascii="Arial" w:cs="Arial" w:eastAsia="Arial" w:hAnsi="Arial"/>
                <w:sz w:val="11"/>
                <w:szCs w:val="11"/>
                <w:b w:val="1"/>
                <w:bCs w:val="1"/>
                <w:color w:val="auto"/>
              </w:rPr>
              <w:t>2021</w:t>
            </w:r>
          </w:p>
        </w:tc>
        <w:tc>
          <w:tcPr>
            <w:tcW w:w="260" w:type="dxa"/>
            <w:vAlign w:val="bottom"/>
          </w:tcPr>
          <w:p>
            <w:pPr>
              <w:spacing w:after="0"/>
              <w:rPr>
                <w:sz w:val="12"/>
                <w:szCs w:val="12"/>
                <w:color w:val="auto"/>
              </w:rPr>
            </w:pPr>
          </w:p>
        </w:tc>
        <w:tc>
          <w:tcPr>
            <w:tcW w:w="1140" w:type="dxa"/>
            <w:vAlign w:val="bottom"/>
            <w:gridSpan w:val="2"/>
          </w:tcPr>
          <w:p>
            <w:pPr>
              <w:jc w:val="right"/>
              <w:ind w:right="69"/>
              <w:spacing w:after="0"/>
              <w:rPr>
                <w:sz w:val="20"/>
                <w:szCs w:val="20"/>
                <w:color w:val="auto"/>
              </w:rPr>
            </w:pPr>
            <w:r>
              <w:rPr>
                <w:rFonts w:ascii="Arial" w:cs="Arial" w:eastAsia="Arial" w:hAnsi="Arial"/>
                <w:sz w:val="11"/>
                <w:szCs w:val="11"/>
                <w:b w:val="1"/>
                <w:bCs w:val="1"/>
                <w:color w:val="auto"/>
              </w:rPr>
              <w:t>2020</w:t>
            </w:r>
          </w:p>
        </w:tc>
      </w:tr>
      <w:tr>
        <w:trPr>
          <w:trHeight w:val="171"/>
        </w:trPr>
        <w:tc>
          <w:tcPr>
            <w:tcW w:w="4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Research and development</w:t>
            </w:r>
          </w:p>
        </w:tc>
        <w:tc>
          <w:tcPr>
            <w:tcW w:w="5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37,944</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36,461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31,640</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4"/>
                <w:szCs w:val="14"/>
                <w:color w:val="auto"/>
              </w:rPr>
              <w:t>4</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15</w:t>
            </w:r>
          </w:p>
        </w:tc>
      </w:tr>
      <w:tr>
        <w:trPr>
          <w:trHeight w:val="180"/>
        </w:trPr>
        <w:tc>
          <w:tcPr>
            <w:tcW w:w="45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Selling, general and administrative</w:t>
            </w: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98,888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97,901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84,478</w:t>
            </w:r>
          </w:p>
        </w:tc>
        <w:tc>
          <w:tcPr>
            <w:tcW w:w="1120" w:type="dxa"/>
            <w:vAlign w:val="bottom"/>
            <w:tcBorders>
              <w:bottom w:val="single" w:sz="8" w:color="CCEEFF"/>
            </w:tcBorders>
            <w:gridSpan w:val="2"/>
          </w:tcPr>
          <w:p>
            <w:pPr>
              <w:jc w:val="right"/>
              <w:ind w:right="176"/>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tcPr>
          <w:p>
            <w:pPr>
              <w:jc w:val="right"/>
              <w:ind w:right="169"/>
              <w:spacing w:after="0"/>
              <w:rPr>
                <w:sz w:val="20"/>
                <w:szCs w:val="20"/>
                <w:color w:val="auto"/>
              </w:rPr>
            </w:pPr>
            <w:r>
              <w:rPr>
                <w:rFonts w:ascii="Arial" w:cs="Arial" w:eastAsia="Arial" w:hAnsi="Arial"/>
                <w:sz w:val="14"/>
                <w:szCs w:val="14"/>
                <w:color w:val="auto"/>
              </w:rPr>
              <w:t>16</w:t>
            </w:r>
          </w:p>
        </w:tc>
      </w:tr>
      <w:tr>
        <w:trPr>
          <w:trHeight w:val="196"/>
        </w:trPr>
        <w:tc>
          <w:tcPr>
            <w:tcW w:w="4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Total operating expenses</w:t>
            </w: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136,832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134,362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116,118</w:t>
            </w:r>
          </w:p>
        </w:tc>
        <w:tc>
          <w:tcPr>
            <w:tcW w:w="112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25" w:lineRule="exact"/>
        <w:rPr>
          <w:sz w:val="20"/>
          <w:szCs w:val="20"/>
          <w:color w:val="auto"/>
        </w:rPr>
      </w:pPr>
    </w:p>
    <w:p>
      <w:pPr>
        <w:ind w:right="140" w:firstLine="254"/>
        <w:spacing w:after="0" w:line="261" w:lineRule="auto"/>
        <w:rPr>
          <w:sz w:val="20"/>
          <w:szCs w:val="20"/>
          <w:color w:val="auto"/>
        </w:rPr>
      </w:pPr>
      <w:r>
        <w:rPr>
          <w:rFonts w:ascii="Arial" w:cs="Arial" w:eastAsia="Arial" w:hAnsi="Arial"/>
          <w:sz w:val="14"/>
          <w:szCs w:val="14"/>
          <w:color w:val="auto"/>
        </w:rPr>
        <w:t>Research and development expense consists primarily of compensation-related costs, product development and material expenses, and other allocated facilities and information technology expenses. Our research and development efforts have focused primarily on enhancing our technologies and supporting development and commercialization of new and existing products and services. Research and development expense also includes costs incurred in conjunction with research grants and development arrangements. We have made substantial investments in research and development since our inception and expect to continue to do so.</w:t>
      </w:r>
    </w:p>
    <w:p>
      <w:pPr>
        <w:spacing w:after="0" w:line="94" w:lineRule="exact"/>
        <w:rPr>
          <w:sz w:val="20"/>
          <w:szCs w:val="20"/>
          <w:color w:val="auto"/>
        </w:rPr>
      </w:pPr>
    </w:p>
    <w:p>
      <w:pPr>
        <w:ind w:right="120" w:firstLine="318"/>
        <w:spacing w:after="0" w:line="266" w:lineRule="auto"/>
        <w:rPr>
          <w:sz w:val="20"/>
          <w:szCs w:val="20"/>
          <w:color w:val="auto"/>
        </w:rPr>
      </w:pPr>
      <w:r>
        <w:rPr>
          <w:rFonts w:ascii="Arial" w:cs="Arial" w:eastAsia="Arial" w:hAnsi="Arial"/>
          <w:sz w:val="14"/>
          <w:szCs w:val="14"/>
          <w:color w:val="auto"/>
        </w:rPr>
        <w:t>Research and development expense increased by $1.5 million, or 4%, to $37.9 million for 2021 compared to $36.5 million for 2020. Salaries and benefit costs increased primarily due to the absence of 2020 temporary salary reductions and COVID-19 related government subsidies, as well as higher headcount and merit increases, partially offset by lower variable employee compensation. Consulting costs increased by $0.8 million due to projects related to development agreements and grants.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w:t>
      </w:r>
    </w:p>
    <w:p>
      <w:pPr>
        <w:spacing w:after="0" w:line="114" w:lineRule="exact"/>
        <w:rPr>
          <w:sz w:val="20"/>
          <w:szCs w:val="20"/>
          <w:color w:val="auto"/>
        </w:rPr>
      </w:pPr>
    </w:p>
    <w:p>
      <w:pPr>
        <w:ind w:right="140" w:firstLine="254"/>
        <w:spacing w:after="0" w:line="280" w:lineRule="auto"/>
        <w:rPr>
          <w:sz w:val="20"/>
          <w:szCs w:val="20"/>
          <w:color w:val="auto"/>
        </w:rPr>
      </w:pPr>
      <w:r>
        <w:rPr>
          <w:rFonts w:ascii="Arial" w:cs="Arial" w:eastAsia="Arial" w:hAnsi="Arial"/>
          <w:sz w:val="14"/>
          <w:szCs w:val="14"/>
          <w:color w:val="auto"/>
        </w:rPr>
        <w:t>Selling, general and administrative expense consists primarily of personnel costs for our sales and marketing, business development, finance, legal, human resources, information technology, and general management, as well as professional services, such as legal and accounting services.</w:t>
      </w:r>
    </w:p>
    <w:p>
      <w:pPr>
        <w:spacing w:after="0" w:line="69" w:lineRule="exact"/>
        <w:rPr>
          <w:sz w:val="20"/>
          <w:szCs w:val="20"/>
          <w:color w:val="auto"/>
        </w:rPr>
      </w:pPr>
    </w:p>
    <w:p>
      <w:pPr>
        <w:ind w:right="140" w:firstLine="254"/>
        <w:spacing w:after="0" w:line="232" w:lineRule="auto"/>
        <w:rPr>
          <w:sz w:val="20"/>
          <w:szCs w:val="20"/>
          <w:color w:val="auto"/>
        </w:rPr>
      </w:pPr>
      <w:r>
        <w:rPr>
          <w:rFonts w:ascii="Arial" w:cs="Arial" w:eastAsia="Arial" w:hAnsi="Arial"/>
          <w:sz w:val="14"/>
          <w:szCs w:val="14"/>
          <w:color w:val="auto"/>
        </w:rPr>
        <w:t>Selling, general and administrative expense increased by $1.0 million, or 1%, to $98.9 million for 2021 compared to $97.9 million for 2020. Marketing expenses increased $2.8 million primarily due to marketing campaigns and market research to support new product launches. Sales expenses increased $1.9 million driven by higher compensation and benefits as well as higher travel as we returned to more normal pre-COVID-19 pandemic spending levels. Partially offsetting these increases were lower general and administrative costs. General and administrative expenses fell primarily due to lower variable compensation and lower litigation costs.</w:t>
      </w: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60"/>
          </w:cols>
          <w:pgMar w:left="300" w:top="955" w:right="2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i w:val="1"/>
          <w:iCs w:val="1"/>
          <w:color w:val="auto"/>
        </w:rPr>
        <w:t>Interest Expense and Other Non-Operating Items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these items for each year presented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right"/>
              <w:ind w:right="129"/>
              <w:spacing w:after="0"/>
              <w:rPr>
                <w:sz w:val="20"/>
                <w:szCs w:val="20"/>
                <w:color w:val="auto"/>
              </w:rPr>
            </w:pPr>
            <w:r>
              <w:rPr>
                <w:rFonts w:ascii="Arial" w:cs="Arial" w:eastAsia="Arial" w:hAnsi="Arial"/>
                <w:sz w:val="11"/>
                <w:szCs w:val="11"/>
                <w:b w:val="1"/>
                <w:bCs w:val="1"/>
                <w:color w:val="auto"/>
              </w:rPr>
              <w:t>Year Ended December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Change</w:t>
            </w:r>
          </w:p>
        </w:tc>
        <w:tc>
          <w:tcPr>
            <w:tcW w:w="820" w:type="dxa"/>
            <w:vAlign w:val="bottom"/>
            <w:tcBorders>
              <w:bottom w:val="single" w:sz="8" w:color="auto"/>
            </w:tcBorders>
          </w:tcPr>
          <w:p>
            <w:pPr>
              <w:spacing w:after="0"/>
              <w:rPr>
                <w:sz w:val="13"/>
                <w:szCs w:val="13"/>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2020</w:t>
            </w:r>
          </w:p>
        </w:tc>
      </w:tr>
      <w:tr>
        <w:trPr>
          <w:trHeight w:val="171"/>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80"/>
        </w:trPr>
        <w:tc>
          <w:tcPr>
            <w:tcW w:w="5660" w:type="dxa"/>
            <w:vAlign w:val="bottom"/>
          </w:tcPr>
          <w:p>
            <w:pPr>
              <w:ind w:left="20"/>
              <w:spacing w:after="0"/>
              <w:rPr>
                <w:sz w:val="20"/>
                <w:szCs w:val="20"/>
                <w:color w:val="auto"/>
              </w:rPr>
            </w:pPr>
            <w:r>
              <w:rPr>
                <w:rFonts w:ascii="Arial" w:cs="Arial" w:eastAsia="Arial" w:hAnsi="Arial"/>
                <w:sz w:val="14"/>
                <w:szCs w:val="14"/>
                <w:color w:val="auto"/>
              </w:rPr>
              <w:t>Surplus funding from NIH Contract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gridSpan w:val="3"/>
          </w:tcPr>
          <w:p>
            <w:pPr>
              <w:ind w:left="200"/>
              <w:spacing w:after="0"/>
              <w:rPr>
                <w:sz w:val="20"/>
                <w:szCs w:val="20"/>
                <w:color w:val="auto"/>
              </w:rPr>
            </w:pPr>
            <w:r>
              <w:rPr>
                <w:rFonts w:ascii="Arial" w:cs="Arial" w:eastAsia="Arial" w:hAnsi="Arial"/>
                <w:sz w:val="14"/>
                <w:szCs w:val="14"/>
                <w:color w:val="auto"/>
              </w:rPr>
              <w:t>NA</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extinguishment of debt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65 %</w:t>
            </w:r>
          </w:p>
        </w:tc>
      </w:tr>
      <w:tr>
        <w:trPr>
          <w:trHeight w:val="19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(14,866)</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224 %</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169" w:lineRule="exact"/>
        <w:rPr>
          <w:sz w:val="20"/>
          <w:szCs w:val="20"/>
          <w:color w:val="auto"/>
        </w:rPr>
      </w:pPr>
    </w:p>
    <w:p>
      <w:pPr>
        <w:ind w:right="480" w:firstLine="254"/>
        <w:spacing w:after="0" w:line="280" w:lineRule="auto"/>
        <w:rPr>
          <w:sz w:val="20"/>
          <w:szCs w:val="20"/>
          <w:color w:val="auto"/>
        </w:rPr>
      </w:pPr>
      <w:r>
        <w:rPr>
          <w:rFonts w:ascii="Arial" w:cs="Arial" w:eastAsia="Arial" w:hAnsi="Arial"/>
          <w:sz w:val="14"/>
          <w:szCs w:val="14"/>
          <w:color w:val="auto"/>
        </w:rPr>
        <w:t>The increase in interest expense for the twelve months ended December 31, 2021 compared to the twelve months ended December 31, 2020 is due to the $10.0 million Term Loans which commenced in August 2021.</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2021, we recognized $7.1 million of proceeds under the NIH Contract in excess of amounts expected to be spent for capital expenditures and operating expenses.</w:t>
      </w:r>
    </w:p>
    <w:p>
      <w:pPr>
        <w:spacing w:after="0" w:line="125" w:lineRule="exact"/>
        <w:rPr>
          <w:sz w:val="20"/>
          <w:szCs w:val="20"/>
          <w:color w:val="auto"/>
        </w:rPr>
      </w:pPr>
    </w:p>
    <w:p>
      <w:pPr>
        <w:ind w:firstLine="191"/>
        <w:spacing w:after="0" w:line="266" w:lineRule="auto"/>
        <w:rPr>
          <w:sz w:val="20"/>
          <w:szCs w:val="20"/>
          <w:color w:val="auto"/>
        </w:rPr>
      </w:pPr>
      <w:r>
        <w:rPr>
          <w:rFonts w:ascii="Arial" w:cs="Arial" w:eastAsia="Arial" w:hAnsi="Arial"/>
          <w:sz w:val="14"/>
          <w:szCs w:val="14"/>
          <w:color w:val="auto"/>
        </w:rPr>
        <w:t>In February 2021, as provided by the indenture governing the 2014 Notes, holders of $0.5 million of the 2014 Notes required us to repurchase their notes at 100% of the principal amount plus accrued and unpaid interest. We recorded a loss of $9 thousand on the extinguishment of those notes, representing the difference between the price paid to extinguish the 2014 Notes and their carrying value, including unamortized debt issuance costs.</w:t>
      </w:r>
    </w:p>
    <w:p>
      <w:pPr>
        <w:spacing w:after="0" w:line="79" w:lineRule="exact"/>
        <w:rPr>
          <w:sz w:val="20"/>
          <w:szCs w:val="20"/>
          <w:color w:val="auto"/>
        </w:rPr>
      </w:pPr>
    </w:p>
    <w:p>
      <w:pPr>
        <w:ind w:right="160" w:firstLine="254"/>
        <w:spacing w:after="0" w:line="280" w:lineRule="auto"/>
        <w:rPr>
          <w:sz w:val="20"/>
          <w:szCs w:val="20"/>
          <w:color w:val="auto"/>
        </w:rPr>
      </w:pPr>
      <w:r>
        <w:rPr>
          <w:rFonts w:ascii="Arial" w:cs="Arial" w:eastAsia="Arial" w:hAnsi="Arial"/>
          <w:sz w:val="14"/>
          <w:szCs w:val="14"/>
          <w:color w:val="auto"/>
        </w:rPr>
        <w:t>Other income, net primarily consists of interest income and gains or losses on foreign exchange. Other income, net, of $0.5 million for 2021 is primarily attributable to the settlement of claims, partially offset by $0.2 million of foreign exchange losses.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Benefit</w:t>
      </w:r>
    </w:p>
    <w:p>
      <w:pPr>
        <w:spacing w:after="0" w:line="125" w:lineRule="exact"/>
        <w:rPr>
          <w:sz w:val="20"/>
          <w:szCs w:val="20"/>
          <w:color w:val="auto"/>
        </w:rPr>
      </w:pPr>
    </w:p>
    <w:p>
      <w:pPr>
        <w:ind w:right="200" w:firstLine="254"/>
        <w:spacing w:after="0" w:line="266" w:lineRule="auto"/>
        <w:rPr>
          <w:sz w:val="20"/>
          <w:szCs w:val="20"/>
          <w:color w:val="auto"/>
        </w:rPr>
      </w:pPr>
      <w:r>
        <w:rPr>
          <w:rFonts w:ascii="Arial" w:cs="Arial" w:eastAsia="Arial" w:hAnsi="Arial"/>
          <w:sz w:val="14"/>
          <w:szCs w:val="14"/>
          <w:color w:val="auto"/>
        </w:rPr>
        <w:t>Our tax provision is generally driven by three components: (i) tax provision from our foreign operations, (ii) tax benefits from the amortization of acquisition-related intangible assets, and (iii) discrete items, such as changes in valuation allowances or adjustments upon finalization of tax returns. Depending on the relative value of these components, we can have either a tax benefit or expense for any given period.</w:t>
      </w:r>
    </w:p>
    <w:p>
      <w:pPr>
        <w:spacing w:after="0" w:line="79" w:lineRule="exact"/>
        <w:rPr>
          <w:sz w:val="20"/>
          <w:szCs w:val="20"/>
          <w:color w:val="auto"/>
        </w:rPr>
      </w:pPr>
    </w:p>
    <w:p>
      <w:pPr>
        <w:ind w:right="80" w:firstLine="254"/>
        <w:spacing w:after="0" w:line="280" w:lineRule="auto"/>
        <w:rPr>
          <w:sz w:val="20"/>
          <w:szCs w:val="20"/>
          <w:color w:val="auto"/>
        </w:rPr>
      </w:pPr>
      <w:r>
        <w:rPr>
          <w:rFonts w:ascii="Arial" w:cs="Arial" w:eastAsia="Arial" w:hAnsi="Arial"/>
          <w:sz w:val="13"/>
          <w:szCs w:val="13"/>
          <w:color w:val="auto"/>
        </w:rPr>
        <w:t>We recorded a tax benefit of $4.4 million, or an effective tax rate benefit of 6.9%, for the year ended December 31, 2021 compared to a tax benefit of $1.1 million, or an effective tax rate benefit of 2.0%, for the year ended December 31, 2020. The tax benefit in both years was principally due to the tax benefit from the amortization of our acquisition-related deferred tax liabilities of</w:t>
      </w:r>
    </w:p>
    <w:p>
      <w:pPr>
        <w:ind w:right="140"/>
        <w:spacing w:after="0" w:line="265" w:lineRule="auto"/>
        <w:rPr>
          <w:sz w:val="20"/>
          <w:szCs w:val="20"/>
          <w:color w:val="auto"/>
        </w:rPr>
      </w:pPr>
      <w:r>
        <w:rPr>
          <w:rFonts w:ascii="Arial" w:cs="Arial" w:eastAsia="Arial" w:hAnsi="Arial"/>
          <w:sz w:val="14"/>
          <w:szCs w:val="14"/>
          <w:color w:val="auto"/>
        </w:rPr>
        <w:t>$3.1 million. The increased benefit in 2021 compared to 2020 was due to lower current year profits and increased tax benefits on capital expenditures and research activities in certain of our foreign operations, as well as adjustments related to the finalization of 2020 tax returns.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Capital Resources and Going Concern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5" w:lineRule="exact"/>
        <w:rPr>
          <w:sz w:val="20"/>
          <w:szCs w:val="20"/>
          <w:color w:val="auto"/>
        </w:rPr>
      </w:pPr>
    </w:p>
    <w:p>
      <w:pPr>
        <w:ind w:right="360" w:firstLine="254"/>
        <w:spacing w:after="0" w:line="320" w:lineRule="auto"/>
        <w:rPr>
          <w:sz w:val="20"/>
          <w:szCs w:val="20"/>
          <w:color w:val="auto"/>
        </w:rPr>
      </w:pPr>
      <w:r>
        <w:rPr>
          <w:rFonts w:ascii="Arial" w:cs="Arial" w:eastAsia="Arial" w:hAnsi="Arial"/>
          <w:sz w:val="13"/>
          <w:szCs w:val="13"/>
          <w:color w:val="auto"/>
        </w:rPr>
        <w:t>As of December 31, 2021, our principal sources of liquidity consisted of $28.5 million of cash and cash equivalents, as well as $1.0 million of restricted cash. The borrowing base under our Revolving Credit Facility was $9.4 million. With advances outstanding of $6.8 million, availability under the Revolving Credit Facility was $2.5 million as of December 31, 2021.</w:t>
      </w:r>
    </w:p>
    <w:p>
      <w:pPr>
        <w:spacing w:after="0" w:line="57" w:lineRule="exact"/>
        <w:rPr>
          <w:sz w:val="20"/>
          <w:szCs w:val="20"/>
          <w:color w:val="auto"/>
        </w:rPr>
      </w:pPr>
    </w:p>
    <w:p>
      <w:pPr>
        <w:ind w:right="60" w:firstLine="254"/>
        <w:spacing w:after="0" w:line="258" w:lineRule="auto"/>
        <w:rPr>
          <w:sz w:val="20"/>
          <w:szCs w:val="20"/>
          <w:color w:val="auto"/>
        </w:rPr>
      </w:pPr>
      <w:r>
        <w:rPr>
          <w:rFonts w:ascii="Arial" w:cs="Arial" w:eastAsia="Arial" w:hAnsi="Arial"/>
          <w:sz w:val="14"/>
          <w:szCs w:val="14"/>
          <w:color w:val="auto"/>
        </w:rPr>
        <w:t>Purchase obligations consist of contractual and legally binding commitments to purchase goods and services. The majority of our contracts are cancellable with little or no notice or penalty. However, once a vendor has incurred costs to fulfill a contract with us, and which costs cannot be otherwise deployed, we are liable for those costs upon cancellation. For example, if a supplier has purchased raw materials to produce a good for us, and those goods cannot be returned or otherwise used by our vendor, we are obligated to reimburse them for the costs they incurred. These include purchase commitments with our contract manufacturers and suppliers. As of December 31, 2021, these purchase commitments totaled $20.4 million. In addition, we have certain non-cancellable commitments with service providers that are not material in the aggregate. As of December 31, 2021, we had contractual purchase commitments for capital expenditures of $1.6 million for 2022, and we expect our total capital expenditures to be above that amount.</w:t>
      </w:r>
    </w:p>
    <w:p>
      <w:pPr>
        <w:spacing w:after="0" w:line="84" w:lineRule="exact"/>
        <w:rPr>
          <w:sz w:val="20"/>
          <w:szCs w:val="20"/>
          <w:color w:val="auto"/>
        </w:rPr>
      </w:pPr>
    </w:p>
    <w:p>
      <w:pPr>
        <w:ind w:right="300" w:firstLine="254"/>
        <w:spacing w:after="0" w:line="280" w:lineRule="auto"/>
        <w:rPr>
          <w:sz w:val="20"/>
          <w:szCs w:val="20"/>
          <w:color w:val="auto"/>
        </w:rPr>
      </w:pPr>
      <w:r>
        <w:rPr>
          <w:rFonts w:ascii="Arial" w:cs="Arial" w:eastAsia="Arial" w:hAnsi="Arial"/>
          <w:sz w:val="14"/>
          <w:szCs w:val="14"/>
          <w:color w:val="auto"/>
        </w:rPr>
        <w:t>We have additional obligations as part of our ordinary course of business, beyond those committed for capital expenditures and other purchase obligations and commitments for purchases of goods and services. For example, see Note 9 Debt within our</w:t>
      </w: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018" w:right="339" w:bottom="1440" w:gutter="0" w:footer="0" w:header="0"/>
        </w:sectPr>
      </w:pPr>
    </w:p>
    <w:bookmarkStart w:id="68" w:name="page69"/>
    <w:bookmarkEnd w:id="68"/>
    <w:p>
      <w:pPr>
        <w:spacing w:after="0" w:line="258" w:lineRule="auto"/>
        <w:rPr>
          <w:sz w:val="20"/>
          <w:szCs w:val="20"/>
          <w:color w:val="auto"/>
        </w:rPr>
      </w:pPr>
      <w:r>
        <w:rPr>
          <w:rFonts w:ascii="Arial" w:cs="Arial" w:eastAsia="Arial" w:hAnsi="Arial"/>
          <w:sz w:val="14"/>
          <w:szCs w:val="14"/>
          <w:color w:val="auto"/>
        </w:rPr>
        <w:t>consolidated financial statements for information about our short-term and long-term debt obligations and see Note 10 Leases within our consolidated financial statements for information about our lease obligations. Note 17 Commitments and Contingencies within our consolidated financial statements included elsewhere in this Annual Report contains information about our various contractual and legally binding purchase commitments to purchase goods and services discussed above. 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future purchasing needs are not current contractual obligations and are therefore not included in the amounts above. For example, some of these requirements are not handled through binding contracts or are fulfilled by vendors on a purchase order basis within short time horizons.</w:t>
      </w:r>
    </w:p>
    <w:p>
      <w:pPr>
        <w:spacing w:after="0" w:line="95" w:lineRule="exact"/>
        <w:rPr>
          <w:sz w:val="20"/>
          <w:szCs w:val="20"/>
          <w:color w:val="auto"/>
        </w:rPr>
      </w:pPr>
    </w:p>
    <w:p>
      <w:pPr>
        <w:jc w:val="both"/>
        <w:ind w:right="100" w:firstLine="254"/>
        <w:spacing w:after="0" w:line="261" w:lineRule="auto"/>
        <w:rPr>
          <w:sz w:val="20"/>
          <w:szCs w:val="20"/>
          <w:color w:val="auto"/>
        </w:rPr>
      </w:pPr>
      <w:r>
        <w:rPr>
          <w:rFonts w:ascii="Arial" w:cs="Arial" w:eastAsia="Arial" w:hAnsi="Arial"/>
          <w:sz w:val="14"/>
          <w:szCs w:val="14"/>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our cash flow summary for each year presented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61"/>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Cash flow summary:</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678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(44,061)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(15,417)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(35,210)</w:t>
            </w:r>
          </w:p>
        </w:tc>
      </w:tr>
      <w:tr>
        <w:trPr>
          <w:trHeight w:val="180"/>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(11,946)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(39,301)</w:t>
            </w:r>
          </w:p>
        </w:tc>
      </w:tr>
      <w:tr>
        <w:trPr>
          <w:trHeight w:val="180"/>
        </w:trPr>
        <w:tc>
          <w:tcPr>
            <w:tcW w:w="678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15,959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20,857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2,790</w:t>
            </w:r>
          </w:p>
        </w:tc>
      </w:tr>
      <w:tr>
        <w:trPr>
          <w:trHeight w:val="180"/>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71"/>
        </w:trPr>
        <w:tc>
          <w:tcPr>
            <w:tcW w:w="678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(40,069)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45,800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(71,665)</w:t>
            </w:r>
          </w:p>
        </w:tc>
      </w:tr>
      <w:tr>
        <w:trPr>
          <w:trHeight w:val="20"/>
        </w:trPr>
        <w:tc>
          <w:tcPr>
            <w:tcW w:w="6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00" w:firstLine="254"/>
        <w:spacing w:after="0" w:line="266" w:lineRule="auto"/>
        <w:rPr>
          <w:sz w:val="20"/>
          <w:szCs w:val="20"/>
          <w:color w:val="auto"/>
        </w:rPr>
      </w:pPr>
      <w:r>
        <w:rPr>
          <w:rFonts w:ascii="Arial" w:cs="Arial" w:eastAsia="Arial" w:hAnsi="Arial"/>
          <w:sz w:val="14"/>
          <w:szCs w:val="14"/>
          <w:i w:val="1"/>
          <w:iCs w:val="1"/>
          <w:color w:val="auto"/>
        </w:rPr>
        <w:t xml:space="preserve">Net Cash Used in Operating Activities. </w:t>
      </w:r>
      <w:r>
        <w:rPr>
          <w:rFonts w:ascii="Arial" w:cs="Arial" w:eastAsia="Arial" w:hAnsi="Arial"/>
          <w:sz w:val="14"/>
          <w:szCs w:val="14"/>
          <w:color w:val="auto"/>
        </w:rPr>
        <w:t>We derive cash flows from operations primarily from cash collected from the sale of our products and services, license agreements and grants. Our cash</w:t>
      </w:r>
      <w:r>
        <w:rPr>
          <w:rFonts w:ascii="Arial" w:cs="Arial" w:eastAsia="Arial" w:hAnsi="Arial"/>
          <w:sz w:val="14"/>
          <w:szCs w:val="14"/>
          <w:i w:val="1"/>
          <w:iCs w:val="1"/>
          <w:color w:val="auto"/>
        </w:rPr>
        <w:t xml:space="preserve"> </w:t>
      </w:r>
      <w:r>
        <w:rPr>
          <w:rFonts w:ascii="Arial" w:cs="Arial" w:eastAsia="Arial" w:hAnsi="Arial"/>
          <w:sz w:val="14"/>
          <w:szCs w:val="14"/>
          <w:color w:val="auto"/>
        </w:rPr>
        <w:t>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79" w:lineRule="exact"/>
        <w:rPr>
          <w:sz w:val="20"/>
          <w:szCs w:val="20"/>
          <w:color w:val="auto"/>
        </w:rPr>
      </w:pPr>
    </w:p>
    <w:p>
      <w:pPr>
        <w:jc w:val="both"/>
        <w:ind w:right="60" w:firstLine="254"/>
        <w:spacing w:after="0" w:line="296" w:lineRule="auto"/>
        <w:rPr>
          <w:sz w:val="20"/>
          <w:szCs w:val="20"/>
          <w:color w:val="auto"/>
        </w:rPr>
      </w:pPr>
      <w:r>
        <w:rPr>
          <w:rFonts w:ascii="Arial" w:cs="Arial" w:eastAsia="Arial" w:hAnsi="Arial"/>
          <w:sz w:val="13"/>
          <w:szCs w:val="13"/>
          <w:color w:val="auto"/>
        </w:rPr>
        <w:t>Net cash used in operating activities in 2021 was $44.1 million and consisted of net loss of $59.2 million, less non-cash items of $35.1 million and cash used in assets and liabilities, net, of $19.9 million. Non-cash items included stock-based compensation expense and depreciation and amortization. The cash used in assets and liabilities, net was primarily attributable to a reduction of accrued compensation and liabilities of $8.7 million from bonus payments made in the first quarter of 2021, and an increase in inventories, net of $4.8 million.</w:t>
      </w:r>
    </w:p>
    <w:p>
      <w:pPr>
        <w:spacing w:after="0" w:line="72" w:lineRule="exact"/>
        <w:rPr>
          <w:sz w:val="20"/>
          <w:szCs w:val="20"/>
          <w:color w:val="auto"/>
        </w:rPr>
      </w:pPr>
    </w:p>
    <w:p>
      <w:pPr>
        <w:ind w:right="340" w:firstLine="254"/>
        <w:spacing w:after="0" w:line="266" w:lineRule="auto"/>
        <w:rPr>
          <w:sz w:val="20"/>
          <w:szCs w:val="20"/>
          <w:color w:val="auto"/>
        </w:rPr>
      </w:pPr>
      <w:r>
        <w:rPr>
          <w:rFonts w:ascii="Arial" w:cs="Arial" w:eastAsia="Arial" w:hAnsi="Arial"/>
          <w:sz w:val="14"/>
          <w:szCs w:val="14"/>
          <w:color w:val="auto"/>
        </w:rPr>
        <w:t>Net cash used in operating activities in 2020 was $15.4 million and consisted of net loss of $53.0 million less non-cash adjustments of $35.2 million, and a net cash provided by assets and liabilities of $2.4 million. Increases in inventories, net and accounts receivable, net balances represent working capital increases due to higher revenues were more than offset by higher incentive compensation and other accruals.</w:t>
      </w:r>
    </w:p>
    <w:p>
      <w:pPr>
        <w:spacing w:after="0" w:line="90"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Net cash used in operating activities in 2019 was $35.2 million and consisted of net loss of $64.8 million less non-cash adjustments of $43.2 million, and a net cash used in assets and liabilities of $13.6 million. Non-cash items primarily included a loss from extinguishment of debt of $12.0 million as well as stock-based compensation and depreciation and amortization. The net increase in assets and liabilities was primarily due to lower accrued liabilities for retention bonuses and other variable compensation.</w:t>
      </w:r>
    </w:p>
    <w:p>
      <w:pPr>
        <w:spacing w:after="0" w:line="142" w:lineRule="exact"/>
        <w:rPr>
          <w:sz w:val="20"/>
          <w:szCs w:val="20"/>
          <w:color w:val="auto"/>
        </w:rPr>
      </w:pPr>
    </w:p>
    <w:p>
      <w:pPr>
        <w:ind w:right="340" w:firstLine="254"/>
        <w:spacing w:after="0" w:line="261" w:lineRule="auto"/>
        <w:rPr>
          <w:sz w:val="20"/>
          <w:szCs w:val="20"/>
          <w:color w:val="auto"/>
        </w:rPr>
      </w:pPr>
      <w:r>
        <w:rPr>
          <w:rFonts w:ascii="Arial" w:cs="Arial" w:eastAsia="Arial" w:hAnsi="Arial"/>
          <w:sz w:val="14"/>
          <w:szCs w:val="14"/>
          <w:i w:val="1"/>
          <w:iCs w:val="1"/>
          <w:color w:val="auto"/>
        </w:rPr>
        <w:t xml:space="preserve">Net Cash Provided by (Used in) Investing Activities. </w:t>
      </w:r>
      <w:r>
        <w:rPr>
          <w:rFonts w:ascii="Arial" w:cs="Arial" w:eastAsia="Arial" w:hAnsi="Arial"/>
          <w:sz w:val="14"/>
          <w:szCs w:val="14"/>
          <w:color w:val="auto"/>
        </w:rPr>
        <w:t>Our primary investing activities consist of purchases, sales, and maturities of our short-term investments and capital expenditures for</w:t>
      </w:r>
      <w:r>
        <w:rPr>
          <w:rFonts w:ascii="Arial" w:cs="Arial" w:eastAsia="Arial" w:hAnsi="Arial"/>
          <w:sz w:val="14"/>
          <w:szCs w:val="14"/>
          <w:i w:val="1"/>
          <w:iCs w:val="1"/>
          <w:color w:val="auto"/>
        </w:rPr>
        <w:t xml:space="preserve"> </w:t>
      </w:r>
      <w:r>
        <w:rPr>
          <w:rFonts w:ascii="Arial" w:cs="Arial" w:eastAsia="Arial" w:hAnsi="Arial"/>
          <w:sz w:val="14"/>
          <w:szCs w:val="14"/>
          <w:color w:val="auto"/>
        </w:rPr>
        <w:t>manufacturing, laboratory, computer equipment and software to support our infrastructure and workforce. We expect to continue to incur costs for capital expenditures to improve manufacturing efficiencies and strengthen information technology and network security. However, we may choose to decrease or defer certain capital expenditures and development activities, while further optimizing our organization.</w:t>
      </w:r>
    </w:p>
    <w:p>
      <w:pPr>
        <w:spacing w:after="0" w:line="83" w:lineRule="exact"/>
        <w:rPr>
          <w:sz w:val="20"/>
          <w:szCs w:val="20"/>
          <w:color w:val="auto"/>
        </w:rPr>
      </w:pPr>
    </w:p>
    <w:p>
      <w:pPr>
        <w:ind w:right="160" w:firstLine="254"/>
        <w:spacing w:after="0" w:line="320" w:lineRule="auto"/>
        <w:rPr>
          <w:sz w:val="20"/>
          <w:szCs w:val="20"/>
          <w:color w:val="auto"/>
        </w:rPr>
      </w:pPr>
      <w:r>
        <w:rPr>
          <w:rFonts w:ascii="Arial" w:cs="Arial" w:eastAsia="Arial" w:hAnsi="Arial"/>
          <w:sz w:val="13"/>
          <w:szCs w:val="13"/>
          <w:color w:val="auto"/>
        </w:rPr>
        <w:t>Net cash used in investing activities in 2021 was $11.9 million. Capital expenditures of $13.3 million were incurred primarily to expand our microfluidics IFC production capacity in Singapore related to the NIH Contract. Total proceeds from the NIH Contract were $8.6 million in 2021, of which $1.3 million is expected to be used for the Singapore facility expansion.</w:t>
      </w:r>
    </w:p>
    <w:p>
      <w:pPr>
        <w:spacing w:after="0" w:line="37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69" w:name="page70"/>
    <w:bookmarkEnd w:id="69"/>
    <w:p>
      <w:pPr>
        <w:ind w:right="20" w:firstLine="254"/>
        <w:spacing w:after="0" w:line="261" w:lineRule="auto"/>
        <w:rPr>
          <w:sz w:val="20"/>
          <w:szCs w:val="20"/>
          <w:color w:val="auto"/>
        </w:rPr>
      </w:pPr>
      <w:r>
        <w:rPr>
          <w:rFonts w:ascii="Arial" w:cs="Arial" w:eastAsia="Arial" w:hAnsi="Arial"/>
          <w:sz w:val="14"/>
          <w:szCs w:val="14"/>
          <w:color w:val="auto"/>
        </w:rPr>
        <w:t>Net cash provided by investing activities in 2020 was $40.0 million and includes $36.8 million of proceeds from the sales and maturities of investments as well as $21.0 million of proceeds from the NIH Contract, reflecting the portion of the proceeds from the NIH Contract attributable to the capacity expansion. These inflows were partially offset by capital expenditures of $12.7 million, including $10.2 million of capital expenditures funded by the NIH Contract to expand our Singapore manufacturing facility, and $5.2 million of net cash paid for the InstruNor acquisition. Total proceeds from the NIH Contract received were $25.4 million in 2020.</w:t>
      </w:r>
    </w:p>
    <w:p>
      <w:pPr>
        <w:spacing w:after="0" w:line="94" w:lineRule="exact"/>
        <w:rPr>
          <w:sz w:val="20"/>
          <w:szCs w:val="20"/>
          <w:color w:val="auto"/>
        </w:rPr>
      </w:pPr>
    </w:p>
    <w:p>
      <w:pPr>
        <w:ind w:right="40" w:firstLine="254"/>
        <w:spacing w:after="0" w:line="280" w:lineRule="auto"/>
        <w:rPr>
          <w:sz w:val="20"/>
          <w:szCs w:val="20"/>
          <w:color w:val="auto"/>
        </w:rPr>
      </w:pPr>
      <w:r>
        <w:rPr>
          <w:rFonts w:ascii="Arial" w:cs="Arial" w:eastAsia="Arial" w:hAnsi="Arial"/>
          <w:sz w:val="14"/>
          <w:szCs w:val="14"/>
          <w:color w:val="auto"/>
        </w:rPr>
        <w:t>Net cash used in investing activities in 2019 was $39.3 million, which included purchases of investments of $62.4 million and capital expenditures of $2.5 million to support our commercial and manufacturing operations, partially offset by proceeds from maturities of investments of $25.6 million.</w:t>
      </w:r>
    </w:p>
    <w:p>
      <w:pPr>
        <w:spacing w:after="0" w:line="80" w:lineRule="exact"/>
        <w:rPr>
          <w:sz w:val="20"/>
          <w:szCs w:val="20"/>
          <w:color w:val="auto"/>
        </w:rPr>
      </w:pPr>
    </w:p>
    <w:p>
      <w:pPr>
        <w:jc w:val="both"/>
        <w:ind w:right="120" w:firstLine="254"/>
        <w:spacing w:after="0" w:line="296" w:lineRule="auto"/>
        <w:rPr>
          <w:sz w:val="20"/>
          <w:szCs w:val="20"/>
          <w:color w:val="auto"/>
        </w:rPr>
      </w:pPr>
      <w:r>
        <w:rPr>
          <w:rFonts w:ascii="Arial" w:cs="Arial" w:eastAsia="Arial" w:hAnsi="Arial"/>
          <w:sz w:val="13"/>
          <w:szCs w:val="13"/>
          <w:i w:val="1"/>
          <w:iCs w:val="1"/>
          <w:color w:val="auto"/>
        </w:rPr>
        <w:t xml:space="preserve">Net Cash Provided by Financing Activities. </w:t>
      </w:r>
      <w:r>
        <w:rPr>
          <w:rFonts w:ascii="Arial" w:cs="Arial" w:eastAsia="Arial" w:hAnsi="Arial"/>
          <w:sz w:val="13"/>
          <w:szCs w:val="13"/>
          <w:color w:val="auto"/>
        </w:rPr>
        <w:t>Net cash provided by financing activities totaled $16.0 million in 2021. The principal sources of cash were $10.0 million of advances drawn against</w:t>
      </w:r>
      <w:r>
        <w:rPr>
          <w:rFonts w:ascii="Arial" w:cs="Arial" w:eastAsia="Arial" w:hAnsi="Arial"/>
          <w:sz w:val="13"/>
          <w:szCs w:val="13"/>
          <w:i w:val="1"/>
          <w:iCs w:val="1"/>
          <w:color w:val="auto"/>
        </w:rPr>
        <w:t xml:space="preserve"> </w:t>
      </w:r>
      <w:r>
        <w:rPr>
          <w:rFonts w:ascii="Arial" w:cs="Arial" w:eastAsia="Arial" w:hAnsi="Arial"/>
          <w:sz w:val="13"/>
          <w:szCs w:val="13"/>
          <w:color w:val="auto"/>
        </w:rPr>
        <w:t>our new Term Loan Facility with Silicon Valley Bank, advances under the revolving credit agreement of $6.8 million, and $1.3 million of ESPP proceeds. Partially offsetting these sources was $1.8 million of withholding tax payments related to net share settlement of equity awards and the $0.5 million repurchase of 2014 Notes in February 2021.</w:t>
      </w:r>
    </w:p>
    <w:p>
      <w:pPr>
        <w:spacing w:after="0" w:line="61" w:lineRule="exact"/>
        <w:rPr>
          <w:sz w:val="20"/>
          <w:szCs w:val="20"/>
          <w:color w:val="auto"/>
        </w:rPr>
      </w:pPr>
    </w:p>
    <w:p>
      <w:pPr>
        <w:ind w:right="80" w:firstLine="254"/>
        <w:spacing w:after="0" w:line="320" w:lineRule="auto"/>
        <w:rPr>
          <w:sz w:val="20"/>
          <w:szCs w:val="20"/>
          <w:color w:val="auto"/>
        </w:rPr>
      </w:pPr>
      <w:r>
        <w:rPr>
          <w:rFonts w:ascii="Arial" w:cs="Arial" w:eastAsia="Arial" w:hAnsi="Arial"/>
          <w:sz w:val="13"/>
          <w:szCs w:val="13"/>
          <w:color w:val="auto"/>
        </w:rPr>
        <w:t>We generated cash from financing activities of $20.9 million during 2020. Proceeds from our ATM equity offering were $20.1 million, net of commissions and offering costs. Proceeds from our ESPP program and stock options exercises were largely offset by payments of debt issuance costs and income tax withholding related to net share settlement of equity awards.</w:t>
      </w:r>
    </w:p>
    <w:p>
      <w:pPr>
        <w:spacing w:after="0" w:line="57" w:lineRule="exact"/>
        <w:rPr>
          <w:sz w:val="20"/>
          <w:szCs w:val="20"/>
          <w:color w:val="auto"/>
        </w:rPr>
      </w:pPr>
    </w:p>
    <w:p>
      <w:pPr>
        <w:ind w:right="60" w:firstLine="254"/>
        <w:spacing w:after="0" w:line="280" w:lineRule="auto"/>
        <w:rPr>
          <w:sz w:val="20"/>
          <w:szCs w:val="20"/>
          <w:color w:val="auto"/>
        </w:rPr>
      </w:pPr>
      <w:r>
        <w:rPr>
          <w:rFonts w:ascii="Arial" w:cs="Arial" w:eastAsia="Arial" w:hAnsi="Arial"/>
          <w:sz w:val="14"/>
          <w:szCs w:val="14"/>
          <w:color w:val="auto"/>
        </w:rPr>
        <w:t>We generated cash from financing activities of $2.8 million during 2019. $51.8 million of proceeds from a new $55.0 million debt issuance were used to retire 2014 Notes, as discussed below in more detail. Payments of debt and equity issuance costs of $1.9 million were partially offset by cash inflows from equity programs.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Resources and Going Concern</w:t>
      </w:r>
    </w:p>
    <w:p>
      <w:pPr>
        <w:spacing w:after="0" w:line="114" w:lineRule="exact"/>
        <w:rPr>
          <w:sz w:val="20"/>
          <w:szCs w:val="20"/>
          <w:color w:val="auto"/>
        </w:rPr>
      </w:pPr>
    </w:p>
    <w:p>
      <w:pPr>
        <w:ind w:right="200" w:firstLine="254"/>
        <w:spacing w:after="0" w:line="367" w:lineRule="auto"/>
        <w:rPr>
          <w:sz w:val="20"/>
          <w:szCs w:val="20"/>
          <w:color w:val="auto"/>
        </w:rPr>
      </w:pPr>
      <w:r>
        <w:rPr>
          <w:rFonts w:ascii="Arial" w:cs="Arial" w:eastAsia="Arial" w:hAnsi="Arial"/>
          <w:sz w:val="12"/>
          <w:szCs w:val="12"/>
          <w:color w:val="auto"/>
        </w:rPr>
        <w:t>At December 31, 2021 and December 31, 2020, our working capital, excluding deferred revenues, current, and deferred grant income, current and restricted cash, was $38.0 million and $79.8 million, respectively, including cash and cash equivalents of $28.5 million and $68.5 million, respectively. We had no short-term investments at December 31, 2021 and December 31, 2020.</w:t>
      </w:r>
    </w:p>
    <w:p>
      <w:pPr>
        <w:spacing w:after="0" w:line="33"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In February 2014, we closed an underwritten public offering of our 2014 Notes. Pursuant to the Indenture governing the 2014 Notes, holders of the 2014 Notes have the right, subject to certain conditions specified in such indenture, to require the Company to repurchase all or a portion of their 2014 Notes on each of February 6, 2021, February 6, 2024, and February 6, 2029, at a repurchase price in cash equal to 100% of the principal amount of the 2014 Notes plus accrued and unpaid interest. On February 6, 2021, holders of $0.5 million of the 2014 Notes caused us to repurchase their notes in accordance with this provision leaving $0.6 million of 2014 Notes outstanding at December 31, 2021.</w:t>
      </w:r>
    </w:p>
    <w:p>
      <w:pPr>
        <w:spacing w:after="0" w:line="94" w:lineRule="exact"/>
        <w:rPr>
          <w:sz w:val="20"/>
          <w:szCs w:val="20"/>
          <w:color w:val="auto"/>
        </w:rPr>
      </w:pPr>
    </w:p>
    <w:p>
      <w:pPr>
        <w:ind w:firstLine="254"/>
        <w:spacing w:after="0" w:line="258" w:lineRule="auto"/>
        <w:rPr>
          <w:sz w:val="20"/>
          <w:szCs w:val="20"/>
          <w:color w:val="auto"/>
        </w:rPr>
      </w:pPr>
      <w:r>
        <w:rPr>
          <w:rFonts w:ascii="Arial" w:cs="Arial" w:eastAsia="Arial" w:hAnsi="Arial"/>
          <w:sz w:val="14"/>
          <w:szCs w:val="14"/>
          <w:color w:val="auto"/>
        </w:rPr>
        <w:t>In November 2019, we closed a private placement to qualified institutional buyers pursuant to Rule 144A under the Securities Act of $55.0 million aggregate principal amount of our 2019 Notes. The 2019 Notes bear interest at 5.25% per annum, payable semiannually on June 1 and December 1 of each year, beginning on June 1, 2020. The Notes will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2019 Notes is 344.8276 shares of the Company’s common stock per $1,000 principal amount of 2019 Notes (which is equivalent to an initial conversion price of $2.90 per share). The conversion rate will be subject to adjustment upon the occurrence of certain specified events but will not be adjusted for any accrued and unpaid interest.</w:t>
      </w:r>
    </w:p>
    <w:p>
      <w:pPr>
        <w:spacing w:after="0" w:line="84" w:lineRule="exact"/>
        <w:rPr>
          <w:sz w:val="20"/>
          <w:szCs w:val="20"/>
          <w:color w:val="auto"/>
        </w:rPr>
      </w:pPr>
    </w:p>
    <w:p>
      <w:pPr>
        <w:ind w:firstLine="254"/>
        <w:spacing w:after="0" w:line="284" w:lineRule="auto"/>
        <w:rPr>
          <w:sz w:val="20"/>
          <w:szCs w:val="20"/>
          <w:color w:val="auto"/>
        </w:rPr>
      </w:pPr>
      <w:r>
        <w:rPr>
          <w:rFonts w:ascii="Arial" w:cs="Arial" w:eastAsia="Arial" w:hAnsi="Arial"/>
          <w:sz w:val="13"/>
          <w:szCs w:val="13"/>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subject to adjustment)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79" w:lineRule="exact"/>
        <w:rPr>
          <w:sz w:val="20"/>
          <w:szCs w:val="20"/>
          <w:color w:val="auto"/>
        </w:rPr>
      </w:pPr>
    </w:p>
    <w:p>
      <w:pPr>
        <w:ind w:right="80" w:firstLine="254"/>
        <w:spacing w:after="0" w:line="280" w:lineRule="auto"/>
        <w:rPr>
          <w:sz w:val="20"/>
          <w:szCs w:val="20"/>
          <w:color w:val="auto"/>
        </w:rPr>
      </w:pPr>
      <w:r>
        <w:rPr>
          <w:rFonts w:ascii="Arial" w:cs="Arial" w:eastAsia="Arial" w:hAnsi="Arial"/>
          <w:sz w:val="14"/>
          <w:szCs w:val="14"/>
          <w:color w:val="auto"/>
        </w:rPr>
        <w:t>The foregoing summaries of the 2014 Notes and the 2019 Notes are not complete and are qualified in their entirety by the applicable indentures, forms of global notes, and other agreements and documents filed with the SEC.</w:t>
      </w:r>
    </w:p>
    <w:p>
      <w:pPr>
        <w:spacing w:after="0" w:line="80" w:lineRule="exact"/>
        <w:rPr>
          <w:sz w:val="20"/>
          <w:szCs w:val="20"/>
          <w:color w:val="auto"/>
        </w:rPr>
      </w:pPr>
    </w:p>
    <w:p>
      <w:pPr>
        <w:ind w:right="460" w:firstLine="254"/>
        <w:spacing w:after="0" w:line="280" w:lineRule="auto"/>
        <w:rPr>
          <w:sz w:val="20"/>
          <w:szCs w:val="20"/>
          <w:color w:val="auto"/>
        </w:rPr>
      </w:pPr>
      <w:r>
        <w:rPr>
          <w:rFonts w:ascii="Arial" w:cs="Arial" w:eastAsia="Arial" w:hAnsi="Arial"/>
          <w:sz w:val="14"/>
          <w:szCs w:val="14"/>
          <w:color w:val="auto"/>
        </w:rPr>
        <w:t>On August 2, 2018, we entered into a Loan and Security Agreement with SVB (the Credit Agreement) for our Revolving Credit Facility, which provides for secured revolving loans in an aggregate amount of up to $15.0 million. In August 2021, we</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955" w:right="359" w:bottom="1440" w:gutter="0" w:footer="0" w:header="0"/>
        </w:sectPr>
      </w:pPr>
    </w:p>
    <w:bookmarkStart w:id="70" w:name="page71"/>
    <w:bookmarkEnd w:id="70"/>
    <w:p>
      <w:pPr>
        <w:spacing w:after="0"/>
        <w:rPr>
          <w:sz w:val="20"/>
          <w:szCs w:val="20"/>
          <w:color w:val="auto"/>
        </w:rPr>
      </w:pPr>
      <w:r>
        <w:rPr>
          <w:rFonts w:ascii="Arial" w:cs="Arial" w:eastAsia="Arial" w:hAnsi="Arial"/>
          <w:sz w:val="13"/>
          <w:szCs w:val="13"/>
          <w:color w:val="auto"/>
        </w:rPr>
        <w:t>amended our Revolving Credit Facility to extend the maturity date to August 2, 2023 and to provide for a new $10.0 million Term Loan Facility (the Term Loan Facility and, together with the</w:t>
      </w:r>
    </w:p>
    <w:p>
      <w:pPr>
        <w:spacing w:after="0" w:line="52"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Revolving Credit Facility, the Credit Facility). The Credit Facility is collateralized by substantially all our property, other than intellectual property. The maturity date of the Term Loan Facility is July 1, 2025, subject to the following condition: in the event the principal amount of our convertible debt exceeds $0.6 million as of June 1, 2024 or if the maturity date of our 2019 Notes has not been extended beyond January 1, 2026 by that date, then the maturity date of the Term Loan Facility will be June 1, 2024.</w:t>
      </w:r>
    </w:p>
    <w:p>
      <w:pPr>
        <w:spacing w:after="0" w:line="90" w:lineRule="exact"/>
        <w:rPr>
          <w:sz w:val="20"/>
          <w:szCs w:val="20"/>
          <w:color w:val="auto"/>
        </w:rPr>
      </w:pPr>
    </w:p>
    <w:p>
      <w:pPr>
        <w:ind w:right="220" w:firstLine="254"/>
        <w:spacing w:after="0" w:line="322" w:lineRule="auto"/>
        <w:rPr>
          <w:sz w:val="20"/>
          <w:szCs w:val="20"/>
          <w:color w:val="auto"/>
        </w:rPr>
      </w:pPr>
      <w:r>
        <w:rPr>
          <w:rFonts w:ascii="Arial" w:cs="Arial" w:eastAsia="Arial" w:hAnsi="Arial"/>
          <w:sz w:val="12"/>
          <w:szCs w:val="12"/>
          <w:color w:val="auto"/>
        </w:rPr>
        <w:t>As of December 31, 2021, the Term Loan Facility was fully drawn. Interest on the term loan accrues on the outstanding principal amount thereof at the greater of (i) a floating per annum rate equal to three quarters of one percentage point (0.75%) above the prime rate (as customarily defined), or 4% with a final payment equal to 6.5% of the aggregate original principal amounts of each</w:t>
      </w:r>
    </w:p>
    <w:p>
      <w:pPr>
        <w:ind w:right="100"/>
        <w:spacing w:after="0" w:line="296" w:lineRule="auto"/>
        <w:rPr>
          <w:sz w:val="20"/>
          <w:szCs w:val="20"/>
          <w:color w:val="auto"/>
        </w:rPr>
      </w:pPr>
      <w:r>
        <w:rPr>
          <w:rFonts w:ascii="Arial" w:cs="Arial" w:eastAsia="Arial" w:hAnsi="Arial"/>
          <w:sz w:val="13"/>
          <w:szCs w:val="13"/>
          <w:color w:val="auto"/>
        </w:rPr>
        <w:t>term loan advance due on the earlier of the maturity date of the Term Loan Facility, the acceleration of the term loan advances or any prepayment of a term loan advance. Interest is payable monthly. The principal amount of the term loan advances is repayable beginning on August 1, 2023, in twenty-four equal monthly installments of principal plus monthly payments of accrued interest. The Amendment also added a financial covenant to the Credit Facility, requiring us to maintain a minimum Adjusted Quick Ratio (as defined in the Amendment) of at least 1.25 to 1.00.</w:t>
      </w:r>
    </w:p>
    <w:p>
      <w:pPr>
        <w:spacing w:after="0" w:line="72" w:lineRule="exact"/>
        <w:rPr>
          <w:sz w:val="20"/>
          <w:szCs w:val="20"/>
          <w:color w:val="auto"/>
        </w:rPr>
      </w:pPr>
    </w:p>
    <w:p>
      <w:pPr>
        <w:ind w:right="60" w:firstLine="254"/>
        <w:spacing w:after="0" w:line="266" w:lineRule="auto"/>
        <w:rPr>
          <w:sz w:val="20"/>
          <w:szCs w:val="20"/>
          <w:color w:val="auto"/>
        </w:rPr>
      </w:pPr>
      <w:r>
        <w:rPr>
          <w:rFonts w:ascii="Arial" w:cs="Arial" w:eastAsia="Arial" w:hAnsi="Arial"/>
          <w:sz w:val="14"/>
          <w:szCs w:val="14"/>
          <w:color w:val="auto"/>
        </w:rPr>
        <w:t>As of December 31, 2021, the total borrowing base under the Revolving Credit Facility was $9.4 million. We had $6.8 million drawn, leaving $2.5 million available. We were in compliance with all the terms and conditions of the Revolving Credit Agreement governing the Revolving Credit Facility as of December 31, 2021, except in one instance where non-compliance was subsequently waived. See Note 9 to our consolidated financial statements for more information about the Revolving Credit Facility.</w:t>
      </w:r>
    </w:p>
    <w:p>
      <w:pPr>
        <w:spacing w:after="0" w:line="79" w:lineRule="exact"/>
        <w:rPr>
          <w:sz w:val="20"/>
          <w:szCs w:val="20"/>
          <w:color w:val="auto"/>
        </w:rPr>
      </w:pPr>
    </w:p>
    <w:p>
      <w:pPr>
        <w:ind w:right="140" w:firstLine="254"/>
        <w:spacing w:after="0" w:line="280" w:lineRule="auto"/>
        <w:rPr>
          <w:sz w:val="20"/>
          <w:szCs w:val="20"/>
          <w:color w:val="auto"/>
        </w:rPr>
      </w:pPr>
      <w:r>
        <w:rPr>
          <w:rFonts w:ascii="Arial" w:cs="Arial" w:eastAsia="Arial" w:hAnsi="Arial"/>
          <w:sz w:val="13"/>
          <w:szCs w:val="13"/>
          <w:color w:val="auto"/>
        </w:rPr>
        <w:t>Since our inception, we have financed our negative cash flow from operations primarily through equity offerings and the issuance of debt instruments. For this annual report, we performed an assessment to determine whether there are conditions or events, considered in the aggregate, that raise substantial doubt about our ability to continue as a going concern for at least the twelve-month period following the date the financial statements were issued. As of December 31, 2021, we had $29.5 million in cash, cash equivalents and restricted cash. Due to an extended strategic review process related to the pending Private Placement Issuance, we were unable in 2021 to implement certain cash management actions, including potential financing and/or cost reduction initiatives. Further, we have incurred, and expect to continue to incur, significant costs in pursuit of our business plans. As a result, we believe that our current level of cash and cash equivalents, together with committed financing facilities, are not sufficient to fund ongoing operations for at least the twelve-month period after the financial statements were issued. The existence of these conditions raises substantial doubt about our ability to continue as a going concern for at least the twelve-month period following the date the financial statements were issued.</w:t>
      </w:r>
    </w:p>
    <w:p>
      <w:pPr>
        <w:spacing w:after="0" w:line="82" w:lineRule="exact"/>
        <w:rPr>
          <w:sz w:val="20"/>
          <w:szCs w:val="20"/>
          <w:color w:val="auto"/>
        </w:rPr>
      </w:pPr>
    </w:p>
    <w:p>
      <w:pPr>
        <w:ind w:firstLine="254"/>
        <w:spacing w:after="0" w:line="257" w:lineRule="auto"/>
        <w:rPr>
          <w:sz w:val="20"/>
          <w:szCs w:val="20"/>
          <w:color w:val="auto"/>
        </w:rPr>
      </w:pPr>
      <w:r>
        <w:rPr>
          <w:rFonts w:ascii="Arial" w:cs="Arial" w:eastAsia="Arial" w:hAnsi="Arial"/>
          <w:sz w:val="14"/>
          <w:szCs w:val="14"/>
          <w:color w:val="auto"/>
        </w:rPr>
        <w:t>Our ability to continue as a going concern is dependent upon our ability to obtain additional equity or debt financing, attain further operating efficiencies, reduce expenditures and ultimately, generate significant revenue growth. Our plans to raise additional capital, including our ability to consummate the Private Placement Issuance, or take other actions to address the doubt regarding our ability to continue as a going concern, may not be successful. There can be no assurance that the Company would be able to obtain additional liquidity when needed or under acceptable terms, if at all. Refer to “Risk Factors – As disclosed in footnote two of our consolidated financial statements, and referenced in our independent registered public accounting firm’s report, we believe that our current level of cash and cash equivalents, together with committed financing facilities, are not sufficient to fund ongoing operations for at least the twelve-month period after the financial statements were issued. The existence of these conditions raises substantial doubt about our ability to continue as a “going concern” for at least the twelve-month period following the date the financial statements were issued..’”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29" w:lineRule="exact"/>
        <w:rPr>
          <w:sz w:val="20"/>
          <w:szCs w:val="20"/>
          <w:color w:val="auto"/>
        </w:rPr>
      </w:pPr>
    </w:p>
    <w:p>
      <w:pPr>
        <w:ind w:right="560" w:firstLine="254"/>
        <w:spacing w:after="0" w:line="280" w:lineRule="auto"/>
        <w:rPr>
          <w:sz w:val="20"/>
          <w:szCs w:val="20"/>
          <w:color w:val="auto"/>
        </w:rPr>
      </w:pPr>
      <w:r>
        <w:rPr>
          <w:rFonts w:ascii="Arial" w:cs="Arial" w:eastAsia="Arial" w:hAnsi="Arial"/>
          <w:sz w:val="14"/>
          <w:szCs w:val="14"/>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Exchange Risk</w:t>
      </w:r>
    </w:p>
    <w:p>
      <w:pPr>
        <w:spacing w:after="0" w:line="118" w:lineRule="exact"/>
        <w:rPr>
          <w:sz w:val="20"/>
          <w:szCs w:val="20"/>
          <w:color w:val="auto"/>
        </w:rPr>
      </w:pPr>
    </w:p>
    <w:p>
      <w:pPr>
        <w:ind w:right="20" w:firstLine="254"/>
        <w:spacing w:after="0" w:line="259" w:lineRule="auto"/>
        <w:rPr>
          <w:sz w:val="20"/>
          <w:szCs w:val="20"/>
          <w:color w:val="auto"/>
        </w:rPr>
      </w:pPr>
      <w:r>
        <w:rPr>
          <w:rFonts w:ascii="Arial" w:cs="Arial" w:eastAsia="Arial" w:hAnsi="Arial"/>
          <w:sz w:val="14"/>
          <w:szCs w:val="14"/>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w:t>
      </w: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55" w:right="319" w:bottom="1440" w:gutter="0" w:footer="0" w:header="0"/>
        </w:sectPr>
      </w:pPr>
    </w:p>
    <w:bookmarkStart w:id="71" w:name="page72"/>
    <w:bookmarkEnd w:id="71"/>
    <w:p>
      <w:pPr>
        <w:spacing w:after="0" w:line="259" w:lineRule="auto"/>
        <w:rPr>
          <w:sz w:val="20"/>
          <w:szCs w:val="20"/>
          <w:color w:val="auto"/>
        </w:rPr>
      </w:pPr>
      <w:r>
        <w:rPr>
          <w:rFonts w:ascii="Arial" w:cs="Arial" w:eastAsia="Arial" w:hAnsi="Arial"/>
          <w:sz w:val="14"/>
          <w:szCs w:val="14"/>
          <w:color w:val="auto"/>
        </w:rPr>
        <w:t>in our net income or loss as a result of transaction gains or losses related to revaluing certain current asset and current liability balances that are denominated in currencies other than the functional currency of the entities in which they are recorded. For the year ended December 31, 2021, we had a foreign currency loss of $0.2 million compared to a foreign currency gain of $0.1 million in the prior year.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Sensitivity</w:t>
      </w:r>
    </w:p>
    <w:p>
      <w:pPr>
        <w:spacing w:after="0" w:line="129" w:lineRule="exact"/>
        <w:rPr>
          <w:sz w:val="20"/>
          <w:szCs w:val="20"/>
          <w:color w:val="auto"/>
        </w:rPr>
      </w:pPr>
    </w:p>
    <w:p>
      <w:pPr>
        <w:jc w:val="both"/>
        <w:ind w:right="180" w:firstLine="254"/>
        <w:spacing w:after="0" w:line="261" w:lineRule="auto"/>
        <w:rPr>
          <w:sz w:val="20"/>
          <w:szCs w:val="20"/>
          <w:color w:val="auto"/>
        </w:rPr>
      </w:pPr>
      <w:r>
        <w:rPr>
          <w:rFonts w:ascii="Arial" w:cs="Arial" w:eastAsia="Arial" w:hAnsi="Arial"/>
          <w:sz w:val="14"/>
          <w:szCs w:val="14"/>
          <w:color w:val="auto"/>
        </w:rPr>
        <w:t>We had cash and cash equivalents of $28.5 million as of December 31, 2021 These amounts were held primarily in cash on deposit with banks and money market funds which are short-term. Cash, cash equivalents and investments are held for working capital purposes. We believe that we do not have any material exposure to changes in the fair value of our money market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29" w:lineRule="exact"/>
        <w:rPr>
          <w:sz w:val="20"/>
          <w:szCs w:val="20"/>
          <w:color w:val="auto"/>
        </w:rPr>
      </w:pPr>
    </w:p>
    <w:p>
      <w:pPr>
        <w:ind w:right="140" w:firstLine="254"/>
        <w:spacing w:after="0" w:line="280" w:lineRule="auto"/>
        <w:rPr>
          <w:sz w:val="20"/>
          <w:szCs w:val="20"/>
          <w:color w:val="auto"/>
        </w:rPr>
      </w:pPr>
      <w:r>
        <w:rPr>
          <w:rFonts w:ascii="Arial" w:cs="Arial" w:eastAsia="Arial" w:hAnsi="Arial"/>
          <w:sz w:val="14"/>
          <w:szCs w:val="14"/>
          <w:color w:val="auto"/>
        </w:rPr>
        <w:t>We do not have material exposure to market risk with respect to investments. We do not use derivative financial instruments for speculative or trading purposes. We may adopt specific hedging strategies in the future.</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955"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36"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40" w:type="dxa"/>
            <w:vAlign w:val="bottom"/>
            <w:gridSpan w:val="4"/>
          </w:tcPr>
          <w:p>
            <w:pPr>
              <w:ind w:left="2120"/>
              <w:spacing w:after="0"/>
              <w:rPr>
                <w:sz w:val="20"/>
                <w:szCs w:val="20"/>
                <w:color w:val="auto"/>
              </w:rPr>
            </w:pPr>
            <w:r>
              <w:rPr>
                <w:rFonts w:ascii="Arial" w:cs="Arial" w:eastAsia="Arial" w:hAnsi="Arial"/>
                <w:sz w:val="11"/>
                <w:szCs w:val="11"/>
                <w:b w:val="1"/>
                <w:bCs w:val="1"/>
                <w:color w:val="auto"/>
              </w:rPr>
              <w:t>Page</w:t>
            </w:r>
          </w:p>
        </w:tc>
      </w:tr>
      <w:tr>
        <w:trPr>
          <w:trHeight w:val="176"/>
        </w:trPr>
        <w:tc>
          <w:tcPr>
            <w:tcW w:w="20" w:type="dxa"/>
            <w:vAlign w:val="bottom"/>
            <w:tcBorders>
              <w:top w:val="single" w:sz="8" w:color="auto"/>
            </w:tcBorders>
          </w:tcPr>
          <w:p>
            <w:pPr>
              <w:spacing w:after="0"/>
              <w:rPr>
                <w:sz w:val="15"/>
                <w:szCs w:val="15"/>
                <w:color w:val="auto"/>
              </w:rPr>
            </w:pPr>
          </w:p>
        </w:tc>
        <w:tc>
          <w:tcPr>
            <w:tcW w:w="8220" w:type="dxa"/>
            <w:vAlign w:val="bottom"/>
            <w:tcBorders>
              <w:top w:val="single" w:sz="8" w:color="auto"/>
            </w:tcBorders>
            <w:gridSpan w:val="8"/>
          </w:tcPr>
          <w:p>
            <w:pPr>
              <w:spacing w:after="0" w:line="160" w:lineRule="exact"/>
              <w:rPr>
                <w:rFonts w:ascii="Arial" w:cs="Arial" w:eastAsia="Arial" w:hAnsi="Arial"/>
                <w:sz w:val="14"/>
                <w:szCs w:val="14"/>
                <w:color w:val="0000FF"/>
              </w:rPr>
            </w:pPr>
            <w:hyperlink w:anchor="page73">
              <w:r>
                <w:rPr>
                  <w:rFonts w:ascii="Arial" w:cs="Arial" w:eastAsia="Arial" w:hAnsi="Arial"/>
                  <w:sz w:val="14"/>
                  <w:szCs w:val="14"/>
                  <w:color w:val="0000FF"/>
                </w:rPr>
                <w:t xml:space="preserve">Report of PricewaterhouseCoopers LLP-Independent Registered Public Accounting Firm </w:t>
              </w:r>
            </w:hyperlink>
            <w:r>
              <w:rPr>
                <w:rFonts w:ascii="Arial" w:cs="Arial" w:eastAsia="Arial" w:hAnsi="Arial"/>
                <w:sz w:val="14"/>
                <w:szCs w:val="14"/>
                <w:color w:val="000000"/>
              </w:rPr>
              <w:t>(PCAOB</w:t>
            </w:r>
            <w:r>
              <w:rPr>
                <w:rFonts w:ascii="Arial" w:cs="Arial" w:eastAsia="Arial" w:hAnsi="Arial"/>
                <w:sz w:val="14"/>
                <w:szCs w:val="14"/>
                <w:color w:val="0000FF"/>
              </w:rPr>
              <w:t xml:space="preserve"> </w:t>
            </w:r>
            <w:r>
              <w:rPr>
                <w:rFonts w:ascii="Arial" w:cs="Arial" w:eastAsia="Arial" w:hAnsi="Arial"/>
                <w:sz w:val="14"/>
                <w:szCs w:val="14"/>
                <w:color w:val="000000"/>
              </w:rPr>
              <w:t>ID</w:t>
            </w:r>
            <w:r>
              <w:rPr>
                <w:rFonts w:ascii="Arial" w:cs="Arial" w:eastAsia="Arial" w:hAnsi="Arial"/>
                <w:sz w:val="14"/>
                <w:szCs w:val="14"/>
                <w:color w:val="0000FF"/>
              </w:rPr>
              <w:t xml:space="preserve"> </w:t>
            </w:r>
            <w:r>
              <w:rPr>
                <w:rFonts w:ascii="Arial" w:cs="Arial" w:eastAsia="Arial" w:hAnsi="Arial"/>
                <w:sz w:val="15"/>
                <w:szCs w:val="15"/>
                <w:color w:val="000000"/>
              </w:rPr>
              <w:t>238</w:t>
            </w:r>
            <w:r>
              <w:rPr>
                <w:rFonts w:ascii="Arial" w:cs="Arial" w:eastAsia="Arial" w:hAnsi="Arial"/>
                <w:sz w:val="14"/>
                <w:szCs w:val="14"/>
                <w:color w:val="000000"/>
              </w:rPr>
              <w:t>)</w:t>
            </w:r>
          </w:p>
        </w:tc>
        <w:tc>
          <w:tcPr>
            <w:tcW w:w="2300" w:type="dxa"/>
            <w:vAlign w:val="bottom"/>
            <w:tcBorders>
              <w:top w:val="single" w:sz="8" w:color="auto"/>
            </w:tcBorders>
            <w:gridSpan w:val="2"/>
          </w:tcPr>
          <w:p>
            <w:pPr>
              <w:jc w:val="center"/>
              <w:ind w:left="2091"/>
              <w:spacing w:after="0"/>
              <w:rPr>
                <w:rFonts w:ascii="Arial" w:cs="Arial" w:eastAsia="Arial" w:hAnsi="Arial"/>
                <w:sz w:val="14"/>
                <w:szCs w:val="14"/>
                <w:color w:val="0000FF"/>
                <w:w w:val="89"/>
              </w:rPr>
            </w:pPr>
            <w:hyperlink w:anchor="page73">
              <w:r>
                <w:rPr>
                  <w:rFonts w:ascii="Arial" w:cs="Arial" w:eastAsia="Arial" w:hAnsi="Arial"/>
                  <w:sz w:val="14"/>
                  <w:szCs w:val="14"/>
                  <w:color w:val="0000FF"/>
                  <w:w w:val="89"/>
                </w:rPr>
                <w:t>71</w:t>
              </w:r>
            </w:hyperlink>
          </w:p>
        </w:tc>
        <w:tc>
          <w:tcPr>
            <w:tcW w:w="7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5040" w:type="dxa"/>
            <w:vAlign w:val="bottom"/>
            <w:tcBorders>
              <w:top w:val="single" w:sz="8" w:color="0000FF"/>
            </w:tcBorders>
            <w:gridSpan w:val="3"/>
          </w:tcPr>
          <w:p>
            <w:pPr>
              <w:spacing w:after="0"/>
              <w:rPr>
                <w:rFonts w:ascii="Arial" w:cs="Arial" w:eastAsia="Arial" w:hAnsi="Arial"/>
                <w:sz w:val="14"/>
                <w:szCs w:val="14"/>
                <w:color w:val="0000FF"/>
              </w:rPr>
            </w:pPr>
            <w:hyperlink w:anchor="page76">
              <w:r>
                <w:rPr>
                  <w:rFonts w:ascii="Arial" w:cs="Arial" w:eastAsia="Arial" w:hAnsi="Arial"/>
                  <w:sz w:val="14"/>
                  <w:szCs w:val="14"/>
                  <w:color w:val="0000FF"/>
                </w:rPr>
                <w:t>Consolidated Balance Sheets as of December 31, 2021 and 2020</w:t>
              </w:r>
            </w:hyperlink>
          </w:p>
        </w:tc>
        <w:tc>
          <w:tcPr>
            <w:tcW w:w="3180" w:type="dxa"/>
            <w:vAlign w:val="bottom"/>
            <w:gridSpan w:val="5"/>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top w:val="single" w:sz="8" w:color="0000FF"/>
            </w:tcBorders>
          </w:tcPr>
          <w:p>
            <w:pPr>
              <w:jc w:val="center"/>
              <w:spacing w:after="0"/>
              <w:rPr>
                <w:rFonts w:ascii="Arial" w:cs="Arial" w:eastAsia="Arial" w:hAnsi="Arial"/>
                <w:sz w:val="14"/>
                <w:szCs w:val="14"/>
                <w:color w:val="0000FF"/>
                <w:w w:val="89"/>
              </w:rPr>
            </w:pPr>
            <w:hyperlink w:anchor="page76">
              <w:r>
                <w:rPr>
                  <w:rFonts w:ascii="Arial" w:cs="Arial" w:eastAsia="Arial" w:hAnsi="Arial"/>
                  <w:sz w:val="14"/>
                  <w:szCs w:val="14"/>
                  <w:color w:val="0000FF"/>
                  <w:w w:val="89"/>
                </w:rPr>
                <w:t>74</w:t>
              </w:r>
            </w:hyperlink>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8"/>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 xml:space="preserve">Consolidated Statements of Operations for the years ended December 31, </w:t>
              </w:r>
            </w:hyperlink>
            <w:r>
              <w:rPr>
                <w:rFonts w:ascii="Arial" w:cs="Arial" w:eastAsia="Arial" w:hAnsi="Arial"/>
                <w:sz w:val="14"/>
                <w:szCs w:val="14"/>
                <w:color w:val="0000FF"/>
              </w:rPr>
              <w:t xml:space="preserve">2021, 2020 </w:t>
            </w:r>
            <w:hyperlink w:anchor="page77">
              <w:r>
                <w:rPr>
                  <w:rFonts w:ascii="Arial" w:cs="Arial" w:eastAsia="Arial" w:hAnsi="Arial"/>
                  <w:sz w:val="14"/>
                  <w:szCs w:val="14"/>
                  <w:color w:val="0000FF"/>
                </w:rPr>
                <w:t>and 201</w:t>
              </w:r>
            </w:hyperlink>
            <w:r>
              <w:rPr>
                <w:rFonts w:ascii="Arial" w:cs="Arial" w:eastAsia="Arial" w:hAnsi="Arial"/>
                <w:sz w:val="14"/>
                <w:szCs w:val="14"/>
                <w:color w:val="000000"/>
              </w:rPr>
              <w:t>9</w:t>
            </w:r>
          </w:p>
        </w:tc>
        <w:tc>
          <w:tcPr>
            <w:tcW w:w="2300" w:type="dxa"/>
            <w:vAlign w:val="bottom"/>
            <w:gridSpan w:val="2"/>
          </w:tcPr>
          <w:p>
            <w:pPr>
              <w:jc w:val="center"/>
              <w:ind w:left="2091"/>
              <w:spacing w:after="0"/>
              <w:rPr>
                <w:rFonts w:ascii="Arial" w:cs="Arial" w:eastAsia="Arial" w:hAnsi="Arial"/>
                <w:sz w:val="14"/>
                <w:szCs w:val="14"/>
                <w:color w:val="0000FF"/>
                <w:w w:val="89"/>
              </w:rPr>
            </w:pPr>
            <w:hyperlink w:anchor="page77">
              <w:r>
                <w:rPr>
                  <w:rFonts w:ascii="Arial" w:cs="Arial" w:eastAsia="Arial" w:hAnsi="Arial"/>
                  <w:sz w:val="14"/>
                  <w:szCs w:val="14"/>
                  <w:color w:val="0000FF"/>
                  <w:w w:val="89"/>
                </w:rPr>
                <w:t>75</w:t>
              </w:r>
            </w:hyperlink>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8"/>
          </w:tcPr>
          <w:p>
            <w:pPr>
              <w:spacing w:after="0"/>
              <w:rPr>
                <w:rFonts w:ascii="Arial" w:cs="Arial" w:eastAsia="Arial" w:hAnsi="Arial"/>
                <w:sz w:val="14"/>
                <w:szCs w:val="14"/>
                <w:color w:val="0000FF"/>
              </w:rPr>
            </w:pPr>
            <w:hyperlink w:anchor="page78">
              <w:r>
                <w:rPr>
                  <w:rFonts w:ascii="Arial" w:cs="Arial" w:eastAsia="Arial" w:hAnsi="Arial"/>
                  <w:sz w:val="14"/>
                  <w:szCs w:val="14"/>
                  <w:color w:val="0000FF"/>
                </w:rPr>
                <w:t xml:space="preserve">Consolidated Statements of Comprehensive Loss for the years ended December 31, </w:t>
              </w:r>
            </w:hyperlink>
            <w:r>
              <w:rPr>
                <w:rFonts w:ascii="Arial" w:cs="Arial" w:eastAsia="Arial" w:hAnsi="Arial"/>
                <w:sz w:val="14"/>
                <w:szCs w:val="14"/>
                <w:color w:val="0000FF"/>
              </w:rPr>
              <w:t xml:space="preserve">2021, 2020 </w:t>
            </w:r>
            <w:hyperlink w:anchor="page78">
              <w:r>
                <w:rPr>
                  <w:rFonts w:ascii="Arial" w:cs="Arial" w:eastAsia="Arial" w:hAnsi="Arial"/>
                  <w:sz w:val="14"/>
                  <w:szCs w:val="14"/>
                  <w:color w:val="0000FF"/>
                </w:rPr>
                <w:t xml:space="preserve">and </w:t>
              </w:r>
            </w:hyperlink>
            <w:r>
              <w:rPr>
                <w:rFonts w:ascii="Arial" w:cs="Arial" w:eastAsia="Arial" w:hAnsi="Arial"/>
                <w:sz w:val="14"/>
                <w:szCs w:val="14"/>
                <w:color w:val="0000FF"/>
              </w:rPr>
              <w:t>201</w:t>
            </w:r>
            <w:r>
              <w:rPr>
                <w:rFonts w:ascii="Arial" w:cs="Arial" w:eastAsia="Arial" w:hAnsi="Arial"/>
                <w:sz w:val="14"/>
                <w:szCs w:val="14"/>
                <w:color w:val="000000"/>
              </w:rPr>
              <w:t>9</w:t>
            </w:r>
          </w:p>
        </w:tc>
        <w:tc>
          <w:tcPr>
            <w:tcW w:w="2300" w:type="dxa"/>
            <w:vAlign w:val="bottom"/>
            <w:gridSpan w:val="2"/>
          </w:tcPr>
          <w:p>
            <w:pPr>
              <w:jc w:val="center"/>
              <w:ind w:left="2091"/>
              <w:spacing w:after="0"/>
              <w:rPr>
                <w:rFonts w:ascii="Arial" w:cs="Arial" w:eastAsia="Arial" w:hAnsi="Arial"/>
                <w:sz w:val="14"/>
                <w:szCs w:val="14"/>
                <w:color w:val="0000FF"/>
                <w:w w:val="89"/>
              </w:rPr>
            </w:pPr>
            <w:hyperlink w:anchor="page78">
              <w:r>
                <w:rPr>
                  <w:rFonts w:ascii="Arial" w:cs="Arial" w:eastAsia="Arial" w:hAnsi="Arial"/>
                  <w:sz w:val="14"/>
                  <w:szCs w:val="14"/>
                  <w:color w:val="0000FF"/>
                  <w:w w:val="89"/>
                </w:rPr>
                <w:t>76</w:t>
              </w:r>
            </w:hyperlink>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gridSpan w:val="8"/>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 xml:space="preserve">Consolidated Statements of Stockholders' Equity for the years ended December 31, </w:t>
              </w:r>
            </w:hyperlink>
            <w:r>
              <w:rPr>
                <w:rFonts w:ascii="Arial" w:cs="Arial" w:eastAsia="Arial" w:hAnsi="Arial"/>
                <w:sz w:val="14"/>
                <w:szCs w:val="14"/>
                <w:color w:val="0000FF"/>
              </w:rPr>
              <w:t xml:space="preserve">2021, 2020 </w:t>
            </w:r>
            <w:hyperlink w:anchor="page79">
              <w:r>
                <w:rPr>
                  <w:rFonts w:ascii="Arial" w:cs="Arial" w:eastAsia="Arial" w:hAnsi="Arial"/>
                  <w:sz w:val="14"/>
                  <w:szCs w:val="14"/>
                  <w:color w:val="0000FF"/>
                </w:rPr>
                <w:t xml:space="preserve">and </w:t>
              </w:r>
            </w:hyperlink>
            <w:r>
              <w:rPr>
                <w:rFonts w:ascii="Arial" w:cs="Arial" w:eastAsia="Arial" w:hAnsi="Arial"/>
                <w:sz w:val="14"/>
                <w:szCs w:val="14"/>
                <w:color w:val="0000FF"/>
              </w:rPr>
              <w:t>201</w:t>
            </w:r>
            <w:r>
              <w:rPr>
                <w:rFonts w:ascii="Arial" w:cs="Arial" w:eastAsia="Arial" w:hAnsi="Arial"/>
                <w:sz w:val="14"/>
                <w:szCs w:val="14"/>
                <w:color w:val="000000"/>
              </w:rPr>
              <w:t>9</w:t>
            </w:r>
          </w:p>
        </w:tc>
        <w:tc>
          <w:tcPr>
            <w:tcW w:w="2300" w:type="dxa"/>
            <w:vAlign w:val="bottom"/>
            <w:gridSpan w:val="2"/>
          </w:tcPr>
          <w:p>
            <w:pPr>
              <w:jc w:val="center"/>
              <w:ind w:left="2091"/>
              <w:spacing w:after="0"/>
              <w:rPr>
                <w:rFonts w:ascii="Arial" w:cs="Arial" w:eastAsia="Arial" w:hAnsi="Arial"/>
                <w:sz w:val="14"/>
                <w:szCs w:val="14"/>
                <w:color w:val="0000FF"/>
                <w:w w:val="89"/>
              </w:rPr>
            </w:pPr>
            <w:hyperlink w:anchor="page79">
              <w:r>
                <w:rPr>
                  <w:rFonts w:ascii="Arial" w:cs="Arial" w:eastAsia="Arial" w:hAnsi="Arial"/>
                  <w:sz w:val="14"/>
                  <w:szCs w:val="14"/>
                  <w:color w:val="0000FF"/>
                  <w:w w:val="89"/>
                </w:rPr>
                <w:t>77</w:t>
              </w:r>
            </w:hyperlink>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420" w:type="dxa"/>
            <w:vAlign w:val="bottom"/>
            <w:tcBorders>
              <w:top w:val="single" w:sz="8" w:color="0000FF"/>
              <w:bottom w:val="single" w:sz="8" w:color="0000FF"/>
            </w:tcBorders>
            <w:gridSpan w:val="5"/>
          </w:tcPr>
          <w:p>
            <w:pPr>
              <w:spacing w:after="0"/>
              <w:rPr>
                <w:rFonts w:ascii="Arial" w:cs="Arial" w:eastAsia="Arial" w:hAnsi="Arial"/>
                <w:sz w:val="14"/>
                <w:szCs w:val="14"/>
                <w:color w:val="0000FF"/>
                <w:w w:val="89"/>
              </w:rPr>
            </w:pPr>
            <w:hyperlink w:anchor="page80">
              <w:r>
                <w:rPr>
                  <w:rFonts w:ascii="Arial" w:cs="Arial" w:eastAsia="Arial" w:hAnsi="Arial"/>
                  <w:sz w:val="14"/>
                  <w:szCs w:val="14"/>
                  <w:color w:val="0000FF"/>
                  <w:w w:val="89"/>
                </w:rPr>
                <w:t xml:space="preserve">Consolidated Statements of Cash Flows for the years ended December 31, </w:t>
              </w:r>
            </w:hyperlink>
            <w:r>
              <w:rPr>
                <w:rFonts w:ascii="Arial" w:cs="Arial" w:eastAsia="Arial" w:hAnsi="Arial"/>
                <w:sz w:val="14"/>
                <w:szCs w:val="14"/>
                <w:color w:val="0000FF"/>
                <w:w w:val="89"/>
              </w:rPr>
              <w:t xml:space="preserve">2021, 2020 </w:t>
            </w:r>
            <w:hyperlink w:anchor="page80">
              <w:r>
                <w:rPr>
                  <w:rFonts w:ascii="Arial" w:cs="Arial" w:eastAsia="Arial" w:hAnsi="Arial"/>
                  <w:sz w:val="14"/>
                  <w:szCs w:val="14"/>
                  <w:color w:val="0000FF"/>
                  <w:w w:val="89"/>
                </w:rPr>
                <w:t xml:space="preserve">and </w:t>
              </w:r>
            </w:hyperlink>
            <w:r>
              <w:rPr>
                <w:rFonts w:ascii="Arial" w:cs="Arial" w:eastAsia="Arial" w:hAnsi="Arial"/>
                <w:sz w:val="14"/>
                <w:szCs w:val="14"/>
                <w:color w:val="0000FF"/>
                <w:w w:val="89"/>
              </w:rPr>
              <w:t>2019</w:t>
            </w:r>
          </w:p>
        </w:tc>
        <w:tc>
          <w:tcPr>
            <w:tcW w:w="460" w:type="dxa"/>
            <w:vAlign w:val="bottom"/>
            <w:tcBorders>
              <w:top w:val="single" w:sz="8" w:color="0000FF"/>
            </w:tcBorders>
            <w:gridSpan w:val="2"/>
          </w:tcPr>
          <w:p>
            <w:pPr>
              <w:spacing w:after="0"/>
              <w:rPr>
                <w:sz w:val="17"/>
                <w:szCs w:val="17"/>
                <w:color w:val="auto"/>
              </w:rPr>
            </w:pPr>
          </w:p>
        </w:tc>
        <w:tc>
          <w:tcPr>
            <w:tcW w:w="2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4"/>
                <w:szCs w:val="14"/>
                <w:color w:val="0000FF"/>
                <w:w w:val="89"/>
              </w:rPr>
            </w:pPr>
            <w:hyperlink w:anchor="page80">
              <w:r>
                <w:rPr>
                  <w:rFonts w:ascii="Arial" w:cs="Arial" w:eastAsia="Arial" w:hAnsi="Arial"/>
                  <w:sz w:val="14"/>
                  <w:szCs w:val="14"/>
                  <w:color w:val="0000FF"/>
                  <w:w w:val="89"/>
                </w:rPr>
                <w:t>78</w:t>
              </w:r>
            </w:hyperlink>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220" w:type="dxa"/>
            <w:vAlign w:val="bottom"/>
            <w:gridSpan w:val="8"/>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Notes to Consolidated Financial Statements</w:t>
              </w:r>
            </w:hyperlink>
          </w:p>
        </w:tc>
        <w:tc>
          <w:tcPr>
            <w:tcW w:w="2300" w:type="dxa"/>
            <w:vAlign w:val="bottom"/>
            <w:gridSpan w:val="2"/>
          </w:tcPr>
          <w:p>
            <w:pPr>
              <w:jc w:val="center"/>
              <w:ind w:left="2091"/>
              <w:spacing w:after="0"/>
              <w:rPr>
                <w:rFonts w:ascii="Arial" w:cs="Arial" w:eastAsia="Arial" w:hAnsi="Arial"/>
                <w:sz w:val="14"/>
                <w:szCs w:val="14"/>
                <w:color w:val="0000FF"/>
                <w:w w:val="89"/>
              </w:rPr>
            </w:pPr>
            <w:hyperlink w:anchor="page81">
              <w:r>
                <w:rPr>
                  <w:rFonts w:ascii="Arial" w:cs="Arial" w:eastAsia="Arial" w:hAnsi="Arial"/>
                  <w:sz w:val="14"/>
                  <w:szCs w:val="14"/>
                  <w:color w:val="0000FF"/>
                  <w:w w:val="89"/>
                </w:rPr>
                <w:t>79</w:t>
              </w:r>
            </w:hyperlink>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46"/>
        </w:trPr>
        <w:tc>
          <w:tcPr>
            <w:tcW w:w="20" w:type="dxa"/>
            <w:vAlign w:val="bottom"/>
          </w:tcPr>
          <w:p>
            <w:pPr>
              <w:spacing w:after="0"/>
              <w:rPr>
                <w:sz w:val="24"/>
                <w:szCs w:val="24"/>
                <w:color w:val="auto"/>
              </w:rPr>
            </w:pPr>
          </w:p>
        </w:tc>
        <w:tc>
          <w:tcPr>
            <w:tcW w:w="246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Financial Statement Schedule</w:t>
            </w:r>
          </w:p>
        </w:tc>
        <w:tc>
          <w:tcPr>
            <w:tcW w:w="5760" w:type="dxa"/>
            <w:vAlign w:val="bottom"/>
            <w:gridSpan w:val="7"/>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8220" w:type="dxa"/>
            <w:vAlign w:val="bottom"/>
            <w:gridSpan w:val="8"/>
          </w:tcPr>
          <w:p>
            <w:pPr>
              <w:spacing w:after="0"/>
              <w:rPr>
                <w:rFonts w:ascii="Arial" w:cs="Arial" w:eastAsia="Arial" w:hAnsi="Arial"/>
                <w:sz w:val="14"/>
                <w:szCs w:val="14"/>
                <w:color w:val="0000FF"/>
              </w:rPr>
            </w:pPr>
            <w:hyperlink w:anchor="page113">
              <w:r>
                <w:rPr>
                  <w:rFonts w:ascii="Arial" w:cs="Arial" w:eastAsia="Arial" w:hAnsi="Arial"/>
                  <w:sz w:val="14"/>
                  <w:szCs w:val="14"/>
                  <w:color w:val="0000FF"/>
                </w:rPr>
                <w:t xml:space="preserve">Schedule II - Valuation and Qualifying Accounts for the years ended December 31, </w:t>
              </w:r>
            </w:hyperlink>
            <w:r>
              <w:rPr>
                <w:rFonts w:ascii="Arial" w:cs="Arial" w:eastAsia="Arial" w:hAnsi="Arial"/>
                <w:sz w:val="14"/>
                <w:szCs w:val="14"/>
                <w:color w:val="0000FF"/>
              </w:rPr>
              <w:t xml:space="preserve">2021, 2020 </w:t>
            </w:r>
            <w:hyperlink w:anchor="page113">
              <w:r>
                <w:rPr>
                  <w:rFonts w:ascii="Arial" w:cs="Arial" w:eastAsia="Arial" w:hAnsi="Arial"/>
                  <w:sz w:val="14"/>
                  <w:szCs w:val="14"/>
                  <w:color w:val="0000FF"/>
                </w:rPr>
                <w:t>and 20</w:t>
              </w:r>
            </w:hyperlink>
            <w:r>
              <w:rPr>
                <w:rFonts w:ascii="Arial" w:cs="Arial" w:eastAsia="Arial" w:hAnsi="Arial"/>
                <w:sz w:val="14"/>
                <w:szCs w:val="14"/>
                <w:color w:val="000000"/>
              </w:rPr>
              <w:t>19</w:t>
            </w:r>
          </w:p>
        </w:tc>
        <w:tc>
          <w:tcPr>
            <w:tcW w:w="3000" w:type="dxa"/>
            <w:vAlign w:val="bottom"/>
            <w:gridSpan w:val="3"/>
          </w:tcPr>
          <w:p>
            <w:pPr>
              <w:jc w:val="center"/>
              <w:ind w:left="1411"/>
              <w:spacing w:after="0"/>
              <w:rPr>
                <w:rFonts w:ascii="Arial" w:cs="Arial" w:eastAsia="Arial" w:hAnsi="Arial"/>
                <w:sz w:val="14"/>
                <w:szCs w:val="14"/>
                <w:color w:val="0000FF"/>
                <w:w w:val="85"/>
              </w:rPr>
            </w:pPr>
            <w:hyperlink w:anchor="page113">
              <w:r>
                <w:rPr>
                  <w:rFonts w:ascii="Arial" w:cs="Arial" w:eastAsia="Arial" w:hAnsi="Arial"/>
                  <w:sz w:val="14"/>
                  <w:szCs w:val="14"/>
                  <w:color w:val="0000FF"/>
                  <w:w w:val="85"/>
                </w:rPr>
                <w:t>111</w:t>
              </w:r>
            </w:hyperlink>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1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3"/>
        </w:trPr>
        <w:tc>
          <w:tcPr>
            <w:tcW w:w="20" w:type="dxa"/>
            <w:vAlign w:val="bottom"/>
          </w:tcPr>
          <w:p>
            <w:pPr>
              <w:spacing w:after="0"/>
              <w:rPr>
                <w:sz w:val="24"/>
                <w:szCs w:val="24"/>
                <w:color w:val="auto"/>
              </w:rPr>
            </w:pPr>
          </w:p>
        </w:tc>
        <w:tc>
          <w:tcPr>
            <w:tcW w:w="5880" w:type="dxa"/>
            <w:vAlign w:val="bottom"/>
            <w:gridSpan w:val="7"/>
          </w:tcPr>
          <w:p>
            <w:pPr>
              <w:ind w:left="5680"/>
              <w:spacing w:after="0"/>
              <w:rPr>
                <w:sz w:val="20"/>
                <w:szCs w:val="20"/>
                <w:color w:val="auto"/>
              </w:rPr>
            </w:pPr>
            <w:r>
              <w:rPr>
                <w:rFonts w:ascii="Arial" w:cs="Arial" w:eastAsia="Arial" w:hAnsi="Arial"/>
                <w:sz w:val="14"/>
                <w:szCs w:val="14"/>
                <w:color w:val="auto"/>
              </w:rPr>
              <w:t>70</w:t>
            </w:r>
          </w:p>
        </w:tc>
        <w:tc>
          <w:tcPr>
            <w:tcW w:w="2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0" w:type="dxa"/>
            <w:vAlign w:val="bottom"/>
            <w:tcBorders>
              <w:bottom w:val="single" w:sz="8" w:color="9A9A9A"/>
            </w:tcBorders>
          </w:tcPr>
          <w:p>
            <w:pPr>
              <w:spacing w:after="0"/>
              <w:rPr>
                <w:sz w:val="17"/>
                <w:szCs w:val="17"/>
                <w:color w:val="auto"/>
              </w:rPr>
            </w:pPr>
          </w:p>
        </w:tc>
        <w:tc>
          <w:tcPr>
            <w:tcW w:w="246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340" w:type="dxa"/>
            <w:vAlign w:val="bottom"/>
            <w:tcBorders>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4"/>
          <w:szCs w:val="14"/>
          <w:color w:val="auto"/>
        </w:rPr>
        <w:t>Report of Independent Registered Public Accounting Firm</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Fluidigm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3"/>
          <w:szCs w:val="13"/>
          <w:color w:val="auto"/>
        </w:rPr>
        <w:t xml:space="preserve">We have audited the consolidated financial statements, including the related notes and financial statement schedule, of Fluidigm Corporation and its subsidiaries (the “Company”) as listed in the accompanying index (collectively referred to as the “consolidated financial statements”). We also have audited the Company's internal control over financial reporting as of December 31, 2021,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14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4"/>
          <w:szCs w:val="14"/>
          <w:i w:val="1"/>
          <w:iCs w:val="1"/>
          <w:color w:val="auto"/>
        </w:rPr>
        <w:t>Internal Control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Integrated Framework </w:t>
      </w:r>
      <w:r>
        <w:rPr>
          <w:rFonts w:ascii="Arial" w:cs="Arial" w:eastAsia="Arial" w:hAnsi="Arial"/>
          <w:sz w:val="14"/>
          <w:szCs w:val="14"/>
          <w:color w:val="auto"/>
        </w:rPr>
        <w:t>(2013) issued by the COSO.</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Substantial Doubt about the Company’s Ability to Continue as a Going Concern</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accompanying consolidated financial statements have been prepared assuming that the Company will continue as a going concern. As discussed in Note 2 to the consolidated financial statements, the Company has incurred significant losses in each fiscal year since its inception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120"/>
        <w:spacing w:after="0" w:line="367"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9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95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88"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National Institutes of Health (NIH) Contract Accounting</w:t>
      </w:r>
    </w:p>
    <w:p>
      <w:pPr>
        <w:spacing w:after="0" w:line="199"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color w:val="auto"/>
        </w:rPr>
        <w:t>As described in Notes 2 and 4 to the consolidated financial statements, in September 2020, the Company executed a definitive contract with the National Institutes of Health (NIH) for a project under the NIH Rapid Acceleration of Diagnostics (RADx) program, which has a total value of up to $34.0 million upon the achievement of certain milestones which were achieved and accepted by December 31, 2021. As there is no authoritative guidance under U.S. GAAP on accounting for government assistance to for-profit business entities, management applied International Accounting Standards (IAS) 20, Accounting for Government Grants and Disclosure of Government Assistance by analogy when accounting for the NIH contract payments to the Company. Management has elected to record the grants received as deferred income with grant proceeds recognized when there is reasonable assurance the conditions of the grant will be met and the grant will be received. With the NIH contract, this occurred when either each milestone was accepted by NIH or management concluded the conditions of the grant were substantially met. Grant proceeds that exceed the cost of the capital expenditures and expenses expected to be incurred are recorded in other non-operating income. As of December 31, 2021, a total of $21.7 million has been recorded as deferred grant income, and during 2021 $7.1 million in other income associated with grant milestone receipts in excess of expected total costs under the grant was recorded.</w:t>
      </w:r>
    </w:p>
    <w:p>
      <w:pPr>
        <w:spacing w:after="0" w:line="161"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The principal considerations for our determination that performing procedures relating to the NIH contract accounting is a critical audit matter are (i) the significant judgment by management when determining the applicable accounting model and milestone achievement; and (ii) the significant audit effort and subjectivity in performing procedures and evaluating audit evidence related to the accounting policy selection, application, classification and recognition of excess grant proceeds recorded in other non-operating income.</w:t>
      </w:r>
    </w:p>
    <w:p>
      <w:pPr>
        <w:spacing w:after="0" w:line="164" w:lineRule="exact"/>
        <w:rPr>
          <w:sz w:val="20"/>
          <w:szCs w:val="20"/>
          <w:color w:val="auto"/>
        </w:rPr>
      </w:pPr>
    </w:p>
    <w:p>
      <w:pPr>
        <w:ind w:right="220"/>
        <w:spacing w:after="0" w:line="261"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NIH contract, including controls over the determination of the appropriate accounting model, which grant milestones are met, and classification of costs and other non-operating income associated with the NIH contract. These procedures also included, among others (i) reading the executed agreement and correspondence with NIH, (ii) evaluating compliance with the contract requirements related to milestone</w:t>
      </w: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76" w:right="319" w:bottom="1440" w:gutter="0" w:footer="0" w:header="0"/>
        </w:sectPr>
      </w:pPr>
    </w:p>
    <w:bookmarkStart w:id="75" w:name="page76"/>
    <w:bookmarkEnd w:id="75"/>
    <w:p>
      <w:pPr>
        <w:spacing w:after="0" w:line="280" w:lineRule="auto"/>
        <w:rPr>
          <w:sz w:val="20"/>
          <w:szCs w:val="20"/>
          <w:color w:val="auto"/>
        </w:rPr>
      </w:pPr>
      <w:r>
        <w:rPr>
          <w:rFonts w:ascii="Arial" w:cs="Arial" w:eastAsia="Arial" w:hAnsi="Arial"/>
          <w:sz w:val="14"/>
          <w:szCs w:val="14"/>
          <w:color w:val="auto"/>
        </w:rPr>
        <w:t>achievement, (iii) evaluating management’s accounting analysis, and (iv) testing the accuracy and evaluating the classification of costs and other non-operating income associated with the NIH contract.</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7, 2022</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2015.</w:t>
      </w:r>
    </w:p>
    <w:p>
      <w:pPr>
        <w:spacing w:after="0" w:line="326"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840"/>
          </w:cols>
          <w:pgMar w:left="300" w:top="955" w:right="75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FLUIDIGM CORPORATION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3"/>
                <w:szCs w:val="13"/>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880" w:type="dxa"/>
            <w:vAlign w:val="bottom"/>
            <w:shd w:val="clear" w:color="auto" w:fill="CCEEFF"/>
          </w:tcPr>
          <w:p>
            <w:pPr>
              <w:jc w:val="right"/>
              <w:ind w:right="73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28,451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68,520</w:t>
            </w:r>
          </w:p>
        </w:tc>
        <w:tc>
          <w:tcPr>
            <w:tcW w:w="0" w:type="dxa"/>
            <w:vAlign w:val="bottom"/>
          </w:tcPr>
          <w:p>
            <w:pPr>
              <w:spacing w:after="0"/>
              <w:rPr>
                <w:sz w:val="1"/>
                <w:szCs w:val="1"/>
                <w:color w:val="auto"/>
              </w:rPr>
            </w:pPr>
          </w:p>
        </w:tc>
      </w:tr>
      <w:tr>
        <w:trPr>
          <w:trHeight w:val="169"/>
        </w:trPr>
        <w:tc>
          <w:tcPr>
            <w:tcW w:w="8300" w:type="dxa"/>
            <w:vAlign w:val="bottom"/>
          </w:tcPr>
          <w:p>
            <w:pPr>
              <w:ind w:left="280"/>
              <w:spacing w:after="0"/>
              <w:rPr>
                <w:sz w:val="20"/>
                <w:szCs w:val="20"/>
                <w:color w:val="auto"/>
              </w:rPr>
            </w:pPr>
            <w:r>
              <w:rPr>
                <w:rFonts w:ascii="Arial" w:cs="Arial" w:eastAsia="Arial" w:hAnsi="Arial"/>
                <w:sz w:val="13"/>
                <w:szCs w:val="13"/>
                <w:color w:val="auto"/>
              </w:rPr>
              <w:t>Accounts receivable (net of allowances of $356 at each of December 31, 2021 and 2020, respectively)</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18,320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25,423</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 net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19,689</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4,470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4,031</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72,066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117,663</w:t>
            </w: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28,034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17,531</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 net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37,119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38,114</w:t>
            </w: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Other non-current assets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3,689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4,680</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 net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27,927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40,206</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Goodwill</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106,379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106,563</w:t>
            </w:r>
          </w:p>
        </w:tc>
        <w:tc>
          <w:tcPr>
            <w:tcW w:w="0" w:type="dxa"/>
            <w:vAlign w:val="bottom"/>
          </w:tcPr>
          <w:p>
            <w:pPr>
              <w:spacing w:after="0"/>
              <w:rPr>
                <w:sz w:val="1"/>
                <w:szCs w:val="1"/>
                <w:color w:val="auto"/>
              </w:rPr>
            </w:pPr>
          </w:p>
        </w:tc>
      </w:tr>
      <w:tr>
        <w:trPr>
          <w:trHeight w:val="18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275,214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324,757</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3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280"/>
              <w:spacing w:after="0"/>
              <w:rPr>
                <w:sz w:val="20"/>
                <w:szCs w:val="20"/>
                <w:color w:val="auto"/>
              </w:rPr>
            </w:pPr>
            <w:r>
              <w:rPr>
                <w:rFonts w:ascii="Arial" w:cs="Arial" w:eastAsia="Arial" w:hAnsi="Arial"/>
                <w:sz w:val="13"/>
                <w:szCs w:val="13"/>
                <w:color w:val="auto"/>
              </w:rPr>
              <w:t>Accounts payable</w:t>
            </w:r>
          </w:p>
        </w:tc>
        <w:tc>
          <w:tcPr>
            <w:tcW w:w="880" w:type="dxa"/>
            <w:vAlign w:val="bottom"/>
          </w:tcPr>
          <w:p>
            <w:pPr>
              <w:jc w:val="right"/>
              <w:ind w:right="73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10,602</w:t>
            </w:r>
          </w:p>
        </w:tc>
        <w:tc>
          <w:tcPr>
            <w:tcW w:w="100" w:type="dxa"/>
            <w:vAlign w:val="bottom"/>
          </w:tcPr>
          <w:p>
            <w:pPr>
              <w:spacing w:after="0"/>
              <w:rPr>
                <w:sz w:val="14"/>
                <w:szCs w:val="14"/>
                <w:color w:val="auto"/>
              </w:rPr>
            </w:pP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9,220</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compensation and related benefits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13,787</w:t>
            </w:r>
          </w:p>
        </w:tc>
        <w:tc>
          <w:tcPr>
            <w:tcW w:w="0" w:type="dxa"/>
            <w:vAlign w:val="bottom"/>
          </w:tcPr>
          <w:p>
            <w:pPr>
              <w:spacing w:after="0"/>
              <w:rPr>
                <w:sz w:val="1"/>
                <w:szCs w:val="1"/>
                <w:color w:val="auto"/>
              </w:rPr>
            </w:pPr>
          </w:p>
        </w:tc>
      </w:tr>
      <w:tr>
        <w:trPr>
          <w:trHeight w:val="169"/>
        </w:trPr>
        <w:tc>
          <w:tcPr>
            <w:tcW w:w="8300" w:type="dxa"/>
            <w:vAlign w:val="bottom"/>
          </w:tcPr>
          <w:p>
            <w:pPr>
              <w:ind w:left="280"/>
              <w:spacing w:after="0"/>
              <w:rPr>
                <w:sz w:val="20"/>
                <w:szCs w:val="20"/>
                <w:color w:val="auto"/>
              </w:rPr>
            </w:pPr>
            <w:r>
              <w:rPr>
                <w:rFonts w:ascii="Arial" w:cs="Arial" w:eastAsia="Arial" w:hAnsi="Arial"/>
                <w:sz w:val="13"/>
                <w:szCs w:val="13"/>
                <w:color w:val="auto"/>
              </w:rPr>
              <w:t>Operating lease liabilities, current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3,053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2,973</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revenue, current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13,475</w:t>
            </w:r>
          </w:p>
        </w:tc>
        <w:tc>
          <w:tcPr>
            <w:tcW w:w="0" w:type="dxa"/>
            <w:vAlign w:val="bottom"/>
          </w:tcPr>
          <w:p>
            <w:pPr>
              <w:spacing w:after="0"/>
              <w:rPr>
                <w:sz w:val="1"/>
                <w:szCs w:val="1"/>
                <w:color w:val="auto"/>
              </w:rPr>
            </w:pPr>
          </w:p>
        </w:tc>
      </w:tr>
      <w:tr>
        <w:trPr>
          <w:trHeight w:val="169"/>
        </w:trPr>
        <w:tc>
          <w:tcPr>
            <w:tcW w:w="8300" w:type="dxa"/>
            <w:vAlign w:val="bottom"/>
          </w:tcPr>
          <w:p>
            <w:pPr>
              <w:ind w:left="260"/>
              <w:spacing w:after="0"/>
              <w:rPr>
                <w:sz w:val="20"/>
                <w:szCs w:val="20"/>
                <w:color w:val="auto"/>
              </w:rPr>
            </w:pPr>
            <w:r>
              <w:rPr>
                <w:rFonts w:ascii="Arial" w:cs="Arial" w:eastAsia="Arial" w:hAnsi="Arial"/>
                <w:sz w:val="13"/>
                <w:szCs w:val="13"/>
                <w:color w:val="auto"/>
              </w:rPr>
              <w:t>Deferred grant income, current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3,535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2,912</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accrued liabilities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11,882</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Advances under revolving credit agreement, current</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49,568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54,249</w:t>
            </w: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Term loan, net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10,049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notes, net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54,160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54,224</w:t>
            </w: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Deferred tax liability</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4,329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8,697</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 non-current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37,548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38,178</w:t>
            </w: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Deferred revenue, non-current</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5,966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7,990</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grant income, non-current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18,116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21,036</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1,333</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8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180,618</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185,707</w:t>
            </w:r>
          </w:p>
        </w:tc>
        <w:tc>
          <w:tcPr>
            <w:tcW w:w="0" w:type="dxa"/>
            <w:vAlign w:val="bottom"/>
          </w:tcPr>
          <w:p>
            <w:pPr>
              <w:spacing w:after="0"/>
              <w:rPr>
                <w:sz w:val="1"/>
                <w:szCs w:val="1"/>
                <w:color w:val="auto"/>
              </w:rPr>
            </w:pPr>
          </w:p>
        </w:tc>
      </w:tr>
      <w:tr>
        <w:trPr>
          <w:trHeight w:val="149"/>
        </w:trPr>
        <w:tc>
          <w:tcPr>
            <w:tcW w:w="8300" w:type="dxa"/>
            <w:vAlign w:val="bottom"/>
          </w:tcPr>
          <w:p>
            <w:pPr>
              <w:ind w:left="20"/>
              <w:spacing w:after="0"/>
              <w:rPr>
                <w:sz w:val="20"/>
                <w:szCs w:val="20"/>
                <w:color w:val="auto"/>
              </w:rPr>
            </w:pPr>
            <w:r>
              <w:rPr>
                <w:rFonts w:ascii="Arial" w:cs="Arial" w:eastAsia="Arial" w:hAnsi="Arial"/>
                <w:sz w:val="13"/>
                <w:szCs w:val="13"/>
                <w:color w:val="auto"/>
              </w:rPr>
              <w:t>Commitments and contingencies (Note 17)</w:t>
            </w: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280"/>
              <w:spacing w:after="0"/>
              <w:rPr>
                <w:sz w:val="20"/>
                <w:szCs w:val="20"/>
                <w:color w:val="auto"/>
              </w:rPr>
            </w:pPr>
            <w:r>
              <w:rPr>
                <w:rFonts w:ascii="Arial" w:cs="Arial" w:eastAsia="Arial" w:hAnsi="Arial"/>
                <w:sz w:val="13"/>
                <w:szCs w:val="13"/>
                <w:color w:val="auto"/>
              </w:rPr>
              <w:t>Preferred stock, $0.001 par value, 10,000 shares authorized, no shares issued and outstanding at either December 31, 2021 or 2020</w:t>
            </w:r>
          </w:p>
        </w:tc>
        <w:tc>
          <w:tcPr>
            <w:tcW w:w="8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30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w w:val="93"/>
              </w:rPr>
              <w:t>Common stock: $0.001 par value, 200,000 shares authorized at December 31, 2021 and 2020; 76,919 and 74,543 shares issued and outstanding at</w:t>
            </w:r>
          </w:p>
        </w:tc>
        <w:tc>
          <w:tcPr>
            <w:tcW w:w="8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December 31, 2021 and 2020, respectively</w:t>
            </w:r>
          </w:p>
        </w:tc>
        <w:tc>
          <w:tcPr>
            <w:tcW w:w="8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280"/>
              <w:spacing w:after="0"/>
              <w:rPr>
                <w:sz w:val="20"/>
                <w:szCs w:val="20"/>
                <w:color w:val="auto"/>
              </w:rPr>
            </w:pPr>
            <w:r>
              <w:rPr>
                <w:rFonts w:ascii="Arial" w:cs="Arial" w:eastAsia="Arial" w:hAnsi="Arial"/>
                <w:sz w:val="13"/>
                <w:szCs w:val="13"/>
                <w:color w:val="auto"/>
              </w:rPr>
              <w:t>Additional paid-in capital</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831,424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815,624</w:t>
            </w: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loss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Accumulated deficit</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(735,998)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(676,761)</w:t>
            </w: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stockholders’ equity</w:t>
            </w:r>
          </w:p>
        </w:tc>
        <w:tc>
          <w:tcPr>
            <w:tcW w:w="8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94,596</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139,050</w:t>
            </w:r>
          </w:p>
        </w:tc>
        <w:tc>
          <w:tcPr>
            <w:tcW w:w="0" w:type="dxa"/>
            <w:vAlign w:val="bottom"/>
          </w:tcPr>
          <w:p>
            <w:pPr>
              <w:spacing w:after="0"/>
              <w:rPr>
                <w:sz w:val="1"/>
                <w:szCs w:val="1"/>
                <w:color w:val="auto"/>
              </w:rPr>
            </w:pPr>
          </w:p>
        </w:tc>
      </w:tr>
      <w:tr>
        <w:trPr>
          <w:trHeight w:val="160"/>
        </w:trPr>
        <w:tc>
          <w:tcPr>
            <w:tcW w:w="8300" w:type="dxa"/>
            <w:vAlign w:val="bottom"/>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880" w:type="dxa"/>
            <w:vAlign w:val="bottom"/>
            <w:tcBorders>
              <w:bottom w:val="single" w:sz="8" w:color="auto"/>
            </w:tcBorders>
          </w:tcPr>
          <w:p>
            <w:pPr>
              <w:jc w:val="right"/>
              <w:ind w:right="733"/>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275,214</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324,757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33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77" w:name="page78"/>
    <w:bookmarkEnd w:id="77"/>
    <w:p>
      <w:pPr>
        <w:ind w:left="4700"/>
        <w:spacing w:after="0"/>
        <w:rPr>
          <w:sz w:val="20"/>
          <w:szCs w:val="20"/>
          <w:color w:val="auto"/>
        </w:rPr>
      </w:pPr>
      <w:r>
        <w:rPr>
          <w:rFonts w:ascii="Arial" w:cs="Arial" w:eastAsia="Arial" w:hAnsi="Arial"/>
          <w:sz w:val="14"/>
          <w:szCs w:val="14"/>
          <w:b w:val="1"/>
          <w:bCs w:val="1"/>
          <w:color w:val="auto"/>
        </w:rPr>
        <w:t>FLUIDIGM CORPORATION</w:t>
      </w:r>
    </w:p>
    <w:p>
      <w:pPr>
        <w:spacing w:after="0" w:line="83"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2019</w:t>
            </w:r>
          </w:p>
        </w:tc>
      </w:tr>
      <w:tr>
        <w:trPr>
          <w:trHeight w:val="161"/>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6780" w:type="dxa"/>
            <w:vAlign w:val="bottom"/>
            <w:gridSpan w:val="2"/>
          </w:tcPr>
          <w:p>
            <w:pPr>
              <w:ind w:left="260"/>
              <w:spacing w:after="0"/>
              <w:rPr>
                <w:sz w:val="20"/>
                <w:szCs w:val="20"/>
                <w:color w:val="auto"/>
              </w:rPr>
            </w:pPr>
            <w:r>
              <w:rPr>
                <w:rFonts w:ascii="Arial" w:cs="Arial" w:eastAsia="Arial" w:hAnsi="Arial"/>
                <w:sz w:val="14"/>
                <w:szCs w:val="14"/>
                <w:color w:val="auto"/>
              </w:rPr>
              <w:t>Product revenue</w:t>
            </w:r>
          </w:p>
        </w:tc>
        <w:tc>
          <w:tcPr>
            <w:tcW w:w="860" w:type="dxa"/>
            <w:vAlign w:val="bottom"/>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100,376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99,944</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95,416</w:t>
            </w:r>
          </w:p>
        </w:tc>
      </w:tr>
      <w:tr>
        <w:trPr>
          <w:trHeight w:val="180"/>
        </w:trPr>
        <w:tc>
          <w:tcPr>
            <w:tcW w:w="6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Service revenue</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21,277</w:t>
            </w:r>
          </w:p>
        </w:tc>
      </w:tr>
      <w:tr>
        <w:trPr>
          <w:trHeight w:val="180"/>
        </w:trPr>
        <w:tc>
          <w:tcPr>
            <w:tcW w:w="6780" w:type="dxa"/>
            <w:vAlign w:val="bottom"/>
            <w:gridSpan w:val="2"/>
          </w:tcPr>
          <w:p>
            <w:pPr>
              <w:ind w:left="260"/>
              <w:spacing w:after="0"/>
              <w:rPr>
                <w:sz w:val="20"/>
                <w:szCs w:val="20"/>
                <w:color w:val="auto"/>
              </w:rPr>
            </w:pPr>
            <w:r>
              <w:rPr>
                <w:rFonts w:ascii="Arial" w:cs="Arial" w:eastAsia="Arial" w:hAnsi="Arial"/>
                <w:sz w:val="14"/>
                <w:szCs w:val="14"/>
                <w:color w:val="auto"/>
              </w:rPr>
              <w:t>Development revenue</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8,865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 revenue</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170"/>
        </w:trPr>
        <w:tc>
          <w:tcPr>
            <w:tcW w:w="6680" w:type="dxa"/>
            <w:vAlign w:val="bottom"/>
          </w:tcPr>
          <w:p>
            <w:pPr>
              <w:spacing w:after="0"/>
              <w:rPr>
                <w:sz w:val="20"/>
                <w:szCs w:val="20"/>
                <w:color w:val="auto"/>
              </w:rPr>
            </w:pPr>
            <w:r>
              <w:rPr>
                <w:rFonts w:ascii="Arial" w:cs="Arial" w:eastAsia="Arial" w:hAnsi="Arial"/>
                <w:sz w:val="14"/>
                <w:szCs w:val="14"/>
                <w:color w:val="auto"/>
              </w:rPr>
              <w:t>Total revenue</w:t>
            </w: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130,581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138,144</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117,243</w:t>
            </w:r>
          </w:p>
        </w:tc>
      </w:tr>
      <w:tr>
        <w:trPr>
          <w:trHeight w:val="180"/>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780" w:type="dxa"/>
            <w:vAlign w:val="bottom"/>
            <w:gridSpan w:val="2"/>
          </w:tcPr>
          <w:p>
            <w:pPr>
              <w:ind w:left="260"/>
              <w:spacing w:after="0"/>
              <w:rPr>
                <w:sz w:val="20"/>
                <w:szCs w:val="20"/>
                <w:color w:val="auto"/>
              </w:rPr>
            </w:pPr>
            <w:r>
              <w:rPr>
                <w:rFonts w:ascii="Arial" w:cs="Arial" w:eastAsia="Arial" w:hAnsi="Arial"/>
                <w:sz w:val="14"/>
                <w:szCs w:val="14"/>
                <w:color w:val="auto"/>
              </w:rPr>
              <w:t>Cost of product revenue</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53,315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47,527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45,461</w:t>
            </w:r>
          </w:p>
        </w:tc>
      </w:tr>
      <w:tr>
        <w:trPr>
          <w:trHeight w:val="180"/>
        </w:trPr>
        <w:tc>
          <w:tcPr>
            <w:tcW w:w="6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Cost of service revenue</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w:t>
            </w:r>
          </w:p>
        </w:tc>
      </w:tr>
      <w:tr>
        <w:trPr>
          <w:trHeight w:val="180"/>
        </w:trPr>
        <w:tc>
          <w:tcPr>
            <w:tcW w:w="6780" w:type="dxa"/>
            <w:vAlign w:val="bottom"/>
            <w:gridSpan w:val="2"/>
          </w:tcPr>
          <w:p>
            <w:pPr>
              <w:ind w:left="260"/>
              <w:spacing w:after="0"/>
              <w:rPr>
                <w:sz w:val="20"/>
                <w:szCs w:val="20"/>
                <w:color w:val="auto"/>
              </w:rPr>
            </w:pPr>
            <w:r>
              <w:rPr>
                <w:rFonts w:ascii="Arial" w:cs="Arial" w:eastAsia="Arial" w:hAnsi="Arial"/>
                <w:sz w:val="14"/>
                <w:szCs w:val="14"/>
                <w:color w:val="auto"/>
              </w:rPr>
              <w:t>Research and development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37,944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36,461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31,640</w:t>
            </w:r>
          </w:p>
        </w:tc>
      </w:tr>
      <w:tr>
        <w:trPr>
          <w:trHeight w:val="180"/>
        </w:trPr>
        <w:tc>
          <w:tcPr>
            <w:tcW w:w="6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98,888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97,901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84,478</w:t>
            </w:r>
          </w:p>
        </w:tc>
      </w:tr>
      <w:tr>
        <w:trPr>
          <w:trHeight w:val="170"/>
        </w:trPr>
        <w:tc>
          <w:tcPr>
            <w:tcW w:w="6780" w:type="dxa"/>
            <w:vAlign w:val="bottom"/>
            <w:tcBorders>
              <w:bottom w:val="single" w:sz="8" w:color="CCEEFF"/>
            </w:tcBorders>
            <w:gridSpan w:val="2"/>
          </w:tcPr>
          <w:p>
            <w:pPr>
              <w:spacing w:after="0" w:line="160" w:lineRule="exact"/>
              <w:rPr>
                <w:sz w:val="20"/>
                <w:szCs w:val="20"/>
                <w:color w:val="auto"/>
              </w:rPr>
            </w:pPr>
            <w:r>
              <w:rPr>
                <w:rFonts w:ascii="Arial" w:cs="Arial" w:eastAsia="Arial" w:hAnsi="Arial"/>
                <w:sz w:val="14"/>
                <w:szCs w:val="14"/>
                <w:color w:val="auto"/>
              </w:rPr>
              <w:t>Total costs and expenses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198,040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189,180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169,082</w:t>
            </w:r>
          </w:p>
        </w:tc>
      </w:tr>
      <w:tr>
        <w:trPr>
          <w:trHeight w:val="171"/>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(67,459)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(51,839)</w:t>
            </w:r>
          </w:p>
        </w:tc>
      </w:tr>
      <w:tr>
        <w:trPr>
          <w:trHeight w:val="180"/>
        </w:trPr>
        <w:tc>
          <w:tcPr>
            <w:tcW w:w="678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(4,279)</w:t>
            </w:r>
          </w:p>
        </w:tc>
      </w:tr>
      <w:tr>
        <w:trPr>
          <w:trHeight w:val="180"/>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Surplus funding from NIH Contract</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780" w:type="dxa"/>
            <w:vAlign w:val="bottom"/>
            <w:gridSpan w:val="2"/>
          </w:tcPr>
          <w:p>
            <w:pPr>
              <w:spacing w:after="0"/>
              <w:rPr>
                <w:sz w:val="20"/>
                <w:szCs w:val="20"/>
                <w:color w:val="auto"/>
              </w:rPr>
            </w:pPr>
            <w:r>
              <w:rPr>
                <w:rFonts w:ascii="Arial" w:cs="Arial" w:eastAsia="Arial" w:hAnsi="Arial"/>
                <w:sz w:val="14"/>
                <w:szCs w:val="14"/>
                <w:color w:val="auto"/>
              </w:rPr>
              <w:t>Loss from extinguishment of debt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(12,020)</w:t>
            </w:r>
          </w:p>
        </w:tc>
      </w:tr>
      <w:tr>
        <w:trPr>
          <w:trHeight w:val="180"/>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w:t>
            </w:r>
          </w:p>
        </w:tc>
      </w:tr>
      <w:tr>
        <w:trPr>
          <w:trHeight w:val="170"/>
        </w:trPr>
        <w:tc>
          <w:tcPr>
            <w:tcW w:w="6780" w:type="dxa"/>
            <w:vAlign w:val="bottom"/>
            <w:gridSpan w:val="2"/>
          </w:tcPr>
          <w:p>
            <w:pPr>
              <w:spacing w:after="0"/>
              <w:rPr>
                <w:sz w:val="20"/>
                <w:szCs w:val="20"/>
                <w:color w:val="auto"/>
              </w:rPr>
            </w:pPr>
            <w:r>
              <w:rPr>
                <w:rFonts w:ascii="Arial" w:cs="Arial" w:eastAsia="Arial" w:hAnsi="Arial"/>
                <w:sz w:val="14"/>
                <w:szCs w:val="14"/>
                <w:color w:val="auto"/>
              </w:rPr>
              <w:t>Loss before income taxes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(63,660)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(54,101)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(66,705)</w:t>
            </w:r>
          </w:p>
        </w:tc>
      </w:tr>
      <w:tr>
        <w:trPr>
          <w:trHeight w:val="180"/>
        </w:trPr>
        <w:tc>
          <w:tcPr>
            <w:tcW w:w="6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benefit</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r>
      <w:tr>
        <w:trPr>
          <w:trHeight w:val="171"/>
        </w:trPr>
        <w:tc>
          <w:tcPr>
            <w:tcW w:w="6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(59,237)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(53,020)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(64,790)</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7"/>
        </w:trPr>
        <w:tc>
          <w:tcPr>
            <w:tcW w:w="6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 per share, basic and diluted</w:t>
            </w:r>
          </w:p>
        </w:tc>
        <w:tc>
          <w:tcPr>
            <w:tcW w:w="86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2"/>
        </w:trPr>
        <w:tc>
          <w:tcPr>
            <w:tcW w:w="6780" w:type="dxa"/>
            <w:vAlign w:val="bottom"/>
            <w:gridSpan w:val="2"/>
          </w:tcPr>
          <w:p>
            <w:pPr>
              <w:spacing w:after="0" w:line="143" w:lineRule="exact"/>
              <w:rPr>
                <w:sz w:val="20"/>
                <w:szCs w:val="20"/>
                <w:color w:val="auto"/>
              </w:rPr>
            </w:pPr>
            <w:r>
              <w:rPr>
                <w:rFonts w:ascii="Arial" w:cs="Arial" w:eastAsia="Arial" w:hAnsi="Arial"/>
                <w:sz w:val="14"/>
                <w:szCs w:val="14"/>
                <w:color w:val="auto"/>
              </w:rPr>
              <w:t>Shares used in computing net loss per share, basic and diluted</w:t>
            </w: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75,786</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72,044</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66,779</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120650</wp:posOffset>
            </wp:positionV>
            <wp:extent cx="71875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78" w:name="page79"/>
    <w:bookmarkEnd w:id="78"/>
    <w:p>
      <w:pPr>
        <w:ind w:left="4700"/>
        <w:spacing w:after="0"/>
        <w:rPr>
          <w:sz w:val="20"/>
          <w:szCs w:val="20"/>
          <w:color w:val="auto"/>
        </w:rPr>
      </w:pPr>
      <w:r>
        <w:rPr>
          <w:rFonts w:ascii="Arial" w:cs="Arial" w:eastAsia="Arial" w:hAnsi="Arial"/>
          <w:sz w:val="14"/>
          <w:szCs w:val="14"/>
          <w:b w:val="1"/>
          <w:bCs w:val="1"/>
          <w:color w:val="auto"/>
        </w:rPr>
        <w:t>FLUIDIGM CORPORATION</w:t>
      </w:r>
    </w:p>
    <w:p>
      <w:pPr>
        <w:spacing w:after="0" w:line="83"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71"/>
        </w:trPr>
        <w:tc>
          <w:tcPr>
            <w:tcW w:w="67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(59,237)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(64,790)</w:t>
            </w:r>
          </w:p>
        </w:tc>
      </w:tr>
      <w:tr>
        <w:trPr>
          <w:trHeight w:val="180"/>
        </w:trPr>
        <w:tc>
          <w:tcPr>
            <w:tcW w:w="6780" w:type="dxa"/>
            <w:vAlign w:val="bottom"/>
          </w:tcPr>
          <w:p>
            <w:pPr>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0"/>
        </w:trPr>
        <w:tc>
          <w:tcPr>
            <w:tcW w:w="6780" w:type="dxa"/>
            <w:vAlign w:val="bottom"/>
          </w:tcPr>
          <w:p>
            <w:pPr>
              <w:ind w:left="260"/>
              <w:spacing w:after="0"/>
              <w:rPr>
                <w:sz w:val="20"/>
                <w:szCs w:val="20"/>
                <w:color w:val="auto"/>
              </w:rPr>
            </w:pPr>
            <w:r>
              <w:rPr>
                <w:rFonts w:ascii="Arial" w:cs="Arial" w:eastAsia="Arial" w:hAnsi="Arial"/>
                <w:sz w:val="14"/>
                <w:szCs w:val="14"/>
                <w:color w:val="auto"/>
              </w:rPr>
              <w:t>Net change in unrealized gain (loss) on investments</w:t>
            </w:r>
          </w:p>
        </w:tc>
        <w:tc>
          <w:tcPr>
            <w:tcW w:w="88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71"/>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71"/>
        </w:trPr>
        <w:tc>
          <w:tcPr>
            <w:tcW w:w="6780" w:type="dxa"/>
            <w:vAlign w:val="bottom"/>
          </w:tcPr>
          <w:p>
            <w:pPr>
              <w:spacing w:after="0"/>
              <w:rPr>
                <w:sz w:val="20"/>
                <w:szCs w:val="20"/>
                <w:color w:val="auto"/>
              </w:rPr>
            </w:pPr>
            <w:r>
              <w:rPr>
                <w:rFonts w:ascii="Arial" w:cs="Arial" w:eastAsia="Arial" w:hAnsi="Arial"/>
                <w:sz w:val="14"/>
                <w:szCs w:val="14"/>
                <w:color w:val="auto"/>
              </w:rPr>
              <w:t>Comprehensive loss</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(60,256)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(52,326)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(64,685)</w:t>
            </w:r>
          </w:p>
        </w:tc>
      </w:tr>
      <w:tr>
        <w:trPr>
          <w:trHeight w:val="20"/>
        </w:trPr>
        <w:tc>
          <w:tcPr>
            <w:tcW w:w="6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120650</wp:posOffset>
            </wp:positionV>
            <wp:extent cx="71875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20" w:top="951" w:right="31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4"/>
          <w:szCs w:val="14"/>
          <w:b w:val="1"/>
          <w:bCs w:val="1"/>
          <w:color w:val="auto"/>
        </w:rPr>
        <w:t>FLUIDIGM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1920" w:type="dxa"/>
            <w:vAlign w:val="bottom"/>
            <w:gridSpan w:val="5"/>
          </w:tcPr>
          <w:p>
            <w:pPr>
              <w:ind w:left="56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40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vMerge w:val="restart"/>
          </w:tcPr>
          <w:p>
            <w:pPr>
              <w:jc w:val="center"/>
              <w:ind w:right="320"/>
              <w:spacing w:after="0" w:line="106" w:lineRule="exact"/>
              <w:rPr>
                <w:sz w:val="20"/>
                <w:szCs w:val="20"/>
                <w:color w:val="auto"/>
              </w:rPr>
            </w:pPr>
            <w:r>
              <w:rPr>
                <w:rFonts w:ascii="Arial" w:cs="Arial" w:eastAsia="Arial" w:hAnsi="Arial"/>
                <w:sz w:val="11"/>
                <w:szCs w:val="11"/>
                <w:b w:val="1"/>
                <w:bCs w:val="1"/>
                <w:color w:val="auto"/>
                <w:w w:val="92"/>
              </w:rPr>
              <w:t>Additional</w:t>
            </w:r>
          </w:p>
        </w:tc>
        <w:tc>
          <w:tcPr>
            <w:tcW w:w="200" w:type="dxa"/>
            <w:vAlign w:val="bottom"/>
          </w:tcPr>
          <w:p>
            <w:pPr>
              <w:spacing w:after="0"/>
              <w:rPr>
                <w:sz w:val="2"/>
                <w:szCs w:val="2"/>
                <w:color w:val="auto"/>
              </w:rPr>
            </w:pPr>
          </w:p>
        </w:tc>
        <w:tc>
          <w:tcPr>
            <w:tcW w:w="1240" w:type="dxa"/>
            <w:vAlign w:val="bottom"/>
            <w:gridSpan w:val="2"/>
            <w:vMerge w:val="restart"/>
          </w:tcPr>
          <w:p>
            <w:pPr>
              <w:jc w:val="center"/>
              <w:ind w:right="300"/>
              <w:spacing w:after="0" w:line="106" w:lineRule="exact"/>
              <w:rPr>
                <w:sz w:val="20"/>
                <w:szCs w:val="20"/>
                <w:color w:val="auto"/>
              </w:rPr>
            </w:pPr>
            <w:r>
              <w:rPr>
                <w:rFonts w:ascii="Arial" w:cs="Arial" w:eastAsia="Arial" w:hAnsi="Arial"/>
                <w:sz w:val="11"/>
                <w:szCs w:val="11"/>
                <w:b w:val="1"/>
                <w:bCs w:val="1"/>
                <w:color w:val="auto"/>
                <w:w w:val="88"/>
              </w:rPr>
              <w:t>Other</w:t>
            </w:r>
          </w:p>
        </w:tc>
        <w:tc>
          <w:tcPr>
            <w:tcW w:w="180" w:type="dxa"/>
            <w:vAlign w:val="bottom"/>
          </w:tcPr>
          <w:p>
            <w:pPr>
              <w:spacing w:after="0"/>
              <w:rPr>
                <w:sz w:val="2"/>
                <w:szCs w:val="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2"/>
                <w:szCs w:val="2"/>
                <w:color w:val="auto"/>
              </w:rPr>
            </w:pPr>
          </w:p>
        </w:tc>
        <w:tc>
          <w:tcPr>
            <w:tcW w:w="1040" w:type="dxa"/>
            <w:vAlign w:val="bottom"/>
            <w:vMerge w:val="restart"/>
          </w:tcPr>
          <w:p>
            <w:pPr>
              <w:jc w:val="center"/>
              <w:ind w:right="138"/>
              <w:spacing w:after="0" w:line="106"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4000" w:type="dxa"/>
            <w:vAlign w:val="bottom"/>
          </w:tcPr>
          <w:p>
            <w:pPr>
              <w:spacing w:after="0"/>
              <w:rPr>
                <w:sz w:val="9"/>
                <w:szCs w:val="9"/>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9"/>
                <w:szCs w:val="9"/>
                <w:color w:val="auto"/>
              </w:rPr>
            </w:pPr>
          </w:p>
        </w:tc>
        <w:tc>
          <w:tcPr>
            <w:tcW w:w="1100" w:type="dxa"/>
            <w:vAlign w:val="bottom"/>
            <w:gridSpan w:val="2"/>
          </w:tcPr>
          <w:p>
            <w:pPr>
              <w:jc w:val="center"/>
              <w:ind w:right="320"/>
              <w:spacing w:after="0" w:line="106" w:lineRule="exact"/>
              <w:rPr>
                <w:sz w:val="20"/>
                <w:szCs w:val="20"/>
                <w:color w:val="auto"/>
              </w:rPr>
            </w:pPr>
            <w:r>
              <w:rPr>
                <w:rFonts w:ascii="Arial" w:cs="Arial" w:eastAsia="Arial" w:hAnsi="Arial"/>
                <w:sz w:val="11"/>
                <w:szCs w:val="11"/>
                <w:b w:val="1"/>
                <w:bCs w:val="1"/>
                <w:color w:val="auto"/>
                <w:w w:val="92"/>
              </w:rPr>
              <w:t>Paid-in</w:t>
            </w:r>
          </w:p>
        </w:tc>
        <w:tc>
          <w:tcPr>
            <w:tcW w:w="200" w:type="dxa"/>
            <w:vAlign w:val="bottom"/>
          </w:tcPr>
          <w:p>
            <w:pPr>
              <w:spacing w:after="0"/>
              <w:rPr>
                <w:sz w:val="9"/>
                <w:szCs w:val="9"/>
                <w:color w:val="auto"/>
              </w:rPr>
            </w:pPr>
          </w:p>
        </w:tc>
        <w:tc>
          <w:tcPr>
            <w:tcW w:w="1240" w:type="dxa"/>
            <w:vAlign w:val="bottom"/>
            <w:gridSpan w:val="2"/>
          </w:tcPr>
          <w:p>
            <w:pPr>
              <w:jc w:val="center"/>
              <w:ind w:right="300"/>
              <w:spacing w:after="0" w:line="106" w:lineRule="exact"/>
              <w:rPr>
                <w:sz w:val="20"/>
                <w:szCs w:val="20"/>
                <w:color w:val="auto"/>
              </w:rPr>
            </w:pPr>
            <w:r>
              <w:rPr>
                <w:rFonts w:ascii="Arial" w:cs="Arial" w:eastAsia="Arial" w:hAnsi="Arial"/>
                <w:sz w:val="11"/>
                <w:szCs w:val="11"/>
                <w:b w:val="1"/>
                <w:bCs w:val="1"/>
                <w:color w:val="auto"/>
                <w:w w:val="84"/>
              </w:rPr>
              <w:t>Comprehensive</w:t>
            </w: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118"/>
              <w:spacing w:after="0" w:line="106"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5"/>
              </w:rPr>
              <w:t>Income (Loss)</w:t>
            </w:r>
          </w:p>
        </w:tc>
        <w:tc>
          <w:tcPr>
            <w:tcW w:w="180" w:type="dxa"/>
            <w:vAlign w:val="bottom"/>
          </w:tcPr>
          <w:p>
            <w:pPr>
              <w:spacing w:after="0"/>
              <w:rPr>
                <w:sz w:val="12"/>
                <w:szCs w:val="12"/>
                <w:color w:val="auto"/>
              </w:rPr>
            </w:pPr>
          </w:p>
        </w:tc>
        <w:tc>
          <w:tcPr>
            <w:tcW w:w="1140" w:type="dxa"/>
            <w:vAlign w:val="bottom"/>
            <w:gridSpan w:val="2"/>
          </w:tcPr>
          <w:p>
            <w:pPr>
              <w:ind w:left="280"/>
              <w:spacing w:after="0"/>
              <w:rPr>
                <w:sz w:val="20"/>
                <w:szCs w:val="20"/>
                <w:color w:val="auto"/>
              </w:rPr>
            </w:pPr>
            <w:r>
              <w:rPr>
                <w:rFonts w:ascii="Arial" w:cs="Arial" w:eastAsia="Arial" w:hAnsi="Arial"/>
                <w:sz w:val="11"/>
                <w:szCs w:val="11"/>
                <w:b w:val="1"/>
                <w:bCs w:val="1"/>
                <w:color w:val="auto"/>
              </w:rPr>
              <w:t>Deficit</w:t>
            </w:r>
          </w:p>
        </w:tc>
        <w:tc>
          <w:tcPr>
            <w:tcW w:w="180" w:type="dxa"/>
            <w:vAlign w:val="bottom"/>
          </w:tcPr>
          <w:p>
            <w:pPr>
              <w:spacing w:after="0"/>
              <w:rPr>
                <w:sz w:val="12"/>
                <w:szCs w:val="12"/>
                <w:color w:val="auto"/>
              </w:rPr>
            </w:pPr>
          </w:p>
        </w:tc>
        <w:tc>
          <w:tcPr>
            <w:tcW w:w="1040" w:type="dxa"/>
            <w:vAlign w:val="bottom"/>
          </w:tcPr>
          <w:p>
            <w:pPr>
              <w:jc w:val="center"/>
              <w:ind w:right="138"/>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6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49,338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631,605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(558,851)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72,116</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Issuance of common stock on bond conversion</w:t>
            </w:r>
          </w:p>
        </w:tc>
        <w:tc>
          <w:tcPr>
            <w:tcW w:w="860" w:type="dxa"/>
            <w:vAlign w:val="bottom"/>
          </w:tcPr>
          <w:p>
            <w:pPr>
              <w:jc w:val="right"/>
              <w:spacing w:after="0"/>
              <w:rPr>
                <w:sz w:val="20"/>
                <w:szCs w:val="20"/>
                <w:color w:val="auto"/>
              </w:rPr>
            </w:pPr>
            <w:r>
              <w:rPr>
                <w:rFonts w:ascii="Arial" w:cs="Arial" w:eastAsia="Arial" w:hAnsi="Arial"/>
                <w:sz w:val="13"/>
                <w:szCs w:val="13"/>
                <w:color w:val="auto"/>
              </w:rPr>
              <w:t>19,460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133,280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133,299</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1"/>
              </w:rPr>
              <w:t>Issuance of restricted stock, net of shares withheld for taxes, and other</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Issuance of common stock from option exercises</w:t>
            </w:r>
          </w:p>
        </w:tc>
        <w:tc>
          <w:tcPr>
            <w:tcW w:w="86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Issuance of common stock under ESPP</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80"/>
        </w:trPr>
        <w:tc>
          <w:tcPr>
            <w:tcW w:w="4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11,349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11,349</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(64,790)</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Other comprehensive income (loss), net of taxes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2"/>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December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777,765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(623,641)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153,612</w:t>
            </w:r>
          </w:p>
        </w:tc>
        <w:tc>
          <w:tcPr>
            <w:tcW w:w="0" w:type="dxa"/>
            <w:vAlign w:val="bottom"/>
          </w:tcPr>
          <w:p>
            <w:pPr>
              <w:spacing w:after="0"/>
              <w:rPr>
                <w:sz w:val="1"/>
                <w:szCs w:val="1"/>
                <w:color w:val="auto"/>
              </w:rPr>
            </w:pPr>
          </w:p>
        </w:tc>
      </w:tr>
      <w:tr>
        <w:trPr>
          <w:trHeight w:val="131"/>
        </w:trPr>
        <w:tc>
          <w:tcPr>
            <w:tcW w:w="4000" w:type="dxa"/>
            <w:vAlign w:val="bottom"/>
          </w:tcPr>
          <w:p>
            <w:pPr>
              <w:ind w:left="260"/>
              <w:spacing w:after="0" w:line="131" w:lineRule="exact"/>
              <w:rPr>
                <w:sz w:val="20"/>
                <w:szCs w:val="20"/>
                <w:color w:val="auto"/>
              </w:rPr>
            </w:pPr>
            <w:r>
              <w:rPr>
                <w:rFonts w:ascii="Arial" w:cs="Arial" w:eastAsia="Arial" w:hAnsi="Arial"/>
                <w:sz w:val="13"/>
                <w:szCs w:val="13"/>
                <w:color w:val="auto"/>
              </w:rPr>
              <w:t>Issuance of common stock from at-the-market offering, net of</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2,480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20,224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140" w:type="dxa"/>
            <w:vAlign w:val="bottom"/>
            <w:gridSpan w:val="2"/>
            <w:vMerge w:val="restart"/>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20,226</w:t>
            </w:r>
          </w:p>
        </w:tc>
        <w:tc>
          <w:tcPr>
            <w:tcW w:w="0" w:type="dxa"/>
            <w:vAlign w:val="bottom"/>
          </w:tcPr>
          <w:p>
            <w:pPr>
              <w:spacing w:after="0"/>
              <w:rPr>
                <w:sz w:val="1"/>
                <w:szCs w:val="1"/>
                <w:color w:val="auto"/>
              </w:rPr>
            </w:pPr>
          </w:p>
        </w:tc>
      </w:tr>
      <w:tr>
        <w:trPr>
          <w:trHeight w:val="163"/>
        </w:trPr>
        <w:tc>
          <w:tcPr>
            <w:tcW w:w="4000" w:type="dxa"/>
            <w:vAlign w:val="bottom"/>
          </w:tcPr>
          <w:p>
            <w:pPr>
              <w:ind w:left="260"/>
              <w:spacing w:after="0"/>
              <w:rPr>
                <w:sz w:val="20"/>
                <w:szCs w:val="20"/>
                <w:color w:val="auto"/>
              </w:rPr>
            </w:pPr>
            <w:r>
              <w:rPr>
                <w:rFonts w:ascii="Arial" w:cs="Arial" w:eastAsia="Arial" w:hAnsi="Arial"/>
                <w:sz w:val="13"/>
                <w:szCs w:val="13"/>
                <w:color w:val="auto"/>
              </w:rPr>
              <w:t>commissions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1"/>
              </w:rPr>
              <w:t>Issuance of restricted stock, net of shares withheld for taxes, and other</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Issuance of common stock under ESPP</w:t>
            </w:r>
          </w:p>
        </w:tc>
        <w:tc>
          <w:tcPr>
            <w:tcW w:w="860" w:type="dxa"/>
            <w:vAlign w:val="bottom"/>
          </w:tcPr>
          <w:p>
            <w:pPr>
              <w:jc w:val="right"/>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1,323</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Issuance of common stock from stock option exercises</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Equity issuance costs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33"/>
        </w:trPr>
        <w:tc>
          <w:tcPr>
            <w:tcW w:w="4000" w:type="dxa"/>
            <w:vAlign w:val="bottom"/>
            <w:shd w:val="clear" w:color="auto" w:fill="CCEEFF"/>
          </w:tcPr>
          <w:p>
            <w:pPr>
              <w:ind w:left="260"/>
              <w:spacing w:after="0" w:line="133" w:lineRule="exact"/>
              <w:rPr>
                <w:sz w:val="20"/>
                <w:szCs w:val="20"/>
                <w:color w:val="auto"/>
              </w:rPr>
            </w:pPr>
            <w:r>
              <w:rPr>
                <w:rFonts w:ascii="Arial" w:cs="Arial" w:eastAsia="Arial" w:hAnsi="Arial"/>
                <w:sz w:val="13"/>
                <w:szCs w:val="13"/>
                <w:color w:val="auto"/>
                <w:w w:val="97"/>
              </w:rPr>
              <w:t>Cumulative effect of new accounting standard for Topic 326 Credit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6"/>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Losses</w:t>
            </w: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14,450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14,450</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Acquisition of InstruNor AS</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(53,020)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(53,020)</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comprehensive income (loss), net of taxes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158"/>
        </w:trPr>
        <w:tc>
          <w:tcPr>
            <w:tcW w:w="4000" w:type="dxa"/>
            <w:vAlign w:val="bottom"/>
          </w:tcPr>
          <w:p>
            <w:pPr>
              <w:spacing w:after="0"/>
              <w:rPr>
                <w:sz w:val="20"/>
                <w:szCs w:val="20"/>
                <w:color w:val="auto"/>
              </w:rPr>
            </w:pPr>
            <w:r>
              <w:rPr>
                <w:rFonts w:ascii="Arial" w:cs="Arial" w:eastAsia="Arial" w:hAnsi="Arial"/>
                <w:sz w:val="13"/>
                <w:szCs w:val="13"/>
                <w:color w:val="auto"/>
              </w:rPr>
              <w:t>Balance as of December 31,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74,543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815,624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(676,761)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139,050</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1"/>
              </w:rPr>
              <w:t>Issuance of restricted stock, net of shares withheld for taxes, and other</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(1,793)</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Issuance of common stock under ESPP</w:t>
            </w:r>
          </w:p>
        </w:tc>
        <w:tc>
          <w:tcPr>
            <w:tcW w:w="86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Issuance of common stock from option exercises</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16,101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16,101</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(59,237)</w:t>
            </w:r>
          </w:p>
        </w:tc>
        <w:tc>
          <w:tcPr>
            <w:tcW w:w="0" w:type="dxa"/>
            <w:vAlign w:val="bottom"/>
          </w:tcPr>
          <w:p>
            <w:pPr>
              <w:spacing w:after="0"/>
              <w:rPr>
                <w:sz w:val="1"/>
                <w:szCs w:val="1"/>
                <w:color w:val="auto"/>
              </w:rPr>
            </w:pPr>
          </w:p>
        </w:tc>
      </w:tr>
      <w:tr>
        <w:trPr>
          <w:trHeight w:val="167"/>
        </w:trPr>
        <w:tc>
          <w:tcPr>
            <w:tcW w:w="4000" w:type="dxa"/>
            <w:vAlign w:val="bottom"/>
          </w:tcPr>
          <w:p>
            <w:pPr>
              <w:ind w:left="260"/>
              <w:spacing w:after="0"/>
              <w:rPr>
                <w:sz w:val="20"/>
                <w:szCs w:val="20"/>
                <w:color w:val="auto"/>
              </w:rPr>
            </w:pPr>
            <w:r>
              <w:rPr>
                <w:rFonts w:ascii="Arial" w:cs="Arial" w:eastAsia="Arial" w:hAnsi="Arial"/>
                <w:sz w:val="13"/>
                <w:szCs w:val="13"/>
                <w:color w:val="auto"/>
              </w:rPr>
              <w:t>Other comprehensive income (loss), net of taxes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87"/>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December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831,424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(735,998)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94,596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127000</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40" w:top="95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FLUIDIGM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4"/>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29"/>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Net loss</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(59,237)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(53,020)</w:t>
            </w:r>
          </w:p>
        </w:tc>
        <w:tc>
          <w:tcPr>
            <w:tcW w:w="100" w:type="dxa"/>
            <w:vAlign w:val="bottom"/>
          </w:tcPr>
          <w:p>
            <w:pPr>
              <w:spacing w:after="0"/>
              <w:rPr>
                <w:sz w:val="12"/>
                <w:szCs w:val="12"/>
                <w:color w:val="auto"/>
              </w:rPr>
            </w:pPr>
          </w:p>
        </w:tc>
        <w:tc>
          <w:tcPr>
            <w:tcW w:w="340" w:type="dxa"/>
            <w:vAlign w:val="bottom"/>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(64,790)</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16,101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14,451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11,393</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developed technology</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11,918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11,910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11,200</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4,014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4,605</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excess and obsolete inventory</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1,807</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Lease amortization</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(516)</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debt discounts, premiums and issuance costs</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1,936</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Impairment of intangible asset</w:t>
            </w:r>
          </w:p>
        </w:tc>
        <w:tc>
          <w:tcPr>
            <w:tcW w:w="9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443</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from extinguishment of debt</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12,020</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Loss on disposal of property and equipment</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non-cash items</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Changes in assets and liabilities: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Accounts receivable, net</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6,729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(7,628)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(2,075)</w:t>
            </w:r>
          </w:p>
        </w:tc>
        <w:tc>
          <w:tcPr>
            <w:tcW w:w="0" w:type="dxa"/>
            <w:vAlign w:val="bottom"/>
          </w:tcPr>
          <w:p>
            <w:pPr>
              <w:spacing w:after="0"/>
              <w:rPr>
                <w:sz w:val="1"/>
                <w:szCs w:val="1"/>
                <w:color w:val="auto"/>
              </w:rPr>
            </w:pPr>
          </w:p>
        </w:tc>
      </w:tr>
      <w:tr>
        <w:trPr>
          <w:trHeight w:val="146"/>
        </w:trPr>
        <w:tc>
          <w:tcPr>
            <w:tcW w:w="6860" w:type="dxa"/>
            <w:vAlign w:val="bottom"/>
          </w:tcPr>
          <w:p>
            <w:pPr>
              <w:ind w:left="280"/>
              <w:spacing w:after="0"/>
              <w:rPr>
                <w:sz w:val="20"/>
                <w:szCs w:val="20"/>
                <w:color w:val="auto"/>
              </w:rPr>
            </w:pPr>
            <w:r>
              <w:rPr>
                <w:rFonts w:ascii="Arial" w:cs="Arial" w:eastAsia="Arial" w:hAnsi="Arial"/>
                <w:sz w:val="11"/>
                <w:szCs w:val="11"/>
                <w:color w:val="auto"/>
              </w:rPr>
              <w:t>Inventories, net</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(8,636)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(3,047)</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assets</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(1,400)</w:t>
            </w:r>
          </w:p>
        </w:tc>
        <w:tc>
          <w:tcPr>
            <w:tcW w:w="0" w:type="dxa"/>
            <w:vAlign w:val="bottom"/>
          </w:tcPr>
          <w:p>
            <w:pPr>
              <w:spacing w:after="0"/>
              <w:rPr>
                <w:sz w:val="1"/>
                <w:szCs w:val="1"/>
                <w:color w:val="auto"/>
              </w:rPr>
            </w:pPr>
          </w:p>
        </w:tc>
      </w:tr>
      <w:tr>
        <w:trPr>
          <w:trHeight w:val="146"/>
        </w:trPr>
        <w:tc>
          <w:tcPr>
            <w:tcW w:w="686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3,356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787</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compensation and related benefits</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(8,721)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8,627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(9,310)</w:t>
            </w:r>
          </w:p>
        </w:tc>
        <w:tc>
          <w:tcPr>
            <w:tcW w:w="0" w:type="dxa"/>
            <w:vAlign w:val="bottom"/>
          </w:tcPr>
          <w:p>
            <w:pPr>
              <w:spacing w:after="0"/>
              <w:rPr>
                <w:sz w:val="1"/>
                <w:szCs w:val="1"/>
                <w:color w:val="auto"/>
              </w:rPr>
            </w:pPr>
          </w:p>
        </w:tc>
      </w:tr>
      <w:tr>
        <w:trPr>
          <w:trHeight w:val="146"/>
        </w:trPr>
        <w:tc>
          <w:tcPr>
            <w:tcW w:w="686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2,111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2,129</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 liabilities</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(10,796)</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5,461</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(681)</w:t>
            </w:r>
          </w:p>
        </w:tc>
        <w:tc>
          <w:tcPr>
            <w:tcW w:w="0" w:type="dxa"/>
            <w:vAlign w:val="bottom"/>
          </w:tcPr>
          <w:p>
            <w:pPr>
              <w:spacing w:after="0"/>
              <w:rPr>
                <w:sz w:val="1"/>
                <w:szCs w:val="1"/>
                <w:color w:val="auto"/>
              </w:rPr>
            </w:pPr>
          </w:p>
        </w:tc>
      </w:tr>
      <w:tr>
        <w:trPr>
          <w:trHeight w:val="137"/>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cash used in operating activities</w:t>
            </w: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(44,061)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(15,417)</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(35,210)</w:t>
            </w:r>
          </w:p>
        </w:tc>
        <w:tc>
          <w:tcPr>
            <w:tcW w:w="0" w:type="dxa"/>
            <w:vAlign w:val="bottom"/>
          </w:tcPr>
          <w:p>
            <w:pPr>
              <w:spacing w:after="0"/>
              <w:rPr>
                <w:sz w:val="1"/>
                <w:szCs w:val="1"/>
                <w:color w:val="auto"/>
              </w:rPr>
            </w:pPr>
          </w:p>
        </w:tc>
      </w:tr>
      <w:tr>
        <w:trPr>
          <w:trHeight w:val="13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Proceeds from NIH Contract</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21,036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Acquisition, net of cash acquired</w:t>
            </w:r>
          </w:p>
        </w:tc>
        <w:tc>
          <w:tcPr>
            <w:tcW w:w="9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(5,154)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Purchases of investments</w:t>
            </w:r>
          </w:p>
        </w:tc>
        <w:tc>
          <w:tcPr>
            <w:tcW w:w="9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(62,370)</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sale of investments</w:t>
            </w:r>
          </w:p>
        </w:tc>
        <w:tc>
          <w:tcPr>
            <w:tcW w:w="9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5,010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Proceeds from maturities of investments</w:t>
            </w:r>
          </w:p>
        </w:tc>
        <w:tc>
          <w:tcPr>
            <w:tcW w:w="9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31,800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25,600</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Purchases of property and equipment, net</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(13,264)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(12,717)</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(2,531)</w:t>
            </w:r>
          </w:p>
        </w:tc>
        <w:tc>
          <w:tcPr>
            <w:tcW w:w="0" w:type="dxa"/>
            <w:vAlign w:val="bottom"/>
          </w:tcPr>
          <w:p>
            <w:pPr>
              <w:spacing w:after="0"/>
              <w:rPr>
                <w:sz w:val="1"/>
                <w:szCs w:val="1"/>
                <w:color w:val="auto"/>
              </w:rPr>
            </w:pPr>
          </w:p>
        </w:tc>
      </w:tr>
      <w:tr>
        <w:trPr>
          <w:trHeight w:val="137"/>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(11,946)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39,975</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(39,301)</w:t>
            </w:r>
          </w:p>
        </w:tc>
        <w:tc>
          <w:tcPr>
            <w:tcW w:w="0" w:type="dxa"/>
            <w:vAlign w:val="bottom"/>
          </w:tcPr>
          <w:p>
            <w:pPr>
              <w:spacing w:after="0"/>
              <w:rPr>
                <w:sz w:val="1"/>
                <w:szCs w:val="1"/>
                <w:color w:val="auto"/>
              </w:rPr>
            </w:pPr>
          </w:p>
        </w:tc>
      </w:tr>
      <w:tr>
        <w:trPr>
          <w:trHeight w:val="13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Proceeds from term loan</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advances under revolving credit agreement</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Proceeds from issuance of common stock, net of commissions</w:t>
            </w:r>
          </w:p>
        </w:tc>
        <w:tc>
          <w:tcPr>
            <w:tcW w:w="9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20,226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2019 Notes issuance</w:t>
            </w:r>
          </w:p>
        </w:tc>
        <w:tc>
          <w:tcPr>
            <w:tcW w:w="9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55,000</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Repayment of long-term debt</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(51,826)</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Payments of debt and equity issuance costs</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(1,888)</w:t>
            </w:r>
          </w:p>
        </w:tc>
        <w:tc>
          <w:tcPr>
            <w:tcW w:w="0" w:type="dxa"/>
            <w:vAlign w:val="bottom"/>
          </w:tcPr>
          <w:p>
            <w:pPr>
              <w:spacing w:after="0"/>
              <w:rPr>
                <w:sz w:val="1"/>
                <w:szCs w:val="1"/>
                <w:color w:val="auto"/>
              </w:rPr>
            </w:pPr>
          </w:p>
        </w:tc>
      </w:tr>
      <w:tr>
        <w:trPr>
          <w:trHeight w:val="146"/>
        </w:trPr>
        <w:tc>
          <w:tcPr>
            <w:tcW w:w="6860" w:type="dxa"/>
            <w:vAlign w:val="bottom"/>
          </w:tcPr>
          <w:p>
            <w:pPr>
              <w:ind w:left="20"/>
              <w:spacing w:after="0"/>
              <w:rPr>
                <w:sz w:val="20"/>
                <w:szCs w:val="20"/>
                <w:color w:val="auto"/>
              </w:rPr>
            </w:pPr>
            <w:r>
              <w:rPr>
                <w:rFonts w:ascii="Arial" w:cs="Arial" w:eastAsia="Arial" w:hAnsi="Arial"/>
                <w:sz w:val="11"/>
                <w:szCs w:val="11"/>
                <w:color w:val="auto"/>
              </w:rPr>
              <w:t>Proceeds from exercise of stock options</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451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1,058</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stock issuance from ESPP</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1,075</w:t>
            </w:r>
          </w:p>
        </w:tc>
        <w:tc>
          <w:tcPr>
            <w:tcW w:w="0" w:type="dxa"/>
            <w:vAlign w:val="bottom"/>
          </w:tcPr>
          <w:p>
            <w:pPr>
              <w:spacing w:after="0"/>
              <w:rPr>
                <w:sz w:val="1"/>
                <w:szCs w:val="1"/>
                <w:color w:val="auto"/>
              </w:rPr>
            </w:pPr>
          </w:p>
        </w:tc>
      </w:tr>
      <w:tr>
        <w:trPr>
          <w:trHeight w:val="146"/>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Payments for taxes related to net share settlement of equity awards and other</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(629)</w:t>
            </w:r>
          </w:p>
        </w:tc>
        <w:tc>
          <w:tcPr>
            <w:tcW w:w="0" w:type="dxa"/>
            <w:vAlign w:val="bottom"/>
          </w:tcPr>
          <w:p>
            <w:pPr>
              <w:spacing w:after="0"/>
              <w:rPr>
                <w:sz w:val="1"/>
                <w:szCs w:val="1"/>
                <w:color w:val="auto"/>
              </w:rPr>
            </w:pPr>
          </w:p>
        </w:tc>
      </w:tr>
      <w:tr>
        <w:trPr>
          <w:trHeight w:val="141"/>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financing activities</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15,959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20,857</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7"/>
        </w:trPr>
        <w:tc>
          <w:tcPr>
            <w:tcW w:w="6860" w:type="dxa"/>
            <w:vAlign w:val="bottom"/>
          </w:tcPr>
          <w:p>
            <w:pPr>
              <w:ind w:left="20"/>
              <w:spacing w:after="0"/>
              <w:rPr>
                <w:sz w:val="20"/>
                <w:szCs w:val="20"/>
                <w:color w:val="auto"/>
              </w:rPr>
            </w:pPr>
            <w:r>
              <w:rPr>
                <w:rFonts w:ascii="Arial" w:cs="Arial" w:eastAsia="Arial" w:hAnsi="Arial"/>
                <w:sz w:val="11"/>
                <w:szCs w:val="11"/>
                <w:color w:val="auto"/>
              </w:rPr>
              <w:t>Effect of foreign exchange rate fluctuations on cash and cash equivalents</w:t>
            </w:r>
          </w:p>
        </w:tc>
        <w:tc>
          <w:tcPr>
            <w:tcW w:w="9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385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50"/>
        </w:trPr>
        <w:tc>
          <w:tcPr>
            <w:tcW w:w="6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45,800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(71,665)</w:t>
            </w:r>
          </w:p>
        </w:tc>
        <w:tc>
          <w:tcPr>
            <w:tcW w:w="0" w:type="dxa"/>
            <w:vAlign w:val="bottom"/>
          </w:tcPr>
          <w:p>
            <w:pPr>
              <w:spacing w:after="0"/>
              <w:rPr>
                <w:sz w:val="1"/>
                <w:szCs w:val="1"/>
                <w:color w:val="auto"/>
              </w:rPr>
            </w:pPr>
          </w:p>
        </w:tc>
      </w:tr>
      <w:tr>
        <w:trPr>
          <w:trHeight w:val="147"/>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Cash and cash equivalents and restricted cash at beginning of period</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69,536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23,736</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95,401</w:t>
            </w:r>
          </w:p>
        </w:tc>
        <w:tc>
          <w:tcPr>
            <w:tcW w:w="0" w:type="dxa"/>
            <w:vAlign w:val="bottom"/>
          </w:tcPr>
          <w:p>
            <w:pPr>
              <w:spacing w:after="0"/>
              <w:rPr>
                <w:sz w:val="1"/>
                <w:szCs w:val="1"/>
                <w:color w:val="auto"/>
              </w:rPr>
            </w:pPr>
          </w:p>
        </w:tc>
      </w:tr>
      <w:tr>
        <w:trPr>
          <w:trHeight w:val="16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and restricted cash at end of period</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29,467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69,536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23,736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8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paid for interest</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3,149</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3,089</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3,542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860" w:type="dxa"/>
            <w:vAlign w:val="bottom"/>
          </w:tcPr>
          <w:p>
            <w:pPr>
              <w:ind w:left="20"/>
              <w:spacing w:after="0" w:line="111" w:lineRule="exact"/>
              <w:rPr>
                <w:sz w:val="20"/>
                <w:szCs w:val="20"/>
                <w:color w:val="auto"/>
              </w:rPr>
            </w:pPr>
            <w:r>
              <w:rPr>
                <w:rFonts w:ascii="Arial" w:cs="Arial" w:eastAsia="Arial" w:hAnsi="Arial"/>
                <w:sz w:val="11"/>
                <w:szCs w:val="11"/>
                <w:color w:val="auto"/>
              </w:rPr>
              <w:t>Cash paid for income taxes, net of refunds</w:t>
            </w:r>
          </w:p>
        </w:tc>
        <w:tc>
          <w:tcPr>
            <w:tcW w:w="900" w:type="dxa"/>
            <w:vAlign w:val="bottom"/>
            <w:tcBorders>
              <w:bottom w:val="single" w:sz="8" w:color="auto"/>
            </w:tcBorders>
          </w:tcPr>
          <w:p>
            <w:pPr>
              <w:jc w:val="right"/>
              <w:ind w:right="788"/>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2,085</w:t>
            </w:r>
          </w:p>
        </w:tc>
        <w:tc>
          <w:tcPr>
            <w:tcW w:w="100" w:type="dxa"/>
            <w:vAlign w:val="bottom"/>
          </w:tcPr>
          <w:p>
            <w:pPr>
              <w:spacing w:after="0"/>
              <w:rPr>
                <w:sz w:val="9"/>
                <w:szCs w:val="9"/>
                <w:color w:val="auto"/>
              </w:rPr>
            </w:pPr>
          </w:p>
        </w:tc>
        <w:tc>
          <w:tcPr>
            <w:tcW w:w="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521</w:t>
            </w:r>
          </w:p>
        </w:tc>
        <w:tc>
          <w:tcPr>
            <w:tcW w:w="100" w:type="dxa"/>
            <w:vAlign w:val="bottom"/>
          </w:tcPr>
          <w:p>
            <w:pPr>
              <w:spacing w:after="0"/>
              <w:rPr>
                <w:sz w:val="9"/>
                <w:szCs w:val="9"/>
                <w:color w:val="auto"/>
              </w:rPr>
            </w:pPr>
          </w:p>
        </w:tc>
        <w:tc>
          <w:tcPr>
            <w:tcW w:w="340" w:type="dxa"/>
            <w:vAlign w:val="bottom"/>
            <w:tcBorders>
              <w:bottom w:val="single" w:sz="8" w:color="auto"/>
            </w:tcBorders>
          </w:tcPr>
          <w:p>
            <w:pPr>
              <w:jc w:val="right"/>
              <w:ind w:right="204"/>
              <w:spacing w:after="0" w:line="111" w:lineRule="exact"/>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Non-cash right-of-use assets and lease liabilities</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(2,435)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36,225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10,402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860" w:type="dxa"/>
            <w:vAlign w:val="bottom"/>
          </w:tcPr>
          <w:p>
            <w:pPr>
              <w:ind w:left="20"/>
              <w:spacing w:after="0" w:line="111" w:lineRule="exact"/>
              <w:rPr>
                <w:sz w:val="20"/>
                <w:szCs w:val="20"/>
                <w:color w:val="auto"/>
              </w:rPr>
            </w:pPr>
            <w:r>
              <w:rPr>
                <w:rFonts w:ascii="Arial" w:cs="Arial" w:eastAsia="Arial" w:hAnsi="Arial"/>
                <w:sz w:val="11"/>
                <w:szCs w:val="11"/>
                <w:color w:val="auto"/>
              </w:rPr>
              <w:t>Unpaid debt and equity issuance costs</w:t>
            </w:r>
          </w:p>
        </w:tc>
        <w:tc>
          <w:tcPr>
            <w:tcW w:w="900" w:type="dxa"/>
            <w:vAlign w:val="bottom"/>
            <w:tcBorders>
              <w:top w:val="single" w:sz="8" w:color="auto"/>
              <w:bottom w:val="single" w:sz="8" w:color="auto"/>
            </w:tcBorders>
          </w:tcPr>
          <w:p>
            <w:pPr>
              <w:jc w:val="right"/>
              <w:ind w:right="788"/>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ind w:right="204"/>
              <w:spacing w:after="0" w:line="111" w:lineRule="exact"/>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534</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Asset retirement obligations</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129" w:lineRule="exact"/>
        <w:rPr>
          <w:sz w:val="20"/>
          <w:szCs w:val="20"/>
          <w:color w:val="auto"/>
        </w:rPr>
      </w:pPr>
    </w:p>
    <w:p>
      <w:pPr>
        <w:ind w:right="60" w:firstLine="254"/>
        <w:spacing w:after="0" w:line="284" w:lineRule="auto"/>
        <w:rPr>
          <w:sz w:val="20"/>
          <w:szCs w:val="20"/>
          <w:color w:val="auto"/>
        </w:rPr>
      </w:pPr>
      <w:r>
        <w:rPr>
          <w:rFonts w:ascii="Arial" w:cs="Arial" w:eastAsia="Arial" w:hAnsi="Arial"/>
          <w:sz w:val="13"/>
          <w:szCs w:val="13"/>
          <w:color w:val="auto"/>
        </w:rPr>
        <w:t>Fluidigm Corporation (the Company, Fluidigm, we, our or us) improves life by driving meaningful insights in health and disease. Our innovative technologies explore the biological complexities of disease to advance human health through research, diagnostics and clinical applications. We create, manufacture, and market a range of products and services, including instruments, consumables, reagents and software that are used by researchers and clinical labs worldwide. Our customers are leading academic and government laboratories, as well as pharmaceutical, biotechnology, plant and animal research organizations, and clinical laboratories worldwide. The Company was formerly known as Mycometrix Corporation and changed its name to Fluidigm Corporation in April 2001. Fluidigm Corporation was founded in 1999 and is headquartered in South San Francisco, California.</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Consolidation</w:t>
      </w:r>
    </w:p>
    <w:p>
      <w:pPr>
        <w:spacing w:after="0" w:line="118"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to operate as a going concern and meet its obligations when they become due over the twelve-month period subsequent to the date the financial statements were issued. The going concern assumption contemplates the realization of assets and satisfaction of liabilities in the normal course of business. The consolidated financial statements do not include any adjustments to the carrying amounts and classification of assets, liabilities and reported expenses that may be necessary if we were unable to continue as a going concern.</w:t>
      </w:r>
    </w:p>
    <w:p>
      <w:pPr>
        <w:spacing w:after="0" w:line="94" w:lineRule="exact"/>
        <w:rPr>
          <w:sz w:val="20"/>
          <w:szCs w:val="20"/>
          <w:color w:val="auto"/>
        </w:rPr>
      </w:pPr>
    </w:p>
    <w:p>
      <w:pPr>
        <w:ind w:right="100" w:firstLine="254"/>
        <w:spacing w:after="0" w:line="312" w:lineRule="auto"/>
        <w:rPr>
          <w:sz w:val="20"/>
          <w:szCs w:val="20"/>
          <w:color w:val="auto"/>
        </w:rPr>
      </w:pPr>
      <w:r>
        <w:rPr>
          <w:rFonts w:ascii="Arial" w:cs="Arial" w:eastAsia="Arial" w:hAnsi="Arial"/>
          <w:sz w:val="12"/>
          <w:szCs w:val="12"/>
          <w:color w:val="auto"/>
        </w:rPr>
        <w:t>For this annual report, we performed an assessment to determine whether there are conditions or events, considered in the aggregate, that raise substantial doubt about our ability to continue as a going concern for at least the twelve-month period following the date the financial statements were issued. Since our inception, we have incurred significant operating losses and generated negative cash flows from operations. We have historically funded our operations primarily through the issuance of common stock and debt. We believe that our current level of cash and cash equivalents, together with committed financing facilities, are not sufficient to fund ongoing operations for at least the twelve-month period after the financial statements were issued. The existence of these conditions raises substantial doubt about the Company's ability to continue as a going concern for the twelve-month period following the date the financial statements were issued.</w:t>
      </w:r>
    </w:p>
    <w:p>
      <w:pPr>
        <w:spacing w:after="0" w:line="141" w:lineRule="exact"/>
        <w:rPr>
          <w:sz w:val="20"/>
          <w:szCs w:val="20"/>
          <w:color w:val="auto"/>
        </w:rPr>
      </w:pPr>
    </w:p>
    <w:p>
      <w:pPr>
        <w:ind w:firstLine="254"/>
        <w:spacing w:after="0" w:line="305" w:lineRule="auto"/>
        <w:rPr>
          <w:sz w:val="20"/>
          <w:szCs w:val="20"/>
          <w:color w:val="auto"/>
        </w:rPr>
      </w:pPr>
      <w:r>
        <w:rPr>
          <w:rFonts w:ascii="Arial" w:cs="Arial" w:eastAsia="Arial" w:hAnsi="Arial"/>
          <w:sz w:val="12"/>
          <w:szCs w:val="12"/>
          <w:color w:val="auto"/>
        </w:rPr>
        <w:t>Our ability to continue as a going concern is dependent upon our success in obtaining additional equity or debt financing, attaining further operating efficiencies, reducing expenditures and ultimately, generating significant revenue growth. We are evaluating strategies to obtain the required additional funding for future operations, including the potential consummation of the $225 million investment in Fluidigm disclosed in Note 18 Subsequent Events (the Private Placement Issuance), which is contingent on stockholder approval and satisfaction of customary closing conditions. In the event the proposed investment does not occur, we would need to obtain the required additional funding for future operations from alternative sources. These sources may include, but are not limited to, equity financing, debt or other financing arrangements, and restructuring of operations to grow revenues and decrease expenses. Our plans to raise additional capital, including our ability to consummate the Private Placement Issuance, or take the other actions to address the doubt regarding our ability to continue as a going concern, may not be successful. There can be no assurance that we would be able to obtain additional liquidity when needed or under acceptable terms, if at all. The accompanying financial statements do not include any adjustments related to the recoverability and classification of recorded asset amounts or the amounts and classification of liabilities that might be necessary should we be unable to continue as a going concern.</w:t>
      </w:r>
    </w:p>
    <w:p>
      <w:pPr>
        <w:spacing w:after="0" w:line="69" w:lineRule="exact"/>
        <w:rPr>
          <w:sz w:val="20"/>
          <w:szCs w:val="20"/>
          <w:color w:val="auto"/>
        </w:rPr>
      </w:pPr>
    </w:p>
    <w:p>
      <w:pPr>
        <w:jc w:val="both"/>
        <w:ind w:firstLine="254"/>
        <w:spacing w:after="0" w:line="266" w:lineRule="auto"/>
        <w:rPr>
          <w:sz w:val="20"/>
          <w:szCs w:val="20"/>
          <w:color w:val="auto"/>
        </w:rPr>
      </w:pPr>
      <w:r>
        <w:rPr>
          <w:rFonts w:ascii="Arial" w:cs="Arial" w:eastAsia="Arial" w:hAnsi="Arial"/>
          <w:sz w:val="14"/>
          <w:szCs w:val="14"/>
          <w:color w:val="auto"/>
        </w:rPr>
        <w:t>The consolidated financial statements include the accounts of our wholly owned subsidiaries. As of December 31, 2021, we had wholly owned subsidiaries in Singapore, Canada, the Netherlands, Japan, France, Italy,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79" w:lineRule="exact"/>
        <w:rPr>
          <w:sz w:val="20"/>
          <w:szCs w:val="20"/>
          <w:color w:val="auto"/>
        </w:rPr>
      </w:pPr>
    </w:p>
    <w:p>
      <w:pPr>
        <w:ind w:right="620" w:firstLine="254"/>
        <w:spacing w:after="0" w:line="320" w:lineRule="auto"/>
        <w:rPr>
          <w:sz w:val="20"/>
          <w:szCs w:val="20"/>
          <w:color w:val="auto"/>
        </w:rPr>
      </w:pPr>
      <w:r>
        <w:rPr>
          <w:rFonts w:ascii="Arial" w:cs="Arial" w:eastAsia="Arial" w:hAnsi="Arial"/>
          <w:sz w:val="13"/>
          <w:szCs w:val="13"/>
          <w:color w:val="auto"/>
        </w:rPr>
        <w:t>Certain prior period amounts in the consolidated balance sheet and statements of cash flows were reclassified to conform to the current period presentation. These reclassifications were immaterial and did not affect prior period total assets, total liabilities, stockholders' equity, total revenue, total costs and expenses, loss from operations or net loss.</w:t>
      </w: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auto"/>
        </w:rPr>
        <w:t>Use of Estimates</w:t>
      </w:r>
    </w:p>
    <w:p>
      <w:pPr>
        <w:spacing w:after="0" w:line="129" w:lineRule="exact"/>
        <w:rPr>
          <w:sz w:val="20"/>
          <w:szCs w:val="20"/>
          <w:color w:val="auto"/>
        </w:rPr>
      </w:pPr>
    </w:p>
    <w:p>
      <w:pPr>
        <w:ind w:right="100" w:firstLine="254"/>
        <w:spacing w:after="0" w:line="306" w:lineRule="auto"/>
        <w:rPr>
          <w:sz w:val="20"/>
          <w:szCs w:val="20"/>
          <w:color w:val="auto"/>
        </w:rPr>
      </w:pPr>
      <w:r>
        <w:rPr>
          <w:rFonts w:ascii="Arial" w:cs="Arial" w:eastAsia="Arial" w:hAnsi="Arial"/>
          <w:sz w:val="12"/>
          <w:szCs w:val="12"/>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including the unknown impact of COVID-19 pandemic. These accounting matters included, but were not limited to, our allowance for doubtful accounts and credit losses, inventory and related reserves and the carrying value of goodwill and other long-lived assets. Actual results could differ materially from these estimates and could have a material adverse effect on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w:t>
      </w:r>
    </w:p>
    <w:p>
      <w:pPr>
        <w:spacing w:after="0" w:line="118" w:lineRule="exact"/>
        <w:rPr>
          <w:sz w:val="20"/>
          <w:szCs w:val="20"/>
          <w:color w:val="auto"/>
        </w:rPr>
      </w:pPr>
    </w:p>
    <w:p>
      <w:pPr>
        <w:ind w:right="140" w:firstLine="254"/>
        <w:spacing w:after="0" w:line="266" w:lineRule="auto"/>
        <w:rPr>
          <w:sz w:val="20"/>
          <w:szCs w:val="20"/>
          <w:color w:val="auto"/>
        </w:rPr>
      </w:pPr>
      <w:r>
        <w:rPr>
          <w:rFonts w:ascii="Arial" w:cs="Arial" w:eastAsia="Arial" w:hAnsi="Arial"/>
          <w:sz w:val="14"/>
          <w:szCs w:val="14"/>
          <w:color w:val="auto"/>
        </w:rPr>
        <w:t>Assets and liabilities of non-U.S. subsidiaries that use the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29"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We generate revenue primarily from the sale of our products and services. Product revenue is derived from the sale of instruments and consumables, including IFCs, assays and reagents. Service revenue is primarily derived from the sale of instrument service contracts, repairs, installation, training and other specialized product support services. We also generate revenue from product development agreements, license and royalty agreements and grants. Revenue is reported net of any sales, use and value-added taxes we collect from customers as required by government authorities. Research and development cost includes costs associated with development and grant revenue.</w:t>
      </w:r>
    </w:p>
    <w:p>
      <w:pPr>
        <w:spacing w:after="0" w:line="94" w:lineRule="exact"/>
        <w:rPr>
          <w:sz w:val="20"/>
          <w:szCs w:val="20"/>
          <w:color w:val="auto"/>
        </w:rPr>
      </w:pPr>
    </w:p>
    <w:p>
      <w:pPr>
        <w:ind w:firstLine="254"/>
        <w:spacing w:after="0" w:line="261" w:lineRule="auto"/>
        <w:rPr>
          <w:sz w:val="20"/>
          <w:szCs w:val="20"/>
          <w:color w:val="auto"/>
        </w:rPr>
      </w:pPr>
      <w:r>
        <w:rPr>
          <w:rFonts w:ascii="Arial" w:cs="Arial" w:eastAsia="Arial" w:hAnsi="Arial"/>
          <w:sz w:val="14"/>
          <w:szCs w:val="14"/>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Revenue</w:t>
      </w:r>
    </w:p>
    <w:p>
      <w:pPr>
        <w:spacing w:after="0" w:line="114"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generally do not have a unilateral right to return products after delivery. Invoices are generally issued at shipment and generally become due in 30 to 60 days.</w:t>
      </w:r>
    </w:p>
    <w:p>
      <w:pPr>
        <w:spacing w:after="0" w:line="90"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 Revenue</w:t>
      </w:r>
    </w:p>
    <w:p>
      <w:pPr>
        <w:spacing w:after="0" w:line="125"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69"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i w:val="1"/>
          <w:iCs w:val="1"/>
          <w:color w:val="auto"/>
        </w:rPr>
        <w:t>Development Revenue</w:t>
      </w:r>
    </w:p>
    <w:p>
      <w:pPr>
        <w:spacing w:after="0" w:line="125" w:lineRule="exact"/>
        <w:rPr>
          <w:sz w:val="20"/>
          <w:szCs w:val="20"/>
          <w:color w:val="auto"/>
        </w:rPr>
      </w:pPr>
    </w:p>
    <w:p>
      <w:pPr>
        <w:ind w:right="100" w:firstLine="254"/>
        <w:spacing w:after="0" w:line="261" w:lineRule="auto"/>
        <w:rPr>
          <w:sz w:val="20"/>
          <w:szCs w:val="20"/>
          <w:color w:val="auto"/>
        </w:rPr>
      </w:pPr>
      <w:r>
        <w:rPr>
          <w:rFonts w:ascii="Arial" w:cs="Arial" w:eastAsia="Arial" w:hAnsi="Arial"/>
          <w:sz w:val="14"/>
          <w:szCs w:val="14"/>
          <w:color w:val="auto"/>
        </w:rPr>
        <w:t>We have entered and may continue to enter into development agreements with third parties that provide for up-front and periodic milestone payments. Our development agreements may include more than one performance obligation. At the inception of the contract, we assess whether each obligation represents a separate performance obligation or whether such obligations should be combined as a single performance obligation. The transaction price for each development agreement is determined based on the amount of consideration we expect to be entitled to for satisfying all performance obligations within the agreement.</w:t>
      </w:r>
    </w:p>
    <w:p>
      <w:pPr>
        <w:spacing w:after="0" w:line="83" w:lineRule="exact"/>
        <w:rPr>
          <w:sz w:val="20"/>
          <w:szCs w:val="20"/>
          <w:color w:val="auto"/>
        </w:rPr>
      </w:pPr>
    </w:p>
    <w:p>
      <w:pPr>
        <w:ind w:right="100" w:firstLine="254"/>
        <w:spacing w:after="0" w:line="284" w:lineRule="auto"/>
        <w:rPr>
          <w:sz w:val="20"/>
          <w:szCs w:val="20"/>
          <w:color w:val="auto"/>
        </w:rPr>
      </w:pPr>
      <w:r>
        <w:rPr>
          <w:rFonts w:ascii="Arial" w:cs="Arial" w:eastAsia="Arial" w:hAnsi="Arial"/>
          <w:sz w:val="13"/>
          <w:szCs w:val="13"/>
          <w:color w:val="auto"/>
        </w:rPr>
        <w:t>We assess the nature of the combined performance obligation to determine whether the combined performance obligation is satisfied over time or at a point in time and, if over time, the appropriate method of measuring progress for purposes of recognizing revenue. In arrangements where we satisfy performance obligation(s) over time, we recognize development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spacing w:after="0" w:line="79" w:lineRule="exact"/>
        <w:rPr>
          <w:sz w:val="20"/>
          <w:szCs w:val="20"/>
          <w:color w:val="auto"/>
        </w:rPr>
      </w:pPr>
    </w:p>
    <w:p>
      <w:pPr>
        <w:ind w:right="180" w:firstLine="254"/>
        <w:spacing w:after="0" w:line="280" w:lineRule="auto"/>
        <w:rPr>
          <w:sz w:val="20"/>
          <w:szCs w:val="20"/>
          <w:color w:val="auto"/>
        </w:rPr>
      </w:pPr>
      <w:r>
        <w:rPr>
          <w:rFonts w:ascii="Arial" w:cs="Arial" w:eastAsia="Arial" w:hAnsi="Arial"/>
          <w:sz w:val="14"/>
          <w:szCs w:val="14"/>
          <w:color w:val="auto"/>
        </w:rPr>
        <w:t>We may also generate revenue from development or collaboration agreements that do not include upfront or milestone-based payments. For these type of arrangements, we generally recognize revenue over time as the development services are provided.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Revenue</w:t>
      </w:r>
    </w:p>
    <w:p>
      <w:pPr>
        <w:spacing w:after="0" w:line="114" w:lineRule="exact"/>
        <w:rPr>
          <w:sz w:val="20"/>
          <w:szCs w:val="20"/>
          <w:color w:val="auto"/>
        </w:rPr>
      </w:pPr>
    </w:p>
    <w:p>
      <w:pPr>
        <w:jc w:val="both"/>
        <w:ind w:firstLine="254"/>
        <w:spacing w:after="0" w:line="266" w:lineRule="auto"/>
        <w:rPr>
          <w:sz w:val="20"/>
          <w:szCs w:val="20"/>
          <w:color w:val="auto"/>
        </w:rPr>
      </w:pPr>
      <w:r>
        <w:rPr>
          <w:rFonts w:ascii="Arial" w:cs="Arial" w:eastAsia="Arial" w:hAnsi="Arial"/>
          <w:sz w:val="14"/>
          <w:szCs w:val="14"/>
          <w:color w:val="auto"/>
        </w:rPr>
        <w:t>Other revenue consists of license and royalty revenue and grant revenue. We recognize revenue from license agreements when the license is transferred to the customer and the customer is able to use and benefit from the license. For contracts that include sales-based royalties, we recognize revenue at the later of (i) when the related sales occur, or (ii) when the performance obligation to which some or all of the royalty has been allocated has been satisfied.</w:t>
      </w:r>
    </w:p>
    <w:p>
      <w:pPr>
        <w:spacing w:after="0" w:line="90"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In March 2020, we entered into an agreement to settle intellectual property infringement claims, under which we received a $3.5 million payment in exchange for a perpetual license to certain Fluidigm intellectual property. The settlement was accounted for as a multiple-element arrangement. Accordingly, $3.1 million of the proceeds was recognized as license revenue and $0.4 million was offset against legal costs.</w:t>
      </w:r>
    </w:p>
    <w:p>
      <w:pPr>
        <w:spacing w:after="0" w:line="90" w:lineRule="exact"/>
        <w:rPr>
          <w:sz w:val="20"/>
          <w:szCs w:val="20"/>
          <w:color w:val="auto"/>
        </w:rPr>
      </w:pPr>
    </w:p>
    <w:p>
      <w:pPr>
        <w:ind w:right="200" w:firstLine="254"/>
        <w:spacing w:after="0" w:line="261" w:lineRule="auto"/>
        <w:rPr>
          <w:sz w:val="20"/>
          <w:szCs w:val="20"/>
          <w:color w:val="auto"/>
        </w:rPr>
      </w:pPr>
      <w:r>
        <w:rPr>
          <w:rFonts w:ascii="Arial" w:cs="Arial" w:eastAsia="Arial" w:hAnsi="Arial"/>
          <w:sz w:val="14"/>
          <w:szCs w:val="14"/>
          <w:color w:val="auto"/>
        </w:rPr>
        <w:t>We receive grants from various entities to perform research and development activities over contractually defined periods. Grant revenue is not accounted for under ASC 606 Revenue from Contracts with Customers, as the grant agreement is not with a customer. As there is no authoritative U.S. GAAP guidance for grants awarded to for-profit entities, we have applied the guidance in ASC 958 Not-for-Profit Entities by analogy. Revenue is generally recognized provided that the conditions under which the grants were provided have been met and any remaining performance obligations are perfunctory.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Warranties</w:t>
      </w:r>
    </w:p>
    <w:p>
      <w:pPr>
        <w:spacing w:after="0" w:line="125" w:lineRule="exact"/>
        <w:rPr>
          <w:sz w:val="20"/>
          <w:szCs w:val="20"/>
          <w:color w:val="auto"/>
        </w:rPr>
      </w:pPr>
    </w:p>
    <w:p>
      <w:pPr>
        <w:ind w:right="140" w:firstLine="254"/>
        <w:spacing w:after="0" w:line="266" w:lineRule="auto"/>
        <w:rPr>
          <w:sz w:val="20"/>
          <w:szCs w:val="20"/>
          <w:color w:val="auto"/>
        </w:rPr>
      </w:pPr>
      <w:r>
        <w:rPr>
          <w:rFonts w:ascii="Arial" w:cs="Arial" w:eastAsia="Arial" w:hAnsi="Arial"/>
          <w:sz w:val="14"/>
          <w:szCs w:val="14"/>
          <w:color w:val="auto"/>
        </w:rPr>
        <w:t>We generally provide a one-year warranty on our instruments and establish a liability for the estimated cost of the obligation at the time the product is shipped. We periodically review our warranty liability and record adjustments based on specific terms provided to customers and our overall historical experience with usage. This expense is recorded as a component of cost of product revenue in the consolidated statements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Judgments</w:t>
      </w:r>
    </w:p>
    <w:p>
      <w:pPr>
        <w:spacing w:after="0" w:line="125" w:lineRule="exact"/>
        <w:rPr>
          <w:sz w:val="20"/>
          <w:szCs w:val="20"/>
          <w:color w:val="auto"/>
        </w:rPr>
      </w:pPr>
    </w:p>
    <w:p>
      <w:pPr>
        <w:ind w:right="80" w:firstLine="254"/>
        <w:spacing w:after="0" w:line="331" w:lineRule="auto"/>
        <w:rPr>
          <w:sz w:val="20"/>
          <w:szCs w:val="20"/>
          <w:color w:val="auto"/>
        </w:rPr>
      </w:pPr>
      <w:r>
        <w:rPr>
          <w:rFonts w:ascii="Arial" w:cs="Arial" w:eastAsia="Arial" w:hAnsi="Arial"/>
          <w:sz w:val="12"/>
          <w:szCs w:val="12"/>
          <w:color w:val="auto"/>
        </w:rPr>
        <w:t>Applying the revenue recognition practices discussed above often requires significant judgment. Significant judgment is required when interpreting commercial terms in sales agreements and determining when control of goods and services passes to the customer. Judgment is also required when identifying performance obligations, estimating SSP and allocating purchase consideration in agreements that include multiple performance obligations. Any material changes created by errors in judgment could have a material effect on our operating results and overall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18" w:lineRule="exact"/>
        <w:rPr>
          <w:sz w:val="20"/>
          <w:szCs w:val="20"/>
          <w:color w:val="auto"/>
        </w:rPr>
      </w:pPr>
    </w:p>
    <w:p>
      <w:pPr>
        <w:ind w:right="20" w:firstLine="254"/>
        <w:spacing w:after="0" w:line="280" w:lineRule="auto"/>
        <w:rPr>
          <w:sz w:val="20"/>
          <w:szCs w:val="20"/>
          <w:color w:val="auto"/>
        </w:rPr>
      </w:pPr>
      <w:r>
        <w:rPr>
          <w:rFonts w:ascii="Arial" w:cs="Arial" w:eastAsia="Arial" w:hAnsi="Arial"/>
          <w:sz w:val="14"/>
          <w:szCs w:val="14"/>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315"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Investments</w:t>
      </w:r>
    </w:p>
    <w:p>
      <w:pPr>
        <w:spacing w:after="0" w:line="129" w:lineRule="exact"/>
        <w:rPr>
          <w:sz w:val="20"/>
          <w:szCs w:val="20"/>
          <w:color w:val="auto"/>
        </w:rPr>
      </w:pPr>
    </w:p>
    <w:p>
      <w:pPr>
        <w:ind w:firstLine="254"/>
        <w:spacing w:after="0" w:line="284" w:lineRule="auto"/>
        <w:rPr>
          <w:sz w:val="20"/>
          <w:szCs w:val="20"/>
          <w:color w:val="auto"/>
        </w:rPr>
      </w:pPr>
      <w:r>
        <w:rPr>
          <w:rFonts w:ascii="Arial" w:cs="Arial" w:eastAsia="Arial" w:hAnsi="Arial"/>
          <w:sz w:val="13"/>
          <w:szCs w:val="13"/>
          <w:color w:val="auto"/>
        </w:rPr>
        <w:t>Short-term investments are comprised of notes from government-sponsored agencies that mature within one year. All investments are recorded at estimated fair value. Any unrealized gains and losses from investments are reported in accumulated other comprehensive loss, a separate component of stockholders’ equity. We evaluate our investments to assess whether investments with unrealized loss positions are other-than-temporarily impaired. An investment is considered to be other-than-temporarily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 net</w:t>
      </w:r>
    </w:p>
    <w:p>
      <w:pPr>
        <w:spacing w:after="0" w:line="118"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of Business and Credit Risk</w:t>
      </w:r>
    </w:p>
    <w:p>
      <w:pPr>
        <w:spacing w:after="0" w:line="129" w:lineRule="exact"/>
        <w:rPr>
          <w:sz w:val="20"/>
          <w:szCs w:val="20"/>
          <w:color w:val="auto"/>
        </w:rPr>
      </w:pPr>
    </w:p>
    <w:p>
      <w:pPr>
        <w:jc w:val="both"/>
        <w:ind w:right="20" w:firstLine="254"/>
        <w:spacing w:after="0" w:line="261" w:lineRule="auto"/>
        <w:rPr>
          <w:sz w:val="20"/>
          <w:szCs w:val="20"/>
          <w:color w:val="auto"/>
        </w:rPr>
      </w:pPr>
      <w:r>
        <w:rPr>
          <w:rFonts w:ascii="Arial" w:cs="Arial" w:eastAsia="Arial" w:hAnsi="Arial"/>
          <w:sz w:val="14"/>
          <w:szCs w:val="14"/>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94" w:lineRule="exact"/>
        <w:rPr>
          <w:sz w:val="20"/>
          <w:szCs w:val="20"/>
          <w:color w:val="auto"/>
        </w:rPr>
      </w:pPr>
    </w:p>
    <w:p>
      <w:pPr>
        <w:jc w:val="both"/>
        <w:ind w:right="40" w:firstLine="254"/>
        <w:spacing w:after="0" w:line="320" w:lineRule="auto"/>
        <w:rPr>
          <w:sz w:val="20"/>
          <w:szCs w:val="20"/>
          <w:color w:val="auto"/>
        </w:rPr>
      </w:pPr>
      <w:r>
        <w:rPr>
          <w:rFonts w:ascii="Arial" w:cs="Arial" w:eastAsia="Arial" w:hAnsi="Arial"/>
          <w:sz w:val="13"/>
          <w:szCs w:val="13"/>
          <w:color w:val="auto"/>
        </w:rPr>
        <w:t>We generally do not require collateral to support credit sales. To reduce credit risk, we perform credit evaluations of our customers. No customer represented more than 10% of total revenue for 2021, 2020, or 2019, and no customer had an outstanding trade receivable balance that represented more than 10% of total billed accounts receivables at December 31, 2021, or 2020.</w:t>
      </w:r>
    </w:p>
    <w:p>
      <w:pPr>
        <w:spacing w:after="0" w:line="46" w:lineRule="exact"/>
        <w:rPr>
          <w:sz w:val="20"/>
          <w:szCs w:val="20"/>
          <w:color w:val="auto"/>
        </w:rPr>
      </w:pPr>
    </w:p>
    <w:p>
      <w:pPr>
        <w:ind w:right="160" w:firstLine="254"/>
        <w:spacing w:after="0" w:line="266" w:lineRule="auto"/>
        <w:rPr>
          <w:sz w:val="20"/>
          <w:szCs w:val="20"/>
          <w:color w:val="auto"/>
        </w:rPr>
      </w:pPr>
      <w:r>
        <w:rPr>
          <w:rFonts w:ascii="Arial" w:cs="Arial" w:eastAsia="Arial" w:hAnsi="Arial"/>
          <w:sz w:val="14"/>
          <w:szCs w:val="14"/>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 net</w:t>
      </w:r>
    </w:p>
    <w:p>
      <w:pPr>
        <w:spacing w:after="0" w:line="129" w:lineRule="exact"/>
        <w:rPr>
          <w:sz w:val="20"/>
          <w:szCs w:val="20"/>
          <w:color w:val="auto"/>
        </w:rPr>
      </w:pPr>
    </w:p>
    <w:p>
      <w:pPr>
        <w:ind w:right="20" w:firstLine="254"/>
        <w:spacing w:after="0" w:line="296" w:lineRule="auto"/>
        <w:rPr>
          <w:sz w:val="20"/>
          <w:szCs w:val="20"/>
          <w:color w:val="auto"/>
        </w:rPr>
      </w:pPr>
      <w:r>
        <w:rPr>
          <w:rFonts w:ascii="Arial" w:cs="Arial" w:eastAsia="Arial" w:hAnsi="Arial"/>
          <w:sz w:val="13"/>
          <w:szCs w:val="13"/>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and quality issues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 net</w:t>
      </w:r>
    </w:p>
    <w:p>
      <w:pPr>
        <w:spacing w:after="0" w:line="129" w:lineRule="exact"/>
        <w:rPr>
          <w:sz w:val="20"/>
          <w:szCs w:val="20"/>
          <w:color w:val="auto"/>
        </w:rPr>
      </w:pPr>
    </w:p>
    <w:p>
      <w:pPr>
        <w:ind w:firstLine="254"/>
        <w:spacing w:after="0" w:line="261" w:lineRule="auto"/>
        <w:rPr>
          <w:sz w:val="20"/>
          <w:szCs w:val="20"/>
          <w:color w:val="auto"/>
        </w:rPr>
      </w:pPr>
      <w:r>
        <w:rPr>
          <w:rFonts w:ascii="Arial" w:cs="Arial" w:eastAsia="Arial" w:hAnsi="Arial"/>
          <w:sz w:val="14"/>
          <w:szCs w:val="14"/>
          <w:color w:val="auto"/>
        </w:rPr>
        <w:t>Property and equipment, including leasehold improvements, are stated at cost less accumulated depreciation. Accumulated depreciation is calculated using the straight-line method over the estimated useful lives of the assets. Leasehold improvements are amortized over the estimated useful lives of the assets or the remaining term of the lease, whichever is shorter. The estimated useful lives of our property and equipment are generally as follows: computer equipment and software, three to four years; laboratory and manufacturing equipment, two to seven years; and office furniture and fixtures, five years.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Depreciation expense for the years ended December 31, 2021, 2020, and 2019 was $2.8 million, $3.1 million, and $3.6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18" w:lineRule="exact"/>
        <w:rPr>
          <w:sz w:val="20"/>
          <w:szCs w:val="20"/>
          <w:color w:val="auto"/>
        </w:rPr>
      </w:pPr>
    </w:p>
    <w:p>
      <w:pPr>
        <w:ind w:right="20" w:firstLine="254"/>
        <w:spacing w:after="0" w:line="249" w:lineRule="auto"/>
        <w:rPr>
          <w:sz w:val="20"/>
          <w:szCs w:val="20"/>
          <w:color w:val="auto"/>
        </w:rPr>
      </w:pPr>
      <w:r>
        <w:rPr>
          <w:rFonts w:ascii="Arial" w:cs="Arial" w:eastAsia="Arial" w:hAnsi="Arial"/>
          <w:sz w:val="14"/>
          <w:szCs w:val="14"/>
          <w:color w:val="auto"/>
        </w:rPr>
        <w:t>We determine if an arrangement is a lease, or contains a lease, at the inception of the arrangement. Operating leases are included in operating lease right-of-use (ROU) assets and operating lease liabilities in our consolidated balance sheets. ROU</w:t>
      </w: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80"/>
          </w:cols>
          <w:pgMar w:left="300" w:top="1311" w:right="419" w:bottom="1440" w:gutter="0" w:footer="0" w:header="0"/>
        </w:sectPr>
      </w:pPr>
    </w:p>
    <w:bookmarkStart w:id="85" w:name="page86"/>
    <w:bookmarkEnd w:id="85"/>
    <w:p>
      <w:pPr>
        <w:spacing w:after="0" w:line="254" w:lineRule="auto"/>
        <w:rPr>
          <w:sz w:val="20"/>
          <w:szCs w:val="20"/>
          <w:color w:val="auto"/>
        </w:rPr>
      </w:pPr>
      <w:r>
        <w:rPr>
          <w:rFonts w:ascii="Arial" w:cs="Arial" w:eastAsia="Arial" w:hAnsi="Arial"/>
          <w:sz w:val="13"/>
          <w:szCs w:val="13"/>
          <w:color w:val="auto"/>
        </w:rPr>
        <w:t>assets represent our right-to-use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generally use our incremental borrowing rate based on the estimated rate of interest for collateralized borrowing over a term similar to the lease arrangement at the commencement date. Significant judgment is required in determining the incremental collateralized borrowing rate. Lease expense for lease payments is recognized on a straight-line basis over the lease term.</w:t>
      </w:r>
    </w:p>
    <w:p>
      <w:pPr>
        <w:spacing w:after="0" w:line="87" w:lineRule="exact"/>
        <w:rPr>
          <w:sz w:val="20"/>
          <w:szCs w:val="20"/>
          <w:color w:val="auto"/>
        </w:rPr>
      </w:pPr>
    </w:p>
    <w:p>
      <w:pPr>
        <w:ind w:right="20" w:firstLine="254"/>
        <w:spacing w:after="0" w:line="266" w:lineRule="auto"/>
        <w:rPr>
          <w:sz w:val="20"/>
          <w:szCs w:val="20"/>
          <w:color w:val="auto"/>
        </w:rPr>
      </w:pPr>
      <w:r>
        <w:rPr>
          <w:rFonts w:ascii="Arial" w:cs="Arial" w:eastAsia="Arial" w:hAnsi="Arial"/>
          <w:sz w:val="14"/>
          <w:szCs w:val="14"/>
          <w:color w:val="auto"/>
        </w:rPr>
        <w:t>We elected the short-term lease recognition exemption for all leases that qualify. For those leases that qualify, we will not recognize ROU assets or lease liabilities for leases with an initial lease term of one year or less. We also elected not to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Combinations, Goodwill, Intangible Assets and Other Long-Lived Assets</w:t>
      </w:r>
    </w:p>
    <w:p>
      <w:pPr>
        <w:spacing w:after="0" w:line="118" w:lineRule="exact"/>
        <w:rPr>
          <w:sz w:val="20"/>
          <w:szCs w:val="20"/>
          <w:color w:val="auto"/>
        </w:rPr>
      </w:pPr>
    </w:p>
    <w:p>
      <w:pPr>
        <w:ind w:right="280" w:firstLine="254"/>
        <w:spacing w:after="0" w:line="288" w:lineRule="auto"/>
        <w:rPr>
          <w:sz w:val="20"/>
          <w:szCs w:val="20"/>
          <w:color w:val="auto"/>
        </w:rPr>
      </w:pPr>
      <w:r>
        <w:rPr>
          <w:rFonts w:ascii="Arial" w:cs="Arial" w:eastAsia="Arial" w:hAnsi="Arial"/>
          <w:sz w:val="13"/>
          <w:szCs w:val="13"/>
          <w:color w:val="auto"/>
        </w:rPr>
        <w:t>We have completed acquisitions of businesses in the past and may acquire additional businesses or technologies in the future. The results of businesses acquired in a business combination are included in our consolidated financial statements from the date of acquisition. We allocated the purchase price, which is the sum of the consideration provided in a business combination, to the identifiable assets and liabilities of the acquired business at their acquisition date fair values. Determining the fair value of assets acquired and liabilities assumed requires management to use significant judgment and estimates, including the selection of valuation methodologies and estimates of future revenue.</w:t>
      </w:r>
    </w:p>
    <w:p>
      <w:pPr>
        <w:spacing w:after="0" w:line="77"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 Judgment is needed to assess the factors that could indicate an impairment of intangible assets.</w:t>
      </w:r>
    </w:p>
    <w:p>
      <w:pPr>
        <w:spacing w:after="0" w:line="90" w:lineRule="exact"/>
        <w:rPr>
          <w:sz w:val="20"/>
          <w:szCs w:val="20"/>
          <w:color w:val="auto"/>
        </w:rPr>
      </w:pPr>
    </w:p>
    <w:p>
      <w:pPr>
        <w:ind w:right="40" w:firstLine="254"/>
        <w:spacing w:after="0" w:line="258" w:lineRule="auto"/>
        <w:rPr>
          <w:sz w:val="20"/>
          <w:szCs w:val="20"/>
          <w:color w:val="auto"/>
        </w:rPr>
      </w:pPr>
      <w:r>
        <w:rPr>
          <w:rFonts w:ascii="Arial" w:cs="Arial" w:eastAsia="Arial" w:hAnsi="Arial"/>
          <w:sz w:val="14"/>
          <w:szCs w:val="14"/>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economic downturns and other macroeconomic events, including the current COVID-19 pandemic, declines in our market share or revenues, and an increase in our losses, rapid changes in technology, failure to achieve the benefits of capacity increases and utilization, significant litigation arising out of an acquisition, or other matters. Any impairment charges could have a material adverse effect on our operating results and net asset value in the quarter in which we recognize the impairment charge.</w:t>
      </w:r>
    </w:p>
    <w:p>
      <w:pPr>
        <w:spacing w:after="0" w:line="84" w:lineRule="exact"/>
        <w:rPr>
          <w:sz w:val="20"/>
          <w:szCs w:val="20"/>
          <w:color w:val="auto"/>
        </w:rPr>
      </w:pPr>
    </w:p>
    <w:p>
      <w:pPr>
        <w:ind w:firstLine="254"/>
        <w:spacing w:after="0" w:line="259" w:lineRule="auto"/>
        <w:rPr>
          <w:sz w:val="20"/>
          <w:szCs w:val="20"/>
          <w:color w:val="auto"/>
        </w:rPr>
      </w:pPr>
      <w:r>
        <w:rPr>
          <w:rFonts w:ascii="Arial" w:cs="Arial" w:eastAsia="Arial" w:hAnsi="Arial"/>
          <w:sz w:val="14"/>
          <w:szCs w:val="14"/>
          <w:color w:val="auto"/>
        </w:rPr>
        <w:t>In evaluating our goodwill and intangible assets with indefinite lives for indications of impairment,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an impairment loss equal to the difference would be recorded to goodwill. We did not recognize any impairment of goodwill for any of the periods presented herein.</w:t>
      </w:r>
    </w:p>
    <w:p>
      <w:pPr>
        <w:spacing w:after="0" w:line="95" w:lineRule="exact"/>
        <w:rPr>
          <w:sz w:val="20"/>
          <w:szCs w:val="20"/>
          <w:color w:val="auto"/>
        </w:rPr>
      </w:pPr>
    </w:p>
    <w:p>
      <w:pPr>
        <w:ind w:right="60" w:firstLine="254"/>
        <w:spacing w:after="0" w:line="259" w:lineRule="auto"/>
        <w:rPr>
          <w:sz w:val="20"/>
          <w:szCs w:val="20"/>
          <w:color w:val="auto"/>
        </w:rPr>
      </w:pPr>
      <w:r>
        <w:rPr>
          <w:rFonts w:ascii="Arial" w:cs="Arial" w:eastAsia="Arial" w:hAnsi="Arial"/>
          <w:sz w:val="14"/>
          <w:szCs w:val="14"/>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intangibles for 2021 or 2020. In 2019, we recognized an impairment charge of $0.4 million on patents and licenses that were not used in the current products and were not expected to be used in future product offerings.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Grant Income</w:t>
      </w:r>
    </w:p>
    <w:p>
      <w:pPr>
        <w:spacing w:after="0" w:line="129"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In September 2020, we executed a definitive contract with the National Institutes of Health (NIH) for a project under the NIH Rapid Acceleration of Diagnostics (RADx) program. The definitive contract, which amended the letter contract we entered into with NIH in July 2020 (collectively, the NIH Contract), has a total value of up to $34.0 million upon the achievement of certain milestones which were achieved and accepted by the NIH as of December 31, 2021. Proceeds from the NIH Contract have been and will be used primarily to expand production capacity and throughput capabilities.</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35" w:right="319" w:bottom="1440" w:gutter="0" w:footer="0" w:header="0"/>
        </w:sectPr>
      </w:pPr>
    </w:p>
    <w:bookmarkStart w:id="86" w:name="page87"/>
    <w:bookmarkEnd w:id="86"/>
    <w:p>
      <w:pPr>
        <w:ind w:right="60" w:firstLine="254"/>
        <w:spacing w:after="0" w:line="266" w:lineRule="auto"/>
        <w:rPr>
          <w:sz w:val="20"/>
          <w:szCs w:val="20"/>
          <w:color w:val="auto"/>
        </w:rPr>
      </w:pPr>
      <w:r>
        <w:rPr>
          <w:rFonts w:ascii="Arial" w:cs="Arial" w:eastAsia="Arial" w:hAnsi="Arial"/>
          <w:sz w:val="14"/>
          <w:szCs w:val="14"/>
          <w:color w:val="auto"/>
        </w:rPr>
        <w:t>Accounting for the NIH Contract does not fall under ASC 606, Revenue from Contracts with Customers, as NIH will not benefit directly from our expansion or product development. As there is no authoritative guidance under U.S. GAAP on accounting for government assistance to for-profit business entities, we applied International Accounting Standards (IAS) 20, Accounting for Government Grants and Disclosure of Government Assistance, by analogy when accounting for the NIH Contract payments to Fluidigm.</w:t>
      </w:r>
    </w:p>
    <w:p>
      <w:pPr>
        <w:spacing w:after="0" w:line="79" w:lineRule="exact"/>
        <w:rPr>
          <w:sz w:val="20"/>
          <w:szCs w:val="20"/>
          <w:color w:val="auto"/>
        </w:rPr>
      </w:pPr>
    </w:p>
    <w:p>
      <w:pPr>
        <w:ind w:right="20" w:firstLine="254"/>
        <w:spacing w:after="0" w:line="288" w:lineRule="auto"/>
        <w:rPr>
          <w:sz w:val="20"/>
          <w:szCs w:val="20"/>
          <w:color w:val="auto"/>
        </w:rPr>
      </w:pPr>
      <w:r>
        <w:rPr>
          <w:rFonts w:ascii="Arial" w:cs="Arial" w:eastAsia="Arial" w:hAnsi="Arial"/>
          <w:sz w:val="13"/>
          <w:szCs w:val="13"/>
          <w:color w:val="auto"/>
        </w:rPr>
        <w:t>The NIH Contract proceeds used for production capacity expansion meet the definition of grants related to assets as the primary purpose for the payments is to fund the purchase and construction of capital assets to scale up production capacity. Under IAS 20, government grants related to assets are presented in the statement of financial position either by setting up the grant as deferred income or by deducting the grant in arriving at the carrying amount of the asset. Either of these two methods of presentation of grants related to assets in financial statements are regarded as acceptable alternatives under IAS 20. We have elected to record the grants received as deferred income using the first method.</w:t>
      </w:r>
    </w:p>
    <w:p>
      <w:pPr>
        <w:spacing w:after="0" w:line="77" w:lineRule="exact"/>
        <w:rPr>
          <w:sz w:val="20"/>
          <w:szCs w:val="20"/>
          <w:color w:val="auto"/>
        </w:rPr>
      </w:pPr>
    </w:p>
    <w:p>
      <w:pPr>
        <w:ind w:right="40" w:firstLine="254"/>
        <w:spacing w:after="0" w:line="288" w:lineRule="auto"/>
        <w:rPr>
          <w:sz w:val="20"/>
          <w:szCs w:val="20"/>
          <w:color w:val="auto"/>
        </w:rPr>
      </w:pPr>
      <w:r>
        <w:rPr>
          <w:rFonts w:ascii="Arial" w:cs="Arial" w:eastAsia="Arial" w:hAnsi="Arial"/>
          <w:sz w:val="13"/>
          <w:szCs w:val="13"/>
          <w:color w:val="auto"/>
        </w:rPr>
        <w:t>Under IAS 20, grant proceeds are recognized when there is reasonable assurance the conditions of the grant will be met and the grant will be received. With the NIH Contract, this occurred when either each milestone was accepted by NIH or management concluded the conditions of the grant were substantially met. Deferred grant income related to production capacity expansion is being amortized over the period of depreciation for the related assets as a reduction of depreciation expense. Grant income related to reimbursement of operating costs is recorded as a reduction of those expenses incurred to date. Grant proceeds that exceed the cost of the capital expenditures and expenses expected to be incurred are recorded in other non-operating income.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 Loan, net</w:t>
      </w:r>
    </w:p>
    <w:p>
      <w:pPr>
        <w:spacing w:after="0" w:line="129" w:lineRule="exact"/>
        <w:rPr>
          <w:sz w:val="20"/>
          <w:szCs w:val="20"/>
          <w:color w:val="auto"/>
        </w:rPr>
      </w:pPr>
    </w:p>
    <w:p>
      <w:pPr>
        <w:ind w:right="20" w:firstLine="254"/>
        <w:spacing w:after="0" w:line="280" w:lineRule="auto"/>
        <w:rPr>
          <w:sz w:val="20"/>
          <w:szCs w:val="20"/>
          <w:color w:val="auto"/>
        </w:rPr>
      </w:pPr>
      <w:r>
        <w:rPr>
          <w:rFonts w:ascii="Arial" w:cs="Arial" w:eastAsia="Arial" w:hAnsi="Arial"/>
          <w:sz w:val="13"/>
          <w:szCs w:val="13"/>
          <w:color w:val="auto"/>
        </w:rPr>
        <w:t>On August 2, 2021, we entered into a Fourth Agreement to our Loan and Security Agreement (the Amendment) with Silicon Valley Bank. The Amendment extended the maturity date of our $15.0 million Revolving Credit Facility by one year, to August 2, 2023, and provided for a term loan facility in an aggregate principal amount of up to $10.0 million (Term Loan Facility). As of December 31, 2021, the Term Loan Facility was fully drawn. Interest is payable monthly and principal balances are required to be repaid in 24 equal monthly installments beginning on August 1, 2023. In addition, a final payment equal to 6.5% of the original principal amount of each advance is due on the earlier of the maturity date or the date the advance is repaid. The final payment is being accreted to the carrying value of the term loan through the expected maturity of July 1, 2025 using the effective interest method. Debt issuance costs were recorded as an offset to the carrying value of the loan and are amortized over the expected term using the effective interest method. The carrying value of the term loan includes the outstanding principal amount and the cumulative accreted final payment, less unamortized debt issuance costs. Amortization of the debt issuance costs and accretion of the final payment are reflected in interest expense.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Notes, net</w:t>
      </w:r>
    </w:p>
    <w:p>
      <w:pPr>
        <w:spacing w:after="0" w:line="118" w:lineRule="exact"/>
        <w:rPr>
          <w:sz w:val="20"/>
          <w:szCs w:val="20"/>
          <w:color w:val="auto"/>
        </w:rPr>
      </w:pPr>
    </w:p>
    <w:p>
      <w:pPr>
        <w:ind w:right="140" w:firstLine="254"/>
        <w:spacing w:after="0" w:line="259" w:lineRule="auto"/>
        <w:rPr>
          <w:sz w:val="20"/>
          <w:szCs w:val="20"/>
          <w:color w:val="auto"/>
        </w:rPr>
      </w:pPr>
      <w:r>
        <w:rPr>
          <w:rFonts w:ascii="Arial" w:cs="Arial" w:eastAsia="Arial" w:hAnsi="Arial"/>
          <w:sz w:val="14"/>
          <w:szCs w:val="14"/>
          <w:color w:val="auto"/>
        </w:rPr>
        <w:t>In February 2014, we closed an underwritten public offering of $201.3 million aggregate principal amount of our 2.75% Senior Convertible Notes due 2034 (2014 Notes). In March 2018, we entered into separate privately negotiated transactions with certain holders of our 2014 Notes to exchange $150.0 million in aggregate principal amount of the 2014 Notes for our 2.75% Exchange Convertible Senior Notes due 2034 (2018 Notes). In the first quarter of 2019, the 2018 Notes were converted into 19.5 million shares of our common stock and the 2018 Notes were retired. We recorded a loss of $9.0 million on the retirement of the 2018 Notes at conversion in the first quarter of 2019. We determined the fair value of the 2018 Notes using valuation techniques that required us to make assumptions related to the implied discount rate.</w:t>
      </w:r>
    </w:p>
    <w:p>
      <w:pPr>
        <w:spacing w:after="0" w:line="95" w:lineRule="exact"/>
        <w:rPr>
          <w:sz w:val="20"/>
          <w:szCs w:val="20"/>
          <w:color w:val="auto"/>
        </w:rPr>
      </w:pPr>
    </w:p>
    <w:p>
      <w:pPr>
        <w:ind w:right="160" w:firstLine="254"/>
        <w:spacing w:after="0" w:line="261" w:lineRule="auto"/>
        <w:rPr>
          <w:sz w:val="20"/>
          <w:szCs w:val="20"/>
          <w:color w:val="auto"/>
        </w:rPr>
      </w:pPr>
      <w:r>
        <w:rPr>
          <w:rFonts w:ascii="Arial" w:cs="Arial" w:eastAsia="Arial" w:hAnsi="Arial"/>
          <w:sz w:val="14"/>
          <w:szCs w:val="14"/>
          <w:color w:val="auto"/>
        </w:rPr>
        <w:t>In November 2019, we closed a private placement for $55.0 million aggregate principal amount of our 5.25% Senior Convertible Notes due 2024 (2019 Notes). The majority of the issuance proceeds were used to retire approximately $50.2 million of aggregate principal amount of our 2014 Notes. We recorded a loss of $3.0 million on the extinguishment of the 2014 Notes in the fourth quarter of 2019. This amount represented the difference between the fair value of the 2019 Notes used to extinguish the debt and the carrying value of the 2014 Notes, including unamortized debt issuance costs.</w:t>
      </w:r>
    </w:p>
    <w:p>
      <w:pPr>
        <w:spacing w:after="0" w:line="168" w:lineRule="exact"/>
        <w:rPr>
          <w:sz w:val="20"/>
          <w:szCs w:val="20"/>
          <w:color w:val="auto"/>
        </w:rPr>
      </w:pPr>
    </w:p>
    <w:p>
      <w:pPr>
        <w:ind w:firstLine="254"/>
        <w:spacing w:after="0" w:line="266" w:lineRule="auto"/>
        <w:rPr>
          <w:sz w:val="20"/>
          <w:szCs w:val="20"/>
          <w:color w:val="auto"/>
        </w:rPr>
      </w:pPr>
      <w:r>
        <w:rPr>
          <w:rFonts w:ascii="Arial" w:cs="Arial" w:eastAsia="Arial" w:hAnsi="Arial"/>
          <w:sz w:val="14"/>
          <w:szCs w:val="14"/>
          <w:color w:val="auto"/>
        </w:rPr>
        <w:t>As provided by the indenture governing the 2014 Notes, in February 2021, holders of $0.5 million of the 2014 Notes required us to repurchase their notes at 100% of the principal amount plus accrued and unpaid interest. We recorded a loss of $9 thousand on the extinguishment of those notes, representing the difference between the price paid to extinguish the 2014 Notes and their carrying value, including unamortized debt issuance costs.</w:t>
      </w: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62" w:right="339" w:bottom="1440" w:gutter="0" w:footer="0" w:header="0"/>
        </w:sectPr>
      </w:pPr>
    </w:p>
    <w:bookmarkStart w:id="87" w:name="page88"/>
    <w:bookmarkEnd w:id="87"/>
    <w:p>
      <w:pPr>
        <w:ind w:firstLine="254"/>
        <w:spacing w:after="0" w:line="280" w:lineRule="auto"/>
        <w:rPr>
          <w:sz w:val="20"/>
          <w:szCs w:val="20"/>
          <w:color w:val="auto"/>
        </w:rPr>
      </w:pPr>
      <w:r>
        <w:rPr>
          <w:rFonts w:ascii="Arial" w:cs="Arial" w:eastAsia="Arial" w:hAnsi="Arial"/>
          <w:sz w:val="14"/>
          <w:szCs w:val="14"/>
          <w:color w:val="auto"/>
        </w:rPr>
        <w:t>Offering-related costs, including underwriting costs, on the 2014 Notes and 2019 Notes were capitalized as debt issuance costs, recorded as an offset to the carrying value of the related Notes, and are amortized over the expected term of the related Notes using the effective interest method.</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Note 9 for a detailed discussion of the accounting treatment of the transactions and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18" w:lineRule="exact"/>
        <w:rPr>
          <w:sz w:val="20"/>
          <w:szCs w:val="20"/>
          <w:color w:val="auto"/>
        </w:rPr>
      </w:pPr>
    </w:p>
    <w:p>
      <w:pPr>
        <w:ind w:right="40" w:firstLine="254"/>
        <w:spacing w:after="0" w:line="288" w:lineRule="auto"/>
        <w:rPr>
          <w:sz w:val="20"/>
          <w:szCs w:val="20"/>
          <w:color w:val="auto"/>
        </w:rPr>
      </w:pPr>
      <w:r>
        <w:rPr>
          <w:rFonts w:ascii="Arial" w:cs="Arial" w:eastAsia="Arial" w:hAnsi="Arial"/>
          <w:sz w:val="13"/>
          <w:szCs w:val="13"/>
          <w:color w:val="auto"/>
        </w:rPr>
        <w:t>Our financial instruments consist primarily of cash and cash equivalents, restricted cash, investments, accounts receivable, accounts payable, advances on our revolving credit agreement, a term loan and convertible notes. Our cash equivalents, restricted cash, accounts receivable, accounts payable and advances under our revolving credit agreement generally have short maturity or payment periods. Accordingly, their carrying values approximated their fair values at December 31, 2021 and 2020. The convertible notes are presented at their carrying value, with fair value disclosures made in Note 11. As a basis for considering fair value, we follow a three-tier value hierarchy, which prioritizes the inputs used in measuring fair value as follows: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I: observable inputs such as quoted prices in active markets;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II: inputs other than quoted prices in active markets that are observable either directly or indirectly; and</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III: unobservable inputs for which there is little or no market data, which requires us to develop our own assumptions.</w:t>
      </w:r>
    </w:p>
    <w:p>
      <w:pPr>
        <w:spacing w:after="0" w:line="125" w:lineRule="exact"/>
        <w:rPr>
          <w:sz w:val="20"/>
          <w:szCs w:val="20"/>
          <w:color w:val="auto"/>
        </w:rPr>
      </w:pPr>
    </w:p>
    <w:p>
      <w:pPr>
        <w:ind w:firstLine="254"/>
        <w:spacing w:after="0" w:line="259" w:lineRule="auto"/>
        <w:rPr>
          <w:sz w:val="20"/>
          <w:szCs w:val="20"/>
          <w:color w:val="auto"/>
        </w:rPr>
      </w:pPr>
      <w:r>
        <w:rPr>
          <w:rFonts w:ascii="Arial" w:cs="Arial" w:eastAsia="Arial" w:hAnsi="Arial"/>
          <w:sz w:val="14"/>
          <w:szCs w:val="14"/>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term loan and our convertible notes, which are not regularly traded, are both classified as Level III since their values cannot be determined by using readily observable inputs or measures, such as market prices. Significant judgment is needed in valuing Level III items. Fair value of the term loan was estimated using a discounted cash flow approach and current market interest rate data for similar loans and fair values of the convertible debt were estimated using pricing models and risk-adjusted value ranges for the convertible notes.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18" w:lineRule="exact"/>
        <w:rPr>
          <w:sz w:val="20"/>
          <w:szCs w:val="20"/>
          <w:color w:val="auto"/>
        </w:rPr>
      </w:pPr>
    </w:p>
    <w:p>
      <w:pPr>
        <w:ind w:right="240" w:firstLine="254"/>
        <w:spacing w:after="0" w:line="280" w:lineRule="auto"/>
        <w:rPr>
          <w:sz w:val="20"/>
          <w:szCs w:val="20"/>
          <w:color w:val="auto"/>
        </w:rPr>
      </w:pPr>
      <w:r>
        <w:rPr>
          <w:rFonts w:ascii="Arial" w:cs="Arial" w:eastAsia="Arial" w:hAnsi="Arial"/>
          <w:sz w:val="14"/>
          <w:szCs w:val="14"/>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Advertising Costs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expense advertising costs as incurred. We incurred advertising costs of $3.4 million, $1.6 million and $3.4 million during 2021, 2020, and 2019,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29" w:lineRule="exact"/>
        <w:rPr>
          <w:sz w:val="20"/>
          <w:szCs w:val="20"/>
          <w:color w:val="auto"/>
        </w:rPr>
      </w:pPr>
    </w:p>
    <w:p>
      <w:pPr>
        <w:ind w:right="140" w:firstLine="254"/>
        <w:spacing w:after="0" w:line="284" w:lineRule="auto"/>
        <w:rPr>
          <w:sz w:val="20"/>
          <w:szCs w:val="20"/>
          <w:color w:val="auto"/>
        </w:rPr>
      </w:pPr>
      <w:r>
        <w:rPr>
          <w:rFonts w:ascii="Arial" w:cs="Arial" w:eastAsia="Arial" w:hAnsi="Arial"/>
          <w:sz w:val="13"/>
          <w:szCs w:val="13"/>
          <w:color w:val="auto"/>
        </w:rPr>
        <w:t>We recognize compensation costs for all stock-based awards, including stock options, RSUs, PSUs and stock purchased under our ESPP, based on the grant date fair value of the award. We recognize stock-based compensation expense on a straight-line basis over the requisite service periods for non-performance-based awards. For RSUs, fair value is measured based on the closing fair market value of our common stock on the date of grant. For PSUs with a market condition, we use a Monte Carlo simulation pricing model to incorporate the market condition effects at our grant date. The Monte Carlo pricing model requires inputs which are subjective and generally requires judgment by us. For PSUs with performance conditions, stock-based compensation expense is recognized over the requisite service period when the achievement of each individual performance goal becomes probable.</w:t>
      </w:r>
    </w:p>
    <w:p>
      <w:pPr>
        <w:spacing w:after="0" w:line="69" w:lineRule="exact"/>
        <w:rPr>
          <w:sz w:val="20"/>
          <w:szCs w:val="20"/>
          <w:color w:val="auto"/>
        </w:rPr>
      </w:pPr>
    </w:p>
    <w:p>
      <w:pPr>
        <w:ind w:right="140" w:firstLine="254"/>
        <w:spacing w:after="0" w:line="288" w:lineRule="auto"/>
        <w:rPr>
          <w:sz w:val="20"/>
          <w:szCs w:val="20"/>
          <w:color w:val="auto"/>
        </w:rPr>
      </w:pPr>
      <w:r>
        <w:rPr>
          <w:rFonts w:ascii="Arial" w:cs="Arial" w:eastAsia="Arial" w:hAnsi="Arial"/>
          <w:sz w:val="13"/>
          <w:szCs w:val="13"/>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 value of our common stock. These assumptions generally require judgment. 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w:t>
      </w: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5"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auto"/>
        </w:rPr>
        <w:t>zero coupon U.S. Treasury notes with maturities approximately equal to each grant’s expected term. We account for forfeitures as they occur.</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18" w:lineRule="exact"/>
        <w:rPr>
          <w:sz w:val="20"/>
          <w:szCs w:val="20"/>
          <w:color w:val="auto"/>
        </w:rPr>
      </w:pPr>
    </w:p>
    <w:p>
      <w:pPr>
        <w:ind w:firstLine="254"/>
        <w:spacing w:after="0" w:line="281" w:lineRule="auto"/>
        <w:rPr>
          <w:sz w:val="20"/>
          <w:szCs w:val="20"/>
          <w:color w:val="auto"/>
        </w:rPr>
      </w:pPr>
      <w:r>
        <w:rPr>
          <w:rFonts w:ascii="Arial" w:cs="Arial" w:eastAsia="Arial" w:hAnsi="Arial"/>
          <w:sz w:val="13"/>
          <w:szCs w:val="13"/>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83"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Comprehensive Loss</w:t>
      </w:r>
    </w:p>
    <w:p>
      <w:pPr>
        <w:spacing w:after="0" w:line="129" w:lineRule="exact"/>
        <w:rPr>
          <w:sz w:val="20"/>
          <w:szCs w:val="20"/>
          <w:color w:val="auto"/>
        </w:rPr>
      </w:pPr>
    </w:p>
    <w:p>
      <w:pPr>
        <w:ind w:right="180" w:firstLine="254"/>
        <w:spacing w:after="0" w:line="320" w:lineRule="auto"/>
        <w:rPr>
          <w:sz w:val="20"/>
          <w:szCs w:val="20"/>
          <w:color w:val="auto"/>
        </w:rPr>
      </w:pPr>
      <w:r>
        <w:rPr>
          <w:rFonts w:ascii="Arial" w:cs="Arial" w:eastAsia="Arial" w:hAnsi="Arial"/>
          <w:sz w:val="13"/>
          <w:szCs w:val="13"/>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components of accumulated other comprehensive loss, net of tax, for the years ended December 31, 2021, 2020, and 2019 are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Foreign Currency</w:t>
            </w:r>
          </w:p>
        </w:tc>
        <w:tc>
          <w:tcPr>
            <w:tcW w:w="100" w:type="dxa"/>
            <w:vAlign w:val="bottom"/>
          </w:tcPr>
          <w:p>
            <w:pPr>
              <w:spacing w:after="0"/>
              <w:rPr>
                <w:sz w:val="10"/>
                <w:szCs w:val="10"/>
                <w:color w:val="auto"/>
              </w:rPr>
            </w:pP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2"/>
              </w:rPr>
              <w:t>Unrealized Gain (Loss) on</w:t>
            </w:r>
          </w:p>
        </w:tc>
        <w:tc>
          <w:tcPr>
            <w:tcW w:w="100" w:type="dxa"/>
            <w:vAlign w:val="bottom"/>
          </w:tcPr>
          <w:p>
            <w:pPr>
              <w:spacing w:after="0"/>
              <w:rPr>
                <w:sz w:val="10"/>
                <w:szCs w:val="10"/>
                <w:color w:val="auto"/>
              </w:rPr>
            </w:pPr>
          </w:p>
        </w:tc>
        <w:tc>
          <w:tcPr>
            <w:tcW w:w="1320" w:type="dxa"/>
            <w:vAlign w:val="bottom"/>
          </w:tcPr>
          <w:p>
            <w:pPr>
              <w:jc w:val="center"/>
              <w:ind w:right="35"/>
              <w:spacing w:after="0"/>
              <w:rPr>
                <w:sz w:val="20"/>
                <w:szCs w:val="20"/>
                <w:color w:val="auto"/>
              </w:rPr>
            </w:pPr>
            <w:r>
              <w:rPr>
                <w:rFonts w:ascii="Arial" w:cs="Arial" w:eastAsia="Arial" w:hAnsi="Arial"/>
                <w:sz w:val="11"/>
                <w:szCs w:val="11"/>
                <w:b w:val="1"/>
                <w:bCs w:val="1"/>
                <w:color w:val="auto"/>
                <w:w w:val="92"/>
              </w:rPr>
              <w:t>Accumulated Other</w:t>
            </w:r>
          </w:p>
        </w:tc>
        <w:tc>
          <w:tcPr>
            <w:tcW w:w="0" w:type="dxa"/>
            <w:vAlign w:val="bottom"/>
          </w:tcPr>
          <w:p>
            <w:pPr>
              <w:spacing w:after="0"/>
              <w:rPr>
                <w:sz w:val="1"/>
                <w:szCs w:val="1"/>
                <w:color w:val="auto"/>
              </w:rPr>
            </w:pPr>
          </w:p>
        </w:tc>
      </w:tr>
      <w:tr>
        <w:trPr>
          <w:trHeight w:val="106"/>
        </w:trPr>
        <w:tc>
          <w:tcPr>
            <w:tcW w:w="6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jc w:val="center"/>
              <w:ind w:right="35"/>
              <w:spacing w:after="0" w:line="106" w:lineRule="exact"/>
              <w:rPr>
                <w:sz w:val="20"/>
                <w:szCs w:val="20"/>
                <w:color w:val="auto"/>
              </w:rPr>
            </w:pPr>
            <w:r>
              <w:rPr>
                <w:rFonts w:ascii="Arial" w:cs="Arial" w:eastAsia="Arial" w:hAnsi="Arial"/>
                <w:sz w:val="11"/>
                <w:szCs w:val="11"/>
                <w:b w:val="1"/>
                <w:bCs w:val="1"/>
                <w:color w:val="auto"/>
                <w:w w:val="91"/>
              </w:rPr>
              <w:t>Comprehensive Income</w:t>
            </w:r>
          </w:p>
        </w:tc>
        <w:tc>
          <w:tcPr>
            <w:tcW w:w="0" w:type="dxa"/>
            <w:vAlign w:val="bottom"/>
          </w:tcPr>
          <w:p>
            <w:pPr>
              <w:spacing w:after="0"/>
              <w:rPr>
                <w:sz w:val="1"/>
                <w:szCs w:val="1"/>
                <w:color w:val="auto"/>
              </w:rPr>
            </w:pPr>
          </w:p>
        </w:tc>
      </w:tr>
      <w:tr>
        <w:trPr>
          <w:trHeight w:val="147"/>
        </w:trPr>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Translation Adjustment</w:t>
            </w:r>
          </w:p>
        </w:tc>
        <w:tc>
          <w:tcPr>
            <w:tcW w:w="100" w:type="dxa"/>
            <w:vAlign w:val="bottom"/>
          </w:tcPr>
          <w:p>
            <w:pPr>
              <w:spacing w:after="0"/>
              <w:rPr>
                <w:sz w:val="12"/>
                <w:szCs w:val="12"/>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Investments</w:t>
            </w:r>
          </w:p>
        </w:tc>
        <w:tc>
          <w:tcPr>
            <w:tcW w:w="100" w:type="dxa"/>
            <w:vAlign w:val="bottom"/>
          </w:tcPr>
          <w:p>
            <w:pPr>
              <w:spacing w:after="0"/>
              <w:rPr>
                <w:sz w:val="12"/>
                <w:szCs w:val="12"/>
                <w:color w:val="auto"/>
              </w:rPr>
            </w:pPr>
          </w:p>
        </w:tc>
        <w:tc>
          <w:tcPr>
            <w:tcW w:w="1320" w:type="dxa"/>
            <w:vAlign w:val="bottom"/>
          </w:tcPr>
          <w:p>
            <w:pPr>
              <w:jc w:val="center"/>
              <w:ind w:right="35"/>
              <w:spacing w:after="0"/>
              <w:rPr>
                <w:sz w:val="20"/>
                <w:szCs w:val="20"/>
                <w:color w:val="auto"/>
              </w:rPr>
            </w:pPr>
            <w:r>
              <w:rPr>
                <w:rFonts w:ascii="Arial" w:cs="Arial" w:eastAsia="Arial" w:hAnsi="Arial"/>
                <w:sz w:val="11"/>
                <w:szCs w:val="11"/>
                <w:b w:val="1"/>
                <w:bCs w:val="1"/>
                <w:color w:val="auto"/>
                <w:w w:val="90"/>
              </w:rPr>
              <w:t>(Loss)</w:t>
            </w:r>
          </w:p>
        </w:tc>
        <w:tc>
          <w:tcPr>
            <w:tcW w:w="0" w:type="dxa"/>
            <w:vAlign w:val="bottom"/>
          </w:tcPr>
          <w:p>
            <w:pPr>
              <w:spacing w:after="0"/>
              <w:rPr>
                <w:sz w:val="1"/>
                <w:szCs w:val="1"/>
                <w:color w:val="auto"/>
              </w:rPr>
            </w:pPr>
          </w:p>
        </w:tc>
      </w:tr>
      <w:tr>
        <w:trPr>
          <w:trHeight w:val="171"/>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center"/>
              <w:ind w:left="1013"/>
              <w:spacing w:after="0"/>
              <w:rPr>
                <w:sz w:val="20"/>
                <w:szCs w:val="20"/>
                <w:color w:val="auto"/>
              </w:rPr>
            </w:pPr>
            <w:r>
              <w:rPr>
                <w:rFonts w:ascii="Arial" w:cs="Arial" w:eastAsia="Arial" w:hAnsi="Arial"/>
                <w:sz w:val="14"/>
                <w:szCs w:val="14"/>
                <w:color w:val="auto"/>
                <w:w w:val="89"/>
              </w:rPr>
              <w:t>36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during the year</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993"/>
              <w:spacing w:after="0"/>
              <w:rPr>
                <w:sz w:val="20"/>
                <w:szCs w:val="20"/>
                <w:color w:val="auto"/>
              </w:rPr>
            </w:pPr>
            <w:r>
              <w:rPr>
                <w:rFonts w:ascii="Arial" w:cs="Arial" w:eastAsia="Arial" w:hAnsi="Arial"/>
                <w:sz w:val="14"/>
                <w:szCs w:val="14"/>
                <w:color w:val="auto"/>
                <w:w w:val="96"/>
              </w:rPr>
              <w:t>(36)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71"/>
        </w:trPr>
        <w:tc>
          <w:tcPr>
            <w:tcW w:w="680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Ending balance at December 31, 2020</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left="1013"/>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Change during the year</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left="913"/>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color w:val="auto"/>
              </w:rPr>
              <w:t>Ending balance at December 31, 2021</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center"/>
              <w:ind w:left="1013"/>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Immaterial amounts of unrealized gains and losses have been reclassified into the consolidated statement of operations for the years ended December 31, 2021, 2020 and 2019.</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per Share</w:t>
      </w:r>
    </w:p>
    <w:p>
      <w:pPr>
        <w:spacing w:after="0" w:line="118" w:lineRule="exact"/>
        <w:rPr>
          <w:sz w:val="20"/>
          <w:szCs w:val="20"/>
          <w:color w:val="auto"/>
        </w:rPr>
      </w:pPr>
    </w:p>
    <w:p>
      <w:pPr>
        <w:ind w:right="100" w:firstLine="254"/>
        <w:spacing w:after="0" w:line="266" w:lineRule="auto"/>
        <w:rPr>
          <w:sz w:val="20"/>
          <w:szCs w:val="20"/>
          <w:color w:val="auto"/>
        </w:rPr>
      </w:pPr>
      <w:r>
        <w:rPr>
          <w:rFonts w:ascii="Arial" w:cs="Arial" w:eastAsia="Arial" w:hAnsi="Arial"/>
          <w:sz w:val="14"/>
          <w:szCs w:val="14"/>
          <w:color w:val="auto"/>
        </w:rPr>
        <w:t>Our basic and diluted net loss per share is calculated by dividing net loss by the weighted-average number of shares of common stock outstanding for the period. Restricted stock units, performance share units, and stock options to purchase our common stock are considered to be potentially dilutive common shares but have been excluded from the calculation of diluted net loss per share as their effect is anti-dilutive for all periods presented.</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89" w:name="page90"/>
    <w:bookmarkEnd w:id="89"/>
    <w:p>
      <w:pPr>
        <w:ind w:right="420" w:firstLine="254"/>
        <w:spacing w:after="0" w:line="271" w:lineRule="auto"/>
        <w:rPr>
          <w:sz w:val="20"/>
          <w:szCs w:val="20"/>
          <w:color w:val="auto"/>
        </w:rPr>
      </w:pPr>
      <w:r>
        <w:rPr>
          <w:rFonts w:ascii="Arial" w:cs="Arial" w:eastAsia="Arial" w:hAnsi="Arial"/>
          <w:sz w:val="14"/>
          <w:szCs w:val="14"/>
          <w:color w:val="auto"/>
        </w:rPr>
        <w:t>The following potentially dilutive common shares were excluded from the computations of diluted net loss per share for the periods presented because including them would have been anti-dilutive (in thousands):</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51"/>
        </w:trPr>
        <w:tc>
          <w:tcPr>
            <w:tcW w:w="66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December 31,</w:t>
            </w:r>
          </w:p>
        </w:tc>
        <w:tc>
          <w:tcPr>
            <w:tcW w:w="1160" w:type="dxa"/>
            <w:vAlign w:val="bottom"/>
            <w:tcBorders>
              <w:bottom w:val="single" w:sz="8" w:color="auto"/>
            </w:tcBorders>
          </w:tcPr>
          <w:p>
            <w:pPr>
              <w:spacing w:after="0"/>
              <w:rPr>
                <w:sz w:val="13"/>
                <w:szCs w:val="13"/>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1"/>
                <w:szCs w:val="11"/>
                <w:b w:val="1"/>
                <w:bCs w:val="1"/>
                <w:color w:val="auto"/>
              </w:rPr>
              <w:t>2019</w:t>
            </w:r>
          </w:p>
        </w:tc>
      </w:tr>
      <w:tr>
        <w:trPr>
          <w:trHeight w:val="171"/>
        </w:trPr>
        <w:tc>
          <w:tcPr>
            <w:tcW w:w="68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Stock options, restricted stock units and performance stock awards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7,507</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660" w:type="dxa"/>
            <w:vAlign w:val="bottom"/>
          </w:tcPr>
          <w:p>
            <w:pPr>
              <w:ind w:left="360"/>
              <w:spacing w:after="0"/>
              <w:rPr>
                <w:sz w:val="20"/>
                <w:szCs w:val="20"/>
                <w:color w:val="auto"/>
              </w:rPr>
            </w:pPr>
            <w:r>
              <w:rPr>
                <w:rFonts w:ascii="Arial" w:cs="Arial" w:eastAsia="Arial" w:hAnsi="Arial"/>
                <w:sz w:val="14"/>
                <w:szCs w:val="14"/>
                <w:color w:val="auto"/>
                <w:w w:val="89"/>
              </w:rPr>
              <w:t>2019</w:t>
            </w:r>
          </w:p>
        </w:tc>
        <w:tc>
          <w:tcPr>
            <w:tcW w:w="6140" w:type="dxa"/>
            <w:vAlign w:val="bottom"/>
          </w:tcPr>
          <w:p>
            <w:pPr>
              <w:ind w:left="20"/>
              <w:spacing w:after="0"/>
              <w:rPr>
                <w:sz w:val="20"/>
                <w:szCs w:val="20"/>
                <w:color w:val="auto"/>
              </w:rPr>
            </w:pPr>
            <w:r>
              <w:rPr>
                <w:rFonts w:ascii="Arial" w:cs="Arial" w:eastAsia="Arial" w:hAnsi="Arial"/>
                <w:sz w:val="14"/>
                <w:szCs w:val="14"/>
                <w:color w:val="auto"/>
              </w:rPr>
              <w:t>Convertible Notes</w:t>
            </w:r>
          </w:p>
        </w:tc>
        <w:tc>
          <w:tcPr>
            <w:tcW w:w="1420" w:type="dxa"/>
            <w:vAlign w:val="bottom"/>
          </w:tcPr>
          <w:p>
            <w:pPr>
              <w:jc w:val="right"/>
              <w:spacing w:after="0"/>
              <w:rPr>
                <w:sz w:val="20"/>
                <w:szCs w:val="20"/>
                <w:color w:val="auto"/>
              </w:rPr>
            </w:pPr>
            <w:r>
              <w:rPr>
                <w:rFonts w:ascii="Arial" w:cs="Arial" w:eastAsia="Arial" w:hAnsi="Arial"/>
                <w:sz w:val="14"/>
                <w:szCs w:val="14"/>
                <w:color w:val="auto"/>
              </w:rPr>
              <w:t>18,966</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18,966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0"/>
        </w:trPr>
        <w:tc>
          <w:tcPr>
            <w:tcW w:w="6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9"/>
              </w:rPr>
              <w:t>2019</w:t>
            </w:r>
          </w:p>
        </w:tc>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 potential make-whole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6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w w:val="89"/>
              </w:rPr>
              <w:t>2014</w:t>
            </w:r>
          </w:p>
        </w:tc>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Convertible Notes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96"/>
        </w:trPr>
        <w:tc>
          <w:tcPr>
            <w:tcW w:w="660" w:type="dxa"/>
            <w:vAlign w:val="bottom"/>
            <w:tcBorders>
              <w:bottom w:val="single" w:sz="8" w:color="CCEEFF"/>
            </w:tcBorders>
            <w:shd w:val="clear" w:color="auto" w:fill="CCEEFF"/>
          </w:tcPr>
          <w:p>
            <w:pPr>
              <w:ind w:left="360"/>
              <w:spacing w:after="0" w:line="160" w:lineRule="exact"/>
              <w:rPr>
                <w:sz w:val="20"/>
                <w:szCs w:val="20"/>
                <w:color w:val="auto"/>
              </w:rPr>
            </w:pPr>
            <w:r>
              <w:rPr>
                <w:rFonts w:ascii="Arial" w:cs="Arial" w:eastAsia="Arial" w:hAnsi="Arial"/>
                <w:sz w:val="14"/>
                <w:szCs w:val="14"/>
                <w:color w:val="auto"/>
                <w:w w:val="89"/>
              </w:rPr>
              <w:t>Total</w:t>
            </w:r>
          </w:p>
        </w:tc>
        <w:tc>
          <w:tcPr>
            <w:tcW w:w="6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28,288</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27,329</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Changes and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Adoption of New Accounting Guidance</w:t>
      </w:r>
    </w:p>
    <w:p>
      <w:pPr>
        <w:spacing w:after="0" w:line="125" w:lineRule="exact"/>
        <w:rPr>
          <w:sz w:val="20"/>
          <w:szCs w:val="20"/>
          <w:color w:val="auto"/>
        </w:rPr>
      </w:pPr>
    </w:p>
    <w:p>
      <w:pPr>
        <w:ind w:right="140" w:firstLine="254"/>
        <w:spacing w:after="0" w:line="259" w:lineRule="auto"/>
        <w:rPr>
          <w:sz w:val="20"/>
          <w:szCs w:val="20"/>
          <w:color w:val="auto"/>
        </w:rPr>
      </w:pPr>
      <w:r>
        <w:rPr>
          <w:rFonts w:ascii="Arial" w:cs="Arial" w:eastAsia="Arial" w:hAnsi="Arial"/>
          <w:sz w:val="14"/>
          <w:szCs w:val="14"/>
          <w:color w:val="auto"/>
        </w:rPr>
        <w:t>In November 2019, the FASB issued ASU 2019-12-Income Taxes (Topic 740): Simplifying the Accounting for Income Taxes. The amendments in this update improve consistent application of and simplify U.S. GAAP for Topic 740 by clarifying and amending existing guidance for, among other items, intra-period allocation, reporting tax law changes and losses in interim periods, state and local taxes not fully based on income and recognition of deferred tax liability related to certain transactions. There is also new guidance related to consolidated group reporting and tax impacts resulting from business combinations. The new guidance is effective for fiscal years beginning after December 15, 2020. The adoption of the new guidance did not have a significant impact on our financial results.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25" w:lineRule="exact"/>
        <w:rPr>
          <w:sz w:val="20"/>
          <w:szCs w:val="20"/>
          <w:color w:val="auto"/>
        </w:rPr>
      </w:pPr>
    </w:p>
    <w:p>
      <w:pPr>
        <w:ind w:right="140" w:firstLine="254"/>
        <w:spacing w:after="0" w:line="318" w:lineRule="auto"/>
        <w:rPr>
          <w:sz w:val="20"/>
          <w:szCs w:val="20"/>
          <w:color w:val="auto"/>
        </w:rPr>
      </w:pPr>
      <w:r>
        <w:rPr>
          <w:rFonts w:ascii="Arial" w:cs="Arial" w:eastAsia="Arial" w:hAnsi="Arial"/>
          <w:sz w:val="12"/>
          <w:szCs w:val="12"/>
          <w:color w:val="auto"/>
        </w:rPr>
        <w:t>In August 2020, the FASB issued ASU 2020-06 Debt-Debt with Conversion and Other Options (Subtopic 470-20) and Derivatives and Hedging-Contracts in Entity’s Own Equity (Subtopic 815-40): Accounting for Convertible Instruments and Contracts in an Entity’s Own Equity. The amendments in this update reduce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The adoption of the new guidance is not expected to have a significant impact on our financial results.</w:t>
      </w:r>
    </w:p>
    <w:p>
      <w:pPr>
        <w:spacing w:after="0" w:line="63" w:lineRule="exact"/>
        <w:rPr>
          <w:sz w:val="20"/>
          <w:szCs w:val="20"/>
          <w:color w:val="auto"/>
        </w:rPr>
      </w:pPr>
    </w:p>
    <w:p>
      <w:pPr>
        <w:ind w:right="240" w:firstLine="254"/>
        <w:spacing w:after="0" w:line="280" w:lineRule="auto"/>
        <w:rPr>
          <w:sz w:val="20"/>
          <w:szCs w:val="20"/>
          <w:color w:val="auto"/>
        </w:rPr>
      </w:pPr>
      <w:r>
        <w:rPr>
          <w:rFonts w:ascii="Arial" w:cs="Arial" w:eastAsia="Arial" w:hAnsi="Arial"/>
          <w:sz w:val="14"/>
          <w:szCs w:val="14"/>
          <w:color w:val="auto"/>
        </w:rPr>
        <w:t>In November 2021, the FASB issued ASU 2021-10 Government Assistance (Topic 832): Disclosures by Business Entities about Government Assistance. The amendment is effective for annual periods beginning after December 15, 2021.</w:t>
      </w:r>
    </w:p>
    <w:p>
      <w:pPr>
        <w:spacing w:after="0" w:line="69" w:lineRule="exact"/>
        <w:rPr>
          <w:sz w:val="20"/>
          <w:szCs w:val="20"/>
          <w:color w:val="auto"/>
        </w:rPr>
      </w:pPr>
    </w:p>
    <w:p>
      <w:pPr>
        <w:ind w:right="200"/>
        <w:spacing w:after="0" w:line="303" w:lineRule="auto"/>
        <w:rPr>
          <w:sz w:val="20"/>
          <w:szCs w:val="20"/>
          <w:color w:val="auto"/>
        </w:rPr>
      </w:pPr>
      <w:r>
        <w:rPr>
          <w:rFonts w:ascii="Arial" w:cs="Arial" w:eastAsia="Arial" w:hAnsi="Arial"/>
          <w:sz w:val="12"/>
          <w:szCs w:val="12"/>
          <w:color w:val="auto"/>
        </w:rPr>
        <w:t>The amendment establishes financial disclosure requirements for business entities that receive government assistance that they account for by analogizing to a grant or contribution model because there is no specific authoritative guidance under U.S.GAAP that applies to the transaction. Entities that receive this type of assistance should include the following information in their annual report:</w:t>
      </w:r>
    </w:p>
    <w:p>
      <w:pPr>
        <w:spacing w:after="0" w:line="1" w:lineRule="exact"/>
        <w:rPr>
          <w:sz w:val="20"/>
          <w:szCs w:val="20"/>
          <w:color w:val="auto"/>
        </w:rPr>
      </w:pPr>
    </w:p>
    <w:p>
      <w:pPr>
        <w:ind w:right="180" w:firstLine="5"/>
        <w:spacing w:after="0" w:line="304" w:lineRule="auto"/>
        <w:tabs>
          <w:tab w:leader="none" w:pos="2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nature of the transaction, (2) the significant terms and conditions, (3) the accounting treatment, (4) the line items on the balance sheet and income statement that are affected along with (5) the respective amounts that have been recorded. We are currently evaluating the impact the new standard will have on the disclosures included in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Business Combination</w:t>
      </w:r>
    </w:p>
    <w:p>
      <w:pPr>
        <w:spacing w:after="0" w:line="129" w:lineRule="exact"/>
        <w:rPr>
          <w:sz w:val="20"/>
          <w:szCs w:val="20"/>
          <w:color w:val="auto"/>
        </w:rPr>
      </w:pPr>
    </w:p>
    <w:p>
      <w:pPr>
        <w:ind w:right="320" w:firstLine="254"/>
        <w:spacing w:after="0" w:line="261" w:lineRule="auto"/>
        <w:rPr>
          <w:sz w:val="20"/>
          <w:szCs w:val="20"/>
          <w:color w:val="auto"/>
        </w:rPr>
      </w:pPr>
      <w:r>
        <w:rPr>
          <w:rFonts w:ascii="Arial" w:cs="Arial" w:eastAsia="Arial" w:hAnsi="Arial"/>
          <w:sz w:val="14"/>
          <w:szCs w:val="14"/>
          <w:color w:val="auto"/>
        </w:rPr>
        <w:t>On January 17, 2020, we completed the acquisition of all of the outstanding shares of InstruNor AS, a privately held Norwegian company (InstruNor). InstruNor is a provider of the only fully integrated sample preparation system for flow and mass cytometry. The acquisition of InstruNor supports our entry into the sample preparation market for cytometry analysis and expands our capabilities to include fully automated sample preparation for flow and mass cytometry. The purchase price of $7.2 million included approximately $5.2 million in cash and 485,451 shares of our common stock valued at the closing price on the effective date of $4.22.</w:t>
      </w:r>
    </w:p>
    <w:p>
      <w:pPr>
        <w:spacing w:after="0" w:line="94" w:lineRule="exact"/>
        <w:rPr>
          <w:sz w:val="20"/>
          <w:szCs w:val="20"/>
          <w:color w:val="auto"/>
        </w:rPr>
      </w:pPr>
    </w:p>
    <w:p>
      <w:pPr>
        <w:ind w:right="200" w:firstLine="254"/>
        <w:spacing w:after="0" w:line="261" w:lineRule="auto"/>
        <w:rPr>
          <w:sz w:val="20"/>
          <w:szCs w:val="20"/>
          <w:color w:val="auto"/>
        </w:rPr>
      </w:pPr>
      <w:r>
        <w:rPr>
          <w:rFonts w:ascii="Arial" w:cs="Arial" w:eastAsia="Arial" w:hAnsi="Arial"/>
          <w:sz w:val="14"/>
          <w:szCs w:val="14"/>
          <w:color w:val="auto"/>
        </w:rPr>
        <w:t>The acquisition was accounted for in accordance with ASC 805, Business Combinations. The assets acquired and liabilities assumed were recorded at their estimated fair values at the InstruNor acquisition date. Developed technology was valued using a discounted cash flow model for which the most sensitive assumption was revenue growth rate. There were no measurement period adjustments recognized since the acquisition date. Non-tax deductible goodwill of $2.2 million was calculated as the purchase price less the fair value of the net assets acquired as follows (in thousands):</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60"/>
          </w:cols>
          <w:pgMar w:left="300" w:top="1145"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1"/>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180"/>
        </w:trPr>
        <w:tc>
          <w:tcPr>
            <w:tcW w:w="9860" w:type="dxa"/>
            <w:vAlign w:val="bottom"/>
            <w:gridSpan w:val="2"/>
          </w:tcPr>
          <w:p>
            <w:pPr>
              <w:ind w:left="20"/>
              <w:spacing w:after="0"/>
              <w:rPr>
                <w:sz w:val="20"/>
                <w:szCs w:val="20"/>
                <w:color w:val="auto"/>
              </w:rPr>
            </w:pPr>
            <w:r>
              <w:rPr>
                <w:rFonts w:ascii="Arial" w:cs="Arial" w:eastAsia="Arial" w:hAnsi="Arial"/>
                <w:sz w:val="14"/>
                <w:szCs w:val="14"/>
                <w:color w:val="auto"/>
              </w:rPr>
              <w:t>Cash consideration paid on closing to former equity holders</w:t>
            </w: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5,165</w:t>
            </w:r>
          </w:p>
        </w:tc>
      </w:tr>
      <w:tr>
        <w:trPr>
          <w:trHeight w:val="180"/>
        </w:trPr>
        <w:tc>
          <w:tcPr>
            <w:tcW w:w="9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Non-cash consideration common shares</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2,049</w:t>
            </w:r>
          </w:p>
        </w:tc>
      </w:tr>
      <w:tr>
        <w:trPr>
          <w:trHeight w:val="170"/>
        </w:trPr>
        <w:tc>
          <w:tcPr>
            <w:tcW w:w="9860" w:type="dxa"/>
            <w:vAlign w:val="bottom"/>
            <w:gridSpan w:val="2"/>
          </w:tcPr>
          <w:p>
            <w:pPr>
              <w:ind w:left="20"/>
              <w:spacing w:after="0"/>
              <w:rPr>
                <w:sz w:val="20"/>
                <w:szCs w:val="20"/>
                <w:color w:val="auto"/>
              </w:rPr>
            </w:pPr>
            <w:r>
              <w:rPr>
                <w:rFonts w:ascii="Arial" w:cs="Arial" w:eastAsia="Arial" w:hAnsi="Arial"/>
                <w:sz w:val="14"/>
                <w:szCs w:val="14"/>
                <w:color w:val="auto"/>
              </w:rPr>
              <w:t>Total purchase price</w:t>
            </w: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7,214</w:t>
            </w:r>
          </w:p>
        </w:tc>
      </w:tr>
      <w:tr>
        <w:trPr>
          <w:trHeight w:val="212"/>
        </w:trPr>
        <w:tc>
          <w:tcPr>
            <w:tcW w:w="9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0"/>
        </w:trPr>
        <w:tc>
          <w:tcPr>
            <w:tcW w:w="9860" w:type="dxa"/>
            <w:vAlign w:val="bottom"/>
            <w:gridSpan w:val="2"/>
          </w:tcPr>
          <w:p>
            <w:pPr>
              <w:ind w:left="20"/>
              <w:spacing w:after="0"/>
              <w:rPr>
                <w:sz w:val="20"/>
                <w:szCs w:val="20"/>
                <w:color w:val="auto"/>
              </w:rPr>
            </w:pPr>
            <w:r>
              <w:rPr>
                <w:rFonts w:ascii="Arial" w:cs="Arial" w:eastAsia="Arial" w:hAnsi="Arial"/>
                <w:sz w:val="14"/>
                <w:szCs w:val="14"/>
                <w:color w:val="auto"/>
              </w:rPr>
              <w:t>Assets acquired:</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9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9860" w:type="dxa"/>
            <w:vAlign w:val="bottom"/>
            <w:gridSpan w:val="2"/>
          </w:tcPr>
          <w:p>
            <w:pPr>
              <w:ind w:left="20"/>
              <w:spacing w:after="0"/>
              <w:rPr>
                <w:sz w:val="20"/>
                <w:szCs w:val="20"/>
                <w:color w:val="auto"/>
              </w:rPr>
            </w:pPr>
            <w:r>
              <w:rPr>
                <w:rFonts w:ascii="Arial" w:cs="Arial" w:eastAsia="Arial" w:hAnsi="Arial"/>
                <w:sz w:val="14"/>
                <w:szCs w:val="14"/>
                <w:color w:val="auto"/>
              </w:rPr>
              <w:t>Accounts receivable</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0"/>
        </w:trPr>
        <w:tc>
          <w:tcPr>
            <w:tcW w:w="9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receivables</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9860" w:type="dxa"/>
            <w:vAlign w:val="bottom"/>
            <w:gridSpan w:val="2"/>
          </w:tcPr>
          <w:p>
            <w:pPr>
              <w:ind w:left="20"/>
              <w:spacing w:after="0"/>
              <w:rPr>
                <w:sz w:val="20"/>
                <w:szCs w:val="20"/>
                <w:color w:val="auto"/>
              </w:rPr>
            </w:pPr>
            <w:r>
              <w:rPr>
                <w:rFonts w:ascii="Arial" w:cs="Arial" w:eastAsia="Arial" w:hAnsi="Arial"/>
                <w:sz w:val="14"/>
                <w:szCs w:val="14"/>
                <w:color w:val="auto"/>
              </w:rPr>
              <w:t>Inventories, net</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180"/>
        </w:trPr>
        <w:tc>
          <w:tcPr>
            <w:tcW w:w="9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5,380</w:t>
            </w:r>
          </w:p>
        </w:tc>
      </w:tr>
      <w:tr>
        <w:trPr>
          <w:trHeight w:val="180"/>
        </w:trPr>
        <w:tc>
          <w:tcPr>
            <w:tcW w:w="9860" w:type="dxa"/>
            <w:vAlign w:val="bottom"/>
            <w:gridSpan w:val="2"/>
          </w:tcPr>
          <w:p>
            <w:pPr>
              <w:ind w:left="20"/>
              <w:spacing w:after="0"/>
              <w:rPr>
                <w:sz w:val="20"/>
                <w:szCs w:val="20"/>
                <w:color w:val="auto"/>
              </w:rPr>
            </w:pPr>
            <w:r>
              <w:rPr>
                <w:rFonts w:ascii="Arial" w:cs="Arial" w:eastAsia="Arial" w:hAnsi="Arial"/>
                <w:sz w:val="14"/>
                <w:szCs w:val="14"/>
                <w:color w:val="auto"/>
              </w:rPr>
              <w:t>Liabilities assumed:</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9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9860" w:type="dxa"/>
            <w:vAlign w:val="bottom"/>
            <w:gridSpan w:val="2"/>
          </w:tcPr>
          <w:p>
            <w:pPr>
              <w:ind w:left="20"/>
              <w:spacing w:after="0"/>
              <w:rPr>
                <w:sz w:val="20"/>
                <w:szCs w:val="20"/>
                <w:color w:val="auto"/>
              </w:rPr>
            </w:pPr>
            <w:r>
              <w:rPr>
                <w:rFonts w:ascii="Arial" w:cs="Arial" w:eastAsia="Arial" w:hAnsi="Arial"/>
                <w:sz w:val="14"/>
                <w:szCs w:val="14"/>
                <w:color w:val="auto"/>
              </w:rPr>
              <w:t>Other current liabilities</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9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liability, net</w:t>
            </w: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r>
      <w:tr>
        <w:trPr>
          <w:trHeight w:val="170"/>
        </w:trPr>
        <w:tc>
          <w:tcPr>
            <w:tcW w:w="9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Fair value of identifiable net assets acquired</w:t>
            </w: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4,994</w:t>
            </w:r>
          </w:p>
        </w:tc>
      </w:tr>
      <w:tr>
        <w:trPr>
          <w:trHeight w:val="196"/>
        </w:trPr>
        <w:tc>
          <w:tcPr>
            <w:tcW w:w="9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Goodwill acquired on acquisition</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NIH Contract</w:t>
      </w:r>
    </w:p>
    <w:p>
      <w:pPr>
        <w:spacing w:after="0" w:line="192" w:lineRule="exact"/>
        <w:rPr>
          <w:sz w:val="20"/>
          <w:szCs w:val="20"/>
          <w:color w:val="auto"/>
        </w:rPr>
      </w:pPr>
    </w:p>
    <w:p>
      <w:pPr>
        <w:ind w:right="60" w:firstLine="254"/>
        <w:spacing w:after="0" w:line="232" w:lineRule="auto"/>
        <w:rPr>
          <w:sz w:val="20"/>
          <w:szCs w:val="20"/>
          <w:color w:val="auto"/>
        </w:rPr>
      </w:pPr>
      <w:r>
        <w:rPr>
          <w:rFonts w:ascii="Arial" w:cs="Arial" w:eastAsia="Arial" w:hAnsi="Arial"/>
          <w:sz w:val="14"/>
          <w:szCs w:val="14"/>
          <w:color w:val="auto"/>
        </w:rPr>
        <w:t>In 2020, we were awarded the NIH Contract under the RADx program to support the expansion of our production capacity and throughput capabilities for COVID-19 testing with our microfluidics technology. As of December 31, 2021, we have achieved the required milestones and have received the total NIH Contract value of $34.0 million. Proceeds from the NIH Contract have been and will be used primarily for capital expenditures to expand production capacity and, to a lesser extent, to offset applicable operating costs. Grant proceeds that exceed the cost of the capital expenditures and expenses expected to be incurred are recorded in other non-operating income.</w:t>
      </w: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16" w:right="319" w:bottom="1440" w:gutter="0" w:footer="0" w:header="0"/>
        </w:sectPr>
      </w:pPr>
    </w:p>
    <w:bookmarkStart w:id="91" w:name="page92"/>
    <w:bookmarkEnd w:id="91"/>
    <w:p>
      <w:pPr>
        <w:ind w:left="260"/>
        <w:spacing w:after="0"/>
        <w:rPr>
          <w:sz w:val="20"/>
          <w:szCs w:val="20"/>
          <w:color w:val="auto"/>
        </w:rPr>
      </w:pPr>
      <w:r>
        <w:rPr>
          <w:rFonts w:ascii="Arial" w:cs="Arial" w:eastAsia="Arial" w:hAnsi="Arial"/>
          <w:sz w:val="14"/>
          <w:szCs w:val="14"/>
          <w:color w:val="auto"/>
        </w:rPr>
        <w:t>The following tables summarize the activity under the NIH Contract through December 31, 2021 and 2020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4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1"/>
                <w:szCs w:val="11"/>
                <w:b w:val="1"/>
                <w:bCs w:val="1"/>
                <w:color w:val="auto"/>
              </w:rPr>
              <w:t>Year Ended December 31,</w:t>
            </w:r>
          </w:p>
        </w:tc>
        <w:tc>
          <w:tcPr>
            <w:tcW w:w="1460" w:type="dxa"/>
            <w:vAlign w:val="bottom"/>
            <w:tcBorders>
              <w:bottom w:val="single" w:sz="8" w:color="auto"/>
            </w:tcBorders>
          </w:tcPr>
          <w:p>
            <w:pPr>
              <w:spacing w:after="0"/>
              <w:rPr>
                <w:sz w:val="13"/>
                <w:szCs w:val="13"/>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rPr>
              <w:t>2021</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950"/>
              <w:spacing w:after="0"/>
              <w:rPr>
                <w:sz w:val="20"/>
                <w:szCs w:val="20"/>
                <w:color w:val="auto"/>
              </w:rPr>
            </w:pPr>
            <w:r>
              <w:rPr>
                <w:rFonts w:ascii="Arial" w:cs="Arial" w:eastAsia="Arial" w:hAnsi="Arial"/>
                <w:sz w:val="11"/>
                <w:szCs w:val="11"/>
                <w:b w:val="1"/>
                <w:bCs w:val="1"/>
                <w:color w:val="auto"/>
              </w:rPr>
              <w:t>2020</w:t>
            </w:r>
          </w:p>
        </w:tc>
      </w:tr>
      <w:tr>
        <w:trPr>
          <w:trHeight w:val="171"/>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cash receipts from milestones achieved</w:t>
            </w:r>
          </w:p>
        </w:tc>
        <w:tc>
          <w:tcPr>
            <w:tcW w:w="1460" w:type="dxa"/>
            <w:vAlign w:val="bottom"/>
            <w:shd w:val="clear" w:color="auto" w:fill="CCEEFF"/>
          </w:tcPr>
          <w:p>
            <w:pPr>
              <w:jc w:val="right"/>
              <w:ind w:right="131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25,436</w:t>
            </w:r>
          </w:p>
        </w:tc>
      </w:tr>
      <w:tr>
        <w:trPr>
          <w:trHeight w:val="180"/>
        </w:trPr>
        <w:tc>
          <w:tcPr>
            <w:tcW w:w="6640" w:type="dxa"/>
            <w:vAlign w:val="bottom"/>
          </w:tcPr>
          <w:p>
            <w:pPr>
              <w:ind w:left="20"/>
              <w:spacing w:after="0"/>
              <w:rPr>
                <w:sz w:val="20"/>
                <w:szCs w:val="20"/>
                <w:color w:val="auto"/>
              </w:rPr>
            </w:pPr>
            <w:r>
              <w:rPr>
                <w:rFonts w:ascii="Arial" w:cs="Arial" w:eastAsia="Arial" w:hAnsi="Arial"/>
                <w:sz w:val="14"/>
                <w:szCs w:val="14"/>
                <w:color w:val="auto"/>
              </w:rPr>
              <w:t>Cumulative amounts applied against operating costs (excluding depreciation)</w:t>
            </w:r>
          </w:p>
        </w:tc>
        <w:tc>
          <w:tcPr>
            <w:tcW w:w="1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(4,522)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(1,488)</w:t>
            </w:r>
          </w:p>
        </w:tc>
      </w:tr>
      <w:tr>
        <w:trPr>
          <w:trHeight w:val="180"/>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amounts applied against depreciation expense for assets placed in service</w:t>
            </w:r>
          </w:p>
        </w:tc>
        <w:tc>
          <w:tcPr>
            <w:tcW w:w="1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Cumulative amounts recognized as non-operating income</w:t>
            </w:r>
          </w:p>
        </w:tc>
        <w:tc>
          <w:tcPr>
            <w:tcW w:w="1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(7,140)</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grant income</w:t>
            </w:r>
          </w:p>
        </w:tc>
        <w:tc>
          <w:tcPr>
            <w:tcW w:w="1460" w:type="dxa"/>
            <w:vAlign w:val="bottom"/>
            <w:tcBorders>
              <w:bottom w:val="single" w:sz="8" w:color="auto"/>
            </w:tcBorders>
            <w:shd w:val="clear" w:color="auto" w:fill="CCEEFF"/>
          </w:tcPr>
          <w:p>
            <w:pPr>
              <w:jc w:val="right"/>
              <w:ind w:right="131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21,651</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23,948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placed in service, gross</w:t>
            </w:r>
          </w:p>
        </w:tc>
        <w:tc>
          <w:tcPr>
            <w:tcW w:w="1460" w:type="dxa"/>
            <w:vAlign w:val="bottom"/>
            <w:shd w:val="clear" w:color="auto" w:fill="CCEEFF"/>
          </w:tcPr>
          <w:p>
            <w:pPr>
              <w:jc w:val="right"/>
              <w:ind w:right="131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640" w:type="dxa"/>
            <w:vAlign w:val="bottom"/>
          </w:tcPr>
          <w:p>
            <w:pPr>
              <w:ind w:left="20"/>
              <w:spacing w:after="0"/>
              <w:rPr>
                <w:sz w:val="20"/>
                <w:szCs w:val="20"/>
                <w:color w:val="auto"/>
              </w:rPr>
            </w:pPr>
            <w:r>
              <w:rPr>
                <w:rFonts w:ascii="Arial" w:cs="Arial" w:eastAsia="Arial" w:hAnsi="Arial"/>
                <w:sz w:val="14"/>
                <w:szCs w:val="14"/>
                <w:color w:val="auto"/>
              </w:rPr>
              <w:t>Construction-in-progress</w:t>
            </w:r>
          </w:p>
        </w:tc>
        <w:tc>
          <w:tcPr>
            <w:tcW w:w="1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3,909</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9,652</w:t>
            </w:r>
          </w:p>
        </w:tc>
      </w:tr>
      <w:tr>
        <w:trPr>
          <w:trHeight w:val="180"/>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amounts applied against depreciation expense</w:t>
            </w:r>
          </w:p>
        </w:tc>
        <w:tc>
          <w:tcPr>
            <w:tcW w:w="14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6640" w:type="dxa"/>
            <w:vAlign w:val="bottom"/>
          </w:tcPr>
          <w:p>
            <w:pPr>
              <w:ind w:left="20"/>
              <w:spacing w:after="0"/>
              <w:rPr>
                <w:sz w:val="20"/>
                <w:szCs w:val="20"/>
                <w:color w:val="auto"/>
              </w:rPr>
            </w:pPr>
            <w:r>
              <w:rPr>
                <w:rFonts w:ascii="Arial" w:cs="Arial" w:eastAsia="Arial" w:hAnsi="Arial"/>
                <w:sz w:val="14"/>
                <w:szCs w:val="14"/>
                <w:color w:val="auto"/>
              </w:rPr>
              <w:t>Carrying value of property and equipment, net</w:t>
            </w:r>
          </w:p>
        </w:tc>
        <w:tc>
          <w:tcPr>
            <w:tcW w:w="1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20,096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9,652</w:t>
            </w:r>
          </w:p>
        </w:tc>
      </w:tr>
      <w:tr>
        <w:trPr>
          <w:trHeight w:val="180"/>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future operating costs, excluding depreciation</w:t>
            </w:r>
          </w:p>
        </w:tc>
        <w:tc>
          <w:tcPr>
            <w:tcW w:w="14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future capital expenditures</w:t>
            </w:r>
          </w:p>
        </w:tc>
        <w:tc>
          <w:tcPr>
            <w:tcW w:w="1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11,384</w:t>
            </w:r>
          </w:p>
        </w:tc>
      </w:tr>
      <w:tr>
        <w:trPr>
          <w:trHeight w:val="19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grant income</w:t>
            </w:r>
          </w:p>
        </w:tc>
        <w:tc>
          <w:tcPr>
            <w:tcW w:w="1460" w:type="dxa"/>
            <w:vAlign w:val="bottom"/>
            <w:tcBorders>
              <w:bottom w:val="single" w:sz="8" w:color="auto"/>
            </w:tcBorders>
            <w:shd w:val="clear" w:color="auto" w:fill="CCEEFF"/>
          </w:tcPr>
          <w:p>
            <w:pPr>
              <w:jc w:val="right"/>
              <w:ind w:right="131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21,651</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23,948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grant income, current</w:t>
            </w:r>
          </w:p>
        </w:tc>
        <w:tc>
          <w:tcPr>
            <w:tcW w:w="1460" w:type="dxa"/>
            <w:vAlign w:val="bottom"/>
            <w:shd w:val="clear" w:color="auto" w:fill="CCEEFF"/>
          </w:tcPr>
          <w:p>
            <w:pPr>
              <w:jc w:val="right"/>
              <w:ind w:right="131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grant income, non-current</w:t>
            </w:r>
          </w:p>
        </w:tc>
        <w:tc>
          <w:tcPr>
            <w:tcW w:w="1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18,116</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21,036</w:t>
            </w:r>
          </w:p>
        </w:tc>
      </w:tr>
      <w:tr>
        <w:trPr>
          <w:trHeight w:val="19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grant income</w:t>
            </w:r>
          </w:p>
        </w:tc>
        <w:tc>
          <w:tcPr>
            <w:tcW w:w="1460" w:type="dxa"/>
            <w:vAlign w:val="bottom"/>
            <w:tcBorders>
              <w:bottom w:val="single" w:sz="8" w:color="auto"/>
            </w:tcBorders>
            <w:shd w:val="clear" w:color="auto" w:fill="CCEEFF"/>
          </w:tcPr>
          <w:p>
            <w:pPr>
              <w:jc w:val="right"/>
              <w:ind w:right="131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21,651</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23,948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Deferred grant income, current is included in other accrued liabilities on the balance sheets at December 31, 2021 and 2020 and represents amounts expected to be applied against costs over the next twelve months. Deferred grant, non-current includes depreciation expense on capital expenditure amounts which will be amortized in later periods. At December 31, 2020, deferred grant income included amounts expected to be applied against 2021 operating costs as well as future depreciation. At December 31, 2021, deferred grant income includes amounts related to future depreciation on capital expenditures placed or to be placed in service.</w:t>
      </w:r>
    </w:p>
    <w:p>
      <w:pPr>
        <w:spacing w:after="0" w:line="136" w:lineRule="exact"/>
        <w:rPr>
          <w:sz w:val="20"/>
          <w:szCs w:val="20"/>
          <w:color w:val="auto"/>
        </w:rPr>
      </w:pPr>
    </w:p>
    <w:p>
      <w:pPr>
        <w:jc w:val="both"/>
        <w:ind w:right="100" w:firstLine="254"/>
        <w:spacing w:after="0" w:line="266" w:lineRule="auto"/>
        <w:rPr>
          <w:sz w:val="20"/>
          <w:szCs w:val="20"/>
          <w:color w:val="auto"/>
        </w:rPr>
      </w:pPr>
      <w:r>
        <w:rPr>
          <w:rFonts w:ascii="Arial" w:cs="Arial" w:eastAsia="Arial" w:hAnsi="Arial"/>
          <w:sz w:val="14"/>
          <w:szCs w:val="14"/>
          <w:color w:val="auto"/>
        </w:rPr>
        <w:t>We expect to spend $22.4 million on capital expenditures associated with the NIH Contract. We have incurred $20.8 million of capital expenditures through December 31, 2021, of which assets valued at $16.9 million have been placed in service, while the remaining $3.9 million is included in construction-in-progress (See Note 8). We expect to place the remaining equipment in service in the first half of 2022.</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Development Agreement</w:t>
      </w:r>
    </w:p>
    <w:p>
      <w:pPr>
        <w:spacing w:after="0" w:line="118" w:lineRule="exact"/>
        <w:rPr>
          <w:sz w:val="20"/>
          <w:szCs w:val="20"/>
          <w:color w:val="auto"/>
        </w:rPr>
      </w:pPr>
    </w:p>
    <w:p>
      <w:pPr>
        <w:ind w:right="80" w:firstLine="254"/>
        <w:spacing w:after="0" w:line="261" w:lineRule="auto"/>
        <w:rPr>
          <w:sz w:val="20"/>
          <w:szCs w:val="20"/>
          <w:color w:val="auto"/>
        </w:rPr>
      </w:pPr>
      <w:r>
        <w:rPr>
          <w:rFonts w:ascii="Arial" w:cs="Arial" w:eastAsia="Arial" w:hAnsi="Arial"/>
          <w:sz w:val="14"/>
          <w:szCs w:val="14"/>
          <w:color w:val="auto"/>
        </w:rPr>
        <w:t>Effective March 31, 2020, we signed an OEM Supply and Development Agreement (Development Agreement) with a customer. Under the Development Agreement, Fluidigm developed products based on its microfluidics technology. The Development Agreement provided for up-front and periodic milestone payments during the development stage, which was completed in the third quarter of 2021, and on-going annual payments of $0.4 million for sustaining efforts. We recognized $2.4 million and $8.8 million of development revenue from this agreement for the years ended December 31, 2021 and 2020, respectively.</w:t>
      </w: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62" w:right="35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auto"/>
        </w:rPr>
        <w:t>6. Revenue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our revenue for the year ended December 31, 2021, 2020, and 2019, respectively, based on geographic area and by source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3"/>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2019</w:t>
            </w:r>
          </w:p>
        </w:tc>
      </w:tr>
      <w:tr>
        <w:trPr>
          <w:trHeight w:val="16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Geographic Markets: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Americas</w:t>
            </w: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63,877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74,586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47,016</w:t>
            </w: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40,024</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Asia-Pacific</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30,203</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130,581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138,144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117,243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68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3"/>
              </w:rPr>
              <w:t>Year Ended December 31,</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2019</w:t>
            </w:r>
          </w:p>
        </w:tc>
      </w:tr>
      <w:tr>
        <w:trPr>
          <w:trHeight w:val="16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Source:</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42,498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45,536</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50,004</w:t>
            </w: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Consumables</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57,878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54,408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45,412</w:t>
            </w:r>
          </w:p>
        </w:tc>
      </w:tr>
      <w:tr>
        <w:trPr>
          <w:trHeight w:val="170"/>
        </w:trPr>
        <w:tc>
          <w:tcPr>
            <w:tcW w:w="6800" w:type="dxa"/>
            <w:vAlign w:val="bottom"/>
          </w:tcPr>
          <w:p>
            <w:pPr>
              <w:ind w:left="20"/>
              <w:spacing w:after="0"/>
              <w:rPr>
                <w:sz w:val="20"/>
                <w:szCs w:val="20"/>
                <w:color w:val="auto"/>
              </w:rPr>
            </w:pPr>
            <w:r>
              <w:rPr>
                <w:rFonts w:ascii="Arial" w:cs="Arial" w:eastAsia="Arial" w:hAnsi="Arial"/>
                <w:sz w:val="14"/>
                <w:szCs w:val="14"/>
                <w:color w:val="auto"/>
              </w:rPr>
              <w:t>Product revenue</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100,376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99,944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95,416</w:t>
            </w: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21,277</w:t>
            </w: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Development revenue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8,865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6800" w:type="dxa"/>
            <w:vAlign w:val="bottom"/>
          </w:tcPr>
          <w:p>
            <w:pPr>
              <w:ind w:left="180"/>
              <w:spacing w:after="0"/>
              <w:rPr>
                <w:sz w:val="20"/>
                <w:szCs w:val="20"/>
                <w:color w:val="auto"/>
              </w:rPr>
            </w:pPr>
            <w:r>
              <w:rPr>
                <w:rFonts w:ascii="Arial" w:cs="Arial" w:eastAsia="Arial" w:hAnsi="Arial"/>
                <w:sz w:val="14"/>
                <w:szCs w:val="14"/>
                <w:color w:val="auto"/>
              </w:rPr>
              <w:t>License and royalty revenue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Grant revenue</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17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revenue</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130,581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138,144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117,243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Unfulfilled Performance Obligations</w:t>
      </w:r>
    </w:p>
    <w:p>
      <w:pPr>
        <w:spacing w:after="0" w:line="125" w:lineRule="exact"/>
        <w:rPr>
          <w:sz w:val="20"/>
          <w:szCs w:val="20"/>
          <w:color w:val="auto"/>
        </w:rPr>
      </w:pPr>
    </w:p>
    <w:p>
      <w:pPr>
        <w:ind w:right="100" w:firstLine="254"/>
        <w:spacing w:after="0" w:line="266" w:lineRule="auto"/>
        <w:rPr>
          <w:sz w:val="20"/>
          <w:szCs w:val="20"/>
          <w:color w:val="auto"/>
        </w:rPr>
      </w:pPr>
      <w:r>
        <w:rPr>
          <w:rFonts w:ascii="Arial" w:cs="Arial" w:eastAsia="Arial" w:hAnsi="Arial"/>
          <w:sz w:val="14"/>
          <w:szCs w:val="14"/>
          <w:color w:val="auto"/>
        </w:rPr>
        <w:t>We reported $21.5 million of deferred revenue on our December 31, 2020 consolidated balance sheet. During the twelve months ended December 31, 2021, $11.9 million of the opening balance was recognized as revenue and $8.3 million of net additional advance payments were received from customers, primarily associated with instrument service contracts. At December 31, 2021, we reported $17.9 million of deferred revenue.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summarizes the expected timing of revenue recognition for unfulfilled performance obligations associated with instrument service contracts that were partially completed at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860" w:type="dxa"/>
            <w:vAlign w:val="bottom"/>
            <w:gridSpan w:val="2"/>
          </w:tcPr>
          <w:p>
            <w:pPr>
              <w:ind w:left="20"/>
              <w:spacing w:after="0"/>
              <w:rPr>
                <w:sz w:val="20"/>
                <w:szCs w:val="20"/>
                <w:color w:val="auto"/>
              </w:rPr>
            </w:pPr>
            <w:r>
              <w:rPr>
                <w:rFonts w:ascii="Arial" w:cs="Arial" w:eastAsia="Arial" w:hAnsi="Arial"/>
                <w:sz w:val="11"/>
                <w:szCs w:val="11"/>
                <w:b w:val="1"/>
                <w:bCs w:val="1"/>
                <w:color w:val="auto"/>
              </w:rPr>
              <w:t>Fiscal Year</w:t>
            </w:r>
          </w:p>
        </w:tc>
        <w:tc>
          <w:tcPr>
            <w:tcW w:w="140" w:type="dxa"/>
            <w:vAlign w:val="bottom"/>
          </w:tcPr>
          <w:p>
            <w:pPr>
              <w:spacing w:after="0"/>
              <w:rPr>
                <w:sz w:val="13"/>
                <w:szCs w:val="13"/>
                <w:color w:val="auto"/>
              </w:rPr>
            </w:pPr>
          </w:p>
        </w:tc>
        <w:tc>
          <w:tcPr>
            <w:tcW w:w="1280" w:type="dxa"/>
            <w:vAlign w:val="bottom"/>
          </w:tcPr>
          <w:p>
            <w:pPr>
              <w:jc w:val="right"/>
              <w:ind w:right="152"/>
              <w:spacing w:after="0"/>
              <w:rPr>
                <w:sz w:val="20"/>
                <w:szCs w:val="20"/>
                <w:color w:val="auto"/>
              </w:rPr>
            </w:pPr>
            <w:r>
              <w:rPr>
                <w:rFonts w:ascii="Arial" w:cs="Arial" w:eastAsia="Arial" w:hAnsi="Arial"/>
                <w:sz w:val="11"/>
                <w:szCs w:val="11"/>
                <w:b w:val="1"/>
                <w:bCs w:val="1"/>
                <w:color w:val="auto"/>
                <w:w w:val="94"/>
              </w:rPr>
              <w:t xml:space="preserve">Expected Revenue </w:t>
            </w:r>
            <w:r>
              <w:rPr>
                <w:rFonts w:ascii="Arial" w:cs="Arial" w:eastAsia="Arial" w:hAnsi="Arial"/>
                <w:sz w:val="7"/>
                <w:szCs w:val="7"/>
                <w:b w:val="1"/>
                <w:bCs w:val="1"/>
                <w:color w:val="auto"/>
                <w:w w:val="94"/>
              </w:rPr>
              <w:t>(1)</w:t>
            </w:r>
          </w:p>
        </w:tc>
      </w:tr>
      <w:tr>
        <w:trPr>
          <w:trHeight w:val="175"/>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12,774</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6,735</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w:t>
            </w:r>
          </w:p>
        </w:tc>
      </w:tr>
      <w:tr>
        <w:trPr>
          <w:trHeight w:val="180"/>
        </w:trPr>
        <w:tc>
          <w:tcPr>
            <w:tcW w:w="9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w:t>
            </w:r>
          </w:p>
        </w:tc>
      </w:tr>
      <w:tr>
        <w:trPr>
          <w:trHeight w:val="196"/>
        </w:trPr>
        <w:tc>
          <w:tcPr>
            <w:tcW w:w="9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24,474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_</w:t>
      </w:r>
      <w:r>
        <w:rPr>
          <w:rFonts w:ascii="Arial" w:cs="Arial" w:eastAsia="Arial" w:hAnsi="Arial"/>
          <w:sz w:val="14"/>
          <w:szCs w:val="14"/>
          <w:color w:val="231F20"/>
        </w:rPr>
        <w:t>_______________________</w:t>
      </w:r>
      <w:r>
        <w:rPr>
          <w:rFonts w:ascii="Arial" w:cs="Arial" w:eastAsia="Arial" w:hAnsi="Arial"/>
          <w:sz w:val="14"/>
          <w:szCs w:val="14"/>
          <w:color w:val="auto"/>
        </w:rPr>
        <w:t>______</w:t>
      </w:r>
    </w:p>
    <w:p>
      <w:pPr>
        <w:spacing w:after="0" w:line="19" w:lineRule="exact"/>
        <w:rPr>
          <w:sz w:val="20"/>
          <w:szCs w:val="20"/>
          <w:color w:val="auto"/>
        </w:rPr>
      </w:pPr>
    </w:p>
    <w:p>
      <w:pPr>
        <w:ind w:left="260" w:right="240" w:hanging="255"/>
        <w:spacing w:after="0" w:line="304" w:lineRule="auto"/>
        <w:tabs>
          <w:tab w:leader="none" w:pos="193" w:val="left"/>
        </w:tabs>
        <w:numPr>
          <w:ilvl w:val="0"/>
          <w:numId w:val="44"/>
        </w:numPr>
        <w:rPr>
          <w:rFonts w:ascii="Arial" w:cs="Arial" w:eastAsia="Arial" w:hAnsi="Arial"/>
          <w:sz w:val="13"/>
          <w:szCs w:val="13"/>
          <w:color w:val="auto"/>
        </w:rPr>
      </w:pPr>
      <w:r>
        <w:rPr>
          <w:rFonts w:ascii="Arial" w:cs="Arial" w:eastAsia="Arial" w:hAnsi="Arial"/>
          <w:sz w:val="13"/>
          <w:szCs w:val="13"/>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before the service period begins without penalty.</w:t>
      </w:r>
    </w:p>
    <w:p>
      <w:pPr>
        <w:spacing w:after="0" w:line="29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3" w:name="page94"/>
    <w:bookmarkEnd w:id="93"/>
    <w:p>
      <w:pPr>
        <w:ind w:left="260"/>
        <w:spacing w:after="0"/>
        <w:rPr>
          <w:sz w:val="20"/>
          <w:szCs w:val="20"/>
          <w:color w:val="auto"/>
        </w:rPr>
      </w:pPr>
      <w:r>
        <w:rPr>
          <w:rFonts w:ascii="Arial" w:cs="Arial" w:eastAsia="Arial" w:hAnsi="Arial"/>
          <w:sz w:val="13"/>
          <w:szCs w:val="13"/>
          <w:color w:val="auto"/>
        </w:rPr>
        <w:t>We apply the practical expedient that permits us to not disclose information about unsatisfied performance obligations for service contracts with an expected term of one year or less.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Goodwill and Intangible Assets, net</w:t>
      </w:r>
    </w:p>
    <w:p>
      <w:pPr>
        <w:spacing w:after="0" w:line="118" w:lineRule="exact"/>
        <w:rPr>
          <w:sz w:val="20"/>
          <w:szCs w:val="20"/>
          <w:color w:val="auto"/>
        </w:rPr>
      </w:pPr>
    </w:p>
    <w:p>
      <w:pPr>
        <w:ind w:right="100" w:firstLine="254"/>
        <w:spacing w:after="0" w:line="261" w:lineRule="auto"/>
        <w:rPr>
          <w:sz w:val="20"/>
          <w:szCs w:val="20"/>
          <w:color w:val="auto"/>
        </w:rPr>
      </w:pPr>
      <w:r>
        <w:rPr>
          <w:rFonts w:ascii="Arial" w:cs="Arial" w:eastAsia="Arial" w:hAnsi="Arial"/>
          <w:sz w:val="14"/>
          <w:szCs w:val="14"/>
          <w:color w:val="auto"/>
        </w:rPr>
        <w:t>In connection with our acquisition of DVS in February 2014, we recognized goodwill of $104.1 million and $112.0 million of developed technology. In the first quarter of 2020, we recognized $2.2 million (Euro 2.0 million) of goodwill from the InstruNor acquisition and $5.4 million (Euro 4.9 million) of developed technology (see Note 3). As the goodwill and developed technology from the InstruNor acquisition are recorded in the functional currency of our European operations, which is the Euro, these balances are revalued each period and the U.S. dollar value of these assets will fluctuate as foreign exchange rates change. We are amortizing InstruNor developed technology over 8.0 years.</w:t>
      </w:r>
    </w:p>
    <w:p>
      <w:pPr>
        <w:spacing w:after="0" w:line="83" w:lineRule="exact"/>
        <w:rPr>
          <w:sz w:val="20"/>
          <w:szCs w:val="20"/>
          <w:color w:val="auto"/>
        </w:rPr>
      </w:pPr>
    </w:p>
    <w:p>
      <w:pPr>
        <w:ind w:right="180" w:firstLine="254"/>
        <w:spacing w:after="0" w:line="259" w:lineRule="auto"/>
        <w:rPr>
          <w:sz w:val="20"/>
          <w:szCs w:val="20"/>
          <w:color w:val="auto"/>
        </w:rPr>
      </w:pPr>
      <w:r>
        <w:rPr>
          <w:rFonts w:ascii="Arial" w:cs="Arial" w:eastAsia="Arial" w:hAnsi="Arial"/>
          <w:sz w:val="14"/>
          <w:szCs w:val="14"/>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ongoing global COVID-19 pandemic and macroeconomic developments to determine the existence of potential indicators of impairment and assess if it is more likely than not that the fair value of our reporting unit or intangible assets is less than their carrying value. If indicators of impairment are identified, a quantitative impairment test is performed.</w:t>
      </w:r>
    </w:p>
    <w:p>
      <w:pPr>
        <w:spacing w:after="0" w:line="84" w:lineRule="exact"/>
        <w:rPr>
          <w:sz w:val="20"/>
          <w:szCs w:val="20"/>
          <w:color w:val="auto"/>
        </w:rPr>
      </w:pPr>
    </w:p>
    <w:p>
      <w:pPr>
        <w:ind w:right="40" w:firstLine="254"/>
        <w:spacing w:after="0" w:line="266" w:lineRule="auto"/>
        <w:rPr>
          <w:sz w:val="20"/>
          <w:szCs w:val="20"/>
          <w:color w:val="auto"/>
        </w:rPr>
      </w:pPr>
      <w:r>
        <w:rPr>
          <w:rFonts w:ascii="Arial" w:cs="Arial" w:eastAsia="Arial" w:hAnsi="Arial"/>
          <w:sz w:val="14"/>
          <w:szCs w:val="14"/>
          <w:color w:val="auto"/>
        </w:rPr>
        <w:t>During the first quarter of fiscal 2020, we assessed whether the current and potential future impact of the COVID-19 pandemic represented an event which necessitated an impairment review. No impairment was recorded as a result of the quantitative assessment performed. In addition, the Company performed its annual impairment assessment as of December 31, 2021 and 2020 and there were no indicators of impairment identified.</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Intangible assets also include other patents and licenses, which are included in other non-current assets. Intangible assets, net, were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1"/>
                <w:szCs w:val="11"/>
                <w:b w:val="1"/>
                <w:bCs w:val="1"/>
                <w:color w:val="auto"/>
              </w:rPr>
              <w:t>December 31, 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restart"/>
          </w:tcPr>
          <w:p>
            <w:pPr>
              <w:jc w:val="right"/>
              <w:ind w:right="294"/>
              <w:spacing w:after="0"/>
              <w:rPr>
                <w:sz w:val="20"/>
                <w:szCs w:val="20"/>
                <w:color w:val="auto"/>
              </w:rPr>
            </w:pPr>
            <w:r>
              <w:rPr>
                <w:rFonts w:ascii="Arial" w:cs="Arial" w:eastAsia="Arial" w:hAnsi="Arial"/>
                <w:sz w:val="11"/>
                <w:szCs w:val="11"/>
                <w:b w:val="1"/>
                <w:bCs w:val="1"/>
                <w:color w:val="auto"/>
              </w:rPr>
              <w:t>Gross Amount</w:t>
            </w:r>
          </w:p>
        </w:tc>
        <w:tc>
          <w:tcPr>
            <w:tcW w:w="100" w:type="dxa"/>
            <w:vAlign w:val="bottom"/>
            <w:vMerge w:val="restart"/>
          </w:tcPr>
          <w:p>
            <w:pPr>
              <w:spacing w:after="0"/>
              <w:rPr>
                <w:sz w:val="8"/>
                <w:szCs w:val="8"/>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7"/>
              </w:rPr>
              <w:t>Accumulated Amortization</w:t>
            </w:r>
          </w:p>
        </w:tc>
        <w:tc>
          <w:tcPr>
            <w:tcW w:w="80" w:type="dxa"/>
            <w:vAlign w:val="bottom"/>
            <w:vMerge w:val="restart"/>
          </w:tcPr>
          <w:p>
            <w:pPr>
              <w:spacing w:after="0"/>
              <w:rPr>
                <w:sz w:val="8"/>
                <w:szCs w:val="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1"/>
                <w:szCs w:val="11"/>
                <w:b w:val="1"/>
                <w:bCs w:val="1"/>
                <w:color w:val="auto"/>
              </w:rPr>
              <w:t>Net</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3"/>
              </w:rPr>
              <w:t>Weighted-Average</w:t>
            </w:r>
          </w:p>
        </w:tc>
        <w:tc>
          <w:tcPr>
            <w:tcW w:w="0" w:type="dxa"/>
            <w:vAlign w:val="bottom"/>
          </w:tcPr>
          <w:p>
            <w:pPr>
              <w:spacing w:after="0"/>
              <w:rPr>
                <w:sz w:val="1"/>
                <w:szCs w:val="1"/>
                <w:color w:val="auto"/>
              </w:rPr>
            </w:pPr>
          </w:p>
        </w:tc>
      </w:tr>
      <w:tr>
        <w:trPr>
          <w:trHeight w:val="147"/>
        </w:trPr>
        <w:tc>
          <w:tcPr>
            <w:tcW w:w="5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Amortization Period</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117,503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(89,576)</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27,927</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9.9 years</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Patents and licenses</w:t>
            </w:r>
          </w:p>
        </w:tc>
        <w:tc>
          <w:tcPr>
            <w:tcW w:w="220" w:type="dxa"/>
            <w:vAlign w:val="bottom"/>
            <w:tcBorders>
              <w:bottom w:val="single" w:sz="8" w:color="auto"/>
            </w:tcBorders>
          </w:tcPr>
          <w:p>
            <w:pPr>
              <w:jc w:val="right"/>
              <w:ind w:right="69"/>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11,257</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54"/>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34"/>
              <w:spacing w:after="0" w:line="143"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1,257</w:t>
            </w:r>
          </w:p>
        </w:tc>
        <w:tc>
          <w:tcPr>
            <w:tcW w:w="100" w:type="dxa"/>
            <w:vAlign w:val="bottom"/>
          </w:tcPr>
          <w:p>
            <w:pPr>
              <w:spacing w:after="0"/>
              <w:rPr>
                <w:sz w:val="12"/>
                <w:szCs w:val="12"/>
                <w:color w:val="auto"/>
              </w:rPr>
            </w:pPr>
          </w:p>
        </w:tc>
        <w:tc>
          <w:tcPr>
            <w:tcW w:w="1420" w:type="dxa"/>
            <w:vAlign w:val="bottom"/>
          </w:tcPr>
          <w:p>
            <w:pPr>
              <w:jc w:val="center"/>
              <w:spacing w:after="0" w:line="143" w:lineRule="exact"/>
              <w:rPr>
                <w:sz w:val="20"/>
                <w:szCs w:val="20"/>
                <w:color w:val="auto"/>
              </w:rPr>
            </w:pPr>
            <w:r>
              <w:rPr>
                <w:rFonts w:ascii="Arial" w:cs="Arial" w:eastAsia="Arial" w:hAnsi="Arial"/>
                <w:sz w:val="14"/>
                <w:szCs w:val="14"/>
                <w:color w:val="auto"/>
                <w:w w:val="86"/>
              </w:rPr>
              <w:t>7.0 years</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1"/>
                <w:szCs w:val="11"/>
                <w:b w:val="1"/>
                <w:bCs w:val="1"/>
                <w:color w:val="auto"/>
              </w:rPr>
              <w:t>December 31, 2020</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restart"/>
          </w:tcPr>
          <w:p>
            <w:pPr>
              <w:jc w:val="right"/>
              <w:ind w:right="294"/>
              <w:spacing w:after="0"/>
              <w:rPr>
                <w:sz w:val="20"/>
                <w:szCs w:val="20"/>
                <w:color w:val="auto"/>
              </w:rPr>
            </w:pPr>
            <w:r>
              <w:rPr>
                <w:rFonts w:ascii="Arial" w:cs="Arial" w:eastAsia="Arial" w:hAnsi="Arial"/>
                <w:sz w:val="11"/>
                <w:szCs w:val="11"/>
                <w:b w:val="1"/>
                <w:bCs w:val="1"/>
                <w:color w:val="auto"/>
              </w:rPr>
              <w:t>Gross Amount</w:t>
            </w:r>
          </w:p>
        </w:tc>
        <w:tc>
          <w:tcPr>
            <w:tcW w:w="100" w:type="dxa"/>
            <w:vAlign w:val="bottom"/>
            <w:vMerge w:val="restart"/>
          </w:tcPr>
          <w:p>
            <w:pPr>
              <w:spacing w:after="0"/>
              <w:rPr>
                <w:sz w:val="8"/>
                <w:szCs w:val="8"/>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7"/>
              </w:rPr>
              <w:t>Accumulated Amortization</w:t>
            </w:r>
          </w:p>
        </w:tc>
        <w:tc>
          <w:tcPr>
            <w:tcW w:w="80" w:type="dxa"/>
            <w:vAlign w:val="bottom"/>
            <w:vMerge w:val="restart"/>
          </w:tcPr>
          <w:p>
            <w:pPr>
              <w:spacing w:after="0"/>
              <w:rPr>
                <w:sz w:val="8"/>
                <w:szCs w:val="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1"/>
                <w:szCs w:val="11"/>
                <w:b w:val="1"/>
                <w:bCs w:val="1"/>
                <w:color w:val="auto"/>
              </w:rPr>
              <w:t>Net</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3"/>
              </w:rPr>
              <w:t>Weighted-Average</w:t>
            </w:r>
          </w:p>
        </w:tc>
        <w:tc>
          <w:tcPr>
            <w:tcW w:w="0" w:type="dxa"/>
            <w:vAlign w:val="bottom"/>
          </w:tcPr>
          <w:p>
            <w:pPr>
              <w:spacing w:after="0"/>
              <w:rPr>
                <w:sz w:val="1"/>
                <w:szCs w:val="1"/>
                <w:color w:val="auto"/>
              </w:rPr>
            </w:pPr>
          </w:p>
        </w:tc>
      </w:tr>
      <w:tr>
        <w:trPr>
          <w:trHeight w:val="147"/>
        </w:trPr>
        <w:tc>
          <w:tcPr>
            <w:tcW w:w="5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Amortization Period</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117,658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(77,452)</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40,206</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9.9 years</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Patents and licenses</w:t>
            </w:r>
          </w:p>
        </w:tc>
        <w:tc>
          <w:tcPr>
            <w:tcW w:w="220" w:type="dxa"/>
            <w:vAlign w:val="bottom"/>
            <w:tcBorders>
              <w:bottom w:val="single" w:sz="8" w:color="auto"/>
            </w:tcBorders>
          </w:tcPr>
          <w:p>
            <w:pPr>
              <w:jc w:val="right"/>
              <w:ind w:right="69"/>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11,256</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54"/>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(9,238)</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734"/>
              <w:spacing w:after="0" w:line="143"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2"/>
                <w:szCs w:val="12"/>
                <w:color w:val="auto"/>
              </w:rPr>
            </w:pPr>
          </w:p>
        </w:tc>
        <w:tc>
          <w:tcPr>
            <w:tcW w:w="1420" w:type="dxa"/>
            <w:vAlign w:val="bottom"/>
          </w:tcPr>
          <w:p>
            <w:pPr>
              <w:jc w:val="center"/>
              <w:spacing w:after="0" w:line="143" w:lineRule="exact"/>
              <w:rPr>
                <w:sz w:val="20"/>
                <w:szCs w:val="20"/>
                <w:color w:val="auto"/>
              </w:rPr>
            </w:pPr>
            <w:r>
              <w:rPr>
                <w:rFonts w:ascii="Arial" w:cs="Arial" w:eastAsia="Arial" w:hAnsi="Arial"/>
                <w:sz w:val="14"/>
                <w:szCs w:val="14"/>
                <w:color w:val="auto"/>
                <w:w w:val="86"/>
              </w:rPr>
              <w:t>7.5 years</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amortization expense for the years ended December 31, 2021, December 31, 2020, and December 31, 2019 was $12.7 million, $12.8 million and $12.2 million, respectively.</w:t>
      </w: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94" w:name="page95"/>
    <w:bookmarkEnd w:id="94"/>
    <w:p>
      <w:pPr>
        <w:ind w:left="260"/>
        <w:spacing w:after="0"/>
        <w:rPr>
          <w:sz w:val="20"/>
          <w:szCs w:val="20"/>
          <w:color w:val="auto"/>
        </w:rPr>
      </w:pPr>
      <w:r>
        <w:rPr>
          <w:rFonts w:ascii="Arial" w:cs="Arial" w:eastAsia="Arial" w:hAnsi="Arial"/>
          <w:sz w:val="14"/>
          <w:szCs w:val="14"/>
          <w:color w:val="auto"/>
        </w:rPr>
        <w:t>Based on the carrying value of intangible assets, net, as of December 31, 2021, the annual amortization expense is expected to be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Fiscal Year</w:t>
            </w: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Developed Technology</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Patents and Licenses</w:t>
            </w:r>
          </w:p>
        </w:tc>
        <w:tc>
          <w:tcPr>
            <w:tcW w:w="340" w:type="dxa"/>
            <w:vAlign w:val="bottom"/>
          </w:tcPr>
          <w:p>
            <w:pPr>
              <w:spacing w:after="0"/>
              <w:rPr>
                <w:sz w:val="10"/>
                <w:szCs w:val="10"/>
                <w:color w:val="auto"/>
              </w:rPr>
            </w:pPr>
          </w:p>
        </w:tc>
        <w:tc>
          <w:tcPr>
            <w:tcW w:w="1080" w:type="dxa"/>
            <w:vAlign w:val="bottom"/>
            <w:vMerge w:val="restart"/>
          </w:tcPr>
          <w:p>
            <w:pPr>
              <w:jc w:val="right"/>
              <w:ind w:right="51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7"/>
        </w:trPr>
        <w:tc>
          <w:tcPr>
            <w:tcW w:w="316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Amortization Expense</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Amortization Expense</w:t>
            </w:r>
          </w:p>
        </w:tc>
        <w:tc>
          <w:tcPr>
            <w:tcW w:w="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12,566</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2023</w:t>
            </w: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12,460</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2025</w:t>
            </w: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3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6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29,184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889"/>
              <w:spacing w:after="0"/>
              <w:rPr>
                <w:sz w:val="20"/>
                <w:szCs w:val="20"/>
                <w:color w:val="auto"/>
              </w:rPr>
            </w:pPr>
            <w:r>
              <w:rPr>
                <w:rFonts w:ascii="Arial" w:cs="Arial" w:eastAsia="Arial" w:hAnsi="Arial"/>
                <w:sz w:val="14"/>
                <w:szCs w:val="14"/>
                <w:color w:val="auto"/>
              </w:rPr>
              <w:t>92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1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9A9A9A"/>
            </w:tcBorders>
          </w:tcPr>
          <w:p>
            <w:pPr>
              <w:spacing w:after="0"/>
              <w:rPr>
                <w:sz w:val="17"/>
                <w:szCs w:val="17"/>
                <w:color w:val="auto"/>
              </w:rPr>
            </w:pPr>
          </w:p>
        </w:tc>
        <w:tc>
          <w:tcPr>
            <w:tcW w:w="3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auto"/>
        </w:rPr>
        <w:t>8. Balance Sheet Details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Cash, cash equivalents and restricted cash consisted of the following as of December 31, 2021 and 2020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68,520</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29,467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69,536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100" w:firstLine="254"/>
        <w:spacing w:after="0" w:line="280" w:lineRule="auto"/>
        <w:rPr>
          <w:sz w:val="20"/>
          <w:szCs w:val="20"/>
          <w:color w:val="auto"/>
        </w:rPr>
      </w:pPr>
      <w:r>
        <w:rPr>
          <w:rFonts w:ascii="Arial" w:cs="Arial" w:eastAsia="Arial" w:hAnsi="Arial"/>
          <w:sz w:val="14"/>
          <w:szCs w:val="14"/>
          <w:color w:val="auto"/>
        </w:rPr>
        <w:t>Short-term restricted cash of approximately $16 thousand is included in prepaid expenses and other current assets, and $1.0 million of non-current restricted cash is included in other non-current assets in the consolidated balance sheets as of December 31, 2021 and 2020.</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 net</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Inventories, net consisted of the following as of December 31, 2021 and 2020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2"/>
              </w:rPr>
              <w:t>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10,183</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 inventories, net</w:t>
            </w: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20,825</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Property and Equipment, net</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20" w:type="dxa"/>
            <w:vAlign w:val="bottom"/>
          </w:tcPr>
          <w:p>
            <w:pPr>
              <w:ind w:left="260"/>
              <w:spacing w:after="0"/>
              <w:rPr>
                <w:sz w:val="20"/>
                <w:szCs w:val="20"/>
                <w:color w:val="auto"/>
              </w:rPr>
            </w:pPr>
            <w:r>
              <w:rPr>
                <w:rFonts w:ascii="Arial" w:cs="Arial" w:eastAsia="Arial" w:hAnsi="Arial"/>
                <w:sz w:val="14"/>
                <w:szCs w:val="14"/>
                <w:color w:val="auto"/>
              </w:rPr>
              <w:t>Property and equipment, net consisted of the following as of December 31, 2021 and 2020 (in thousands):</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2"/>
              </w:rPr>
              <w:t>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Laboratory and manufacturing equipment</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30,260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18,107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Office, furniture and fixtures</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Property and equipment, gross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31,544</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(26,703)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(23,989)</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Construction-in-progress</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4,549</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9,976</w:t>
            </w:r>
          </w:p>
        </w:tc>
        <w:tc>
          <w:tcPr>
            <w:tcW w:w="0" w:type="dxa"/>
            <w:vAlign w:val="bottom"/>
          </w:tcPr>
          <w:p>
            <w:pPr>
              <w:spacing w:after="0"/>
              <w:rPr>
                <w:sz w:val="1"/>
                <w:szCs w:val="1"/>
                <w:color w:val="auto"/>
              </w:rPr>
            </w:pPr>
          </w:p>
        </w:tc>
      </w:tr>
      <w:tr>
        <w:trPr>
          <w:trHeight w:val="170"/>
        </w:trPr>
        <w:tc>
          <w:tcPr>
            <w:tcW w:w="8320" w:type="dxa"/>
            <w:vAlign w:val="bottom"/>
          </w:tcPr>
          <w:p>
            <w:pPr>
              <w:ind w:left="20"/>
              <w:spacing w:after="0" w:line="160" w:lineRule="exact"/>
              <w:rPr>
                <w:sz w:val="20"/>
                <w:szCs w:val="20"/>
                <w:color w:val="auto"/>
              </w:rPr>
            </w:pPr>
            <w:r>
              <w:rPr>
                <w:rFonts w:ascii="Arial" w:cs="Arial" w:eastAsia="Arial" w:hAnsi="Arial"/>
                <w:sz w:val="14"/>
                <w:szCs w:val="14"/>
                <w:color w:val="auto"/>
              </w:rPr>
              <w:t>Property and equipment, net</w:t>
            </w: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28,034</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17,531</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60"/>
              <w:spacing w:after="0"/>
              <w:rPr>
                <w:sz w:val="20"/>
                <w:szCs w:val="20"/>
                <w:color w:val="auto"/>
              </w:rPr>
            </w:pPr>
            <w:r>
              <w:rPr>
                <w:rFonts w:ascii="Arial" w:cs="Arial" w:eastAsia="Arial" w:hAnsi="Arial"/>
                <w:sz w:val="14"/>
                <w:szCs w:val="14"/>
                <w:color w:val="auto"/>
              </w:rPr>
              <w:t>The majority of the amounts included in construction-in-progress are related to the NIH Contract (see Note 4).</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8320" w:type="dxa"/>
            <w:vAlign w:val="bottom"/>
          </w:tcPr>
          <w:p>
            <w:pPr>
              <w:spacing w:after="0"/>
              <w:rPr>
                <w:sz w:val="20"/>
                <w:szCs w:val="20"/>
                <w:color w:val="auto"/>
              </w:rPr>
            </w:pPr>
            <w:r>
              <w:rPr>
                <w:rFonts w:ascii="Arial" w:cs="Arial" w:eastAsia="Arial" w:hAnsi="Arial"/>
                <w:sz w:val="14"/>
                <w:szCs w:val="14"/>
                <w:b w:val="1"/>
                <w:bCs w:val="1"/>
                <w:color w:val="auto"/>
              </w:rPr>
              <w:t>Accrued Compensation and Related Benefits</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20" w:type="dxa"/>
            <w:vAlign w:val="bottom"/>
          </w:tcPr>
          <w:p>
            <w:pPr>
              <w:ind w:left="260"/>
              <w:spacing w:after="0"/>
              <w:rPr>
                <w:sz w:val="20"/>
                <w:szCs w:val="20"/>
                <w:color w:val="auto"/>
              </w:rPr>
            </w:pPr>
            <w:r>
              <w:rPr>
                <w:rFonts w:ascii="Arial" w:cs="Arial" w:eastAsia="Arial" w:hAnsi="Arial"/>
                <w:sz w:val="14"/>
                <w:szCs w:val="14"/>
                <w:color w:val="auto"/>
              </w:rPr>
              <w:t>Accrued compensation and related benefits consisted of the following as of December 31, 2021 and 2020 (in thousands):</w:t>
            </w:r>
          </w:p>
        </w:tc>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3"/>
              </w:rPr>
              <w:t>Year Ended December 31,</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incentive compensation</w:t>
            </w: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7,842</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Accrued vacation</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3,388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taxes and other</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Accrued compensation and related benefits</w:t>
            </w: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4,920</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5700"/>
              <w:spacing w:after="0"/>
              <w:rPr>
                <w:sz w:val="20"/>
                <w:szCs w:val="20"/>
                <w:color w:val="auto"/>
              </w:rPr>
            </w:pPr>
            <w:r>
              <w:rPr>
                <w:rFonts w:ascii="Arial" w:cs="Arial" w:eastAsia="Arial" w:hAnsi="Arial"/>
                <w:sz w:val="14"/>
                <w:szCs w:val="14"/>
                <w:color w:val="auto"/>
              </w:rPr>
              <w:t>93</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8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auto"/>
        </w:rPr>
        <w:t>Warranties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Activity for our warranty accrual for the years ended December 31, 2021 and 2020, which is included in other accrued liabilities, is summarized below (in thousands):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40" w:type="dxa"/>
            <w:vAlign w:val="bottom"/>
            <w:tcBorders>
              <w:bottom w:val="single" w:sz="8" w:color="auto"/>
            </w:tcBorders>
          </w:tcPr>
          <w:p>
            <w:pPr>
              <w:spacing w:after="0"/>
              <w:rPr>
                <w:sz w:val="13"/>
                <w:szCs w:val="13"/>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w w:val="89"/>
              </w:rPr>
              <w:t>2020</w:t>
            </w: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Accrual for current period warranties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1,028</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costs incurred</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9. Debt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2014 Senior Convertible Notes (2014 Notes)</w:t>
      </w:r>
    </w:p>
    <w:p>
      <w:pPr>
        <w:spacing w:after="0" w:line="125" w:lineRule="exact"/>
        <w:rPr>
          <w:sz w:val="20"/>
          <w:szCs w:val="20"/>
          <w:color w:val="auto"/>
        </w:rPr>
      </w:pPr>
    </w:p>
    <w:p>
      <w:pPr>
        <w:ind w:left="60" w:firstLine="254"/>
        <w:spacing w:after="0" w:line="284" w:lineRule="auto"/>
        <w:rPr>
          <w:sz w:val="20"/>
          <w:szCs w:val="20"/>
          <w:color w:val="auto"/>
        </w:rPr>
      </w:pPr>
      <w:r>
        <w:rPr>
          <w:rFonts w:ascii="Arial" w:cs="Arial" w:eastAsia="Arial" w:hAnsi="Arial"/>
          <w:sz w:val="13"/>
          <w:szCs w:val="13"/>
          <w:color w:val="auto"/>
        </w:rPr>
        <w:t>In February 2014, we closed an underwritten public offering of $201.3 million aggregate principal amount of our 2014 Notes. We received $195.2 million, net of underwriting discounts, from the issuance of the 2014 Notes and incurred approximately $1.1 million in offering-related expenses. The underwriting discount and offering-related expenses are being amortized to interest expense using the effective-interest rate method. The effective interest rate on the 2014 Notes, reflecting the impact of debt discounts and issuance costs, is approximately 3.0%. The 2014 Notes will mature on February 1, 2034, unless earlier converted, redeemed, or repurchased in accordance with the terms of the 2014 Notes. Holders may require us to repurchase all or a portion of their 2014 Notes on each of February 6, 2021, February 6, 2024, and February 6, 2029, at a repurchase price in cash equal to 100% of the principal amount of the 2014 Notes plus accrued and unpaid interest.</w:t>
      </w:r>
    </w:p>
    <w:p>
      <w:pPr>
        <w:spacing w:after="0" w:line="79" w:lineRule="exact"/>
        <w:rPr>
          <w:sz w:val="20"/>
          <w:szCs w:val="20"/>
          <w:color w:val="auto"/>
        </w:rPr>
      </w:pPr>
    </w:p>
    <w:p>
      <w:pPr>
        <w:ind w:left="60" w:firstLine="254"/>
        <w:spacing w:after="0" w:line="261" w:lineRule="auto"/>
        <w:rPr>
          <w:sz w:val="20"/>
          <w:szCs w:val="20"/>
          <w:color w:val="auto"/>
        </w:rPr>
      </w:pPr>
      <w:r>
        <w:rPr>
          <w:rFonts w:ascii="Arial" w:cs="Arial" w:eastAsia="Arial" w:hAnsi="Arial"/>
          <w:sz w:val="14"/>
          <w:szCs w:val="14"/>
          <w:color w:val="auto"/>
        </w:rPr>
        <w:t>We have retired the majority of the 2014 Notes through the issuance of the 2018 Notes and 2019 Notes, as discussed below. As provided by the indenture governing the 2014 Notes, in February 2021, holders of $0.5 million of the 2014 Notes required us to repurchase their notes at 100% of the principal amount plus accrued and unpaid interest. We recorded a loss of $9 thousand on the extinguishment of those notes, representing the difference between the price paid to extinguish the 2014 Notes and their carrying value, including unamortized debt issuance costs. As of December 31, 2021, there was $0.6 million aggregate principal of the 2014 Notes outstanding.</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2018 Senior Convertible Notes (2018 Notes)</w:t>
      </w:r>
    </w:p>
    <w:p>
      <w:pPr>
        <w:spacing w:after="0" w:line="114" w:lineRule="exact"/>
        <w:rPr>
          <w:sz w:val="20"/>
          <w:szCs w:val="20"/>
          <w:color w:val="auto"/>
        </w:rPr>
      </w:pPr>
    </w:p>
    <w:p>
      <w:pPr>
        <w:ind w:left="60" w:right="120" w:firstLine="254"/>
        <w:spacing w:after="0" w:line="258" w:lineRule="auto"/>
        <w:rPr>
          <w:sz w:val="20"/>
          <w:szCs w:val="20"/>
          <w:color w:val="auto"/>
        </w:rPr>
      </w:pPr>
      <w:r>
        <w:rPr>
          <w:rFonts w:ascii="Arial" w:cs="Arial" w:eastAsia="Arial" w:hAnsi="Arial"/>
          <w:sz w:val="14"/>
          <w:szCs w:val="14"/>
          <w:color w:val="auto"/>
        </w:rPr>
        <w:t>In March 2018, we entered into separate privately negotiated transactions with certain holders of our 2014 Notes to exchange $150.0 million in aggregate principal amount of the 2014 Notes for 2018 Notes, leaving $51.3 million of aggregate principal amount of 2014 Notes outstanding. The 2018 Notes accrued interest at a rate of 2.75%, payable semi-annually. The 2018 Notes were scheduled to mature on February 1, 2034, unless earlier converted, redeemed, or repurchased in accordance with the terms of the indenture governing the 2018 Notes. In the first quarter of 2019, $150.0 million of the 2018 Notes were converted into 19.5 million shares of our common stock and the notes were retired. We recognized a loss of $9.0 million on the conversion of 2018 Notes, which was included in loss on extinguishment of debt in 2019. This amount represents the difference between the fair value of the bonds converted and the carrying value of the bonds at the time of conversion.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2019 Senior Convertible Notes (2019 Notes)</w:t>
      </w:r>
    </w:p>
    <w:p>
      <w:pPr>
        <w:spacing w:after="0" w:line="125" w:lineRule="exact"/>
        <w:rPr>
          <w:sz w:val="20"/>
          <w:szCs w:val="20"/>
          <w:color w:val="auto"/>
        </w:rPr>
      </w:pPr>
    </w:p>
    <w:p>
      <w:pPr>
        <w:ind w:left="60" w:right="40" w:firstLine="254"/>
        <w:spacing w:after="0" w:line="261" w:lineRule="auto"/>
        <w:rPr>
          <w:sz w:val="20"/>
          <w:szCs w:val="20"/>
          <w:color w:val="auto"/>
        </w:rPr>
      </w:pPr>
      <w:r>
        <w:rPr>
          <w:rFonts w:ascii="Arial" w:cs="Arial" w:eastAsia="Arial" w:hAnsi="Arial"/>
          <w:sz w:val="14"/>
          <w:szCs w:val="14"/>
          <w:color w:val="auto"/>
        </w:rPr>
        <w:t>In November 2019, we issued $55.0 million aggregate principal amount of 2019 Notes. Net proceeds of the 2019 Notes issuance were $52.7 million, after deductions for commissions and other debt issuance costs. $51.8 million of the proceeds of the 2019 Notes were used to retire $50.2 million aggregate principal amount of our 2014 Notes. We recognized a loss of $3.0 million on the exchange of the 2014 Notes for the 2019 Notes. The loss on extinguishment of debt was calculated as the difference between the reacquisition price (i.e., the fair value of the principal amount of 2019 Notes) and the net carrying value of the 2014 Notes exchanged.</w:t>
      </w:r>
    </w:p>
    <w:p>
      <w:pPr>
        <w:spacing w:after="0" w:line="94" w:lineRule="exact"/>
        <w:rPr>
          <w:sz w:val="20"/>
          <w:szCs w:val="20"/>
          <w:color w:val="auto"/>
        </w:rPr>
      </w:pPr>
    </w:p>
    <w:p>
      <w:pPr>
        <w:ind w:left="60" w:right="140" w:firstLine="254"/>
        <w:spacing w:after="0" w:line="288" w:lineRule="auto"/>
        <w:rPr>
          <w:sz w:val="20"/>
          <w:szCs w:val="20"/>
          <w:color w:val="auto"/>
        </w:rPr>
      </w:pPr>
      <w:r>
        <w:rPr>
          <w:rFonts w:ascii="Arial" w:cs="Arial" w:eastAsia="Arial" w:hAnsi="Arial"/>
          <w:sz w:val="13"/>
          <w:szCs w:val="13"/>
          <w:color w:val="auto"/>
        </w:rPr>
        <w:t>The 2019 Notes bear interest at 5.25% per annum, payable semiannually on June 1 and December 1 of each year, beginning on June 1, 2020.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is subject to adjustment upon the occurrence of certain specified events.</w:t>
      </w: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120650</wp:posOffset>
            </wp:positionV>
            <wp:extent cx="71875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40"/>
          </w:cols>
          <w:pgMar w:left="240" w:top="1141" w:right="319" w:bottom="1440" w:gutter="0" w:footer="0" w:header="0"/>
        </w:sectPr>
      </w:pPr>
    </w:p>
    <w:bookmarkStart w:id="97" w:name="page98"/>
    <w:bookmarkEnd w:id="97"/>
    <w:p>
      <w:pPr>
        <w:ind w:right="100"/>
        <w:spacing w:after="0" w:line="266" w:lineRule="auto"/>
        <w:rPr>
          <w:sz w:val="20"/>
          <w:szCs w:val="20"/>
          <w:color w:val="auto"/>
        </w:rPr>
      </w:pPr>
      <w:r>
        <w:rPr>
          <w:rFonts w:ascii="Arial" w:cs="Arial" w:eastAsia="Arial" w:hAnsi="Arial"/>
          <w:sz w:val="14"/>
          <w:szCs w:val="14"/>
          <w:color w:val="auto"/>
        </w:rPr>
        <w:t>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79" w:lineRule="exact"/>
        <w:rPr>
          <w:sz w:val="20"/>
          <w:szCs w:val="20"/>
          <w:color w:val="auto"/>
        </w:rPr>
      </w:pPr>
    </w:p>
    <w:p>
      <w:pPr>
        <w:jc w:val="both"/>
        <w:ind w:firstLine="254"/>
        <w:spacing w:after="0" w:line="259" w:lineRule="auto"/>
        <w:rPr>
          <w:sz w:val="20"/>
          <w:szCs w:val="20"/>
          <w:color w:val="auto"/>
        </w:rPr>
      </w:pPr>
      <w:r>
        <w:rPr>
          <w:rFonts w:ascii="Arial" w:cs="Arial" w:eastAsia="Arial" w:hAnsi="Arial"/>
          <w:sz w:val="14"/>
          <w:szCs w:val="14"/>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then in effect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w:t>
      </w:r>
    </w:p>
    <w:p>
      <w:pPr>
        <w:spacing w:after="0" w:line="95" w:lineRule="exact"/>
        <w:rPr>
          <w:sz w:val="20"/>
          <w:szCs w:val="20"/>
          <w:color w:val="auto"/>
        </w:rPr>
      </w:pPr>
    </w:p>
    <w:p>
      <w:pPr>
        <w:ind w:right="100" w:firstLine="254"/>
        <w:spacing w:after="0" w:line="320" w:lineRule="auto"/>
        <w:rPr>
          <w:sz w:val="20"/>
          <w:szCs w:val="20"/>
          <w:color w:val="auto"/>
        </w:rPr>
      </w:pPr>
      <w:r>
        <w:rPr>
          <w:rFonts w:ascii="Arial" w:cs="Arial" w:eastAsia="Arial" w:hAnsi="Arial"/>
          <w:sz w:val="13"/>
          <w:szCs w:val="13"/>
          <w:color w:val="auto"/>
        </w:rPr>
        <w:t>Offering-related costs for the 2019 Notes were capitalized as debt issuance costs and are recorded as an offset to the carrying value of the 2019 Notes. The debt issuance costs are amortized over the expected term of the 2019 Notes using the effective interest method through the maturity date of December 1, 2024. The effective rate on the 2019 Notes is 6.2%.</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carrying values of the components of the 2014 Notes and 2019 Notes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r>
      <w:tr>
        <w:trPr>
          <w:trHeight w:val="161"/>
        </w:trPr>
        <w:tc>
          <w:tcPr>
            <w:tcW w:w="8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2.75% 2014 Notes due 2034</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Principal amount</w:t>
            </w:r>
          </w:p>
        </w:tc>
        <w:tc>
          <w:tcPr>
            <w:tcW w:w="920" w:type="dxa"/>
            <w:vAlign w:val="bottom"/>
          </w:tcPr>
          <w:p>
            <w:pPr>
              <w:jc w:val="right"/>
              <w:ind w:right="75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1,079</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debt discount</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Unamortized debt issuance cost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carrying value of 2014 Notes</w:t>
            </w:r>
          </w:p>
        </w:tc>
        <w:tc>
          <w:tcPr>
            <w:tcW w:w="92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r>
      <w:tr>
        <w:trPr>
          <w:trHeight w:val="212"/>
        </w:trPr>
        <w:tc>
          <w:tcPr>
            <w:tcW w:w="8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0"/>
        </w:trPr>
        <w:tc>
          <w:tcPr>
            <w:tcW w:w="8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5.25% 2019 Notes due 2024</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Principal amount</w:t>
            </w:r>
          </w:p>
        </w:tc>
        <w:tc>
          <w:tcPr>
            <w:tcW w:w="920" w:type="dxa"/>
            <w:vAlign w:val="bottom"/>
          </w:tcPr>
          <w:p>
            <w:pPr>
              <w:jc w:val="right"/>
              <w:ind w:right="75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55,000</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debt issuance cost</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w:t>
            </w:r>
          </w:p>
        </w:tc>
      </w:tr>
      <w:tr>
        <w:trPr>
          <w:trHeight w:val="17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carrying value of 2019 Notes</w:t>
            </w:r>
          </w:p>
        </w:tc>
        <w:tc>
          <w:tcPr>
            <w:tcW w:w="9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53,165</w:t>
            </w: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carrying value of all Notes</w:t>
            </w: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54,160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Revolving Credit Facility and Term Loan, net</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August 2, 2018, we entered into a revolving credit facility with Silicon Valley Bank (as amended, the Revolving Credit Facility) in an aggregate principal amount of up to the lesser of (i)</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$15.0 million (Maximum Amount) or (ii) the sum of (a) 85% of our eligible receivables and (b) 50% of our eligible inventory, in each case, subject to certain limitations (Borrowing Base), provided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that the amount of eligible inventory that may be counted towards the Borrowing Base shall be subject to a cap as set forth in the Revolving Credit Facility.</w:t>
      </w:r>
    </w:p>
    <w:p>
      <w:pPr>
        <w:spacing w:after="0" w:line="115" w:lineRule="exact"/>
        <w:rPr>
          <w:sz w:val="20"/>
          <w:szCs w:val="20"/>
          <w:color w:val="auto"/>
        </w:rPr>
      </w:pPr>
    </w:p>
    <w:p>
      <w:pPr>
        <w:ind w:right="160" w:firstLine="254"/>
        <w:spacing w:after="0" w:line="259" w:lineRule="auto"/>
        <w:rPr>
          <w:sz w:val="20"/>
          <w:szCs w:val="20"/>
          <w:color w:val="auto"/>
        </w:rPr>
      </w:pPr>
      <w:r>
        <w:rPr>
          <w:rFonts w:ascii="Arial" w:cs="Arial" w:eastAsia="Arial" w:hAnsi="Arial"/>
          <w:sz w:val="14"/>
          <w:szCs w:val="14"/>
          <w:color w:val="auto"/>
        </w:rPr>
        <w:t>On August 2, 2021, we amended our Revolving Credit Facility to extend the maturity date to August 2, 2023 and to provide for a new $10.0 million Term Loan Facility (the Term Loan Facility and, together with the Revolving Credit Facility, the Credit Facility). The stated maturity of the Term Loan Facility is July 1, 2025. However, if the principal amount of our convertible debt exceeds $0.6 million as of June 1, 2024 or if the maturity date of our 2019 Notes has not been extended beyond January 1, 2026 by June 1, 2024, then the maturity of the Term Loan Facility will be June 1, 2024. The Credit Facility is collateralized by substantially all our property, other than intellectual property. The Credit Facility also includes a financial covenant that requires us to maintain a minimum Adjusted Quick Ratio, as defined in the agreement, of at least 1.25 to 1.00.</w:t>
      </w:r>
    </w:p>
    <w:p>
      <w:pPr>
        <w:spacing w:after="0" w:line="84"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The interest rate on advances made under the Revolving Credit Facility is the greater of (i) prime rate plus 0.50% or (ii) 5.25%. Interest on any outstanding advances is due and payable monthly and the principal balance is due at maturity though loans can be prepaid at any time without penalty. Fees for Revolving Credit Facility include an annual commitment fee of $112,500 and a quarterly unused line fee based on the Borrowing Base. As of December 31, 2021, the Borrowing Base of the Revolving Credit Facility was $9.4 million, of which we had borrowed $6.8 million, leaving $2.5 million available.</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98" w:name="page99"/>
    <w:bookmarkEnd w:id="98"/>
    <w:p>
      <w:pPr>
        <w:ind w:right="280" w:firstLine="254"/>
        <w:spacing w:after="0" w:line="259" w:lineRule="auto"/>
        <w:rPr>
          <w:sz w:val="20"/>
          <w:szCs w:val="20"/>
          <w:color w:val="auto"/>
        </w:rPr>
      </w:pPr>
      <w:r>
        <w:rPr>
          <w:rFonts w:ascii="Arial" w:cs="Arial" w:eastAsia="Arial" w:hAnsi="Arial"/>
          <w:sz w:val="14"/>
          <w:szCs w:val="14"/>
          <w:color w:val="auto"/>
        </w:rPr>
        <w:t>As of December 31, 2021 the Term Loan Facility was fully drawn. The interest rate on the Term Loan Facility is the greater of 4% or a floating per annum rate equal to three quarters of one percentage points (0.75%) above the prime rate. Interest on any outstanding term loan advances is due and payable monthly. In addition to the monthly interest payments, a final payment equal to 6.5% of the original principal amount of each advance is due on the earlier of the maturity date or the date the advance is repaid. Principal balances are required to be repaid in twenty-four equal installments beginning on August 1, 2023. The effective interest rate on the Term Loan Facility, reflecting the impact of debt issuance costs, the end-of-term fee and expected timing of principal repayment was 6.3% as of December 31, 2021.</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carrying values of our term loan and advances under the Credit Facility, and the maximum amount available under the Credit Facility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r>
      <w:tr>
        <w:trPr>
          <w:trHeight w:val="161"/>
        </w:trPr>
        <w:tc>
          <w:tcPr>
            <w:tcW w:w="8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Term Loan</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Principal amount</w:t>
            </w:r>
          </w:p>
        </w:tc>
        <w:tc>
          <w:tcPr>
            <w:tcW w:w="920" w:type="dxa"/>
            <w:vAlign w:val="bottom"/>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 of term fee accretion</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Unamortized debt issuance cost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carrying value of term loan</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8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Credit Facility</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Borrowing Base</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$9,368</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7"/>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Carrying value of advances under revolving credit agreement</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Leases</w:t>
      </w:r>
    </w:p>
    <w:p>
      <w:pPr>
        <w:spacing w:after="0" w:line="140" w:lineRule="exact"/>
        <w:rPr>
          <w:sz w:val="20"/>
          <w:szCs w:val="20"/>
          <w:color w:val="auto"/>
        </w:rPr>
      </w:pPr>
    </w:p>
    <w:p>
      <w:pPr>
        <w:jc w:val="both"/>
        <w:ind w:right="40" w:firstLine="254"/>
        <w:spacing w:after="0" w:line="280" w:lineRule="auto"/>
        <w:rPr>
          <w:sz w:val="20"/>
          <w:szCs w:val="20"/>
          <w:color w:val="auto"/>
        </w:rPr>
      </w:pPr>
      <w:r>
        <w:rPr>
          <w:rFonts w:ascii="Arial" w:cs="Arial" w:eastAsia="Arial" w:hAnsi="Arial"/>
          <w:sz w:val="14"/>
          <w:szCs w:val="14"/>
          <w:color w:val="auto"/>
        </w:rPr>
        <w:t>We have operating leases for buildings, equipment and vehicles. Existing leases have remaining terms of less than one year to eight years. Some leases contain options to extend the lease, usually for up to five years, and termination options.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Supplemental balance sheet information related to leases was as follows as of December 31, 2021 and 2020 (in thousands, except for discount rate and lease term):</w:t>
      </w: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51"/>
        </w:trPr>
        <w:tc>
          <w:tcPr>
            <w:tcW w:w="320" w:type="dxa"/>
            <w:vAlign w:val="bottom"/>
          </w:tcPr>
          <w:p>
            <w:pPr>
              <w:spacing w:after="0"/>
              <w:rPr>
                <w:sz w:val="13"/>
                <w:szCs w:val="13"/>
                <w:color w:val="auto"/>
              </w:rPr>
            </w:pPr>
          </w:p>
        </w:tc>
        <w:tc>
          <w:tcPr>
            <w:tcW w:w="7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1"/>
                <w:szCs w:val="11"/>
                <w:b w:val="1"/>
                <w:bCs w:val="1"/>
                <w:color w:val="auto"/>
                <w:w w:val="94"/>
              </w:rPr>
              <w:t>December 31, 2021</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320"/>
              <w:spacing w:after="0"/>
              <w:rPr>
                <w:sz w:val="20"/>
                <w:szCs w:val="20"/>
                <w:color w:val="auto"/>
              </w:rPr>
            </w:pPr>
            <w:r>
              <w:rPr>
                <w:rFonts w:ascii="Arial" w:cs="Arial" w:eastAsia="Arial" w:hAnsi="Arial"/>
                <w:sz w:val="11"/>
                <w:szCs w:val="11"/>
                <w:b w:val="1"/>
                <w:bCs w:val="1"/>
                <w:color w:val="auto"/>
              </w:rPr>
              <w:t>December 31, 2020</w:t>
            </w:r>
          </w:p>
        </w:tc>
        <w:tc>
          <w:tcPr>
            <w:tcW w:w="0" w:type="dxa"/>
            <w:vAlign w:val="bottom"/>
          </w:tcPr>
          <w:p>
            <w:pPr>
              <w:spacing w:after="0"/>
              <w:rPr>
                <w:sz w:val="1"/>
                <w:szCs w:val="1"/>
                <w:color w:val="auto"/>
              </w:rPr>
            </w:pPr>
          </w:p>
        </w:tc>
      </w:tr>
      <w:tr>
        <w:trPr>
          <w:trHeight w:val="175"/>
        </w:trPr>
        <w:tc>
          <w:tcPr>
            <w:tcW w:w="320" w:type="dxa"/>
            <w:vAlign w:val="bottom"/>
            <w:tcBorders>
              <w:right w:val="single" w:sz="8" w:color="CCEEFF"/>
            </w:tcBorders>
          </w:tcPr>
          <w:p>
            <w:pPr>
              <w:spacing w:after="0"/>
              <w:rPr>
                <w:sz w:val="15"/>
                <w:szCs w:val="15"/>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right-of-use buildings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43,457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35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41,13</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260" w:type="dxa"/>
            <w:vAlign w:val="bottom"/>
          </w:tcPr>
          <w:p>
            <w:pPr>
              <w:ind w:left="200"/>
              <w:spacing w:after="0"/>
              <w:rPr>
                <w:sz w:val="20"/>
                <w:szCs w:val="20"/>
                <w:color w:val="auto"/>
              </w:rPr>
            </w:pPr>
            <w:r>
              <w:rPr>
                <w:rFonts w:ascii="Arial" w:cs="Arial" w:eastAsia="Arial" w:hAnsi="Arial"/>
                <w:sz w:val="14"/>
                <w:szCs w:val="14"/>
                <w:color w:val="auto"/>
              </w:rPr>
              <w:t>Operating lease right-of-use equipment</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320" w:type="dxa"/>
            <w:vAlign w:val="bottom"/>
            <w:tcBorders>
              <w:right w:val="single" w:sz="8" w:color="CCEEFF"/>
            </w:tcBorders>
          </w:tcPr>
          <w:p>
            <w:pPr>
              <w:spacing w:after="0"/>
              <w:rPr>
                <w:sz w:val="15"/>
                <w:szCs w:val="15"/>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right-of-use vehicles</w:t>
            </w:r>
          </w:p>
        </w:tc>
        <w:tc>
          <w:tcPr>
            <w:tcW w:w="3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7260" w:type="dxa"/>
            <w:vAlign w:val="bottom"/>
          </w:tcPr>
          <w:p>
            <w:pPr>
              <w:ind w:left="200"/>
              <w:spacing w:after="0"/>
              <w:rPr>
                <w:sz w:val="20"/>
                <w:szCs w:val="20"/>
                <w:color w:val="auto"/>
              </w:rPr>
            </w:pPr>
            <w:r>
              <w:rPr>
                <w:rFonts w:ascii="Arial" w:cs="Arial" w:eastAsia="Arial" w:hAnsi="Arial"/>
                <w:sz w:val="14"/>
                <w:szCs w:val="14"/>
                <w:color w:val="auto"/>
              </w:rPr>
              <w:t>Total operating lease right-of-use assets, gross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2"/>
          </w:tcPr>
          <w:p>
            <w:pPr>
              <w:jc w:val="right"/>
              <w:ind w:right="29"/>
              <w:spacing w:after="0"/>
              <w:rPr>
                <w:sz w:val="20"/>
                <w:szCs w:val="20"/>
                <w:color w:val="auto"/>
              </w:rPr>
            </w:pPr>
            <w:r>
              <w:rPr>
                <w:rFonts w:ascii="Arial" w:cs="Arial" w:eastAsia="Arial" w:hAnsi="Arial"/>
                <w:sz w:val="14"/>
                <w:szCs w:val="14"/>
                <w:color w:val="auto"/>
              </w:rPr>
              <w:t>44,217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41,90</w:t>
            </w:r>
          </w:p>
        </w:tc>
        <w:tc>
          <w:tcPr>
            <w:tcW w:w="0" w:type="dxa"/>
            <w:vAlign w:val="bottom"/>
          </w:tcPr>
          <w:p>
            <w:pPr>
              <w:spacing w:after="0"/>
              <w:rPr>
                <w:sz w:val="1"/>
                <w:szCs w:val="1"/>
                <w:color w:val="auto"/>
              </w:rPr>
            </w:pPr>
          </w:p>
        </w:tc>
      </w:tr>
      <w:tr>
        <w:trPr>
          <w:trHeight w:val="180"/>
        </w:trPr>
        <w:tc>
          <w:tcPr>
            <w:tcW w:w="320" w:type="dxa"/>
            <w:vAlign w:val="bottom"/>
            <w:tcBorders>
              <w:right w:val="single" w:sz="8" w:color="CCEEFF"/>
            </w:tcBorders>
          </w:tcPr>
          <w:p>
            <w:pPr>
              <w:spacing w:after="0"/>
              <w:rPr>
                <w:sz w:val="15"/>
                <w:szCs w:val="15"/>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Accumulated amortization</w:t>
            </w:r>
          </w:p>
        </w:tc>
        <w:tc>
          <w:tcPr>
            <w:tcW w:w="3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(7,098)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260" w:type="dxa"/>
            <w:vAlign w:val="bottom"/>
          </w:tcPr>
          <w:p>
            <w:pPr>
              <w:ind w:left="200"/>
              <w:spacing w:after="0"/>
              <w:rPr>
                <w:sz w:val="20"/>
                <w:szCs w:val="20"/>
                <w:color w:val="auto"/>
              </w:rPr>
            </w:pPr>
            <w:r>
              <w:rPr>
                <w:rFonts w:ascii="Arial" w:cs="Arial" w:eastAsia="Arial" w:hAnsi="Arial"/>
                <w:sz w:val="14"/>
                <w:szCs w:val="14"/>
                <w:color w:val="auto"/>
              </w:rPr>
              <w:t>Total operating lease right-of-use assets, net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37,119</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38,11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20" w:type="dxa"/>
            <w:vAlign w:val="bottom"/>
            <w:tcBorders>
              <w:right w:val="single" w:sz="8" w:color="CCEEFF"/>
            </w:tcBorders>
          </w:tcPr>
          <w:p>
            <w:pPr>
              <w:spacing w:after="0"/>
              <w:rPr>
                <w:sz w:val="15"/>
                <w:szCs w:val="15"/>
                <w:color w:val="auto"/>
              </w:rPr>
            </w:pPr>
          </w:p>
        </w:tc>
        <w:tc>
          <w:tcPr>
            <w:tcW w:w="7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260" w:type="dxa"/>
            <w:vAlign w:val="bottom"/>
          </w:tcPr>
          <w:p>
            <w:pPr>
              <w:ind w:left="200"/>
              <w:spacing w:after="0"/>
              <w:rPr>
                <w:sz w:val="20"/>
                <w:szCs w:val="20"/>
                <w:color w:val="auto"/>
              </w:rPr>
            </w:pPr>
            <w:r>
              <w:rPr>
                <w:rFonts w:ascii="Arial" w:cs="Arial" w:eastAsia="Arial" w:hAnsi="Arial"/>
                <w:sz w:val="14"/>
                <w:szCs w:val="14"/>
                <w:color w:val="auto"/>
              </w:rPr>
              <w:t>Operating lease liabilities, current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ind w:right="29"/>
              <w:spacing w:after="0"/>
              <w:rPr>
                <w:sz w:val="20"/>
                <w:szCs w:val="20"/>
                <w:color w:val="auto"/>
              </w:rPr>
            </w:pPr>
            <w:r>
              <w:rPr>
                <w:rFonts w:ascii="Arial" w:cs="Arial" w:eastAsia="Arial" w:hAnsi="Arial"/>
                <w:sz w:val="14"/>
                <w:szCs w:val="14"/>
                <w:color w:val="auto"/>
                <w:w w:val="85"/>
              </w:rPr>
              <w:t>3,053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gridSpan w:val="3"/>
          </w:tcPr>
          <w:p>
            <w:pPr>
              <w:jc w:val="right"/>
              <w:ind w:right="35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80"/>
        </w:trPr>
        <w:tc>
          <w:tcPr>
            <w:tcW w:w="320" w:type="dxa"/>
            <w:vAlign w:val="bottom"/>
            <w:tcBorders>
              <w:right w:val="single" w:sz="8" w:color="CCEEFF"/>
            </w:tcBorders>
          </w:tcPr>
          <w:p>
            <w:pPr>
              <w:spacing w:after="0"/>
              <w:rPr>
                <w:sz w:val="15"/>
                <w:szCs w:val="15"/>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liabilities, non-current</w:t>
            </w:r>
          </w:p>
        </w:tc>
        <w:tc>
          <w:tcPr>
            <w:tcW w:w="3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37,548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260" w:type="dxa"/>
            <w:vAlign w:val="bottom"/>
          </w:tcPr>
          <w:p>
            <w:pPr>
              <w:ind w:left="200"/>
              <w:spacing w:after="0"/>
              <w:rPr>
                <w:sz w:val="20"/>
                <w:szCs w:val="20"/>
                <w:color w:val="auto"/>
              </w:rPr>
            </w:pPr>
            <w:r>
              <w:rPr>
                <w:rFonts w:ascii="Arial" w:cs="Arial" w:eastAsia="Arial" w:hAnsi="Arial"/>
                <w:sz w:val="14"/>
                <w:szCs w:val="14"/>
                <w:color w:val="auto"/>
              </w:rPr>
              <w:t>Total operating lease liabilities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40,601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41,15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20" w:type="dxa"/>
            <w:vAlign w:val="bottom"/>
            <w:tcBorders>
              <w:right w:val="single" w:sz="8" w:color="CCEEFF"/>
            </w:tcBorders>
          </w:tcPr>
          <w:p>
            <w:pPr>
              <w:spacing w:after="0"/>
              <w:rPr>
                <w:sz w:val="15"/>
                <w:szCs w:val="15"/>
                <w:color w:val="auto"/>
              </w:rPr>
            </w:pPr>
          </w:p>
        </w:tc>
        <w:tc>
          <w:tcPr>
            <w:tcW w:w="7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260" w:type="dxa"/>
            <w:vAlign w:val="bottom"/>
          </w:tcPr>
          <w:p>
            <w:pPr>
              <w:ind w:left="200"/>
              <w:spacing w:after="0"/>
              <w:rPr>
                <w:sz w:val="20"/>
                <w:szCs w:val="20"/>
                <w:color w:val="auto"/>
              </w:rPr>
            </w:pPr>
            <w:r>
              <w:rPr>
                <w:rFonts w:ascii="Arial" w:cs="Arial" w:eastAsia="Arial" w:hAnsi="Arial"/>
                <w:sz w:val="14"/>
                <w:szCs w:val="14"/>
                <w:color w:val="auto"/>
              </w:rPr>
              <w:t>Weighted average remaining lease term (in years)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4"/>
                <w:szCs w:val="14"/>
                <w:color w:val="auto"/>
              </w:rPr>
              <w:t>7.7 years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8.6 ye</w:t>
            </w:r>
          </w:p>
        </w:tc>
        <w:tc>
          <w:tcPr>
            <w:tcW w:w="0" w:type="dxa"/>
            <w:vAlign w:val="bottom"/>
          </w:tcPr>
          <w:p>
            <w:pPr>
              <w:spacing w:after="0"/>
              <w:rPr>
                <w:sz w:val="1"/>
                <w:szCs w:val="1"/>
                <w:color w:val="auto"/>
              </w:rPr>
            </w:pPr>
          </w:p>
        </w:tc>
      </w:tr>
      <w:tr>
        <w:trPr>
          <w:trHeight w:val="180"/>
        </w:trPr>
        <w:tc>
          <w:tcPr>
            <w:tcW w:w="320" w:type="dxa"/>
            <w:vAlign w:val="bottom"/>
            <w:tcBorders>
              <w:right w:val="single" w:sz="8" w:color="CCEEFF"/>
            </w:tcBorders>
          </w:tcPr>
          <w:p>
            <w:pPr>
              <w:spacing w:after="0"/>
              <w:rPr>
                <w:sz w:val="15"/>
                <w:szCs w:val="15"/>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Weighted average discount rate per annum</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8180" w:type="dxa"/>
            <w:vAlign w:val="bottom"/>
            <w:gridSpan w:val="5"/>
          </w:tcPr>
          <w:p>
            <w:pPr>
              <w:ind w:left="260"/>
              <w:spacing w:after="0"/>
              <w:rPr>
                <w:sz w:val="20"/>
                <w:szCs w:val="20"/>
                <w:color w:val="auto"/>
              </w:rPr>
            </w:pPr>
            <w:r>
              <w:rPr>
                <w:rFonts w:ascii="Arial" w:cs="Arial" w:eastAsia="Arial" w:hAnsi="Arial"/>
                <w:sz w:val="14"/>
                <w:szCs w:val="14"/>
                <w:color w:val="auto"/>
                <w:w w:val="90"/>
              </w:rPr>
              <w:t>The following table presents the components of lease expense for the year-ended December 31, 2021 and 2020, respectively (in thousands):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72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rPr>
              <w:t>Twelve months ended</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w w:val="90"/>
              </w:rPr>
              <w:t>Twelve months ende</w:t>
            </w:r>
          </w:p>
        </w:tc>
        <w:tc>
          <w:tcPr>
            <w:tcW w:w="0" w:type="dxa"/>
            <w:vAlign w:val="bottom"/>
          </w:tcPr>
          <w:p>
            <w:pPr>
              <w:spacing w:after="0"/>
              <w:rPr>
                <w:sz w:val="1"/>
                <w:szCs w:val="1"/>
                <w:color w:val="auto"/>
              </w:rPr>
            </w:pPr>
          </w:p>
        </w:tc>
      </w:tr>
      <w:tr>
        <w:trPr>
          <w:trHeight w:val="147"/>
        </w:trPr>
        <w:tc>
          <w:tcPr>
            <w:tcW w:w="320" w:type="dxa"/>
            <w:vAlign w:val="bottom"/>
          </w:tcPr>
          <w:p>
            <w:pPr>
              <w:spacing w:after="0"/>
              <w:rPr>
                <w:sz w:val="12"/>
                <w:szCs w:val="12"/>
                <w:color w:val="auto"/>
              </w:rPr>
            </w:pPr>
          </w:p>
        </w:tc>
        <w:tc>
          <w:tcPr>
            <w:tcW w:w="726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1"/>
                <w:szCs w:val="11"/>
                <w:b w:val="1"/>
                <w:bCs w:val="1"/>
                <w:color w:val="auto"/>
              </w:rPr>
              <w:t>December 31, 2021</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December 31, 2020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6"/>
                <w:szCs w:val="16"/>
                <w:color w:val="auto"/>
              </w:rPr>
            </w:pPr>
          </w:p>
        </w:tc>
        <w:tc>
          <w:tcPr>
            <w:tcW w:w="7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Operating lease cost (including variable costs)</w:t>
            </w: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10,918</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7260" w:type="dxa"/>
            <w:vAlign w:val="bottom"/>
          </w:tcPr>
          <w:p>
            <w:pPr>
              <w:ind w:left="340"/>
              <w:spacing w:after="0" w:line="143" w:lineRule="exact"/>
              <w:rPr>
                <w:sz w:val="20"/>
                <w:szCs w:val="20"/>
                <w:color w:val="auto"/>
              </w:rPr>
            </w:pPr>
            <w:r>
              <w:rPr>
                <w:rFonts w:ascii="Arial" w:cs="Arial" w:eastAsia="Arial" w:hAnsi="Arial"/>
                <w:sz w:val="14"/>
                <w:szCs w:val="14"/>
                <w:color w:val="auto"/>
              </w:rPr>
              <w:t>Variable costs including non-lease component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72"/>
              <w:spacing w:after="0" w:line="143"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3"/>
          </w:tcPr>
          <w:p>
            <w:pPr>
              <w:jc w:val="right"/>
              <w:ind w:right="60"/>
              <w:spacing w:after="0" w:line="143" w:lineRule="exact"/>
              <w:rPr>
                <w:sz w:val="20"/>
                <w:szCs w:val="20"/>
                <w:color w:val="auto"/>
              </w:rPr>
            </w:pPr>
            <w:r>
              <w:rPr>
                <w:rFonts w:ascii="Arial" w:cs="Arial" w:eastAsia="Arial" w:hAnsi="Arial"/>
                <w:sz w:val="14"/>
                <w:szCs w:val="14"/>
                <w:color w:val="auto"/>
              </w:rPr>
              <w:t>2,853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320"/>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20" w:type="dxa"/>
            <w:vAlign w:val="bottom"/>
          </w:tcPr>
          <w:p>
            <w:pPr>
              <w:spacing w:after="0"/>
              <w:rPr>
                <w:sz w:val="15"/>
                <w:szCs w:val="15"/>
                <w:color w:val="auto"/>
              </w:rPr>
            </w:pPr>
          </w:p>
        </w:tc>
        <w:tc>
          <w:tcPr>
            <w:tcW w:w="7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260" w:type="dxa"/>
            <w:vAlign w:val="bottom"/>
          </w:tcPr>
          <w:p>
            <w:pPr>
              <w:ind w:left="340"/>
              <w:spacing w:after="0"/>
              <w:rPr>
                <w:sz w:val="20"/>
                <w:szCs w:val="20"/>
                <w:color w:val="auto"/>
              </w:rPr>
            </w:pPr>
            <w:r>
              <w:rPr>
                <w:rFonts w:ascii="Arial" w:cs="Arial" w:eastAsia="Arial" w:hAnsi="Arial"/>
                <w:sz w:val="14"/>
                <w:szCs w:val="14"/>
                <w:b w:val="1"/>
                <w:bCs w:val="1"/>
                <w:color w:val="auto"/>
              </w:rPr>
              <w:t>Supplemental information:</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1"/>
                <w:szCs w:val="11"/>
                <w:color w:val="auto"/>
              </w:rPr>
            </w:pPr>
          </w:p>
        </w:tc>
        <w:tc>
          <w:tcPr>
            <w:tcW w:w="726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w w:val="93"/>
              </w:rPr>
              <w:t>Cash paid for amounts included in the measurement of operating lease liabilities (included in net cash used in operating</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activities)</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260" w:type="dxa"/>
            <w:vAlign w:val="bottom"/>
          </w:tcPr>
          <w:p>
            <w:pPr>
              <w:ind w:left="540"/>
              <w:spacing w:after="0"/>
              <w:rPr>
                <w:sz w:val="20"/>
                <w:szCs w:val="20"/>
                <w:color w:val="auto"/>
              </w:rPr>
            </w:pPr>
            <w:r>
              <w:rPr>
                <w:rFonts w:ascii="Arial" w:cs="Arial" w:eastAsia="Arial" w:hAnsi="Arial"/>
                <w:sz w:val="14"/>
                <w:szCs w:val="14"/>
                <w:color w:val="auto"/>
              </w:rPr>
              <w:t>Operating cash flows from operating leases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7,568</w:t>
            </w:r>
          </w:p>
        </w:tc>
        <w:tc>
          <w:tcPr>
            <w:tcW w:w="52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7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8180" w:type="dxa"/>
            <w:vAlign w:val="bottom"/>
            <w:gridSpan w:val="5"/>
          </w:tcPr>
          <w:p>
            <w:pPr>
              <w:ind w:left="260"/>
              <w:spacing w:after="0"/>
              <w:rPr>
                <w:sz w:val="20"/>
                <w:szCs w:val="20"/>
                <w:color w:val="auto"/>
              </w:rPr>
            </w:pPr>
            <w:r>
              <w:rPr>
                <w:rFonts w:ascii="Arial" w:cs="Arial" w:eastAsia="Arial" w:hAnsi="Arial"/>
                <w:sz w:val="14"/>
                <w:szCs w:val="14"/>
                <w:color w:val="auto"/>
                <w:w w:val="90"/>
              </w:rPr>
              <w:t>Future minimum lease payments under commenced non-cancelable operating leases are as of December 31, 2021 as follows (in thousands):</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Fiscal Year</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3"/>
              </w:rPr>
              <w:t>Minimum Lease Payments</w:t>
            </w:r>
          </w:p>
        </w:tc>
        <w:tc>
          <w:tcPr>
            <w:tcW w:w="0" w:type="dxa"/>
            <w:vAlign w:val="bottom"/>
          </w:tcPr>
          <w:p>
            <w:pPr>
              <w:spacing w:after="0"/>
              <w:rPr>
                <w:sz w:val="1"/>
                <w:szCs w:val="1"/>
                <w:color w:val="auto"/>
              </w:rPr>
            </w:pPr>
          </w:p>
        </w:tc>
      </w:tr>
      <w:tr>
        <w:trPr>
          <w:trHeight w:val="147"/>
        </w:trPr>
        <w:tc>
          <w:tcPr>
            <w:tcW w:w="7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for Operating Leases</w:t>
            </w:r>
          </w:p>
        </w:tc>
        <w:tc>
          <w:tcPr>
            <w:tcW w:w="0" w:type="dxa"/>
            <w:vAlign w:val="bottom"/>
          </w:tcPr>
          <w:p>
            <w:pPr>
              <w:spacing w:after="0"/>
              <w:rPr>
                <w:sz w:val="1"/>
                <w:szCs w:val="1"/>
                <w:color w:val="auto"/>
              </w:rPr>
            </w:pPr>
          </w:p>
        </w:tc>
      </w:tr>
      <w:tr>
        <w:trPr>
          <w:trHeight w:val="171"/>
        </w:trPr>
        <w:tc>
          <w:tcPr>
            <w:tcW w:w="320" w:type="dxa"/>
            <w:vAlign w:val="bottom"/>
            <w:tcBorders>
              <w:top w:val="single" w:sz="8" w:color="auto"/>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3"/>
              </w:rPr>
              <w:t>2022</w:t>
            </w:r>
          </w:p>
        </w:tc>
        <w:tc>
          <w:tcPr>
            <w:tcW w:w="72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gridSpan w:val="3"/>
            <w:shd w:val="clear" w:color="auto" w:fill="CCEEFF"/>
          </w:tcPr>
          <w:p>
            <w:pPr>
              <w:jc w:val="right"/>
              <w:ind w:right="31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ind w:left="20"/>
              <w:spacing w:after="0"/>
              <w:rPr>
                <w:sz w:val="20"/>
                <w:szCs w:val="20"/>
                <w:color w:val="auto"/>
              </w:rPr>
            </w:pPr>
            <w:r>
              <w:rPr>
                <w:rFonts w:ascii="Arial" w:cs="Arial" w:eastAsia="Arial" w:hAnsi="Arial"/>
                <w:sz w:val="14"/>
                <w:szCs w:val="14"/>
                <w:color w:val="auto"/>
                <w:w w:val="83"/>
              </w:rPr>
              <w:t>2023</w:t>
            </w:r>
          </w:p>
        </w:tc>
        <w:tc>
          <w:tcPr>
            <w:tcW w:w="7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3"/>
              </w:rPr>
              <w:t>2024</w:t>
            </w:r>
          </w:p>
        </w:tc>
        <w:tc>
          <w:tcPr>
            <w:tcW w:w="7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ind w:left="20"/>
              <w:spacing w:after="0"/>
              <w:rPr>
                <w:sz w:val="20"/>
                <w:szCs w:val="20"/>
                <w:color w:val="auto"/>
              </w:rPr>
            </w:pPr>
            <w:r>
              <w:rPr>
                <w:rFonts w:ascii="Arial" w:cs="Arial" w:eastAsia="Arial" w:hAnsi="Arial"/>
                <w:sz w:val="14"/>
                <w:szCs w:val="14"/>
                <w:color w:val="auto"/>
                <w:w w:val="83"/>
              </w:rPr>
              <w:t>2025</w:t>
            </w:r>
          </w:p>
        </w:tc>
        <w:tc>
          <w:tcPr>
            <w:tcW w:w="7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3"/>
              </w:rPr>
              <w:t>2026</w:t>
            </w:r>
          </w:p>
        </w:tc>
        <w:tc>
          <w:tcPr>
            <w:tcW w:w="7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future minimum payments</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imputed interest</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jc w:val="right"/>
              <w:ind w:right="31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gridSpan w:val="2"/>
            <w:vMerge w:val="restart"/>
          </w:tcPr>
          <w:p>
            <w:pPr>
              <w:ind w:left="5700"/>
              <w:spacing w:after="0"/>
              <w:rPr>
                <w:sz w:val="20"/>
                <w:szCs w:val="20"/>
                <w:color w:val="auto"/>
              </w:rPr>
            </w:pPr>
            <w:r>
              <w:rPr>
                <w:rFonts w:ascii="Arial" w:cs="Arial" w:eastAsia="Arial" w:hAnsi="Arial"/>
                <w:sz w:val="14"/>
                <w:szCs w:val="14"/>
                <w:color w:val="auto"/>
              </w:rPr>
              <w:t>97</w:t>
            </w: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75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0" w:type="dxa"/>
            <w:vAlign w:val="bottom"/>
            <w:tcBorders>
              <w:bottom w:val="single" w:sz="8" w:color="9A9A9A"/>
            </w:tcBorders>
          </w:tcPr>
          <w:p>
            <w:pPr>
              <w:spacing w:after="0"/>
              <w:rPr>
                <w:sz w:val="16"/>
                <w:szCs w:val="16"/>
                <w:color w:val="auto"/>
              </w:rPr>
            </w:pPr>
          </w:p>
        </w:tc>
        <w:tc>
          <w:tcPr>
            <w:tcW w:w="72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245" w:right="2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color w:val="auto"/>
        </w:rPr>
        <w:t>11. Fair Value of Financial Instruments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tables summarize our cash and available-for-sale securities that were measured at fair value by significant investment category within the fair value hierarchy (in thousands):</w:t>
      </w:r>
    </w:p>
    <w:p>
      <w:pPr>
        <w:sectPr>
          <w:pgSz w:w="11900" w:h="16838" w:orient="portrait"/>
          <w:cols w:equalWidth="0" w:num="1">
            <w:col w:w="11280"/>
          </w:cols>
          <w:pgMar w:left="300" w:top="126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money market funds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Cash-restricted</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2"/>
          <w:szCs w:val="12"/>
          <w:color w:val="auto"/>
        </w:rPr>
        <w:t>Total cash,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money market funds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Cash-restricted</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840"/>
        <w:spacing w:after="0"/>
        <w:rPr>
          <w:sz w:val="20"/>
          <w:szCs w:val="20"/>
          <w:color w:val="auto"/>
        </w:rPr>
      </w:pPr>
      <w:r>
        <w:rPr>
          <w:rFonts w:ascii="Arial" w:cs="Arial" w:eastAsia="Arial" w:hAnsi="Arial"/>
          <w:sz w:val="11"/>
          <w:szCs w:val="11"/>
          <w:b w:val="1"/>
          <w:bCs w:val="1"/>
          <w:color w:val="auto"/>
        </w:rPr>
        <w:t>December 31,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1"/>
                <w:szCs w:val="11"/>
                <w:b w:val="1"/>
                <w:bCs w:val="1"/>
                <w:color w:val="auto"/>
                <w:w w:val="93"/>
              </w:rPr>
              <w:t>Amortized Cost</w:t>
            </w:r>
          </w:p>
        </w:tc>
        <w:tc>
          <w:tcPr>
            <w:tcW w:w="100" w:type="dxa"/>
            <w:vAlign w:val="bottom"/>
            <w:tcBorders>
              <w:top w:val="single" w:sz="8" w:color="auto"/>
            </w:tcBorders>
            <w:vMerge w:val="restart"/>
          </w:tcPr>
          <w:p>
            <w:pPr>
              <w:spacing w:after="0"/>
              <w:rPr>
                <w:sz w:val="9"/>
                <w:szCs w:val="9"/>
                <w:color w:val="auto"/>
              </w:rPr>
            </w:pPr>
          </w:p>
        </w:tc>
        <w:tc>
          <w:tcPr>
            <w:tcW w:w="1080" w:type="dxa"/>
            <w:vAlign w:val="bottom"/>
            <w:tcBorders>
              <w:top w:val="single" w:sz="8" w:color="auto"/>
            </w:tcBorders>
            <w:gridSpan w:val="3"/>
          </w:tcPr>
          <w:p>
            <w:pPr>
              <w:jc w:val="center"/>
              <w:ind w:right="100"/>
              <w:spacing w:after="0" w:line="105" w:lineRule="exact"/>
              <w:rPr>
                <w:sz w:val="20"/>
                <w:szCs w:val="20"/>
                <w:color w:val="auto"/>
              </w:rPr>
            </w:pPr>
            <w:r>
              <w:rPr>
                <w:rFonts w:ascii="Arial" w:cs="Arial" w:eastAsia="Arial" w:hAnsi="Arial"/>
                <w:sz w:val="11"/>
                <w:szCs w:val="11"/>
                <w:b w:val="1"/>
                <w:bCs w:val="1"/>
                <w:color w:val="auto"/>
                <w:w w:val="90"/>
              </w:rPr>
              <w:t>Gross Unrealized</w:t>
            </w: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jc w:val="center"/>
              <w:ind w:right="180"/>
              <w:spacing w:after="0" w:line="105" w:lineRule="exact"/>
              <w:rPr>
                <w:sz w:val="20"/>
                <w:szCs w:val="20"/>
                <w:color w:val="auto"/>
              </w:rPr>
            </w:pPr>
            <w:r>
              <w:rPr>
                <w:rFonts w:ascii="Arial" w:cs="Arial" w:eastAsia="Arial" w:hAnsi="Arial"/>
                <w:sz w:val="11"/>
                <w:szCs w:val="11"/>
                <w:b w:val="1"/>
                <w:bCs w:val="1"/>
                <w:color w:val="auto"/>
                <w:w w:val="92"/>
              </w:rPr>
              <w:t>Gross Unrealized</w:t>
            </w:r>
          </w:p>
        </w:tc>
        <w:tc>
          <w:tcPr>
            <w:tcW w:w="1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1"/>
                <w:szCs w:val="11"/>
                <w:b w:val="1"/>
                <w:bCs w:val="1"/>
                <w:color w:val="auto"/>
              </w:rPr>
              <w:t>Fair Value</w:t>
            </w:r>
          </w:p>
        </w:tc>
        <w:tc>
          <w:tcPr>
            <w:tcW w:w="100" w:type="dxa"/>
            <w:vAlign w:val="bottom"/>
            <w:tcBorders>
              <w:top w:val="single" w:sz="8" w:color="auto"/>
            </w:tcBorders>
            <w:vMerge w:val="restart"/>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0"/>
              </w:rPr>
              <w:t>Cash and Cash</w:t>
            </w: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1"/>
                <w:szCs w:val="11"/>
                <w:b w:val="1"/>
                <w:bCs w:val="1"/>
                <w:color w:val="auto"/>
                <w:w w:val="93"/>
              </w:rPr>
              <w:t>Cash- Restricted</w:t>
            </w:r>
          </w:p>
        </w:tc>
        <w:tc>
          <w:tcPr>
            <w:tcW w:w="0" w:type="dxa"/>
            <w:vAlign w:val="bottom"/>
          </w:tcPr>
          <w:p>
            <w:pPr>
              <w:spacing w:after="0"/>
              <w:rPr>
                <w:sz w:val="1"/>
                <w:szCs w:val="1"/>
                <w:color w:val="auto"/>
              </w:rPr>
            </w:pPr>
          </w:p>
        </w:tc>
      </w:tr>
      <w:tr>
        <w:trPr>
          <w:trHeight w:val="147"/>
        </w:trPr>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w w:val="97"/>
              </w:rPr>
              <w:t>Gain</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1"/>
                <w:szCs w:val="11"/>
                <w:b w:val="1"/>
                <w:bCs w:val="1"/>
                <w:color w:val="auto"/>
                <w:w w:val="90"/>
              </w:rPr>
              <w:t>Equivalents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1"/>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28,451</w:t>
            </w:r>
          </w:p>
        </w:tc>
        <w:tc>
          <w:tcPr>
            <w:tcW w:w="100" w:type="dxa"/>
            <w:vAlign w:val="bottom"/>
          </w:tcPr>
          <w:p>
            <w:pPr>
              <w:spacing w:after="0"/>
              <w:rPr>
                <w:sz w:val="24"/>
                <w:szCs w:val="24"/>
                <w:color w:val="auto"/>
              </w:rPr>
            </w:pPr>
          </w:p>
        </w:tc>
        <w:tc>
          <w:tcPr>
            <w:tcW w:w="220" w:type="dxa"/>
            <w:vAlign w:val="bottom"/>
          </w:tcPr>
          <w:p>
            <w:pPr>
              <w:jc w:val="right"/>
              <w:ind w:right="74"/>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28,451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28,451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71"/>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29,467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29,467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28,451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580"/>
              <w:spacing w:after="0"/>
              <w:rPr>
                <w:sz w:val="20"/>
                <w:szCs w:val="20"/>
                <w:color w:val="auto"/>
              </w:rPr>
            </w:pPr>
            <w:r>
              <w:rPr>
                <w:rFonts w:ascii="Arial" w:cs="Arial" w:eastAsia="Arial" w:hAnsi="Arial"/>
                <w:sz w:val="11"/>
                <w:szCs w:val="11"/>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1"/>
                <w:szCs w:val="11"/>
                <w:b w:val="1"/>
                <w:bCs w:val="1"/>
                <w:color w:val="auto"/>
                <w:w w:val="93"/>
              </w:rPr>
              <w:t>Amortized Cost</w:t>
            </w:r>
          </w:p>
        </w:tc>
        <w:tc>
          <w:tcPr>
            <w:tcW w:w="100" w:type="dxa"/>
            <w:vAlign w:val="bottom"/>
            <w:vMerge w:val="restart"/>
          </w:tcPr>
          <w:p>
            <w:pPr>
              <w:spacing w:after="0"/>
              <w:rPr>
                <w:sz w:val="8"/>
                <w:szCs w:val="8"/>
                <w:color w:val="auto"/>
              </w:rPr>
            </w:pPr>
          </w:p>
        </w:tc>
        <w:tc>
          <w:tcPr>
            <w:tcW w:w="1080" w:type="dxa"/>
            <w:vAlign w:val="bottom"/>
            <w:gridSpan w:val="3"/>
          </w:tcPr>
          <w:p>
            <w:pPr>
              <w:jc w:val="center"/>
              <w:ind w:right="100"/>
              <w:spacing w:after="0" w:line="101" w:lineRule="exact"/>
              <w:rPr>
                <w:sz w:val="20"/>
                <w:szCs w:val="20"/>
                <w:color w:val="auto"/>
              </w:rPr>
            </w:pPr>
            <w:r>
              <w:rPr>
                <w:rFonts w:ascii="Arial" w:cs="Arial" w:eastAsia="Arial" w:hAnsi="Arial"/>
                <w:sz w:val="11"/>
                <w:szCs w:val="11"/>
                <w:b w:val="1"/>
                <w:bCs w:val="1"/>
                <w:color w:val="auto"/>
                <w:w w:val="90"/>
              </w:rPr>
              <w:t>Gross Unrealized</w:t>
            </w:r>
          </w:p>
        </w:tc>
        <w:tc>
          <w:tcPr>
            <w:tcW w:w="80" w:type="dxa"/>
            <w:vAlign w:val="bottom"/>
          </w:tcPr>
          <w:p>
            <w:pPr>
              <w:spacing w:after="0"/>
              <w:rPr>
                <w:sz w:val="8"/>
                <w:szCs w:val="8"/>
                <w:color w:val="auto"/>
              </w:rPr>
            </w:pPr>
          </w:p>
        </w:tc>
        <w:tc>
          <w:tcPr>
            <w:tcW w:w="102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w w:val="92"/>
              </w:rPr>
              <w:t>Gross Unrealized</w:t>
            </w:r>
          </w:p>
        </w:tc>
        <w:tc>
          <w:tcPr>
            <w:tcW w:w="160" w:type="dxa"/>
            <w:vAlign w:val="bottom"/>
          </w:tcPr>
          <w:p>
            <w:pPr>
              <w:spacing w:after="0"/>
              <w:rPr>
                <w:sz w:val="8"/>
                <w:szCs w:val="8"/>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1"/>
                <w:szCs w:val="11"/>
                <w:b w:val="1"/>
                <w:bCs w:val="1"/>
                <w:color w:val="auto"/>
              </w:rPr>
              <w:t>Fair Value</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20"/>
              <w:spacing w:after="0" w:line="101" w:lineRule="exact"/>
              <w:rPr>
                <w:sz w:val="20"/>
                <w:szCs w:val="20"/>
                <w:color w:val="auto"/>
              </w:rPr>
            </w:pPr>
            <w:r>
              <w:rPr>
                <w:rFonts w:ascii="Arial" w:cs="Arial" w:eastAsia="Arial" w:hAnsi="Arial"/>
                <w:sz w:val="11"/>
                <w:szCs w:val="11"/>
                <w:b w:val="1"/>
                <w:bCs w:val="1"/>
                <w:color w:val="auto"/>
                <w:w w:val="90"/>
              </w:rPr>
              <w:t>Cash and Cash</w:t>
            </w:r>
          </w:p>
        </w:tc>
        <w:tc>
          <w:tcPr>
            <w:tcW w:w="120" w:type="dxa"/>
            <w:vAlign w:val="bottom"/>
          </w:tcPr>
          <w:p>
            <w:pPr>
              <w:spacing w:after="0"/>
              <w:rPr>
                <w:sz w:val="8"/>
                <w:szCs w:val="8"/>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auto"/>
                <w:w w:val="94"/>
              </w:rPr>
              <w:t>Cash-Restricted</w:t>
            </w:r>
          </w:p>
        </w:tc>
        <w:tc>
          <w:tcPr>
            <w:tcW w:w="0" w:type="dxa"/>
            <w:vAlign w:val="bottom"/>
          </w:tcPr>
          <w:p>
            <w:pPr>
              <w:spacing w:after="0"/>
              <w:rPr>
                <w:sz w:val="1"/>
                <w:szCs w:val="1"/>
                <w:color w:val="auto"/>
              </w:rPr>
            </w:pPr>
          </w:p>
        </w:tc>
      </w:tr>
      <w:tr>
        <w:trPr>
          <w:trHeight w:val="147"/>
        </w:trPr>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w w:val="97"/>
              </w:rPr>
              <w:t>Gain</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1"/>
                <w:szCs w:val="11"/>
                <w:b w:val="1"/>
                <w:bCs w:val="1"/>
                <w:color w:val="auto"/>
                <w:w w:val="90"/>
              </w:rPr>
              <w:t>Equivalents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1"/>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68,520</w:t>
            </w:r>
          </w:p>
        </w:tc>
        <w:tc>
          <w:tcPr>
            <w:tcW w:w="100" w:type="dxa"/>
            <w:vAlign w:val="bottom"/>
          </w:tcPr>
          <w:p>
            <w:pPr>
              <w:spacing w:after="0"/>
              <w:rPr>
                <w:sz w:val="24"/>
                <w:szCs w:val="24"/>
                <w:color w:val="auto"/>
              </w:rPr>
            </w:pPr>
          </w:p>
        </w:tc>
        <w:tc>
          <w:tcPr>
            <w:tcW w:w="220" w:type="dxa"/>
            <w:vAlign w:val="bottom"/>
          </w:tcPr>
          <w:p>
            <w:pPr>
              <w:jc w:val="right"/>
              <w:ind w:right="74"/>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68,520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68,520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71"/>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69,536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69,536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-1344295</wp:posOffset>
            </wp:positionV>
            <wp:extent cx="7162165" cy="1143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-1115695</wp:posOffset>
            </wp:positionV>
            <wp:extent cx="7162165" cy="1143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-490220</wp:posOffset>
            </wp:positionV>
            <wp:extent cx="7162165" cy="114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1143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-261620</wp:posOffset>
            </wp:positionV>
            <wp:extent cx="7162165" cy="114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11430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3960" w:space="720"/>
            <w:col w:w="6600"/>
          </w:cols>
          <w:pgMar w:left="300" w:top="1269" w:right="319" w:bottom="1440" w:gutter="0" w:footer="0" w:header="0"/>
          <w:type w:val="continuous"/>
        </w:sectPr>
      </w:pPr>
    </w:p>
    <w:p>
      <w:pPr>
        <w:ind w:right="400" w:firstLine="254"/>
        <w:spacing w:after="0" w:line="280" w:lineRule="auto"/>
        <w:rPr>
          <w:sz w:val="20"/>
          <w:szCs w:val="20"/>
          <w:color w:val="auto"/>
        </w:rPr>
      </w:pPr>
      <w:r>
        <w:rPr>
          <w:rFonts w:ascii="Arial" w:cs="Arial" w:eastAsia="Arial" w:hAnsi="Arial"/>
          <w:sz w:val="14"/>
          <w:szCs w:val="14"/>
          <w:color w:val="auto"/>
        </w:rPr>
        <w:t>Cash and cash equivalents are Level I measurements. There were no transfers between Level I and Level II measurements, and no changes in the valuation techniques used during the years ended December 31,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25" w:lineRule="exact"/>
        <w:rPr>
          <w:sz w:val="20"/>
          <w:szCs w:val="20"/>
          <w:color w:val="auto"/>
        </w:rPr>
      </w:pPr>
    </w:p>
    <w:p>
      <w:pPr>
        <w:ind w:right="300" w:firstLine="254"/>
        <w:spacing w:after="0" w:line="280" w:lineRule="auto"/>
        <w:rPr>
          <w:sz w:val="20"/>
          <w:szCs w:val="20"/>
          <w:color w:val="auto"/>
        </w:rPr>
      </w:pPr>
      <w:r>
        <w:rPr>
          <w:rFonts w:ascii="Arial" w:cs="Arial" w:eastAsia="Arial" w:hAnsi="Arial"/>
          <w:sz w:val="14"/>
          <w:szCs w:val="14"/>
          <w:color w:val="auto"/>
        </w:rPr>
        <w:t>Our convertible notes are not regularly traded. 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w:t>
      </w:r>
    </w:p>
    <w:p>
      <w:pPr>
        <w:spacing w:after="0" w:line="69" w:lineRule="exact"/>
        <w:rPr>
          <w:sz w:val="20"/>
          <w:szCs w:val="20"/>
          <w:color w:val="auto"/>
        </w:rPr>
      </w:pPr>
    </w:p>
    <w:p>
      <w:pPr>
        <w:ind w:right="160" w:firstLine="254"/>
        <w:spacing w:after="0" w:line="280" w:lineRule="auto"/>
        <w:rPr>
          <w:sz w:val="20"/>
          <w:szCs w:val="20"/>
          <w:color w:val="auto"/>
        </w:rPr>
      </w:pPr>
      <w:r>
        <w:rPr>
          <w:rFonts w:ascii="Arial" w:cs="Arial" w:eastAsia="Arial" w:hAnsi="Arial"/>
          <w:sz w:val="14"/>
          <w:szCs w:val="14"/>
          <w:color w:val="auto"/>
        </w:rPr>
        <w:t>The estimated fair value of our term loan also represents a Level III valuation since the value cannot be determined by using readily observable inputs or measures, such as a market prices. The fair value of our term loan was estimated using a discounted cash flows approach and current market interest rate data for similar loans.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par value, carrying value and the estimated fair value of our debt at December 31, 2021 and 2020, respectively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90"/>
              </w:rPr>
              <w:t>December 31, 2021</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8"/>
              </w:rPr>
              <w:t>December 31, 2020</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42"/>
        </w:trPr>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Par Value</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Carrying Value</w:t>
            </w:r>
          </w:p>
        </w:tc>
        <w:tc>
          <w:tcPr>
            <w:tcW w:w="160" w:type="dxa"/>
            <w:vAlign w:val="bottom"/>
          </w:tcPr>
          <w:p>
            <w:pPr>
              <w:spacing w:after="0"/>
              <w:rPr>
                <w:sz w:val="12"/>
                <w:szCs w:val="12"/>
                <w:color w:val="auto"/>
              </w:rPr>
            </w:pPr>
          </w:p>
        </w:tc>
        <w:tc>
          <w:tcPr>
            <w:tcW w:w="800" w:type="dxa"/>
            <w:vAlign w:val="bottom"/>
          </w:tcPr>
          <w:p>
            <w:pPr>
              <w:jc w:val="right"/>
              <w:ind w:right="152"/>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Par Value</w:t>
            </w:r>
          </w:p>
        </w:tc>
        <w:tc>
          <w:tcPr>
            <w:tcW w:w="10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Carrying Value</w:t>
            </w:r>
          </w:p>
        </w:tc>
        <w:tc>
          <w:tcPr>
            <w:tcW w:w="1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Arial" w:cs="Arial" w:eastAsia="Arial" w:hAnsi="Arial"/>
                <w:sz w:val="11"/>
                <w:szCs w:val="11"/>
                <w:b w:val="1"/>
                <w:bCs w:val="1"/>
                <w:color w:val="auto"/>
              </w:rPr>
              <w:t>Fair Value</w:t>
            </w:r>
          </w:p>
        </w:tc>
      </w:tr>
      <w:tr>
        <w:trPr>
          <w:trHeight w:val="171"/>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2014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w:t>
            </w:r>
          </w:p>
        </w:tc>
      </w:tr>
      <w:tr>
        <w:trPr>
          <w:trHeight w:val="18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2019 Notes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81,880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53,165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117,899</w:t>
            </w:r>
          </w:p>
        </w:tc>
      </w:tr>
      <w:tr>
        <w:trPr>
          <w:trHeight w:val="19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82,481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119,021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net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Advances under revolving credit agreement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746"/>
        </w:trPr>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2"/>
        </w:trPr>
        <w:tc>
          <w:tcPr>
            <w:tcW w:w="50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12. Shareholders’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At-the-Market Offering</w:t>
      </w:r>
    </w:p>
    <w:p>
      <w:pPr>
        <w:spacing w:after="0" w:line="178" w:lineRule="exact"/>
        <w:rPr>
          <w:sz w:val="20"/>
          <w:szCs w:val="20"/>
          <w:color w:val="auto"/>
        </w:rPr>
      </w:pPr>
    </w:p>
    <w:p>
      <w:pPr>
        <w:ind w:right="140" w:firstLine="254"/>
        <w:spacing w:after="0" w:line="288" w:lineRule="auto"/>
        <w:rPr>
          <w:sz w:val="20"/>
          <w:szCs w:val="20"/>
          <w:color w:val="auto"/>
        </w:rPr>
      </w:pPr>
      <w:r>
        <w:rPr>
          <w:rFonts w:ascii="Arial" w:cs="Arial" w:eastAsia="Arial" w:hAnsi="Arial"/>
          <w:sz w:val="13"/>
          <w:szCs w:val="13"/>
          <w:color w:val="auto"/>
        </w:rPr>
        <w:t>In March 2020, we entered into an Open Market Sale Agreement (Sale Agreement) with Jefferies LLC (Jefferies) to sell shares of our common stock having aggregate sales proceeds of up to $50.0 million, from time to time, through an “at-the-market” equity offering program under which Jefferies acts as sales agent. During the third quarter of 2020, we sold 2.5 million shares of our common stock pursuant to the Sale Agreement, for aggregate gross proceeds of $20.9 million. Our net proceeds from the sale of such shares of common stock were approximately $20.1 million, after deducting related expenses, including commissions of approximately $0.6 million and issuance costs of approximately $0.2 million.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InstruNor Acquisition</w:t>
      </w:r>
    </w:p>
    <w:p>
      <w:pPr>
        <w:spacing w:after="0" w:line="125" w:lineRule="exact"/>
        <w:rPr>
          <w:sz w:val="20"/>
          <w:szCs w:val="20"/>
          <w:color w:val="auto"/>
        </w:rPr>
      </w:pPr>
    </w:p>
    <w:p>
      <w:pPr>
        <w:ind w:right="300" w:firstLine="254"/>
        <w:spacing w:after="0" w:line="280" w:lineRule="auto"/>
        <w:rPr>
          <w:sz w:val="20"/>
          <w:szCs w:val="20"/>
          <w:color w:val="auto"/>
        </w:rPr>
      </w:pPr>
      <w:r>
        <w:rPr>
          <w:rFonts w:ascii="Arial" w:cs="Arial" w:eastAsia="Arial" w:hAnsi="Arial"/>
          <w:sz w:val="14"/>
          <w:szCs w:val="14"/>
          <w:color w:val="auto"/>
        </w:rPr>
        <w:t>In January 2020, we completed the acquisition of all of the outstanding shares of InstruNor (see Note 3). The purchase price was approximately $7.2 million, consisting of $5.2 million in cash and 485,451 shares of our common stock. No adjustments were made to the initial purchase price allocation.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Shares Reserved</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December 31, 2021, we had reserved shares of common stock for future issuance under equity compensation plans as follows:</w:t>
      </w: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126"/>
        </w:trPr>
        <w:tc>
          <w:tcPr>
            <w:tcW w:w="60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ind w:left="300"/>
              <w:spacing w:after="0"/>
              <w:rPr>
                <w:sz w:val="20"/>
                <w:szCs w:val="20"/>
                <w:color w:val="auto"/>
              </w:rPr>
            </w:pPr>
            <w:r>
              <w:rPr>
                <w:rFonts w:ascii="Arial" w:cs="Arial" w:eastAsia="Arial" w:hAnsi="Arial"/>
                <w:sz w:val="11"/>
                <w:szCs w:val="11"/>
                <w:b w:val="1"/>
                <w:bCs w:val="1"/>
                <w:color w:val="auto"/>
                <w:w w:val="96"/>
              </w:rPr>
              <w:t>Securities To Be Issued</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Number Of Remai</w:t>
            </w:r>
          </w:p>
        </w:tc>
        <w:tc>
          <w:tcPr>
            <w:tcW w:w="0" w:type="dxa"/>
            <w:vAlign w:val="bottom"/>
          </w:tcPr>
          <w:p>
            <w:pPr>
              <w:spacing w:after="0"/>
              <w:rPr>
                <w:sz w:val="1"/>
                <w:szCs w:val="1"/>
                <w:color w:val="auto"/>
              </w:rPr>
            </w:pPr>
          </w:p>
        </w:tc>
      </w:tr>
      <w:tr>
        <w:trPr>
          <w:trHeight w:val="106"/>
        </w:trPr>
        <w:tc>
          <w:tcPr>
            <w:tcW w:w="60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5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w w:val="96"/>
              </w:rPr>
              <w:t>Securities To Be Issued</w:t>
            </w: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2"/>
              </w:rPr>
              <w:t>Upon Release Of Restricted</w:t>
            </w: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6780" w:type="dxa"/>
            <w:vAlign w:val="bottom"/>
            <w:gridSpan w:val="2"/>
            <w:vMerge w:val="restart"/>
          </w:tcPr>
          <w:p>
            <w:pPr>
              <w:ind w:left="300"/>
              <w:spacing w:after="0"/>
              <w:rPr>
                <w:sz w:val="20"/>
                <w:szCs w:val="20"/>
                <w:color w:val="auto"/>
              </w:rPr>
            </w:pPr>
            <w:r>
              <w:rPr>
                <w:rFonts w:ascii="Arial" w:cs="Arial" w:eastAsia="Arial" w:hAnsi="Arial"/>
                <w:sz w:val="11"/>
                <w:szCs w:val="11"/>
                <w:b w:val="1"/>
                <w:bCs w:val="1"/>
                <w:i w:val="1"/>
                <w:iCs w:val="1"/>
                <w:color w:val="auto"/>
              </w:rPr>
              <w:t>In thousands:</w:t>
            </w:r>
          </w:p>
        </w:tc>
        <w:tc>
          <w:tcPr>
            <w:tcW w:w="1540" w:type="dxa"/>
            <w:vAlign w:val="bottom"/>
            <w:gridSpan w:val="2"/>
            <w:vMerge w:val="continue"/>
          </w:tcPr>
          <w:p>
            <w:pPr>
              <w:spacing w:after="0"/>
              <w:rPr>
                <w:sz w:val="9"/>
                <w:szCs w:val="9"/>
                <w:color w:val="auto"/>
              </w:rPr>
            </w:pP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2"/>
              </w:rPr>
              <w:t>Stock and Performance</w:t>
            </w:r>
          </w:p>
        </w:tc>
        <w:tc>
          <w:tcPr>
            <w:tcW w:w="1220" w:type="dxa"/>
            <w:vAlign w:val="bottom"/>
          </w:tcPr>
          <w:p>
            <w:pPr>
              <w:jc w:val="right"/>
              <w:spacing w:after="0" w:line="106" w:lineRule="exact"/>
              <w:rPr>
                <w:sz w:val="20"/>
                <w:szCs w:val="20"/>
                <w:color w:val="auto"/>
              </w:rPr>
            </w:pPr>
            <w:r>
              <w:rPr>
                <w:rFonts w:ascii="Arial" w:cs="Arial" w:eastAsia="Arial" w:hAnsi="Arial"/>
                <w:sz w:val="11"/>
                <w:szCs w:val="11"/>
                <w:b w:val="1"/>
                <w:bCs w:val="1"/>
                <w:color w:val="auto"/>
                <w:w w:val="99"/>
              </w:rPr>
              <w:t>Securities Available Fo</w:t>
            </w:r>
          </w:p>
        </w:tc>
        <w:tc>
          <w:tcPr>
            <w:tcW w:w="0" w:type="dxa"/>
            <w:vAlign w:val="bottom"/>
          </w:tcPr>
          <w:p>
            <w:pPr>
              <w:spacing w:after="0"/>
              <w:rPr>
                <w:sz w:val="1"/>
                <w:szCs w:val="1"/>
                <w:color w:val="auto"/>
              </w:rPr>
            </w:pPr>
          </w:p>
        </w:tc>
      </w:tr>
      <w:tr>
        <w:trPr>
          <w:trHeight w:val="147"/>
        </w:trPr>
        <w:tc>
          <w:tcPr>
            <w:tcW w:w="6780" w:type="dxa"/>
            <w:vAlign w:val="bottom"/>
            <w:gridSpan w:val="2"/>
            <w:vMerge w:val="continue"/>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Upon Exercise Of Options</w:t>
            </w: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Share Units at Maximum</w:t>
            </w:r>
          </w:p>
        </w:tc>
        <w:tc>
          <w:tcPr>
            <w:tcW w:w="1220" w:type="dxa"/>
            <w:vAlign w:val="bottom"/>
          </w:tcPr>
          <w:p>
            <w:pPr>
              <w:jc w:val="right"/>
              <w:ind w:right="56"/>
              <w:spacing w:after="0"/>
              <w:rPr>
                <w:sz w:val="20"/>
                <w:szCs w:val="20"/>
                <w:color w:val="auto"/>
              </w:rPr>
            </w:pPr>
            <w:r>
              <w:rPr>
                <w:rFonts w:ascii="Arial" w:cs="Arial" w:eastAsia="Arial" w:hAnsi="Arial"/>
                <w:sz w:val="11"/>
                <w:szCs w:val="11"/>
                <w:b w:val="1"/>
                <w:bCs w:val="1"/>
                <w:color w:val="auto"/>
              </w:rPr>
              <w:t>Future Issuance</w:t>
            </w:r>
          </w:p>
        </w:tc>
        <w:tc>
          <w:tcPr>
            <w:tcW w:w="0" w:type="dxa"/>
            <w:vAlign w:val="bottom"/>
          </w:tcPr>
          <w:p>
            <w:pPr>
              <w:spacing w:after="0"/>
              <w:rPr>
                <w:sz w:val="1"/>
                <w:szCs w:val="1"/>
                <w:color w:val="auto"/>
              </w:rPr>
            </w:pPr>
          </w:p>
        </w:tc>
      </w:tr>
      <w:tr>
        <w:trPr>
          <w:trHeight w:val="171"/>
        </w:trPr>
        <w:tc>
          <w:tcPr>
            <w:tcW w:w="678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2011 Equity Incentive Plan</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7,512</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0"/>
        </w:trPr>
        <w:tc>
          <w:tcPr>
            <w:tcW w:w="6780" w:type="dxa"/>
            <w:vAlign w:val="bottom"/>
            <w:gridSpan w:val="2"/>
          </w:tcPr>
          <w:p>
            <w:pPr>
              <w:ind w:left="300"/>
              <w:spacing w:after="0"/>
              <w:rPr>
                <w:sz w:val="20"/>
                <w:szCs w:val="20"/>
                <w:color w:val="auto"/>
              </w:rPr>
            </w:pPr>
            <w:r>
              <w:rPr>
                <w:rFonts w:ascii="Arial" w:cs="Arial" w:eastAsia="Arial" w:hAnsi="Arial"/>
                <w:sz w:val="14"/>
                <w:szCs w:val="14"/>
                <w:color w:val="auto"/>
              </w:rPr>
              <w:t>DVS Sciences Inc. 2010 Equity Incentive Plan</w:t>
            </w:r>
          </w:p>
        </w:tc>
        <w:tc>
          <w:tcPr>
            <w:tcW w:w="14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shd w:val="clear" w:color="auto" w:fill="CCEEFF"/>
          </w:tcPr>
          <w:p>
            <w:pPr>
              <w:ind w:left="300"/>
              <w:spacing w:after="0"/>
              <w:rPr>
                <w:sz w:val="20"/>
                <w:szCs w:val="20"/>
                <w:color w:val="auto"/>
              </w:rPr>
            </w:pPr>
            <w:r>
              <w:rPr>
                <w:rFonts w:ascii="Arial" w:cs="Arial" w:eastAsia="Arial" w:hAnsi="Arial"/>
                <w:sz w:val="14"/>
                <w:szCs w:val="14"/>
                <w:color w:val="auto"/>
                <w:w w:val="89"/>
              </w:rPr>
              <w:t>2017</w:t>
            </w: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Inducement Award Plan</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ind w:left="300"/>
              <w:spacing w:after="0"/>
              <w:rPr>
                <w:sz w:val="20"/>
                <w:szCs w:val="20"/>
                <w:color w:val="auto"/>
              </w:rPr>
            </w:pPr>
            <w:r>
              <w:rPr>
                <w:rFonts w:ascii="Arial" w:cs="Arial" w:eastAsia="Arial" w:hAnsi="Arial"/>
                <w:sz w:val="14"/>
                <w:szCs w:val="14"/>
                <w:color w:val="auto"/>
                <w:w w:val="89"/>
              </w:rPr>
              <w:t>2017</w:t>
            </w:r>
          </w:p>
        </w:tc>
        <w:tc>
          <w:tcPr>
            <w:tcW w:w="61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6"/>
        </w:trPr>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61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180" w:firstLine="254"/>
        <w:spacing w:after="0" w:line="330" w:lineRule="auto"/>
        <w:rPr>
          <w:sz w:val="20"/>
          <w:szCs w:val="20"/>
          <w:color w:val="auto"/>
        </w:rPr>
      </w:pPr>
      <w:r>
        <w:rPr>
          <w:rFonts w:ascii="Arial" w:cs="Arial" w:eastAsia="Arial" w:hAnsi="Arial"/>
          <w:sz w:val="12"/>
          <w:szCs w:val="12"/>
          <w:color w:val="auto"/>
        </w:rPr>
        <w:t>Included in the securities to be issued upon release of RSUs and PSUs are the maximum number of shares that could be issued for performance share unit awards, which can vest at 0%-200% of the number of awards granted. The number of shares available for future issuance also reflects PSU awards granted at the maximum number of shares that could be issued under these awards.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Stock-Based Plans</w:t>
      </w:r>
    </w:p>
    <w:p>
      <w:pPr>
        <w:spacing w:after="0" w:line="129" w:lineRule="exact"/>
        <w:rPr>
          <w:sz w:val="20"/>
          <w:szCs w:val="20"/>
          <w:color w:val="auto"/>
        </w:rPr>
      </w:pPr>
    </w:p>
    <w:p>
      <w:pPr>
        <w:ind w:right="440" w:firstLine="254"/>
        <w:spacing w:after="0" w:line="280" w:lineRule="auto"/>
        <w:rPr>
          <w:sz w:val="20"/>
          <w:szCs w:val="20"/>
          <w:color w:val="auto"/>
        </w:rPr>
      </w:pPr>
      <w:r>
        <w:rPr>
          <w:rFonts w:ascii="Arial" w:cs="Arial" w:eastAsia="Arial" w:hAnsi="Arial"/>
          <w:sz w:val="14"/>
          <w:szCs w:val="14"/>
          <w:color w:val="auto"/>
        </w:rPr>
        <w:t>Our board of directors sets the terms, conditions, and restrictions related to our 2017 Employee Stock Purchase Plan (ESPP) and the grant of stock options, restricted stock units (RSUs) and performance-based awards under our stock-based plans. Our board of directors determines the number of awards to grant and also sets vesting criteria.</w:t>
      </w:r>
    </w:p>
    <w:p>
      <w:pPr>
        <w:spacing w:after="0" w:line="80" w:lineRule="exact"/>
        <w:rPr>
          <w:sz w:val="20"/>
          <w:szCs w:val="20"/>
          <w:color w:val="auto"/>
        </w:rPr>
      </w:pPr>
    </w:p>
    <w:p>
      <w:pPr>
        <w:ind w:right="200" w:firstLine="254"/>
        <w:spacing w:after="0" w:line="280" w:lineRule="auto"/>
        <w:rPr>
          <w:sz w:val="20"/>
          <w:szCs w:val="20"/>
          <w:color w:val="auto"/>
        </w:rPr>
      </w:pPr>
      <w:r>
        <w:rPr>
          <w:rFonts w:ascii="Arial" w:cs="Arial" w:eastAsia="Arial" w:hAnsi="Arial"/>
          <w:sz w:val="14"/>
          <w:szCs w:val="14"/>
          <w:color w:val="auto"/>
        </w:rPr>
        <w:t>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We may grant RSUs with different vesting terms from time to time.</w:t>
      </w:r>
    </w:p>
    <w:p>
      <w:pPr>
        <w:spacing w:after="0" w:line="69" w:lineRule="exact"/>
        <w:rPr>
          <w:sz w:val="20"/>
          <w:szCs w:val="20"/>
          <w:color w:val="auto"/>
        </w:rPr>
      </w:pPr>
    </w:p>
    <w:p>
      <w:pPr>
        <w:ind w:right="180" w:firstLine="254"/>
        <w:spacing w:after="0" w:line="296" w:lineRule="auto"/>
        <w:rPr>
          <w:sz w:val="20"/>
          <w:szCs w:val="20"/>
          <w:color w:val="auto"/>
        </w:rPr>
      </w:pPr>
      <w:r>
        <w:rPr>
          <w:rFonts w:ascii="Arial" w:cs="Arial" w:eastAsia="Arial" w:hAnsi="Arial"/>
          <w:sz w:val="13"/>
          <w:szCs w:val="13"/>
          <w:color w:val="auto"/>
        </w:rPr>
        <w:t>Incentive stock options and non-statutory stock options granted under the 2011 Equity Incentive Plan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60"/>
          </w:cols>
          <w:pgMar w:left="300" w:top="1311" w:right="239" w:bottom="1440" w:gutter="0" w:footer="0" w:header="0"/>
        </w:sectPr>
      </w:pPr>
    </w:p>
    <w:bookmarkStart w:id="102" w:name="page103"/>
    <w:bookmarkEnd w:id="102"/>
    <w:p>
      <w:pPr>
        <w:ind w:right="180" w:firstLine="254"/>
        <w:spacing w:after="0" w:line="320" w:lineRule="auto"/>
        <w:rPr>
          <w:sz w:val="20"/>
          <w:szCs w:val="20"/>
          <w:color w:val="auto"/>
        </w:rPr>
      </w:pPr>
      <w:r>
        <w:rPr>
          <w:rFonts w:ascii="Arial" w:cs="Arial" w:eastAsia="Arial" w:hAnsi="Arial"/>
          <w:sz w:val="13"/>
          <w:szCs w:val="13"/>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2011 Equity Incentive Plan</w:t>
      </w:r>
    </w:p>
    <w:p>
      <w:pPr>
        <w:spacing w:after="0" w:line="118" w:lineRule="exact"/>
        <w:rPr>
          <w:sz w:val="20"/>
          <w:szCs w:val="20"/>
          <w:color w:val="auto"/>
        </w:rPr>
      </w:pPr>
    </w:p>
    <w:p>
      <w:pPr>
        <w:ind w:right="20" w:firstLine="254"/>
        <w:spacing w:after="0" w:line="258" w:lineRule="auto"/>
        <w:rPr>
          <w:sz w:val="20"/>
          <w:szCs w:val="20"/>
          <w:color w:val="auto"/>
        </w:rPr>
      </w:pPr>
      <w:r>
        <w:rPr>
          <w:rFonts w:ascii="Arial" w:cs="Arial" w:eastAsia="Arial" w:hAnsi="Arial"/>
          <w:sz w:val="14"/>
          <w:szCs w:val="14"/>
          <w:color w:val="auto"/>
        </w:rPr>
        <w:t>In January 2011, our board of directors adopted the 2011 Plan under which incentive stock options, non-statutory stock options, RSUs, stock appreciation rights, performance stock units (PSUs), and performance shares may be granted to our employees, directors, and consultants. In April 2019, our board of directors authorized, and in June 2019, our stockholders approved, an amendment and restatement of the 2011 Plan to make various changes, including increasing the number of shares reserved for issuance by approximately 5.0 million shares and extending the term of the 2011 Plan until April 2029. In May 2020, our board of directors authorized, and in June 2020, our stockholders approved, an increase of 1.4 million in the number of shares reserved for issuance under the 2011 Plan. In April 2021, our board of directors authorized, and in May 2021, our stockholders approved, an additional increase of 4.1 million in the number of shares reserved for issuance under the 2011 Plan.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Expense Information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weighted average assumptions used to estimate the fair value of options granted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w w:val="93"/>
              </w:rPr>
              <w:t>Year Ended December 31,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500" w:type="dxa"/>
            <w:vAlign w:val="bottom"/>
          </w:tcPr>
          <w:p>
            <w:pPr>
              <w:ind w:left="180"/>
              <w:spacing w:after="0"/>
              <w:rPr>
                <w:sz w:val="20"/>
                <w:szCs w:val="20"/>
                <w:color w:val="auto"/>
              </w:rPr>
            </w:pPr>
            <w:r>
              <w:rPr>
                <w:rFonts w:ascii="Arial" w:cs="Arial" w:eastAsia="Arial" w:hAnsi="Arial"/>
                <w:sz w:val="14"/>
                <w:szCs w:val="14"/>
                <w:color w:val="auto"/>
              </w:rPr>
              <w:t>Weighted average expected volatility</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94.0 %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79.0 %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69.5 %</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 average expected term</w:t>
            </w: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4.2 years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 years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years</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500" w:type="dxa"/>
            <w:vAlign w:val="bottom"/>
          </w:tcPr>
          <w:p>
            <w:pPr>
              <w:ind w:left="180"/>
              <w:spacing w:after="0"/>
              <w:rPr>
                <w:sz w:val="20"/>
                <w:szCs w:val="20"/>
                <w:color w:val="auto"/>
              </w:rPr>
            </w:pPr>
            <w:r>
              <w:rPr>
                <w:rFonts w:ascii="Arial" w:cs="Arial" w:eastAsia="Arial" w:hAnsi="Arial"/>
                <w:sz w:val="14"/>
                <w:szCs w:val="14"/>
                <w:color w:val="auto"/>
              </w:rPr>
              <w:t>Weighted average risk-free interest rate</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 yield</w:t>
            </w:r>
          </w:p>
        </w:tc>
        <w:tc>
          <w:tcPr>
            <w:tcW w:w="9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500" w:type="dxa"/>
            <w:vAlign w:val="bottom"/>
          </w:tcPr>
          <w:p>
            <w:pPr>
              <w:ind w:left="180"/>
              <w:spacing w:after="0"/>
              <w:rPr>
                <w:sz w:val="20"/>
                <w:szCs w:val="20"/>
                <w:color w:val="auto"/>
              </w:rPr>
            </w:pPr>
            <w:r>
              <w:rPr>
                <w:rFonts w:ascii="Arial" w:cs="Arial" w:eastAsia="Arial" w:hAnsi="Arial"/>
                <w:sz w:val="14"/>
                <w:szCs w:val="14"/>
                <w:color w:val="auto"/>
              </w:rPr>
              <w:t>Weighted-average fair value per share</w:t>
            </w:r>
          </w:p>
        </w:tc>
        <w:tc>
          <w:tcPr>
            <w:tcW w:w="920" w:type="dxa"/>
            <w:vAlign w:val="bottom"/>
          </w:tcPr>
          <w:p>
            <w:pPr>
              <w:jc w:val="right"/>
              <w:ind w:right="776"/>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11"/>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5"/>
                <w:szCs w:val="15"/>
                <w:color w:val="auto"/>
              </w:rPr>
            </w:pP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551"/>
        </w:trPr>
        <w:tc>
          <w:tcPr>
            <w:tcW w:w="40" w:type="dxa"/>
            <w:vAlign w:val="bottom"/>
          </w:tcPr>
          <w:p>
            <w:pPr>
              <w:spacing w:after="0"/>
              <w:rPr>
                <w:sz w:val="24"/>
                <w:szCs w:val="24"/>
                <w:color w:val="auto"/>
              </w:rPr>
            </w:pPr>
          </w:p>
        </w:tc>
        <w:tc>
          <w:tcPr>
            <w:tcW w:w="6500" w:type="dxa"/>
            <w:vAlign w:val="bottom"/>
          </w:tcPr>
          <w:p>
            <w:pPr>
              <w:ind w:left="220"/>
              <w:spacing w:after="0"/>
              <w:rPr>
                <w:sz w:val="20"/>
                <w:szCs w:val="20"/>
                <w:color w:val="auto"/>
              </w:rPr>
            </w:pPr>
            <w:r>
              <w:rPr>
                <w:rFonts w:ascii="Arial" w:cs="Arial" w:eastAsia="Arial" w:hAnsi="Arial"/>
                <w:sz w:val="14"/>
                <w:szCs w:val="14"/>
                <w:color w:val="auto"/>
              </w:rPr>
              <w:t>Activity under the various plans was as follows: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Restricted Stock Units</w:t>
            </w:r>
            <w:r>
              <w:rPr>
                <w:rFonts w:ascii="Arial" w:cs="Arial" w:eastAsia="Arial" w:hAnsi="Arial"/>
                <w:sz w:val="14"/>
                <w:szCs w:val="14"/>
                <w:color w:val="auto"/>
              </w:rPr>
              <w:t>:</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91"/>
              <w:spacing w:after="0"/>
              <w:rPr>
                <w:sz w:val="20"/>
                <w:szCs w:val="20"/>
                <w:color w:val="auto"/>
              </w:rPr>
            </w:pPr>
            <w:r>
              <w:rPr>
                <w:rFonts w:ascii="Arial" w:cs="Arial" w:eastAsia="Arial" w:hAnsi="Arial"/>
                <w:sz w:val="11"/>
                <w:szCs w:val="11"/>
                <w:b w:val="1"/>
                <w:bCs w:val="1"/>
                <w:color w:val="auto"/>
                <w:w w:val="97"/>
              </w:rPr>
              <w:t>Weighted-Average</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6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w w:val="97"/>
              </w:rPr>
              <w:t>Number of Units (in 000s)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right"/>
              <w:spacing w:after="0" w:line="106" w:lineRule="exact"/>
              <w:rPr>
                <w:sz w:val="20"/>
                <w:szCs w:val="20"/>
                <w:color w:val="auto"/>
              </w:rPr>
            </w:pPr>
            <w:r>
              <w:rPr>
                <w:rFonts w:ascii="Arial" w:cs="Arial" w:eastAsia="Arial" w:hAnsi="Arial"/>
                <w:sz w:val="11"/>
                <w:szCs w:val="11"/>
                <w:b w:val="1"/>
                <w:bCs w:val="1"/>
                <w:color w:val="auto"/>
                <w:w w:val="99"/>
              </w:rPr>
              <w:t>Grant Date Fair Value per</w:t>
            </w:r>
          </w:p>
        </w:tc>
        <w:tc>
          <w:tcPr>
            <w:tcW w:w="0" w:type="dxa"/>
            <w:vAlign w:val="bottom"/>
          </w:tcPr>
          <w:p>
            <w:pPr>
              <w:spacing w:after="0"/>
              <w:rPr>
                <w:sz w:val="1"/>
                <w:szCs w:val="1"/>
                <w:color w:val="auto"/>
              </w:rPr>
            </w:pPr>
          </w:p>
        </w:tc>
      </w:tr>
      <w:tr>
        <w:trPr>
          <w:trHeight w:val="147"/>
        </w:trPr>
        <w:tc>
          <w:tcPr>
            <w:tcW w:w="40" w:type="dxa"/>
            <w:vAlign w:val="bottom"/>
            <w:tcBorders>
              <w:bottom w:val="single" w:sz="8" w:color="CCEEFF"/>
            </w:tcBorders>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Unit</w:t>
            </w:r>
          </w:p>
        </w:tc>
        <w:tc>
          <w:tcPr>
            <w:tcW w:w="0" w:type="dxa"/>
            <w:vAlign w:val="bottom"/>
          </w:tcPr>
          <w:p>
            <w:pPr>
              <w:spacing w:after="0"/>
              <w:rPr>
                <w:sz w:val="1"/>
                <w:szCs w:val="1"/>
                <w:color w:val="auto"/>
              </w:rPr>
            </w:pPr>
          </w:p>
        </w:tc>
      </w:tr>
      <w:tr>
        <w:trPr>
          <w:trHeight w:val="171"/>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1,812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RSU granted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color w:val="auto"/>
              </w:rPr>
              <w:t>1,808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8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RSU released</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RSU forfeited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(339)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171"/>
        </w:trPr>
        <w:tc>
          <w:tcPr>
            <w:tcW w:w="6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9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2,551</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RSU granted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color w:val="auto"/>
              </w:rPr>
              <w:t>3,788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RSU released</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RSU forfeited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(338)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71"/>
        </w:trPr>
        <w:tc>
          <w:tcPr>
            <w:tcW w:w="6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9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4,862</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RSU granted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color w:val="auto"/>
              </w:rPr>
              <w:t>3,295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8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RSU released</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4"/>
                <w:szCs w:val="14"/>
                <w:color w:val="auto"/>
              </w:rPr>
              <w:t>RSU forfeited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(791)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5,141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both"/>
        <w:ind w:firstLine="254"/>
        <w:spacing w:after="0" w:line="320" w:lineRule="auto"/>
        <w:rPr>
          <w:sz w:val="20"/>
          <w:szCs w:val="20"/>
          <w:color w:val="auto"/>
        </w:rPr>
      </w:pPr>
      <w:r>
        <w:rPr>
          <w:rFonts w:ascii="Arial" w:cs="Arial" w:eastAsia="Arial" w:hAnsi="Arial"/>
          <w:sz w:val="13"/>
          <w:szCs w:val="13"/>
          <w:color w:val="auto"/>
        </w:rPr>
        <w:t>The total intrinsic value of RSUs vested and released during the year ended December 31, 2021, 2020 and 2019 were approximately $11.2 million, $8.0 million and $5.8 million, respectively. The intrinsic value of vested and released RSUs is calculated by multiplying the fair market value of our common stock on the vesting date by the number of shares vested. As of</w:t>
      </w: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103" w:name="page104"/>
    <w:bookmarkEnd w:id="103"/>
    <w:p>
      <w:pPr>
        <w:ind w:right="440"/>
        <w:spacing w:after="0" w:line="280" w:lineRule="auto"/>
        <w:rPr>
          <w:sz w:val="20"/>
          <w:szCs w:val="20"/>
          <w:color w:val="auto"/>
        </w:rPr>
      </w:pPr>
      <w:r>
        <w:rPr>
          <w:rFonts w:ascii="Arial" w:cs="Arial" w:eastAsia="Arial" w:hAnsi="Arial"/>
          <w:sz w:val="14"/>
          <w:szCs w:val="14"/>
          <w:color w:val="auto"/>
        </w:rPr>
        <w:t>December 31, 2021, the unrecognized compensation costs related to outstanding unvested RSUs under our equity incentive plans were $22.5 million. We expect to recognize those costs over a weighted average period of 2.5 years.</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r>
        <w:rPr>
          <w:rFonts w:ascii="Arial" w:cs="Arial" w:eastAsia="Arial" w:hAnsi="Arial"/>
          <w:sz w:val="14"/>
          <w:szCs w:val="14"/>
          <w:b w:val="1"/>
          <w:bCs w:val="1"/>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restart"/>
          </w:tcPr>
          <w:p>
            <w:pPr>
              <w:jc w:val="right"/>
              <w:ind w:right="39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Weighted-Average</w:t>
            </w:r>
          </w:p>
        </w:tc>
        <w:tc>
          <w:tcPr>
            <w:tcW w:w="15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Weighted-</w:t>
            </w:r>
          </w:p>
        </w:tc>
        <w:tc>
          <w:tcPr>
            <w:tcW w:w="14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4"/>
              </w:rPr>
              <w:t>Aggregate Intrinsic Value(1)</w:t>
            </w:r>
          </w:p>
        </w:tc>
        <w:tc>
          <w:tcPr>
            <w:tcW w:w="0" w:type="dxa"/>
            <w:vAlign w:val="bottom"/>
          </w:tcPr>
          <w:p>
            <w:pPr>
              <w:spacing w:after="0"/>
              <w:rPr>
                <w:sz w:val="1"/>
                <w:szCs w:val="1"/>
                <w:color w:val="auto"/>
              </w:rPr>
            </w:pPr>
          </w:p>
        </w:tc>
      </w:tr>
      <w:tr>
        <w:trPr>
          <w:trHeight w:val="106"/>
        </w:trPr>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90"/>
              </w:rPr>
              <w:t>Exercise Price</w:t>
            </w:r>
          </w:p>
        </w:tc>
        <w:tc>
          <w:tcPr>
            <w:tcW w:w="154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3"/>
              </w:rPr>
              <w:t>Average Remaining</w:t>
            </w: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ind w:right="231"/>
              <w:spacing w:after="0"/>
              <w:rPr>
                <w:sz w:val="20"/>
                <w:szCs w:val="20"/>
                <w:color w:val="auto"/>
              </w:rPr>
            </w:pPr>
            <w:r>
              <w:rPr>
                <w:rFonts w:ascii="Arial" w:cs="Arial" w:eastAsia="Arial" w:hAnsi="Arial"/>
                <w:sz w:val="11"/>
                <w:szCs w:val="11"/>
                <w:b w:val="1"/>
                <w:bCs w:val="1"/>
                <w:color w:val="auto"/>
              </w:rPr>
              <w:t>Options (in 000s)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per Option</w:t>
            </w:r>
          </w:p>
        </w:tc>
        <w:tc>
          <w:tcPr>
            <w:tcW w:w="15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Contractual Life (in Years)</w:t>
            </w:r>
          </w:p>
        </w:tc>
        <w:tc>
          <w:tcPr>
            <w:tcW w:w="300" w:type="dxa"/>
            <w:vAlign w:val="bottom"/>
          </w:tcPr>
          <w:p>
            <w:pPr>
              <w:spacing w:after="0"/>
              <w:rPr>
                <w:sz w:val="12"/>
                <w:szCs w:val="12"/>
                <w:color w:val="auto"/>
              </w:rPr>
            </w:pPr>
          </w:p>
        </w:tc>
        <w:tc>
          <w:tcPr>
            <w:tcW w:w="1120" w:type="dxa"/>
            <w:vAlign w:val="bottom"/>
          </w:tcPr>
          <w:p>
            <w:pPr>
              <w:jc w:val="right"/>
              <w:ind w:right="431"/>
              <w:spacing w:after="0"/>
              <w:rPr>
                <w:sz w:val="20"/>
                <w:szCs w:val="20"/>
                <w:color w:val="auto"/>
              </w:rPr>
            </w:pPr>
            <w:r>
              <w:rPr>
                <w:rFonts w:ascii="Arial" w:cs="Arial" w:eastAsia="Arial" w:hAnsi="Arial"/>
                <w:sz w:val="11"/>
                <w:szCs w:val="11"/>
                <w:b w:val="1"/>
                <w:bCs w:val="1"/>
                <w:color w:val="auto"/>
              </w:rPr>
              <w:t>in (000s)</w:t>
            </w:r>
          </w:p>
        </w:tc>
        <w:tc>
          <w:tcPr>
            <w:tcW w:w="0" w:type="dxa"/>
            <w:vAlign w:val="bottom"/>
          </w:tcPr>
          <w:p>
            <w:pPr>
              <w:spacing w:after="0"/>
              <w:rPr>
                <w:sz w:val="1"/>
                <w:szCs w:val="1"/>
                <w:color w:val="auto"/>
              </w:rPr>
            </w:pPr>
          </w:p>
        </w:tc>
      </w:tr>
      <w:tr>
        <w:trPr>
          <w:trHeight w:val="171"/>
        </w:trPr>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Options 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50</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13.08</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Options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280" w:type="dxa"/>
            <w:vAlign w:val="bottom"/>
            <w:tcBorders>
              <w:bottom w:val="single" w:sz="8" w:color="CCEEFF"/>
            </w:tcBorders>
            <w:gridSpan w:val="2"/>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8.73</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Options 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117</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Option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280" w:type="dxa"/>
            <w:vAlign w:val="bottom"/>
            <w:tcBorders>
              <w:bottom w:val="single" w:sz="8" w:color="CCEEFF"/>
            </w:tcBorders>
            <w:gridSpan w:val="2"/>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9.22</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80"/>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Options 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92</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Options 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280" w:type="dxa"/>
            <w:vAlign w:val="bottom"/>
            <w:tcBorders>
              <w:bottom w:val="single" w:sz="8" w:color="CCEEFF"/>
            </w:tcBorders>
            <w:gridSpan w:val="2"/>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10.49</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Vested at December 31, 2021</w:t>
            </w:r>
          </w:p>
        </w:tc>
        <w:tc>
          <w:tcPr>
            <w:tcW w:w="1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1,503</w:t>
            </w:r>
          </w:p>
        </w:tc>
        <w:tc>
          <w:tcPr>
            <w:tcW w:w="28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3" w:lineRule="exact"/>
              <w:rPr>
                <w:sz w:val="20"/>
                <w:szCs w:val="20"/>
                <w:color w:val="auto"/>
              </w:rPr>
            </w:pPr>
            <w:r>
              <w:rPr>
                <w:rFonts w:ascii="Arial" w:cs="Arial" w:eastAsia="Arial" w:hAnsi="Arial"/>
                <w:sz w:val="14"/>
                <w:szCs w:val="14"/>
                <w:color w:val="auto"/>
              </w:rPr>
              <w:t>7.13</w:t>
            </w:r>
          </w:p>
        </w:tc>
        <w:tc>
          <w:tcPr>
            <w:tcW w:w="80" w:type="dxa"/>
            <w:vAlign w:val="bottom"/>
          </w:tcPr>
          <w:p>
            <w:pPr>
              <w:spacing w:after="0"/>
              <w:rPr>
                <w:sz w:val="12"/>
                <w:szCs w:val="12"/>
                <w:color w:val="auto"/>
              </w:rPr>
            </w:pPr>
          </w:p>
        </w:tc>
        <w:tc>
          <w:tcPr>
            <w:tcW w:w="1440" w:type="dxa"/>
            <w:vAlign w:val="bottom"/>
          </w:tcPr>
          <w:p>
            <w:pPr>
              <w:jc w:val="right"/>
              <w:spacing w:after="0" w:line="143"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3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Unvested awards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231F20"/>
              </w:rPr>
              <w:t>_________________________</w:t>
            </w: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60" w:hanging="255"/>
        <w:spacing w:after="0" w:line="280" w:lineRule="auto"/>
        <w:tabs>
          <w:tab w:leader="none" w:pos="255" w:val="left"/>
        </w:tabs>
        <w:numPr>
          <w:ilvl w:val="0"/>
          <w:numId w:val="45"/>
        </w:numPr>
        <w:rPr>
          <w:rFonts w:ascii="Arial" w:cs="Arial" w:eastAsia="Arial" w:hAnsi="Arial"/>
          <w:sz w:val="14"/>
          <w:szCs w:val="14"/>
          <w:color w:val="auto"/>
        </w:rPr>
      </w:pPr>
      <w:r>
        <w:rPr>
          <w:rFonts w:ascii="Arial" w:cs="Arial" w:eastAsia="Arial" w:hAnsi="Arial"/>
          <w:sz w:val="14"/>
          <w:szCs w:val="14"/>
          <w:color w:val="auto"/>
        </w:rPr>
        <w:t>Aggregate intrinsic value as of December 31, 2021 was calculated as the difference between the closing price per share of our common stock on the last trading day of 2021, which was $3.92, and the exercise price of the options, multiplied by the number of in-the-money options.</w:t>
      </w:r>
    </w:p>
    <w:p>
      <w:pPr>
        <w:spacing w:after="0" w:line="69" w:lineRule="exact"/>
        <w:rPr>
          <w:sz w:val="20"/>
          <w:szCs w:val="20"/>
          <w:color w:val="auto"/>
        </w:rPr>
      </w:pPr>
    </w:p>
    <w:p>
      <w:pPr>
        <w:ind w:right="220" w:firstLine="254"/>
        <w:spacing w:after="0" w:line="280" w:lineRule="auto"/>
        <w:rPr>
          <w:sz w:val="20"/>
          <w:szCs w:val="20"/>
          <w:color w:val="auto"/>
        </w:rPr>
      </w:pPr>
      <w:r>
        <w:rPr>
          <w:rFonts w:ascii="Arial" w:cs="Arial" w:eastAsia="Arial" w:hAnsi="Arial"/>
          <w:sz w:val="14"/>
          <w:szCs w:val="14"/>
          <w:color w:val="auto"/>
        </w:rPr>
        <w:t>As of December 31, 2021, the unrecognized compensation costs related to outstanding unvested options under our equity incentive plans were $0.3 million. We expect to recognize those costs over a weighted average period of 0.8 years.</w:t>
      </w:r>
    </w:p>
    <w:p>
      <w:pPr>
        <w:spacing w:after="0" w:line="32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145"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i w:val="1"/>
          <w:iCs w:val="1"/>
          <w:color w:val="auto"/>
        </w:rPr>
        <w:t>Performance-based Awards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Performance Stock Units with Market Condition</w:t>
      </w:r>
    </w:p>
    <w:p>
      <w:pPr>
        <w:spacing w:after="0" w:line="114" w:lineRule="exact"/>
        <w:rPr>
          <w:sz w:val="20"/>
          <w:szCs w:val="20"/>
          <w:color w:val="auto"/>
        </w:rPr>
      </w:pPr>
    </w:p>
    <w:p>
      <w:pPr>
        <w:ind w:right="120" w:firstLine="254"/>
        <w:spacing w:after="0" w:line="296" w:lineRule="auto"/>
        <w:rPr>
          <w:sz w:val="20"/>
          <w:szCs w:val="20"/>
          <w:color w:val="auto"/>
        </w:rPr>
      </w:pPr>
      <w:r>
        <w:rPr>
          <w:rFonts w:ascii="Arial" w:cs="Arial" w:eastAsia="Arial" w:hAnsi="Arial"/>
          <w:sz w:val="13"/>
          <w:szCs w:val="13"/>
          <w:color w:val="auto"/>
        </w:rPr>
        <w:t>We have granted performance stock units to certain executive officers and senior level employees. The number of performance stock units ultimately earned under these awards is calculated based on the Total Shareholder Return (TSR) of our common stock as compared to the TSR of a defined group of peer companies during the applicable three-year performance period. The percentage of performance stock units that vest will depend on our relative position at the end of the performance period and can range from 0% to 200% of the number of units granted.</w:t>
      </w:r>
    </w:p>
    <w:p>
      <w:pPr>
        <w:spacing w:after="0" w:line="72" w:lineRule="exact"/>
        <w:rPr>
          <w:sz w:val="20"/>
          <w:szCs w:val="20"/>
          <w:color w:val="auto"/>
        </w:rPr>
      </w:pPr>
    </w:p>
    <w:p>
      <w:pPr>
        <w:ind w:right="280" w:firstLine="254"/>
        <w:spacing w:after="0" w:line="271" w:lineRule="auto"/>
        <w:rPr>
          <w:sz w:val="20"/>
          <w:szCs w:val="20"/>
          <w:color w:val="auto"/>
        </w:rPr>
      </w:pPr>
      <w:r>
        <w:rPr>
          <w:rFonts w:ascii="Arial" w:cs="Arial" w:eastAsia="Arial" w:hAnsi="Arial"/>
          <w:sz w:val="14"/>
          <w:szCs w:val="14"/>
          <w:color w:val="auto"/>
        </w:rPr>
        <w:t>Based on the performance of our stock relative to our defined group of peer companies for the period 2018 to 2020, PSUs awarded in 2018 vested in 2021 at a rate of 118.6% of the target. The performance adjustment in the table below reflects the impact of the above-target performance.</w:t>
      </w:r>
    </w:p>
    <w:tbl>
      <w:tblPr>
        <w:tblLayout w:type="fixed"/>
        <w:tblInd w:w="260" w:type="dxa"/>
        <w:tblCellMar>
          <w:top w:w="0" w:type="dxa"/>
          <w:left w:w="0" w:type="dxa"/>
          <w:bottom w:w="0" w:type="dxa"/>
          <w:right w:w="0" w:type="dxa"/>
        </w:tblCellMar>
      </w:tblPr>
      <w:tr>
        <w:trPr>
          <w:trHeight w:val="113"/>
        </w:trPr>
        <w:tc>
          <w:tcPr>
            <w:tcW w:w="8120" w:type="dxa"/>
            <w:vAlign w:val="bottom"/>
          </w:tcPr>
          <w:p>
            <w:pPr>
              <w:spacing w:after="0"/>
              <w:rPr>
                <w:sz w:val="9"/>
                <w:szCs w:val="9"/>
                <w:color w:val="auto"/>
              </w:rPr>
            </w:pPr>
          </w:p>
        </w:tc>
        <w:tc>
          <w:tcPr>
            <w:tcW w:w="1420" w:type="dxa"/>
            <w:vAlign w:val="bottom"/>
            <w:gridSpan w:val="2"/>
          </w:tcPr>
          <w:p>
            <w:pPr>
              <w:jc w:val="right"/>
              <w:ind w:right="29"/>
              <w:spacing w:after="0" w:line="113" w:lineRule="exact"/>
              <w:rPr>
                <w:sz w:val="20"/>
                <w:szCs w:val="20"/>
                <w:color w:val="auto"/>
              </w:rPr>
            </w:pPr>
            <w:r>
              <w:rPr>
                <w:rFonts w:ascii="Arial" w:cs="Arial" w:eastAsia="Arial" w:hAnsi="Arial"/>
                <w:sz w:val="11"/>
                <w:szCs w:val="11"/>
                <w:b w:val="1"/>
                <w:bCs w:val="1"/>
                <w:color w:val="auto"/>
              </w:rPr>
              <w:t>Number of Units (in</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jc w:val="right"/>
              <w:ind w:right="11"/>
              <w:spacing w:after="0" w:line="113" w:lineRule="exact"/>
              <w:rPr>
                <w:sz w:val="20"/>
                <w:szCs w:val="20"/>
                <w:color w:val="auto"/>
              </w:rPr>
            </w:pPr>
            <w:r>
              <w:rPr>
                <w:rFonts w:ascii="Arial" w:cs="Arial" w:eastAsia="Arial" w:hAnsi="Arial"/>
                <w:sz w:val="11"/>
                <w:szCs w:val="11"/>
                <w:b w:val="1"/>
                <w:bCs w:val="1"/>
                <w:color w:val="auto"/>
                <w:w w:val="99"/>
              </w:rPr>
              <w:t>Weighted-Average</w:t>
            </w:r>
          </w:p>
        </w:tc>
      </w:tr>
      <w:tr>
        <w:trPr>
          <w:trHeight w:val="147"/>
        </w:trPr>
        <w:tc>
          <w:tcPr>
            <w:tcW w:w="81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000s)</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Grant Date Fair Value per U</w:t>
            </w:r>
          </w:p>
        </w:tc>
      </w:tr>
      <w:tr>
        <w:trPr>
          <w:trHeight w:val="171"/>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Balance at December 31, 2018</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9060" w:type="dxa"/>
            <w:vAlign w:val="bottom"/>
            <w:gridSpan w:val="2"/>
          </w:tcPr>
          <w:p>
            <w:pPr>
              <w:ind w:left="260"/>
              <w:spacing w:after="0"/>
              <w:rPr>
                <w:sz w:val="20"/>
                <w:szCs w:val="20"/>
                <w:color w:val="auto"/>
              </w:rPr>
            </w:pPr>
            <w:r>
              <w:rPr>
                <w:rFonts w:ascii="Arial" w:cs="Arial" w:eastAsia="Arial" w:hAnsi="Arial"/>
                <w:sz w:val="14"/>
                <w:szCs w:val="14"/>
                <w:color w:val="auto"/>
              </w:rPr>
              <w:t>PSU granted</w:t>
            </w:r>
          </w:p>
        </w:tc>
        <w:tc>
          <w:tcPr>
            <w:tcW w:w="480" w:type="dxa"/>
            <w:vAlign w:val="bottom"/>
          </w:tcPr>
          <w:p>
            <w:pPr>
              <w:jc w:val="right"/>
              <w:spacing w:after="0"/>
              <w:rPr>
                <w:sz w:val="20"/>
                <w:szCs w:val="20"/>
                <w:color w:val="auto"/>
              </w:rPr>
            </w:pPr>
            <w:r>
              <w:rPr>
                <w:rFonts w:ascii="Arial" w:cs="Arial" w:eastAsia="Arial" w:hAnsi="Arial"/>
                <w:sz w:val="14"/>
                <w:szCs w:val="14"/>
                <w:color w:val="auto"/>
              </w:rPr>
              <w:t>401</w:t>
            </w:r>
          </w:p>
        </w:tc>
        <w:tc>
          <w:tcPr>
            <w:tcW w:w="5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0"/>
        </w:trPr>
        <w:tc>
          <w:tcPr>
            <w:tcW w:w="90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PSU released</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9060" w:type="dxa"/>
            <w:vAlign w:val="bottom"/>
            <w:gridSpan w:val="2"/>
          </w:tcPr>
          <w:p>
            <w:pPr>
              <w:ind w:left="260"/>
              <w:spacing w:after="0"/>
              <w:rPr>
                <w:sz w:val="20"/>
                <w:szCs w:val="20"/>
                <w:color w:val="auto"/>
              </w:rPr>
            </w:pPr>
            <w:r>
              <w:rPr>
                <w:rFonts w:ascii="Arial" w:cs="Arial" w:eastAsia="Arial" w:hAnsi="Arial"/>
                <w:sz w:val="14"/>
                <w:szCs w:val="14"/>
                <w:color w:val="auto"/>
              </w:rPr>
              <w:t>PSU forfeited</w:t>
            </w: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5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81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Balance at December 31, 2019</w:t>
            </w:r>
          </w:p>
        </w:tc>
        <w:tc>
          <w:tcPr>
            <w:tcW w:w="9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500" w:type="dxa"/>
            <w:vAlign w:val="bottom"/>
            <w:tcBorders>
              <w:top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9060" w:type="dxa"/>
            <w:vAlign w:val="bottom"/>
            <w:gridSpan w:val="2"/>
          </w:tcPr>
          <w:p>
            <w:pPr>
              <w:ind w:left="260"/>
              <w:spacing w:after="0"/>
              <w:rPr>
                <w:sz w:val="20"/>
                <w:szCs w:val="20"/>
                <w:color w:val="auto"/>
              </w:rPr>
            </w:pPr>
            <w:r>
              <w:rPr>
                <w:rFonts w:ascii="Arial" w:cs="Arial" w:eastAsia="Arial" w:hAnsi="Arial"/>
                <w:sz w:val="14"/>
                <w:szCs w:val="14"/>
                <w:color w:val="auto"/>
              </w:rPr>
              <w:t>PSU granted</w:t>
            </w:r>
          </w:p>
        </w:tc>
        <w:tc>
          <w:tcPr>
            <w:tcW w:w="480" w:type="dxa"/>
            <w:vAlign w:val="bottom"/>
          </w:tcPr>
          <w:p>
            <w:pPr>
              <w:jc w:val="right"/>
              <w:spacing w:after="0"/>
              <w:rPr>
                <w:sz w:val="20"/>
                <w:szCs w:val="20"/>
                <w:color w:val="auto"/>
              </w:rPr>
            </w:pPr>
            <w:r>
              <w:rPr>
                <w:rFonts w:ascii="Arial" w:cs="Arial" w:eastAsia="Arial" w:hAnsi="Arial"/>
                <w:sz w:val="14"/>
                <w:szCs w:val="14"/>
                <w:color w:val="auto"/>
              </w:rPr>
              <w:t>509</w:t>
            </w:r>
          </w:p>
        </w:tc>
        <w:tc>
          <w:tcPr>
            <w:tcW w:w="5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90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PSU released</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9060" w:type="dxa"/>
            <w:vAlign w:val="bottom"/>
            <w:gridSpan w:val="2"/>
          </w:tcPr>
          <w:p>
            <w:pPr>
              <w:ind w:left="260"/>
              <w:spacing w:after="0"/>
              <w:rPr>
                <w:sz w:val="20"/>
                <w:szCs w:val="20"/>
                <w:color w:val="auto"/>
              </w:rPr>
            </w:pPr>
            <w:r>
              <w:rPr>
                <w:rFonts w:ascii="Arial" w:cs="Arial" w:eastAsia="Arial" w:hAnsi="Arial"/>
                <w:sz w:val="14"/>
                <w:szCs w:val="14"/>
                <w:color w:val="auto"/>
              </w:rPr>
              <w:t>PSU forfeited</w:t>
            </w:r>
          </w:p>
        </w:tc>
        <w:tc>
          <w:tcPr>
            <w:tcW w:w="480" w:type="dxa"/>
            <w:vAlign w:val="bottom"/>
          </w:tcPr>
          <w:p>
            <w:pPr>
              <w:jc w:val="right"/>
              <w:spacing w:after="0"/>
              <w:rPr>
                <w:sz w:val="20"/>
                <w:szCs w:val="20"/>
                <w:color w:val="auto"/>
              </w:rPr>
            </w:pPr>
            <w:r>
              <w:rPr>
                <w:rFonts w:ascii="Arial" w:cs="Arial" w:eastAsia="Arial" w:hAnsi="Arial"/>
                <w:sz w:val="14"/>
                <w:szCs w:val="14"/>
                <w:color w:val="auto"/>
              </w:rPr>
              <w:t>(94)</w:t>
            </w:r>
          </w:p>
        </w:tc>
        <w:tc>
          <w:tcPr>
            <w:tcW w:w="5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71"/>
        </w:trPr>
        <w:tc>
          <w:tcPr>
            <w:tcW w:w="81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Balance at December 31, 2020</w:t>
            </w:r>
          </w:p>
        </w:tc>
        <w:tc>
          <w:tcPr>
            <w:tcW w:w="9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500" w:type="dxa"/>
            <w:vAlign w:val="bottom"/>
            <w:tcBorders>
              <w:top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9060" w:type="dxa"/>
            <w:vAlign w:val="bottom"/>
            <w:gridSpan w:val="2"/>
          </w:tcPr>
          <w:p>
            <w:pPr>
              <w:ind w:left="260"/>
              <w:spacing w:after="0"/>
              <w:rPr>
                <w:sz w:val="20"/>
                <w:szCs w:val="20"/>
                <w:color w:val="auto"/>
              </w:rPr>
            </w:pPr>
            <w:r>
              <w:rPr>
                <w:rFonts w:ascii="Arial" w:cs="Arial" w:eastAsia="Arial" w:hAnsi="Arial"/>
                <w:sz w:val="14"/>
                <w:szCs w:val="14"/>
                <w:color w:val="auto"/>
              </w:rPr>
              <w:t>PSU granted</w:t>
            </w:r>
          </w:p>
        </w:tc>
        <w:tc>
          <w:tcPr>
            <w:tcW w:w="480" w:type="dxa"/>
            <w:vAlign w:val="bottom"/>
          </w:tcPr>
          <w:p>
            <w:pPr>
              <w:jc w:val="right"/>
              <w:spacing w:after="0"/>
              <w:rPr>
                <w:sz w:val="20"/>
                <w:szCs w:val="20"/>
                <w:color w:val="auto"/>
              </w:rPr>
            </w:pPr>
            <w:r>
              <w:rPr>
                <w:rFonts w:ascii="Arial" w:cs="Arial" w:eastAsia="Arial" w:hAnsi="Arial"/>
                <w:sz w:val="14"/>
                <w:szCs w:val="14"/>
                <w:color w:val="auto"/>
              </w:rPr>
              <w:t>396</w:t>
            </w:r>
          </w:p>
        </w:tc>
        <w:tc>
          <w:tcPr>
            <w:tcW w:w="5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90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Performance adjustment for 2018 awards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5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9060" w:type="dxa"/>
            <w:vAlign w:val="bottom"/>
            <w:gridSpan w:val="2"/>
          </w:tcPr>
          <w:p>
            <w:pPr>
              <w:ind w:left="260"/>
              <w:spacing w:after="0"/>
              <w:rPr>
                <w:sz w:val="20"/>
                <w:szCs w:val="20"/>
                <w:color w:val="auto"/>
              </w:rPr>
            </w:pPr>
            <w:r>
              <w:rPr>
                <w:rFonts w:ascii="Arial" w:cs="Arial" w:eastAsia="Arial" w:hAnsi="Arial"/>
                <w:sz w:val="14"/>
                <w:szCs w:val="14"/>
                <w:color w:val="auto"/>
              </w:rPr>
              <w:t>PSU released</w:t>
            </w:r>
          </w:p>
        </w:tc>
        <w:tc>
          <w:tcPr>
            <w:tcW w:w="480" w:type="dxa"/>
            <w:vAlign w:val="bottom"/>
          </w:tcPr>
          <w:p>
            <w:pPr>
              <w:jc w:val="right"/>
              <w:spacing w:after="0"/>
              <w:rPr>
                <w:sz w:val="20"/>
                <w:szCs w:val="20"/>
                <w:color w:val="auto"/>
              </w:rPr>
            </w:pPr>
            <w:r>
              <w:rPr>
                <w:rFonts w:ascii="Arial" w:cs="Arial" w:eastAsia="Arial" w:hAnsi="Arial"/>
                <w:sz w:val="14"/>
                <w:szCs w:val="14"/>
                <w:color w:val="auto"/>
              </w:rPr>
              <w:t>(133)</w:t>
            </w:r>
          </w:p>
        </w:tc>
        <w:tc>
          <w:tcPr>
            <w:tcW w:w="5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PSU forfeited</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50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71"/>
        </w:trPr>
        <w:tc>
          <w:tcPr>
            <w:tcW w:w="9060" w:type="dxa"/>
            <w:vAlign w:val="bottom"/>
            <w:gridSpan w:val="2"/>
          </w:tcPr>
          <w:p>
            <w:pPr>
              <w:ind w:left="260"/>
              <w:spacing w:after="0"/>
              <w:rPr>
                <w:sz w:val="20"/>
                <w:szCs w:val="20"/>
                <w:color w:val="auto"/>
              </w:rPr>
            </w:pPr>
            <w:r>
              <w:rPr>
                <w:rFonts w:ascii="Arial" w:cs="Arial" w:eastAsia="Arial" w:hAnsi="Arial"/>
                <w:sz w:val="14"/>
                <w:szCs w:val="14"/>
                <w:color w:val="auto"/>
              </w:rPr>
              <w:t>Balance at December 31, 2021</w:t>
            </w:r>
          </w:p>
        </w:tc>
        <w:tc>
          <w:tcPr>
            <w:tcW w:w="480" w:type="dxa"/>
            <w:vAlign w:val="bottom"/>
          </w:tcPr>
          <w:p>
            <w:pPr>
              <w:jc w:val="right"/>
              <w:spacing w:after="0"/>
              <w:rPr>
                <w:sz w:val="20"/>
                <w:szCs w:val="20"/>
                <w:color w:val="auto"/>
              </w:rPr>
            </w:pPr>
            <w:r>
              <w:rPr>
                <w:rFonts w:ascii="Arial" w:cs="Arial" w:eastAsia="Arial" w:hAnsi="Arial"/>
                <w:sz w:val="14"/>
                <w:szCs w:val="14"/>
                <w:color w:val="auto"/>
              </w:rPr>
              <w:t>1,210</w:t>
            </w:r>
          </w:p>
        </w:tc>
        <w:tc>
          <w:tcPr>
            <w:tcW w:w="50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8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1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December 31, 2021, the unrecognized compensation costs related to these awards were $3.8 million. We expect to recognize those costs over a weighted average period of 1.8 years.</w:t>
      </w:r>
    </w:p>
    <w:p>
      <w:pPr>
        <w:spacing w:after="0" w:line="136" w:lineRule="exact"/>
        <w:rPr>
          <w:sz w:val="20"/>
          <w:szCs w:val="20"/>
          <w:color w:val="auto"/>
        </w:rPr>
      </w:pPr>
    </w:p>
    <w:p>
      <w:pPr>
        <w:ind w:right="280" w:firstLine="254"/>
        <w:spacing w:after="0" w:line="280" w:lineRule="auto"/>
        <w:rPr>
          <w:sz w:val="20"/>
          <w:szCs w:val="20"/>
          <w:color w:val="auto"/>
        </w:rPr>
      </w:pPr>
      <w:r>
        <w:rPr>
          <w:rFonts w:ascii="Arial" w:cs="Arial" w:eastAsia="Arial" w:hAnsi="Arial"/>
          <w:sz w:val="14"/>
          <w:szCs w:val="14"/>
          <w:color w:val="auto"/>
        </w:rPr>
        <w:t>The PSU awards above include 0.3 million of PSUs awarded in 2019. Based on the performance of our stock relative to our defined group of peer companies for the period 2019 to 2021, these awards did not meet the minimum target and the shares returned to the 2011 Equity Plan pool in early 2022.</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Performance Stock Units with Performance Conditions</w:t>
      </w:r>
    </w:p>
    <w:p>
      <w:pPr>
        <w:spacing w:after="0" w:line="114" w:lineRule="exact"/>
        <w:rPr>
          <w:sz w:val="20"/>
          <w:szCs w:val="20"/>
          <w:color w:val="auto"/>
        </w:rPr>
      </w:pPr>
    </w:p>
    <w:p>
      <w:pPr>
        <w:jc w:val="both"/>
        <w:ind w:right="220" w:firstLine="254"/>
        <w:spacing w:after="0" w:line="331" w:lineRule="auto"/>
        <w:rPr>
          <w:sz w:val="20"/>
          <w:szCs w:val="20"/>
          <w:color w:val="auto"/>
        </w:rPr>
      </w:pPr>
      <w:r>
        <w:rPr>
          <w:rFonts w:ascii="Arial" w:cs="Arial" w:eastAsia="Arial" w:hAnsi="Arial"/>
          <w:sz w:val="12"/>
          <w:szCs w:val="12"/>
          <w:color w:val="auto"/>
        </w:rPr>
        <w:t>During 2019, we granted performance stock units to a certain employee. The number of performance stock units that ultimately vest under these awards is dependent on the employee achieving certain discrete operational milestones on or before predetermined measurement dates, the latest of which was December 31, 2021. As of December 31, 2021, there were approximately 29 thousand units of these awards outstanding with a weighted-average grant date fair value of $6.46 per unit. The operational milestones were not met and the awards were cancelled in early 2022.</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2017 Employee Stock Purchase Plan (ESPP)</w:t>
      </w:r>
    </w:p>
    <w:p>
      <w:pPr>
        <w:spacing w:after="0" w:line="129" w:lineRule="exact"/>
        <w:rPr>
          <w:sz w:val="20"/>
          <w:szCs w:val="20"/>
          <w:color w:val="auto"/>
        </w:rPr>
      </w:pPr>
    </w:p>
    <w:p>
      <w:pPr>
        <w:ind w:right="100" w:firstLine="254"/>
        <w:spacing w:after="0" w:line="261" w:lineRule="auto"/>
        <w:rPr>
          <w:sz w:val="20"/>
          <w:szCs w:val="20"/>
          <w:color w:val="auto"/>
        </w:rPr>
      </w:pPr>
      <w:r>
        <w:rPr>
          <w:rFonts w:ascii="Arial" w:cs="Arial" w:eastAsia="Arial" w:hAnsi="Arial"/>
          <w:sz w:val="14"/>
          <w:szCs w:val="14"/>
          <w:color w:val="auto"/>
        </w:rPr>
        <w:t>Our ESPP offers U.S. and some non-U.S. employees the right to purchase shares of our common stock. Our ESPP program has a six-month offering period, with a new period commencing on the first trading day on or after May 31 and November 30 of each year. Employees are eligible to participate through payroll deductions of up to 10% of their compensation. Employees may not purchase more than $25 thousand of stock for any calendar year. Shares are sold to employees under the ESPP for 85% of the lower of the fair market value of a share of our common stock on the first day of the offering period or the last day of the offering period.</w:t>
      </w: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60"/>
          </w:cols>
          <w:pgMar w:left="300" w:top="1315" w:right="2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Stock-based Compensation Expense</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stock-based compensation expense recognized was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3"/>
              </w:rPr>
              <w:t>For the 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stock options and performance share units</w:t>
            </w:r>
          </w:p>
        </w:tc>
        <w:tc>
          <w:tcPr>
            <w:tcW w:w="14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10,555</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4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4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14. Income Taxes</w:t>
            </w:r>
          </w:p>
        </w:tc>
        <w:tc>
          <w:tcPr>
            <w:tcW w:w="1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53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260"/>
              <w:spacing w:after="0"/>
              <w:rPr>
                <w:sz w:val="20"/>
                <w:szCs w:val="20"/>
                <w:color w:val="auto"/>
              </w:rPr>
            </w:pPr>
            <w:r>
              <w:rPr>
                <w:rFonts w:ascii="Arial" w:cs="Arial" w:eastAsia="Arial" w:hAnsi="Arial"/>
                <w:sz w:val="14"/>
                <w:szCs w:val="14"/>
                <w:color w:val="auto"/>
              </w:rPr>
              <w:t>Our loss before income taxes consists of the following (in thousands):</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3"/>
              </w:rPr>
              <w:t>Year Ended December 31,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14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(56,291)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(59,900)</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14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(6,805)</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4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(63,660)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(54,101)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(66,705)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color w:val="auto"/>
                <w:w w:val="97"/>
              </w:rPr>
              <w:t>Significant components of our benefit for income taxes are as follows (in thousands):</w:t>
            </w:r>
          </w:p>
        </w:tc>
        <w:tc>
          <w:tcPr>
            <w:tcW w:w="1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3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3"/>
              </w:rPr>
              <w:t>Year Ended December 31,</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60" w:type="dxa"/>
            <w:vAlign w:val="bottom"/>
          </w:tcPr>
          <w:p>
            <w:pPr>
              <w:ind w:left="280"/>
              <w:spacing w:after="0"/>
              <w:rPr>
                <w:sz w:val="20"/>
                <w:szCs w:val="20"/>
                <w:color w:val="auto"/>
              </w:rPr>
            </w:pPr>
            <w:r>
              <w:rPr>
                <w:rFonts w:ascii="Arial" w:cs="Arial" w:eastAsia="Arial" w:hAnsi="Arial"/>
                <w:sz w:val="14"/>
                <w:szCs w:val="14"/>
                <w:color w:val="auto"/>
              </w:rPr>
              <w:t>Federal</w:t>
            </w:r>
          </w:p>
        </w:tc>
        <w:tc>
          <w:tcPr>
            <w:tcW w:w="2320" w:type="dxa"/>
            <w:vAlign w:val="bottom"/>
            <w:gridSpan w:val="2"/>
          </w:tcPr>
          <w:p>
            <w:pPr>
              <w:jc w:val="right"/>
              <w:ind w:right="735"/>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14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7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tax (expense) benefit</w:t>
            </w:r>
          </w:p>
        </w:tc>
        <w:tc>
          <w:tcPr>
            <w:tcW w:w="1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rPr>
                <w:sz w:val="20"/>
                <w:szCs w:val="20"/>
                <w:color w:val="auto"/>
              </w:rPr>
            </w:pPr>
            <w:r>
              <w:rPr>
                <w:rFonts w:ascii="Arial" w:cs="Arial" w:eastAsia="Arial" w:hAnsi="Arial"/>
                <w:sz w:val="14"/>
                <w:szCs w:val="14"/>
                <w:color w:val="auto"/>
              </w:rPr>
              <w:t>Deferred:</w:t>
            </w: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14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w:t>
            </w:r>
          </w:p>
        </w:tc>
        <w:tc>
          <w:tcPr>
            <w:tcW w:w="0" w:type="dxa"/>
            <w:vAlign w:val="bottom"/>
          </w:tcPr>
          <w:p>
            <w:pPr>
              <w:spacing w:after="0"/>
              <w:rPr>
                <w:sz w:val="1"/>
                <w:szCs w:val="1"/>
                <w:color w:val="auto"/>
              </w:rPr>
            </w:pPr>
          </w:p>
        </w:tc>
      </w:tr>
      <w:tr>
        <w:trPr>
          <w:trHeight w:val="17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benefit</w:t>
            </w:r>
          </w:p>
        </w:tc>
        <w:tc>
          <w:tcPr>
            <w:tcW w:w="144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0" w:type="dxa"/>
            <w:vAlign w:val="bottom"/>
          </w:tcPr>
          <w:p>
            <w:pPr>
              <w:spacing w:after="0"/>
              <w:rPr>
                <w:sz w:val="1"/>
                <w:szCs w:val="1"/>
                <w:color w:val="auto"/>
              </w:rPr>
            </w:pPr>
          </w:p>
        </w:tc>
      </w:tr>
      <w:tr>
        <w:trPr>
          <w:trHeight w:val="171"/>
        </w:trPr>
        <w:tc>
          <w:tcPr>
            <w:tcW w:w="5360" w:type="dxa"/>
            <w:vAlign w:val="bottom"/>
          </w:tcPr>
          <w:p>
            <w:pPr>
              <w:ind w:left="20"/>
              <w:spacing w:after="0"/>
              <w:rPr>
                <w:sz w:val="20"/>
                <w:szCs w:val="20"/>
                <w:color w:val="auto"/>
              </w:rPr>
            </w:pPr>
            <w:r>
              <w:rPr>
                <w:rFonts w:ascii="Arial" w:cs="Arial" w:eastAsia="Arial" w:hAnsi="Arial"/>
                <w:sz w:val="14"/>
                <w:szCs w:val="14"/>
                <w:color w:val="auto"/>
              </w:rPr>
              <w:t>Total benefit for income taxes</w:t>
            </w:r>
          </w:p>
        </w:tc>
        <w:tc>
          <w:tcPr>
            <w:tcW w:w="1440" w:type="dxa"/>
            <w:vAlign w:val="bottom"/>
          </w:tcPr>
          <w:p>
            <w:pPr>
              <w:spacing w:after="0"/>
              <w:rPr>
                <w:sz w:val="14"/>
                <w:szCs w:val="14"/>
                <w:color w:val="auto"/>
              </w:rPr>
            </w:pPr>
          </w:p>
        </w:tc>
        <w:tc>
          <w:tcPr>
            <w:tcW w:w="8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40" w:type="dxa"/>
            <w:vAlign w:val="bottom"/>
            <w:vMerge w:val="restart"/>
          </w:tcPr>
          <w:p>
            <w:pPr>
              <w:jc w:val="right"/>
              <w:ind w:right="849"/>
              <w:spacing w:after="0"/>
              <w:rPr>
                <w:sz w:val="20"/>
                <w:szCs w:val="20"/>
                <w:color w:val="auto"/>
              </w:rPr>
            </w:pPr>
            <w:r>
              <w:rPr>
                <w:rFonts w:ascii="Arial" w:cs="Arial" w:eastAsia="Arial" w:hAnsi="Arial"/>
                <w:sz w:val="14"/>
                <w:szCs w:val="14"/>
                <w:color w:val="auto"/>
              </w:rPr>
              <w:t>103</w:t>
            </w: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53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36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06" w:name="page107"/>
    <w:bookmarkEnd w:id="106"/>
    <w:p>
      <w:pPr>
        <w:ind w:left="260"/>
        <w:spacing w:after="0"/>
        <w:rPr>
          <w:sz w:val="20"/>
          <w:szCs w:val="20"/>
          <w:color w:val="auto"/>
        </w:rPr>
      </w:pPr>
      <w:r>
        <w:rPr>
          <w:rFonts w:ascii="Arial" w:cs="Arial" w:eastAsia="Arial" w:hAnsi="Arial"/>
          <w:sz w:val="14"/>
          <w:szCs w:val="14"/>
          <w:color w:val="auto"/>
        </w:rPr>
        <w:t>Reconciliation of income taxes at the statutory rate to the benefit from income taxes recorded in the statements of operations is as follows:</w:t>
      </w:r>
    </w:p>
    <w:p>
      <w:pPr>
        <w:spacing w:after="0" w:line="108" w:lineRule="exact"/>
        <w:rPr>
          <w:sz w:val="20"/>
          <w:szCs w:val="20"/>
          <w:color w:val="auto"/>
        </w:rPr>
      </w:pPr>
    </w:p>
    <w:p>
      <w:pPr>
        <w:ind w:left="830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5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2019</w:t>
            </w:r>
          </w:p>
        </w:tc>
      </w:tr>
      <w:tr>
        <w:trPr>
          <w:trHeight w:val="171"/>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benefit at federal statutory rate</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0"/>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State tax expense, net of federal benefit</w:t>
            </w: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1520" w:type="dxa"/>
            <w:vAlign w:val="bottom"/>
          </w:tcPr>
          <w:p>
            <w:pPr>
              <w:jc w:val="right"/>
              <w:ind w:right="91"/>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500" w:type="dxa"/>
            <w:vAlign w:val="bottom"/>
          </w:tcPr>
          <w:p>
            <w:pPr>
              <w:jc w:val="right"/>
              <w:ind w:right="91"/>
              <w:spacing w:after="0"/>
              <w:rPr>
                <w:sz w:val="20"/>
                <w:szCs w:val="20"/>
                <w:color w:val="auto"/>
              </w:rPr>
            </w:pPr>
            <w:r>
              <w:rPr>
                <w:rFonts w:ascii="Arial" w:cs="Arial" w:eastAsia="Arial" w:hAnsi="Arial"/>
                <w:sz w:val="14"/>
                <w:szCs w:val="14"/>
                <w:color w:val="auto"/>
              </w:rPr>
              <w:t>0.9</w:t>
            </w:r>
          </w:p>
        </w:tc>
      </w:tr>
      <w:tr>
        <w:trPr>
          <w:trHeight w:val="18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tax benefit (expense)</w:t>
            </w: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r>
      <w:tr>
        <w:trPr>
          <w:trHeight w:val="180"/>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5"/>
                <w:szCs w:val="15"/>
                <w:color w:val="auto"/>
              </w:rPr>
            </w:pP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500" w:type="dxa"/>
            <w:vAlign w:val="bottom"/>
          </w:tcPr>
          <w:p>
            <w:pPr>
              <w:jc w:val="right"/>
              <w:ind w:right="71"/>
              <w:spacing w:after="0"/>
              <w:rPr>
                <w:sz w:val="20"/>
                <w:szCs w:val="20"/>
                <w:color w:val="auto"/>
              </w:rPr>
            </w:pPr>
            <w:r>
              <w:rPr>
                <w:rFonts w:ascii="Arial" w:cs="Arial" w:eastAsia="Arial" w:hAnsi="Arial"/>
                <w:sz w:val="14"/>
                <w:szCs w:val="14"/>
                <w:color w:val="auto"/>
              </w:rPr>
              <w:t>(6.0)</w:t>
            </w:r>
          </w:p>
        </w:tc>
      </w:tr>
      <w:tr>
        <w:trPr>
          <w:trHeight w:val="18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research and development credit</w:t>
            </w: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0.7</w:t>
            </w:r>
          </w:p>
        </w:tc>
      </w:tr>
      <w:tr>
        <w:trPr>
          <w:trHeight w:val="180"/>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Unrecognized tax benefit</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500" w:type="dxa"/>
            <w:vAlign w:val="bottom"/>
          </w:tcPr>
          <w:p>
            <w:pPr>
              <w:jc w:val="right"/>
              <w:ind w:right="71"/>
              <w:spacing w:after="0"/>
              <w:rPr>
                <w:sz w:val="20"/>
                <w:szCs w:val="20"/>
                <w:color w:val="auto"/>
              </w:rPr>
            </w:pPr>
            <w:r>
              <w:rPr>
                <w:rFonts w:ascii="Arial" w:cs="Arial" w:eastAsia="Arial" w:hAnsi="Arial"/>
                <w:sz w:val="14"/>
                <w:szCs w:val="14"/>
                <w:color w:val="auto"/>
              </w:rPr>
              <w:t>(0.1)</w:t>
            </w:r>
          </w:p>
        </w:tc>
      </w:tr>
      <w:tr>
        <w:trPr>
          <w:trHeight w:val="18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interest/premium</w:t>
            </w: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(7.9)</w:t>
            </w:r>
          </w:p>
        </w:tc>
      </w:tr>
      <w:tr>
        <w:trPr>
          <w:trHeight w:val="180"/>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Global Intangible Low-Tax Income (GILTI)</w:t>
            </w: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71"/>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1500" w:type="dxa"/>
            <w:vAlign w:val="bottom"/>
          </w:tcPr>
          <w:p>
            <w:pPr>
              <w:jc w:val="right"/>
              <w:ind w:right="71"/>
              <w:spacing w:after="0"/>
              <w:rPr>
                <w:sz w:val="20"/>
                <w:szCs w:val="20"/>
                <w:color w:val="auto"/>
              </w:rPr>
            </w:pPr>
            <w:r>
              <w:rPr>
                <w:rFonts w:ascii="Arial" w:cs="Arial" w:eastAsia="Arial" w:hAnsi="Arial"/>
                <w:sz w:val="14"/>
                <w:szCs w:val="14"/>
                <w:color w:val="auto"/>
              </w:rPr>
              <w:t>(5.6)</w:t>
            </w:r>
          </w:p>
        </w:tc>
      </w:tr>
      <w:tr>
        <w:trPr>
          <w:trHeight w:val="18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operating loss expiration</w:t>
            </w: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r>
      <w:tr>
        <w:trPr>
          <w:trHeight w:val="180"/>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Executive stock-based compensation</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91"/>
              <w:spacing w:after="0"/>
              <w:rPr>
                <w:sz w:val="20"/>
                <w:szCs w:val="20"/>
                <w:color w:val="auto"/>
              </w:rPr>
            </w:pPr>
            <w:r>
              <w:rPr>
                <w:rFonts w:ascii="Arial" w:cs="Arial" w:eastAsia="Arial" w:hAnsi="Arial"/>
                <w:sz w:val="14"/>
                <w:szCs w:val="14"/>
                <w:color w:val="auto"/>
              </w:rPr>
              <w:t>—</w:t>
            </w:r>
          </w:p>
        </w:tc>
      </w:tr>
      <w:tr>
        <w:trPr>
          <w:trHeight w:val="180"/>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r>
      <w:tr>
        <w:trPr>
          <w:trHeight w:val="171"/>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560" w:type="dxa"/>
            <w:vAlign w:val="bottom"/>
          </w:tcPr>
          <w:p>
            <w:pPr>
              <w:jc w:val="right"/>
              <w:spacing w:after="0"/>
              <w:rPr>
                <w:sz w:val="20"/>
                <w:szCs w:val="20"/>
                <w:color w:val="auto"/>
              </w:rPr>
            </w:pPr>
            <w:r>
              <w:rPr>
                <w:rFonts w:ascii="Arial" w:cs="Arial" w:eastAsia="Arial" w:hAnsi="Arial"/>
                <w:sz w:val="14"/>
                <w:szCs w:val="14"/>
                <w:color w:val="auto"/>
              </w:rPr>
              <w:t>6.9 %</w:t>
            </w: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0"/>
        </w:trPr>
        <w:tc>
          <w:tcPr>
            <w:tcW w:w="6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180" w:firstLine="254"/>
        <w:spacing w:after="0" w:line="266" w:lineRule="auto"/>
        <w:rPr>
          <w:sz w:val="20"/>
          <w:szCs w:val="20"/>
          <w:color w:val="auto"/>
        </w:rPr>
      </w:pPr>
      <w:r>
        <w:rPr>
          <w:rFonts w:ascii="Arial" w:cs="Arial" w:eastAsia="Arial" w:hAnsi="Arial"/>
          <w:sz w:val="14"/>
          <w:szCs w:val="14"/>
          <w:color w:val="auto"/>
        </w:rPr>
        <w:t>At December 31, 2017, we changed our permanent reinvestment assertion and will not permanently reinvest our foreign earnings outside the United States. The cash generated from some of our foreign subsidiaries may be used domestically to fund operations. Any domestic, foreign withholding tax and state taxes that may be due upon future repatriation of earnings is not expected to be significant.</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Significant components of our deferred tax assets and liabilities are as follows (in thousands):</w:t>
      </w:r>
    </w:p>
    <w:p>
      <w:pPr>
        <w:spacing w:after="0" w:line="34" w:lineRule="exact"/>
        <w:rPr>
          <w:sz w:val="20"/>
          <w:szCs w:val="20"/>
          <w:color w:val="auto"/>
        </w:rPr>
      </w:pPr>
    </w:p>
    <w:tbl>
      <w:tblPr>
        <w:tblLayout w:type="fixed"/>
        <w:tblInd w:w="260" w:type="dxa"/>
        <w:tblCellMar>
          <w:top w:w="0" w:type="dxa"/>
          <w:left w:w="0" w:type="dxa"/>
          <w:bottom w:w="0" w:type="dxa"/>
          <w:right w:w="0" w:type="dxa"/>
        </w:tblCellMar>
      </w:tblPr>
      <w:tr>
        <w:trPr>
          <w:trHeight w:val="151"/>
        </w:trPr>
        <w:tc>
          <w:tcPr>
            <w:tcW w:w="79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840" w:type="dxa"/>
            <w:vAlign w:val="bottom"/>
            <w:tcBorders>
              <w:bottom w:val="single" w:sz="8" w:color="auto"/>
            </w:tcBorders>
          </w:tcPr>
          <w:p>
            <w:pPr>
              <w:spacing w:after="0"/>
              <w:rPr>
                <w:sz w:val="13"/>
                <w:szCs w:val="13"/>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2020</w:t>
            </w:r>
          </w:p>
        </w:tc>
      </w:tr>
      <w:tr>
        <w:trPr>
          <w:trHeight w:val="161"/>
        </w:trPr>
        <w:tc>
          <w:tcPr>
            <w:tcW w:w="7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tax assets:</w:t>
            </w: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80"/>
        </w:trPr>
        <w:tc>
          <w:tcPr>
            <w:tcW w:w="7920" w:type="dxa"/>
            <w:vAlign w:val="bottom"/>
          </w:tcPr>
          <w:p>
            <w:pPr>
              <w:ind w:left="520"/>
              <w:spacing w:after="0"/>
              <w:rPr>
                <w:sz w:val="20"/>
                <w:szCs w:val="20"/>
                <w:color w:val="auto"/>
              </w:rPr>
            </w:pPr>
            <w:r>
              <w:rPr>
                <w:rFonts w:ascii="Arial" w:cs="Arial" w:eastAsia="Arial" w:hAnsi="Arial"/>
                <w:sz w:val="14"/>
                <w:szCs w:val="14"/>
                <w:color w:val="auto"/>
              </w:rPr>
              <w:t>Net operating loss carryforwards</w:t>
            </w:r>
          </w:p>
        </w:tc>
        <w:tc>
          <w:tcPr>
            <w:tcW w:w="1060" w:type="dxa"/>
            <w:vAlign w:val="bottom"/>
          </w:tcPr>
          <w:p>
            <w:pPr>
              <w:jc w:val="right"/>
              <w:ind w:right="65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115,739</w:t>
            </w:r>
          </w:p>
        </w:tc>
        <w:tc>
          <w:tcPr>
            <w:tcW w:w="80" w:type="dxa"/>
            <w:vAlign w:val="bottom"/>
          </w:tcPr>
          <w:p>
            <w:pPr>
              <w:spacing w:after="0"/>
              <w:rPr>
                <w:sz w:val="15"/>
                <w:szCs w:val="15"/>
                <w:color w:val="auto"/>
              </w:rPr>
            </w:pPr>
          </w:p>
        </w:tc>
        <w:tc>
          <w:tcPr>
            <w:tcW w:w="6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104,7</w:t>
            </w:r>
          </w:p>
        </w:tc>
      </w:tr>
      <w:tr>
        <w:trPr>
          <w:trHeight w:val="180"/>
        </w:trPr>
        <w:tc>
          <w:tcPr>
            <w:tcW w:w="7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Reserves and accruals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0"/>
        </w:trPr>
        <w:tc>
          <w:tcPr>
            <w:tcW w:w="7920" w:type="dxa"/>
            <w:vAlign w:val="bottom"/>
          </w:tcPr>
          <w:p>
            <w:pPr>
              <w:ind w:left="5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7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Tax credit carryforwards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80"/>
        </w:trPr>
        <w:tc>
          <w:tcPr>
            <w:tcW w:w="7920" w:type="dxa"/>
            <w:vAlign w:val="bottom"/>
          </w:tcPr>
          <w:p>
            <w:pPr>
              <w:ind w:left="52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2,871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7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Right-of-use lease liability</w:t>
            </w: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9,322</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70"/>
        </w:trPr>
        <w:tc>
          <w:tcPr>
            <w:tcW w:w="7920" w:type="dxa"/>
            <w:vAlign w:val="bottom"/>
          </w:tcPr>
          <w:p>
            <w:pPr>
              <w:ind w:left="260"/>
              <w:spacing w:after="0"/>
              <w:rPr>
                <w:sz w:val="20"/>
                <w:szCs w:val="20"/>
                <w:color w:val="auto"/>
              </w:rPr>
            </w:pPr>
            <w:r>
              <w:rPr>
                <w:rFonts w:ascii="Arial" w:cs="Arial" w:eastAsia="Arial" w:hAnsi="Arial"/>
                <w:sz w:val="14"/>
                <w:szCs w:val="14"/>
                <w:color w:val="auto"/>
              </w:rPr>
              <w:t>Total gross deferred tax assets</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153,816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143,7</w:t>
            </w:r>
          </w:p>
        </w:tc>
      </w:tr>
      <w:tr>
        <w:trPr>
          <w:trHeight w:val="180"/>
        </w:trPr>
        <w:tc>
          <w:tcPr>
            <w:tcW w:w="7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Valuation allowance on deferred tax assets</w:t>
            </w: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(141,087)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r>
      <w:tr>
        <w:trPr>
          <w:trHeight w:val="170"/>
        </w:trPr>
        <w:tc>
          <w:tcPr>
            <w:tcW w:w="7920" w:type="dxa"/>
            <w:vAlign w:val="bottom"/>
          </w:tcPr>
          <w:p>
            <w:pPr>
              <w:ind w:left="260"/>
              <w:spacing w:after="0"/>
              <w:rPr>
                <w:sz w:val="20"/>
                <w:szCs w:val="20"/>
                <w:color w:val="auto"/>
              </w:rPr>
            </w:pPr>
            <w:r>
              <w:rPr>
                <w:rFonts w:ascii="Arial" w:cs="Arial" w:eastAsia="Arial" w:hAnsi="Arial"/>
                <w:sz w:val="14"/>
                <w:szCs w:val="14"/>
                <w:color w:val="auto"/>
              </w:rPr>
              <w:t>Total deferred tax assets, net of valuation allowance</w:t>
            </w: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12,729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80"/>
        </w:trPr>
        <w:tc>
          <w:tcPr>
            <w:tcW w:w="7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tax liabilities:</w:t>
            </w: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7920" w:type="dxa"/>
            <w:vAlign w:val="bottom"/>
          </w:tcPr>
          <w:p>
            <w:pPr>
              <w:ind w:left="520"/>
              <w:spacing w:after="0"/>
              <w:rPr>
                <w:sz w:val="20"/>
                <w:szCs w:val="20"/>
                <w:color w:val="auto"/>
              </w:rPr>
            </w:pPr>
            <w:r>
              <w:rPr>
                <w:rFonts w:ascii="Arial" w:cs="Arial" w:eastAsia="Arial" w:hAnsi="Arial"/>
                <w:sz w:val="14"/>
                <w:szCs w:val="14"/>
                <w:color w:val="auto"/>
              </w:rPr>
              <w:t>Fixed assets and intangibles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(8,416)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80"/>
        </w:trPr>
        <w:tc>
          <w:tcPr>
            <w:tcW w:w="7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Right-of-use asset</w:t>
            </w: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(8,459)</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70"/>
        </w:trPr>
        <w:tc>
          <w:tcPr>
            <w:tcW w:w="79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deferred tax liabilities</w:t>
            </w: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(16,875)</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196"/>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Net deferred tax liability</w:t>
            </w:r>
          </w:p>
        </w:tc>
        <w:tc>
          <w:tcPr>
            <w:tcW w:w="10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42"/>
        </w:trPr>
        <w:tc>
          <w:tcPr>
            <w:tcW w:w="7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0"/>
        </w:trPr>
        <w:tc>
          <w:tcPr>
            <w:tcW w:w="7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tax liability per balance sheet</w:t>
            </w:r>
          </w:p>
        </w:tc>
        <w:tc>
          <w:tcPr>
            <w:tcW w:w="106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80"/>
        </w:trPr>
        <w:tc>
          <w:tcPr>
            <w:tcW w:w="79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less deferred tax assets included in other long-term assets</w:t>
            </w: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7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Net deferred tax liability</w:t>
            </w:r>
          </w:p>
        </w:tc>
        <w:tc>
          <w:tcPr>
            <w:tcW w:w="10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right="180" w:firstLine="254"/>
        <w:spacing w:after="0" w:line="266" w:lineRule="auto"/>
        <w:rPr>
          <w:sz w:val="20"/>
          <w:szCs w:val="20"/>
          <w:color w:val="auto"/>
        </w:rPr>
      </w:pPr>
      <w:r>
        <w:rPr>
          <w:rFonts w:ascii="Arial" w:cs="Arial" w:eastAsia="Arial" w:hAnsi="Arial"/>
          <w:sz w:val="14"/>
          <w:szCs w:val="14"/>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partially offset by a valuation allowance because we have incurred losses in the U.S. since our inception. The valuation allowance increased by $9.9</w:t>
      </w: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60"/>
          </w:cols>
          <w:pgMar w:left="300" w:top="1145" w:right="2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million during 2021 and $1.1 million during 2020. The changes in valuation allowance during 2021 and 2020 are mainly due to taxable losses and an increase in tax attributes.</w:t>
      </w:r>
    </w:p>
    <w:p>
      <w:pPr>
        <w:spacing w:after="0" w:line="114" w:lineRule="exact"/>
        <w:rPr>
          <w:sz w:val="20"/>
          <w:szCs w:val="20"/>
          <w:color w:val="auto"/>
        </w:rPr>
      </w:pPr>
    </w:p>
    <w:p>
      <w:pPr>
        <w:jc w:val="both"/>
        <w:ind w:right="140" w:firstLine="254"/>
        <w:spacing w:after="0" w:line="296" w:lineRule="auto"/>
        <w:rPr>
          <w:sz w:val="20"/>
          <w:szCs w:val="20"/>
          <w:color w:val="auto"/>
        </w:rPr>
      </w:pPr>
      <w:r>
        <w:rPr>
          <w:rFonts w:ascii="Arial" w:cs="Arial" w:eastAsia="Arial" w:hAnsi="Arial"/>
          <w:sz w:val="13"/>
          <w:szCs w:val="13"/>
          <w:color w:val="auto"/>
        </w:rPr>
        <w:t>The valuation allowances of $141.1 million and $131.2 million as of December 31, 2021 and 2020, respectively, primarily relate to temporary tax differences, net operating losses and research and development credits generated in the current and prior years. We believe it is more likely than not that U.S. federal and state deferred tax assets relating to temporary differences, net operating losses and research and development credits are not realizable. As such, full valuation allowances have been applied against U.S. federal and state deferred tax assets.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reconciliation of the beginning and ending amount of the valuation allowance for the years ended December 31, 2021, 2020, and 2019 is as follows (in thousands):</w:t>
      </w:r>
    </w:p>
    <w:p>
      <w:pPr>
        <w:spacing w:after="0" w:line="108" w:lineRule="exact"/>
        <w:rPr>
          <w:sz w:val="20"/>
          <w:szCs w:val="20"/>
          <w:color w:val="auto"/>
        </w:rPr>
      </w:pPr>
    </w:p>
    <w:p>
      <w:pPr>
        <w:ind w:left="10080"/>
        <w:spacing w:after="0"/>
        <w:rPr>
          <w:sz w:val="20"/>
          <w:szCs w:val="20"/>
          <w:color w:val="auto"/>
        </w:rPr>
      </w:pPr>
      <w:r>
        <w:rPr>
          <w:rFonts w:ascii="Arial" w:cs="Arial" w:eastAsia="Arial" w:hAnsi="Arial"/>
          <w:sz w:val="10"/>
          <w:szCs w:val="10"/>
          <w:b w:val="1"/>
          <w:bCs w:val="1"/>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62165" cy="1212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121285"/>
                    </a:xfrm>
                    <a:prstGeom prst="rect">
                      <a:avLst/>
                    </a:prstGeom>
                    <a:noFill/>
                  </pic:spPr>
                </pic:pic>
              </a:graphicData>
            </a:graphic>
          </wp:anchor>
        </w:drawing>
      </w:r>
    </w:p>
    <w:p>
      <w:pPr>
        <w:sectPr>
          <w:pgSz w:w="11900" w:h="16838" w:orient="portrait"/>
          <w:cols w:equalWidth="0" w:num="1">
            <w:col w:w="11220"/>
          </w:cols>
          <w:pgMar w:left="300" w:top="1304" w:right="37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31, 2018</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Charges to earnings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Charges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2165" cy="114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11430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31, 2019</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Charges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2165" cy="114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11430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2"/>
          <w:szCs w:val="12"/>
          <w:color w:val="auto"/>
        </w:rPr>
        <w:t>Charges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62165" cy="1212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165" cy="1212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31, 2020</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Charges to earnings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Charges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2165" cy="114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11430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31, 2021</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900" w:hanging="892"/>
        <w:spacing w:after="0"/>
        <w:tabs>
          <w:tab w:leader="none" w:pos="9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126,108</w:t>
      </w:r>
    </w:p>
    <w:p>
      <w:pPr>
        <w:spacing w:after="0" w:line="42"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90805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08050" cy="698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130,084</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1,142</w:t>
      </w:r>
    </w:p>
    <w:p>
      <w:pPr>
        <w:spacing w:after="0" w:line="30" w:lineRule="exact"/>
        <w:rPr>
          <w:sz w:val="20"/>
          <w:szCs w:val="20"/>
          <w:color w:val="auto"/>
        </w:rPr>
      </w:pPr>
    </w:p>
    <w:p>
      <w:pPr>
        <w:ind w:left="900" w:hanging="892"/>
        <w:spacing w:after="0"/>
        <w:tabs>
          <w:tab w:leader="none" w:pos="900" w:val="left"/>
        </w:tabs>
        <w:numPr>
          <w:ilvl w:val="0"/>
          <w:numId w:val="47"/>
        </w:numPr>
        <w:rPr>
          <w:rFonts w:ascii="Arial" w:cs="Arial" w:eastAsia="Arial" w:hAnsi="Arial"/>
          <w:sz w:val="12"/>
          <w:szCs w:val="12"/>
          <w:color w:val="auto"/>
        </w:rPr>
      </w:pPr>
      <w:r>
        <w:rPr>
          <w:rFonts w:ascii="Arial" w:cs="Arial" w:eastAsia="Arial" w:hAnsi="Arial"/>
          <w:sz w:val="12"/>
          <w:szCs w:val="12"/>
          <w:color w:val="auto"/>
        </w:rPr>
        <w:t>131,226</w:t>
      </w:r>
    </w:p>
    <w:p>
      <w:pPr>
        <w:spacing w:after="0" w:line="42" w:lineRule="exact"/>
        <w:rPr>
          <w:rFonts w:ascii="Arial" w:cs="Arial" w:eastAsia="Arial" w:hAnsi="Arial"/>
          <w:sz w:val="12"/>
          <w:szCs w:val="12"/>
          <w:color w:val="auto"/>
        </w:rPr>
      </w:pPr>
    </w:p>
    <w:p>
      <w:pPr>
        <w:ind w:left="122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90805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08050" cy="6985"/>
                    </a:xfrm>
                    <a:prstGeom prst="rect">
                      <a:avLst/>
                    </a:prstGeom>
                    <a:noFill/>
                  </pic:spPr>
                </pic:pic>
              </a:graphicData>
            </a:graphic>
          </wp:anchor>
        </w:drawing>
      </w:r>
    </w:p>
    <w:p>
      <w:pPr>
        <w:spacing w:after="0" w:line="10" w:lineRule="exact"/>
        <w:rPr>
          <w:sz w:val="20"/>
          <w:szCs w:val="20"/>
          <w:color w:val="auto"/>
        </w:rPr>
      </w:pPr>
    </w:p>
    <w:p>
      <w:pPr>
        <w:ind w:left="900" w:hanging="892"/>
        <w:spacing w:after="0"/>
        <w:tabs>
          <w:tab w:leader="none" w:pos="900" w:val="left"/>
        </w:tabs>
        <w:numPr>
          <w:ilvl w:val="0"/>
          <w:numId w:val="48"/>
        </w:numPr>
        <w:rPr>
          <w:rFonts w:ascii="Arial" w:cs="Arial" w:eastAsia="Arial" w:hAnsi="Arial"/>
          <w:sz w:val="12"/>
          <w:szCs w:val="12"/>
          <w:color w:val="auto"/>
        </w:rPr>
      </w:pPr>
      <w:r>
        <w:rPr>
          <w:rFonts w:ascii="Arial" w:cs="Arial" w:eastAsia="Arial" w:hAnsi="Arial"/>
          <w:sz w:val="12"/>
          <w:szCs w:val="12"/>
          <w:color w:val="auto"/>
        </w:rPr>
        <w:t>141,087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90805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0805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wp:posOffset>
            </wp:positionV>
            <wp:extent cx="90805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08050" cy="6985"/>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9140" w:space="720"/>
            <w:col w:w="1360"/>
          </w:cols>
          <w:pgMar w:left="300" w:top="1304" w:right="379" w:bottom="1440" w:gutter="0" w:footer="0" w:header="0"/>
          <w:type w:val="continuous"/>
        </w:sectPr>
      </w:pPr>
    </w:p>
    <w:p>
      <w:pPr>
        <w:spacing w:after="0" w:line="10" w:lineRule="exact"/>
        <w:rPr>
          <w:sz w:val="20"/>
          <w:szCs w:val="20"/>
          <w:color w:val="auto"/>
        </w:rPr>
      </w:pPr>
    </w:p>
    <w:p>
      <w:pPr>
        <w:ind w:right="180" w:firstLine="254"/>
        <w:spacing w:after="0" w:line="261" w:lineRule="auto"/>
        <w:rPr>
          <w:sz w:val="20"/>
          <w:szCs w:val="20"/>
          <w:color w:val="auto"/>
        </w:rPr>
      </w:pPr>
      <w:r>
        <w:rPr>
          <w:rFonts w:ascii="Arial" w:cs="Arial" w:eastAsia="Arial" w:hAnsi="Arial"/>
          <w:sz w:val="14"/>
          <w:szCs w:val="14"/>
          <w:color w:val="auto"/>
        </w:rPr>
        <w:t>As of December 31, 2021, we had net operating loss carryforwards for U.S. federal income tax purposes of $508.2 million, of which $1.7 million expire in 2022, and U.S. federal research and development tax credits of $10.0 million, of which $0.4 million expire in 2022 and the rest through 2041. As of December 31, 2021, we had net operating loss carryforwards for state income tax purposes of $196.6 million, of which $0.4 million expire in 2022 and the rest through 2041, and California research and development tax credits of $13.3 million, which do not expire. As of December 31, 2021, we had foreign net loss carryforwards of $3.4 million which can mostly be carried forward indefinitely.</w:t>
      </w:r>
    </w:p>
    <w:p>
      <w:pPr>
        <w:spacing w:after="0" w:line="94" w:lineRule="exact"/>
        <w:rPr>
          <w:sz w:val="20"/>
          <w:szCs w:val="20"/>
          <w:color w:val="auto"/>
        </w:rPr>
      </w:pPr>
    </w:p>
    <w:p>
      <w:pPr>
        <w:jc w:val="both"/>
        <w:ind w:right="180" w:firstLine="254"/>
        <w:spacing w:after="0" w:line="261" w:lineRule="auto"/>
        <w:rPr>
          <w:sz w:val="20"/>
          <w:szCs w:val="20"/>
          <w:color w:val="auto"/>
        </w:rPr>
      </w:pPr>
      <w:r>
        <w:rPr>
          <w:rFonts w:ascii="Arial" w:cs="Arial" w:eastAsia="Arial" w:hAnsi="Arial"/>
          <w:sz w:val="14"/>
          <w:szCs w:val="14"/>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In 2021, we continued the Section 382 analysis as historically performed through December 31, 2021 and, based on the information that was available to us, we do not believe that an ownership change occurred during the current year.</w:t>
      </w:r>
    </w:p>
    <w:p>
      <w:pPr>
        <w:spacing w:after="0" w:line="327"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304" w:right="37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80"/>
        </w:trPr>
        <w:tc>
          <w:tcPr>
            <w:tcW w:w="9860" w:type="dxa"/>
            <w:vAlign w:val="bottom"/>
          </w:tcPr>
          <w:p>
            <w:pPr>
              <w:ind w:left="260"/>
              <w:spacing w:after="0"/>
              <w:rPr>
                <w:sz w:val="20"/>
                <w:szCs w:val="20"/>
                <w:color w:val="auto"/>
              </w:rPr>
            </w:pPr>
            <w:r>
              <w:rPr>
                <w:rFonts w:ascii="Arial" w:cs="Arial" w:eastAsia="Arial" w:hAnsi="Arial"/>
                <w:sz w:val="14"/>
                <w:szCs w:val="14"/>
                <w:color w:val="auto"/>
              </w:rPr>
              <w:t>The aggregate changes in the balance of our gross unrecognized tax benefits during 2021, 2020, and 2019 were as follows (in thousands):</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27"/>
        </w:trPr>
        <w:tc>
          <w:tcPr>
            <w:tcW w:w="9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80"/>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2018</w:t>
            </w: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7,344</w:t>
            </w:r>
          </w:p>
        </w:tc>
      </w:tr>
      <w:tr>
        <w:trPr>
          <w:trHeight w:val="180"/>
        </w:trPr>
        <w:tc>
          <w:tcPr>
            <w:tcW w:w="9860" w:type="dxa"/>
            <w:vAlign w:val="bottom"/>
          </w:tcPr>
          <w:p>
            <w:pPr>
              <w:ind w:left="20"/>
              <w:spacing w:after="0"/>
              <w:rPr>
                <w:sz w:val="20"/>
                <w:szCs w:val="20"/>
                <w:color w:val="auto"/>
              </w:rPr>
            </w:pPr>
            <w:r>
              <w:rPr>
                <w:rFonts w:ascii="Arial" w:cs="Arial" w:eastAsia="Arial" w:hAnsi="Arial"/>
                <w:sz w:val="14"/>
                <w:szCs w:val="14"/>
                <w:color w:val="auto"/>
              </w:rPr>
              <w:t>Increases in balances related to tax positions during a prior period</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80"/>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in balances related to tax positions taken during current period</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r>
      <w:tr>
        <w:trPr>
          <w:trHeight w:val="180"/>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Decreases in balances related to tax positions taken during prior period</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71"/>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2019</w:t>
            </w: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7,833</w:t>
            </w:r>
          </w:p>
        </w:tc>
      </w:tr>
      <w:tr>
        <w:trPr>
          <w:trHeight w:val="180"/>
        </w:trPr>
        <w:tc>
          <w:tcPr>
            <w:tcW w:w="9860" w:type="dxa"/>
            <w:vAlign w:val="bottom"/>
          </w:tcPr>
          <w:p>
            <w:pPr>
              <w:ind w:left="20"/>
              <w:spacing w:after="0"/>
              <w:rPr>
                <w:sz w:val="20"/>
                <w:szCs w:val="20"/>
                <w:color w:val="auto"/>
              </w:rPr>
            </w:pPr>
            <w:r>
              <w:rPr>
                <w:rFonts w:ascii="Arial" w:cs="Arial" w:eastAsia="Arial" w:hAnsi="Arial"/>
                <w:sz w:val="14"/>
                <w:szCs w:val="14"/>
                <w:color w:val="auto"/>
              </w:rPr>
              <w:t>Increases in balances related to tax positions during a prior period</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756</w:t>
            </w:r>
          </w:p>
        </w:tc>
      </w:tr>
      <w:tr>
        <w:trPr>
          <w:trHeight w:val="180"/>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in balances related to tax positions taken during current period</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180"/>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Decreases in balances related to tax positions taken during prior period</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r>
      <w:tr>
        <w:trPr>
          <w:trHeight w:val="171"/>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8,886</w:t>
            </w:r>
          </w:p>
        </w:tc>
      </w:tr>
      <w:tr>
        <w:trPr>
          <w:trHeight w:val="180"/>
        </w:trPr>
        <w:tc>
          <w:tcPr>
            <w:tcW w:w="9860" w:type="dxa"/>
            <w:vAlign w:val="bottom"/>
          </w:tcPr>
          <w:p>
            <w:pPr>
              <w:ind w:left="20"/>
              <w:spacing w:after="0"/>
              <w:rPr>
                <w:sz w:val="20"/>
                <w:szCs w:val="20"/>
                <w:color w:val="auto"/>
              </w:rPr>
            </w:pPr>
            <w:r>
              <w:rPr>
                <w:rFonts w:ascii="Arial" w:cs="Arial" w:eastAsia="Arial" w:hAnsi="Arial"/>
                <w:sz w:val="14"/>
                <w:szCs w:val="14"/>
                <w:color w:val="auto"/>
              </w:rPr>
              <w:t>Increases in balances related to tax positions during a prior period</w:t>
            </w: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0"/>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in balances related to tax positions taken during current period</w:t>
            </w: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r>
      <w:tr>
        <w:trPr>
          <w:trHeight w:val="180"/>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Decreases in balances related to tax positions taken during prior period</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r>
      <w:tr>
        <w:trPr>
          <w:trHeight w:val="196"/>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2021</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8,515</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00" w:firstLine="254"/>
        <w:spacing w:after="0" w:line="266" w:lineRule="auto"/>
        <w:rPr>
          <w:sz w:val="20"/>
          <w:szCs w:val="20"/>
          <w:color w:val="auto"/>
        </w:rPr>
      </w:pPr>
      <w:r>
        <w:rPr>
          <w:rFonts w:ascii="Arial" w:cs="Arial" w:eastAsia="Arial" w:hAnsi="Arial"/>
          <w:sz w:val="14"/>
          <w:szCs w:val="14"/>
          <w:color w:val="auto"/>
        </w:rPr>
        <w:t>Accrued interest and penalties related to unrecognized tax benefits were included in the income tax provision and are immaterial as of December 31, 2021 and 2020. The uncertain taxes payable are recorded as a long-term liability on the balance sheet. During 2021, we decreased our balances related to tax positions in the prior period to reflect a payment of $0.7 million related to our uncertain tax position in Singapore. We received a final determination from the tax authorities in October 2021 and paid the amounts accrued.</w:t>
      </w:r>
    </w:p>
    <w:p>
      <w:pPr>
        <w:spacing w:after="0" w:line="79" w:lineRule="exact"/>
        <w:rPr>
          <w:sz w:val="20"/>
          <w:szCs w:val="20"/>
          <w:color w:val="auto"/>
        </w:rPr>
      </w:pPr>
    </w:p>
    <w:p>
      <w:pPr>
        <w:ind w:right="320" w:firstLine="254"/>
        <w:spacing w:after="0" w:line="280" w:lineRule="auto"/>
        <w:rPr>
          <w:sz w:val="20"/>
          <w:szCs w:val="20"/>
          <w:color w:val="auto"/>
        </w:rPr>
      </w:pPr>
      <w:r>
        <w:rPr>
          <w:rFonts w:ascii="Arial" w:cs="Arial" w:eastAsia="Arial" w:hAnsi="Arial"/>
          <w:sz w:val="14"/>
          <w:szCs w:val="14"/>
          <w:color w:val="auto"/>
        </w:rPr>
        <w:t>As of December 31, 2021, there were $0.2 million of unrecognized tax benefits that, if recognized, would affect our effective tax rate. We do not anticipate that our existing unrecognized tax benefits will significantly increase or decrease within the next 12 months.</w:t>
      </w:r>
    </w:p>
    <w:p>
      <w:pPr>
        <w:spacing w:after="0" w:line="80" w:lineRule="exact"/>
        <w:rPr>
          <w:sz w:val="20"/>
          <w:szCs w:val="20"/>
          <w:color w:val="auto"/>
        </w:rPr>
      </w:pPr>
    </w:p>
    <w:p>
      <w:pPr>
        <w:ind w:right="360" w:firstLine="254"/>
        <w:spacing w:after="0" w:line="367" w:lineRule="auto"/>
        <w:rPr>
          <w:sz w:val="20"/>
          <w:szCs w:val="20"/>
          <w:color w:val="auto"/>
        </w:rPr>
      </w:pPr>
      <w:r>
        <w:rPr>
          <w:rFonts w:ascii="Arial" w:cs="Arial" w:eastAsia="Arial" w:hAnsi="Arial"/>
          <w:sz w:val="12"/>
          <w:szCs w:val="12"/>
          <w:color w:val="auto"/>
        </w:rPr>
        <w:t>In accordance with U.S. GAAP, the Company is allowed to make an accounting policy choice of either (1) treating taxes related to GILTI as a current period expense when incurred, or (2) factoring such amounts into the measurement of deferred taxes. The Company has treated GILTI related taxes as a current period expense when incurred in the consolidated financial statements.</w:t>
      </w:r>
    </w:p>
    <w:p>
      <w:pPr>
        <w:spacing w:after="0" w:line="33" w:lineRule="exact"/>
        <w:rPr>
          <w:sz w:val="20"/>
          <w:szCs w:val="20"/>
          <w:color w:val="auto"/>
        </w:rPr>
      </w:pPr>
    </w:p>
    <w:p>
      <w:pPr>
        <w:ind w:right="240" w:firstLine="254"/>
        <w:spacing w:after="0" w:line="280" w:lineRule="auto"/>
        <w:rPr>
          <w:sz w:val="20"/>
          <w:szCs w:val="20"/>
          <w:color w:val="auto"/>
        </w:rPr>
      </w:pPr>
      <w:r>
        <w:rPr>
          <w:rFonts w:ascii="Arial" w:cs="Arial" w:eastAsia="Arial" w:hAnsi="Arial"/>
          <w:sz w:val="14"/>
          <w:szCs w:val="14"/>
          <w:color w:val="auto"/>
        </w:rPr>
        <w:t>We file income tax returns in the United States, various states, and certain foreign jurisdictions. As a result of net operating loss carryforwards, all of our tax years are open to federal and state examination in the United States. Tax years from 2012 are open to examination in various foreign countries.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Employee Benefit Plans</w:t>
      </w:r>
    </w:p>
    <w:p>
      <w:pPr>
        <w:spacing w:after="0" w:line="118" w:lineRule="exact"/>
        <w:rPr>
          <w:sz w:val="20"/>
          <w:szCs w:val="20"/>
          <w:color w:val="auto"/>
        </w:rPr>
      </w:pPr>
    </w:p>
    <w:p>
      <w:pPr>
        <w:ind w:right="40" w:firstLine="254"/>
        <w:spacing w:after="0" w:line="261" w:lineRule="auto"/>
        <w:rPr>
          <w:sz w:val="20"/>
          <w:szCs w:val="20"/>
          <w:color w:val="auto"/>
        </w:rPr>
      </w:pPr>
      <w:r>
        <w:rPr>
          <w:rFonts w:ascii="Arial" w:cs="Arial" w:eastAsia="Arial" w:hAnsi="Arial"/>
          <w:sz w:val="14"/>
          <w:szCs w:val="14"/>
          <w:color w:val="auto"/>
        </w:rPr>
        <w:t>We sponsor a 401(k) savings plan for our employees in the United States that stipulates that eligible employees may elect to contribute to the plan, subject to certain limitations, up to the lesser of 90% of eligible compensation or the maximum amount allowed by the U.S. Internal Revenue Service. In 2015, we implemented a match formula of 100% up to $2,000 annually, following a 4-year vesting schedule. In 2019, the match was increased to up to $3,000 annually. Employer matching contributions to the 401(k) plan were $0.6 million for the years ended December 31, 2021, 2020, and 2019.</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Information About Geographic Areas</w:t>
      </w:r>
    </w:p>
    <w:p>
      <w:pPr>
        <w:spacing w:after="0" w:line="129" w:lineRule="exact"/>
        <w:rPr>
          <w:sz w:val="20"/>
          <w:szCs w:val="20"/>
          <w:color w:val="auto"/>
        </w:rPr>
      </w:pPr>
    </w:p>
    <w:p>
      <w:pPr>
        <w:ind w:right="20" w:firstLine="254"/>
        <w:spacing w:after="0" w:line="259" w:lineRule="auto"/>
        <w:rPr>
          <w:sz w:val="20"/>
          <w:szCs w:val="20"/>
          <w:color w:val="auto"/>
        </w:rPr>
      </w:pPr>
      <w:r>
        <w:rPr>
          <w:rFonts w:ascii="Arial" w:cs="Arial" w:eastAsia="Arial" w:hAnsi="Arial"/>
          <w:sz w:val="14"/>
          <w:szCs w:val="14"/>
          <w:color w:val="auto"/>
        </w:rPr>
        <w:t>We operate in one reporting segment that creates, manufactures, and markets a range of products and services, including instruments, consumables, reagents and software that are used by researchers and clinical labs worldwide.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109" w:name="page110"/>
    <w:bookmarkEnd w:id="109"/>
    <w:p>
      <w:pPr>
        <w:ind w:right="700" w:firstLine="254"/>
        <w:spacing w:after="0" w:line="280" w:lineRule="auto"/>
        <w:rPr>
          <w:sz w:val="20"/>
          <w:szCs w:val="20"/>
          <w:color w:val="auto"/>
        </w:rPr>
      </w:pPr>
      <w:r>
        <w:rPr>
          <w:rFonts w:ascii="Arial" w:cs="Arial" w:eastAsia="Arial" w:hAnsi="Arial"/>
          <w:sz w:val="14"/>
          <w:szCs w:val="14"/>
          <w:color w:val="auto"/>
        </w:rPr>
        <w:t>A summary table of our revenue by geographic areas of our customers and by product and services for the years ended December 31, 2021, 2020 and 2019 is included in Note 6 to the consolidated financial statements.</w:t>
      </w:r>
    </w:p>
    <w:p>
      <w:pPr>
        <w:spacing w:after="0" w:line="69" w:lineRule="exact"/>
        <w:rPr>
          <w:sz w:val="20"/>
          <w:szCs w:val="20"/>
          <w:color w:val="auto"/>
        </w:rPr>
      </w:pPr>
    </w:p>
    <w:p>
      <w:pPr>
        <w:ind w:right="220" w:firstLine="254"/>
        <w:spacing w:after="0" w:line="280" w:lineRule="auto"/>
        <w:rPr>
          <w:sz w:val="20"/>
          <w:szCs w:val="20"/>
          <w:color w:val="auto"/>
        </w:rPr>
      </w:pPr>
      <w:r>
        <w:rPr>
          <w:rFonts w:ascii="Arial" w:cs="Arial" w:eastAsia="Arial" w:hAnsi="Arial"/>
          <w:sz w:val="14"/>
          <w:szCs w:val="14"/>
          <w:color w:val="auto"/>
        </w:rPr>
        <w:t>Revenue from customers in the United States represented $60.2 million, or 46%, of total revenues for the year ended December 31, 2021. Revenue from domestic customers represented $72.0 million, or 52%, of total revenues for the year ended December 31, 2020 and $43.4 million, or 37%, for the year ended December 31, 2019.</w:t>
      </w:r>
    </w:p>
    <w:p>
      <w:pPr>
        <w:spacing w:after="0" w:line="80" w:lineRule="exact"/>
        <w:rPr>
          <w:sz w:val="20"/>
          <w:szCs w:val="20"/>
          <w:color w:val="auto"/>
        </w:rPr>
      </w:pPr>
    </w:p>
    <w:p>
      <w:pPr>
        <w:ind w:right="80" w:firstLine="254"/>
        <w:spacing w:after="0" w:line="266" w:lineRule="auto"/>
        <w:rPr>
          <w:sz w:val="20"/>
          <w:szCs w:val="20"/>
          <w:color w:val="auto"/>
        </w:rPr>
      </w:pPr>
      <w:r>
        <w:rPr>
          <w:rFonts w:ascii="Arial" w:cs="Arial" w:eastAsia="Arial" w:hAnsi="Arial"/>
          <w:sz w:val="14"/>
          <w:szCs w:val="14"/>
          <w:color w:val="auto"/>
        </w:rPr>
        <w:t>Revenue from customers in China were less than 10% of total revenues for the year ended December 31, 2021 and 2020. Revenue from customers in China represented $15.4 million, or 13%, of total revenues for the year ended December 31, 2019. With the exception of China, no other foreign country or jurisdiction had revenue in excess of 10% of our total revenue during the years 2021, 2020 and 2019.</w:t>
      </w:r>
    </w:p>
    <w:p>
      <w:pPr>
        <w:spacing w:after="0" w:line="90" w:lineRule="exact"/>
        <w:rPr>
          <w:sz w:val="20"/>
          <w:szCs w:val="20"/>
          <w:color w:val="auto"/>
        </w:rPr>
      </w:pPr>
    </w:p>
    <w:p>
      <w:pPr>
        <w:ind w:right="140" w:firstLine="254"/>
        <w:spacing w:after="0" w:line="280" w:lineRule="auto"/>
        <w:rPr>
          <w:sz w:val="20"/>
          <w:szCs w:val="20"/>
          <w:color w:val="auto"/>
        </w:rPr>
      </w:pPr>
      <w:r>
        <w:rPr>
          <w:rFonts w:ascii="Arial" w:cs="Arial" w:eastAsia="Arial" w:hAnsi="Arial"/>
          <w:sz w:val="14"/>
          <w:szCs w:val="14"/>
          <w:color w:val="auto"/>
        </w:rPr>
        <w:t>No individual customer represented more than 10% of our total revenues for the fiscal years ended December 31, 2021, 2020, and 2019. Revenues from our five largest customers were 23% for the both the years ended December 31, 2021 and 2020, and 17% for 2019.</w:t>
      </w:r>
    </w:p>
    <w:p>
      <w:pPr>
        <w:spacing w:after="0" w:line="69" w:lineRule="exact"/>
        <w:rPr>
          <w:sz w:val="20"/>
          <w:szCs w:val="20"/>
          <w:color w:val="auto"/>
        </w:rPr>
      </w:pPr>
    </w:p>
    <w:p>
      <w:pPr>
        <w:ind w:right="220" w:firstLine="254"/>
        <w:spacing w:after="0" w:line="280" w:lineRule="auto"/>
        <w:rPr>
          <w:sz w:val="20"/>
          <w:szCs w:val="20"/>
          <w:color w:val="auto"/>
        </w:rPr>
      </w:pPr>
      <w:r>
        <w:rPr>
          <w:rFonts w:ascii="Arial" w:cs="Arial" w:eastAsia="Arial" w:hAnsi="Arial"/>
          <w:sz w:val="14"/>
          <w:szCs w:val="14"/>
          <w:color w:val="auto"/>
        </w:rPr>
        <w:t>We had long-lived assets consisting of property and equipment, net of accumulated depreciation, and operating lease ROU assets, net of accumulated amortization, in the following geographic areas for each year presented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2020</w:t>
            </w:r>
          </w:p>
        </w:tc>
      </w:tr>
      <w:tr>
        <w:trPr>
          <w:trHeight w:val="171"/>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34,497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35,188</w:t>
            </w:r>
          </w:p>
        </w:tc>
      </w:tr>
      <w:tr>
        <w:trPr>
          <w:trHeight w:val="180"/>
        </w:trPr>
        <w:tc>
          <w:tcPr>
            <w:tcW w:w="8580" w:type="dxa"/>
            <w:vAlign w:val="bottom"/>
          </w:tcPr>
          <w:p>
            <w:pPr>
              <w:ind w:left="20"/>
              <w:spacing w:after="0"/>
              <w:rPr>
                <w:sz w:val="20"/>
                <w:szCs w:val="20"/>
                <w:color w:val="auto"/>
              </w:rPr>
            </w:pPr>
            <w:r>
              <w:rPr>
                <w:rFonts w:ascii="Arial" w:cs="Arial" w:eastAsia="Arial" w:hAnsi="Arial"/>
                <w:sz w:val="14"/>
                <w:szCs w:val="14"/>
                <w:color w:val="auto"/>
              </w:rPr>
              <w:t>Singapore</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23,732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12,195</w:t>
            </w:r>
          </w:p>
        </w:tc>
      </w:tr>
      <w:tr>
        <w:trPr>
          <w:trHeight w:val="180"/>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w:t>
            </w:r>
          </w:p>
        </w:tc>
      </w:tr>
      <w:tr>
        <w:trPr>
          <w:trHeight w:val="180"/>
        </w:trPr>
        <w:tc>
          <w:tcPr>
            <w:tcW w:w="8580" w:type="dxa"/>
            <w:vAlign w:val="bottom"/>
          </w:tcPr>
          <w:p>
            <w:pPr>
              <w:ind w:left="20"/>
              <w:spacing w:after="0"/>
              <w:rPr>
                <w:sz w:val="20"/>
                <w:szCs w:val="20"/>
                <w:color w:val="auto"/>
              </w:rPr>
            </w:pPr>
            <w:r>
              <w:rPr>
                <w:rFonts w:ascii="Arial" w:cs="Arial" w:eastAsia="Arial" w:hAnsi="Arial"/>
                <w:sz w:val="14"/>
                <w:szCs w:val="14"/>
                <w:color w:val="auto"/>
              </w:rPr>
              <w:t>Asia-Pacific</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1,048</w:t>
            </w:r>
          </w:p>
        </w:tc>
      </w:tr>
      <w:tr>
        <w:trPr>
          <w:trHeight w:val="180"/>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w:t>
            </w:r>
          </w:p>
        </w:tc>
      </w:tr>
      <w:tr>
        <w:trPr>
          <w:trHeight w:val="171"/>
        </w:trPr>
        <w:tc>
          <w:tcPr>
            <w:tcW w:w="8580" w:type="dxa"/>
            <w:vAlign w:val="bottom"/>
          </w:tcPr>
          <w:p>
            <w:pPr>
              <w:ind w:left="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65,153</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55,645</w:t>
            </w:r>
          </w:p>
        </w:tc>
      </w:tr>
      <w:tr>
        <w:trPr>
          <w:trHeight w:val="20"/>
        </w:trPr>
        <w:tc>
          <w:tcPr>
            <w:tcW w:w="8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in long-lived assets in Singapore is attributable to capital expenditures funded by the NIH Contract (see Note 4).</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Commitments and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the normal course of business, we enter into various contractual and legally binding purchase commitments. As of December 31, 2021, these commitments were approximately $22.0 million.</w:t>
      </w:r>
    </w:p>
    <w:p>
      <w:pPr>
        <w:spacing w:after="0" w:line="148" w:lineRule="exact"/>
        <w:rPr>
          <w:sz w:val="20"/>
          <w:szCs w:val="20"/>
          <w:color w:val="auto"/>
        </w:rPr>
      </w:pPr>
    </w:p>
    <w:p>
      <w:pPr>
        <w:jc w:val="both"/>
        <w:ind w:right="100" w:firstLine="254"/>
        <w:spacing w:after="0" w:line="261" w:lineRule="auto"/>
        <w:rPr>
          <w:sz w:val="20"/>
          <w:szCs w:val="20"/>
          <w:color w:val="auto"/>
        </w:rPr>
      </w:pPr>
      <w:r>
        <w:rPr>
          <w:rFonts w:ascii="Arial" w:cs="Arial" w:eastAsia="Arial" w:hAnsi="Arial"/>
          <w:sz w:val="14"/>
          <w:szCs w:val="14"/>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Indemnifications</w:t>
      </w:r>
    </w:p>
    <w:p>
      <w:pPr>
        <w:spacing w:after="0" w:line="140" w:lineRule="exact"/>
        <w:rPr>
          <w:sz w:val="20"/>
          <w:szCs w:val="20"/>
          <w:color w:val="auto"/>
        </w:rPr>
      </w:pPr>
    </w:p>
    <w:p>
      <w:pPr>
        <w:ind w:right="80" w:firstLine="254"/>
        <w:spacing w:after="0" w:line="309" w:lineRule="auto"/>
        <w:rPr>
          <w:sz w:val="20"/>
          <w:szCs w:val="20"/>
          <w:color w:val="auto"/>
        </w:rPr>
      </w:pPr>
      <w:r>
        <w:rPr>
          <w:rFonts w:ascii="Arial" w:cs="Arial" w:eastAsia="Arial" w:hAnsi="Arial"/>
          <w:sz w:val="12"/>
          <w:szCs w:val="12"/>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auto"/>
        </w:rPr>
        <w:t>Contingencies</w:t>
      </w:r>
    </w:p>
    <w:p>
      <w:pPr>
        <w:spacing w:after="0" w:line="140" w:lineRule="exact"/>
        <w:rPr>
          <w:sz w:val="20"/>
          <w:szCs w:val="20"/>
          <w:color w:val="auto"/>
        </w:rPr>
      </w:pPr>
    </w:p>
    <w:p>
      <w:pPr>
        <w:ind w:firstLine="254"/>
        <w:spacing w:after="0" w:line="278" w:lineRule="auto"/>
        <w:rPr>
          <w:sz w:val="20"/>
          <w:szCs w:val="20"/>
          <w:color w:val="auto"/>
        </w:rPr>
      </w:pPr>
      <w:r>
        <w:rPr>
          <w:rFonts w:ascii="Arial" w:cs="Arial" w:eastAsia="Arial" w:hAnsi="Arial"/>
          <w:sz w:val="13"/>
          <w:szCs w:val="13"/>
          <w:color w:val="auto"/>
        </w:rPr>
        <w:t>In September 2020, a putative class action complaint alleging violations of the federal securities laws was filed against the Company (also naming our Chief Executive Officer and Chief Financial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A second amended complaint was filed on September 14, 2021. The Company filed a motion to dismiss the second amended complaint on October 29, 2021 and, on February 14, 2022, the Court granted defendants’ motion and dismissed the second amended complaint with prejudice. The plaintiff has 30 days following the Court’s entry of judgment to file an appeal. We believe the claims alleged in the complaint lack merit and, should an appeal be filed, we intend to defend this action vigorously.</w:t>
      </w:r>
    </w:p>
    <w:p>
      <w:pPr>
        <w:spacing w:after="0" w:line="87" w:lineRule="exact"/>
        <w:rPr>
          <w:sz w:val="20"/>
          <w:szCs w:val="20"/>
          <w:color w:val="auto"/>
        </w:rPr>
      </w:pPr>
    </w:p>
    <w:p>
      <w:pPr>
        <w:ind w:right="60" w:firstLine="254"/>
        <w:spacing w:after="0" w:line="312" w:lineRule="auto"/>
        <w:rPr>
          <w:sz w:val="20"/>
          <w:szCs w:val="20"/>
          <w:color w:val="auto"/>
        </w:rPr>
      </w:pPr>
      <w:r>
        <w:rPr>
          <w:rFonts w:ascii="Arial" w:cs="Arial" w:eastAsia="Arial" w:hAnsi="Arial"/>
          <w:sz w:val="12"/>
          <w:szCs w:val="12"/>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We have not recorded any such liabilities.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Subsequent Event</w:t>
      </w:r>
    </w:p>
    <w:p>
      <w:pPr>
        <w:spacing w:after="0" w:line="108" w:lineRule="exact"/>
        <w:rPr>
          <w:sz w:val="20"/>
          <w:szCs w:val="20"/>
          <w:color w:val="auto"/>
        </w:rPr>
      </w:pPr>
    </w:p>
    <w:p>
      <w:pPr>
        <w:ind w:right="100" w:firstLine="254"/>
        <w:spacing w:after="0" w:line="246" w:lineRule="auto"/>
        <w:rPr>
          <w:sz w:val="20"/>
          <w:szCs w:val="20"/>
          <w:color w:val="auto"/>
        </w:rPr>
      </w:pPr>
      <w:r>
        <w:rPr>
          <w:rFonts w:ascii="Arial" w:cs="Arial" w:eastAsia="Arial" w:hAnsi="Arial"/>
          <w:sz w:val="13"/>
          <w:szCs w:val="13"/>
          <w:color w:val="auto"/>
        </w:rPr>
        <w:t>On January 23, 2022, we entered into (i) a Loan Agreement (the Casdin Loan Agreement) with Casdin Private Growth Equity Fund II, L.P. and Casdin Partners Master Fund, L.P. (collectively, Casdin) and (ii) a Loan Agreement (the Viking Loan Agreement, and together with the Casdin Loan Agreement, the Bridge Loan Agreements) with Viking Global Opportunities Illiquid Investments Sub-Master LP and Viking Global Opportunities Drawdown (Aggregator) LP (collectively, Viking and, together with Casdin, the Purchasers and each, a Purchaser). Each Bridge Loan Agreement provides for a $12.5 million term loan to us (each, a Bridge Loan and collectively, the Bridge Loans). Subject to approval by our stockholders, upon the issuance of the shares of Series B Preferred Stock (as defined below) pursuant to the Purchase Agreements (as defined below), the Bridge Loans will be automatically converted into shares of Series B-1 Preferred Stock (as defined below) or Series B-2 Preferred Stock (as defined below), as applicable, in accordance with the terms of the Bridge Loan Agreements. The Bridge Loans were fully drawn on January 24, 2022. The proceeds of the Bridge Loans may be used for working capital and general corporate purposes.</w:t>
      </w:r>
    </w:p>
    <w:p>
      <w:pPr>
        <w:spacing w:after="0" w:line="92" w:lineRule="exact"/>
        <w:rPr>
          <w:sz w:val="20"/>
          <w:szCs w:val="20"/>
          <w:color w:val="auto"/>
        </w:rPr>
      </w:pPr>
    </w:p>
    <w:p>
      <w:pPr>
        <w:ind w:right="20" w:firstLine="254"/>
        <w:spacing w:after="0" w:line="278" w:lineRule="auto"/>
        <w:rPr>
          <w:sz w:val="20"/>
          <w:szCs w:val="20"/>
          <w:color w:val="auto"/>
        </w:rPr>
      </w:pPr>
      <w:r>
        <w:rPr>
          <w:rFonts w:ascii="Arial" w:cs="Arial" w:eastAsia="Arial" w:hAnsi="Arial"/>
          <w:sz w:val="13"/>
          <w:szCs w:val="13"/>
          <w:color w:val="auto"/>
        </w:rPr>
        <w:t>Also on January 23, 2022, we entered into separate Series B Convertible Preferred Stock Purchase Agreements (the Purchase Agreements) with each of the Purchasers pursuant to which, among other things, at the closing of the transactions contemplated thereby, and on the terms and subject to the conditions set forth therein, including the approval of our stockholders, we will issue and sell an aggregate of $225 million of convertible preferred stock, consisting of: (i) 112,500 shares of our Series B-1 Convertible Preferred Stock, par value $0.001 per share (the Series B-1 Preferred Stock), at a purchase price of $1,000.00 per share to Casdin, and (ii) 112,500 shares of our Series B-2 Convertible Preferred Stock, par value $0.001 per share (the Series B-2 Preferred Stock, and together with the Series B-1 Preferred Stock, the Series B Preferred Stock) at a purchase price of $1,000.00 per share to Viking (clauses (i) and (ii), the Preferred Equity Financing, and together with the issuance of shares of Series B Preferred Stock in connection with the conversion of the Bridge Loans, the Private Placement Issuance). The Series B Preferred Stock to be purchased by Casdin and Viking pursuant to the Purchase Agreements is in addition to any Series B Preferred Stock to be issued upon conversion of outstanding amounts under the Bridge Loan Agreements. The proceeds of the Preferred Equity Transactions will be used by us for expenses related to the Preferred Equity Transactions, as well as working capital, general corporate purposes and merger and acquisition opportunities that we may identify from time to time.</w:t>
      </w:r>
    </w:p>
    <w:p>
      <w:pPr>
        <w:spacing w:after="0" w:line="83" w:lineRule="exact"/>
        <w:rPr>
          <w:sz w:val="20"/>
          <w:szCs w:val="20"/>
          <w:color w:val="auto"/>
        </w:rPr>
      </w:pPr>
    </w:p>
    <w:p>
      <w:pPr>
        <w:ind w:right="200" w:firstLine="254"/>
        <w:spacing w:after="0" w:line="266" w:lineRule="auto"/>
        <w:rPr>
          <w:sz w:val="20"/>
          <w:szCs w:val="20"/>
          <w:color w:val="auto"/>
        </w:rPr>
      </w:pPr>
      <w:r>
        <w:rPr>
          <w:rFonts w:ascii="Arial" w:cs="Arial" w:eastAsia="Arial" w:hAnsi="Arial"/>
          <w:sz w:val="14"/>
          <w:szCs w:val="14"/>
          <w:color w:val="auto"/>
        </w:rPr>
        <w:t>In connection with the Private Placement Issuance, we will change our name to “Standard BioTools Inc.” and Dr. Michael Egholm will be appointed as the Company’s President and Chief Executive Officer and as a member of our Board of Directors (the Board), each occurring upon the closing of the transactions contemplated by the Purchase Agreements (Closing). Dr. Egholm will succeed Chris Linthwaite, who will continue as our Chief Executive Officer until the earlier of the Closing or May 15, 2022.</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11" w:name="page112"/>
    <w:bookmarkEnd w:id="111"/>
    <w:p>
      <w:pPr>
        <w:ind w:right="160" w:firstLine="254"/>
        <w:spacing w:after="0" w:line="320" w:lineRule="auto"/>
        <w:rPr>
          <w:sz w:val="20"/>
          <w:szCs w:val="20"/>
          <w:color w:val="auto"/>
        </w:rPr>
      </w:pPr>
      <w:r>
        <w:rPr>
          <w:rFonts w:ascii="Arial" w:cs="Arial" w:eastAsia="Arial" w:hAnsi="Arial"/>
          <w:sz w:val="13"/>
          <w:szCs w:val="13"/>
          <w:color w:val="auto"/>
        </w:rPr>
        <w:t>The Closing is subject to customary closing conditions for a transaction of this nature, including approval by our stockholders of the issuance of the Series B Preferred Stock in connection with the Private Placement Issuance. Each Private Placement Issuance is also conditioned on the substantially contemporaneous consummation of the other Private Placement Issuance.</w:t>
      </w:r>
    </w:p>
    <w:p>
      <w:pPr>
        <w:spacing w:after="0" w:line="46" w:lineRule="exact"/>
        <w:rPr>
          <w:sz w:val="20"/>
          <w:szCs w:val="20"/>
          <w:color w:val="auto"/>
        </w:rPr>
      </w:pPr>
    </w:p>
    <w:p>
      <w:pPr>
        <w:ind w:right="80" w:firstLine="254"/>
        <w:spacing w:after="0" w:line="278" w:lineRule="auto"/>
        <w:rPr>
          <w:sz w:val="20"/>
          <w:szCs w:val="20"/>
          <w:color w:val="auto"/>
        </w:rPr>
      </w:pPr>
      <w:r>
        <w:rPr>
          <w:rFonts w:ascii="Arial" w:cs="Arial" w:eastAsia="Arial" w:hAnsi="Arial"/>
          <w:sz w:val="13"/>
          <w:szCs w:val="13"/>
          <w:color w:val="auto"/>
        </w:rPr>
        <w:t>Our Board has called a special meeting to be held on March 25, 2022 (the Special Meeting) to ask our stockholders to consider, vote upon and approve (i) a proposal to amend our Eighth Amended and Restated Certificate of Incorporation (the Charter) to, among other things, increase the number of shares of common stock, par value $0.001 per share, (the Common Stock) that we are authorized to issue from two hundred million (200,000,000) shares to four hundred million (400,000,000) shares and to change our name to Standard BioTools Inc. (together, the Charter Amendment Proposal); and (ii) to approve the issuance of (A) the Series B-1 Preferred Stock and the Series B-2 Preferred Stock pursuant to the Purchase Agreements, (B) the Series B-1 Preferred Stock and the Series B-2 Preferred Stock issuable pursuant to the terms of the Bridge Loan Agreements and (C) the Common Stock issuable upon the conversion of the Series B Preferred Stock (clauses (A) through (C), the Private Placement Issuance Proposal). The Private Placement Issuance Proposal is conditioned on the approval of the Charter Amendment Proposal. The Charter Amendment Proposal is conditioned on the approval of the Private Placement Issuance Proposal. If both proposals do not receive the requisite vote for approval, neither the Charter Amendment Proposal nor the Private Placement Issuance Proposal will take effect. The parties have agreed that they will not be obligated to close the Private Placement Issuance if the Charter Amendment Proposal has not been approved at the Special Meeting.</w:t>
      </w:r>
    </w:p>
    <w:p>
      <w:pPr>
        <w:spacing w:after="0" w:line="83" w:lineRule="exact"/>
        <w:rPr>
          <w:sz w:val="20"/>
          <w:szCs w:val="20"/>
          <w:color w:val="auto"/>
        </w:rPr>
      </w:pPr>
    </w:p>
    <w:p>
      <w:pPr>
        <w:ind w:right="40" w:firstLine="254"/>
        <w:spacing w:after="0" w:line="299" w:lineRule="auto"/>
        <w:rPr>
          <w:sz w:val="20"/>
          <w:szCs w:val="20"/>
          <w:color w:val="auto"/>
        </w:rPr>
      </w:pPr>
      <w:r>
        <w:rPr>
          <w:rFonts w:ascii="Arial" w:cs="Arial" w:eastAsia="Arial" w:hAnsi="Arial"/>
          <w:sz w:val="12"/>
          <w:szCs w:val="12"/>
          <w:color w:val="auto"/>
        </w:rPr>
        <w:t>If the Charter Amendment Proposal and the Private Placement Issuance Proposal are not approved by our stockholders at the Special Meeting or the Purchase Agreements are otherwise terminated, then the Bridge Loans will become convertible, at each lender’s option, into Common Stock at an initial conversion rate of 352.1126 shares of Common Stock per $1,000 of conversion amount, subject to the cap set forth in the Bridge Loan Agreements. The conversion rate is subject to customary adjustments as set forth in the Bridge Loan Agreements. The Bridge Loans bear interest (i) from and including the effective date of the Bridge Loan Agreements to but excluding March 1, 2022, at 10%, (ii) from and including March 1, 2022 to but excluding June 1, 2022, at 12%,</w:t>
      </w:r>
    </w:p>
    <w:p>
      <w:pPr>
        <w:ind w:firstLine="5"/>
        <w:spacing w:after="0" w:line="288" w:lineRule="auto"/>
        <w:tabs>
          <w:tab w:leader="none" w:pos="247" w:val="left"/>
        </w:tabs>
        <w:numPr>
          <w:ilvl w:val="0"/>
          <w:numId w:val="49"/>
        </w:numPr>
        <w:rPr>
          <w:rFonts w:ascii="Arial" w:cs="Arial" w:eastAsia="Arial" w:hAnsi="Arial"/>
          <w:sz w:val="13"/>
          <w:szCs w:val="13"/>
          <w:color w:val="auto"/>
        </w:rPr>
      </w:pPr>
      <w:r>
        <w:rPr>
          <w:rFonts w:ascii="Arial" w:cs="Arial" w:eastAsia="Arial" w:hAnsi="Arial"/>
          <w:sz w:val="13"/>
          <w:szCs w:val="13"/>
          <w:color w:val="auto"/>
        </w:rPr>
        <w:t>from and including June 1, 2022 to but excluding September 1, 2022, at 14%, and (iv) from and including September 1, 2022 and thereafter, at 16%. Interest accrues daily and is payable in kind by adding the accrued interest to the outstanding principal amount on the last date of each month. The Bridge Loans mature on the 91st calendar day after the latest maturity date of the loans borrowed under our Loan and Security Agreement, dated as of August 2, 2018, with Silicon Valley Bank, and the principal, together with accrued and unpaid interest, is due on the maturity date.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40" w:lineRule="exact"/>
        <w:rPr>
          <w:sz w:val="20"/>
          <w:szCs w:val="20"/>
          <w:color w:val="auto"/>
        </w:rPr>
      </w:pPr>
    </w:p>
    <w:p>
      <w:pPr>
        <w:ind w:right="40" w:firstLine="254"/>
        <w:spacing w:after="0" w:line="278" w:lineRule="auto"/>
        <w:rPr>
          <w:sz w:val="20"/>
          <w:szCs w:val="20"/>
          <w:color w:val="auto"/>
        </w:rPr>
      </w:pPr>
      <w:r>
        <w:rPr>
          <w:rFonts w:ascii="Arial" w:cs="Arial" w:eastAsia="Arial" w:hAnsi="Arial"/>
          <w:sz w:val="13"/>
          <w:szCs w:val="13"/>
          <w:color w:val="auto"/>
        </w:rPr>
        <w:t>Our management, with the participation of our Chief Executive Officer and our Chief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ind w:firstLine="349"/>
        <w:spacing w:after="0" w:line="259" w:lineRule="auto"/>
        <w:rPr>
          <w:sz w:val="20"/>
          <w:szCs w:val="20"/>
          <w:color w:val="auto"/>
        </w:rPr>
      </w:pPr>
      <w:r>
        <w:rPr>
          <w:rFonts w:ascii="Arial" w:cs="Arial" w:eastAsia="Arial" w:hAnsi="Arial"/>
          <w:sz w:val="14"/>
          <w:szCs w:val="14"/>
          <w:color w:val="auto"/>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2021. Management based its assessment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(2013 Framework). Based on that evaluation, our management concluded that our internal control over financial reporting was effective as of December 31, 2021.</w:t>
      </w:r>
    </w:p>
    <w:p>
      <w:pPr>
        <w:spacing w:after="0" w:line="95" w:lineRule="exact"/>
        <w:rPr>
          <w:sz w:val="20"/>
          <w:szCs w:val="20"/>
          <w:color w:val="auto"/>
        </w:rPr>
      </w:pPr>
    </w:p>
    <w:p>
      <w:pPr>
        <w:ind w:right="100" w:firstLine="318"/>
        <w:spacing w:after="0" w:line="280" w:lineRule="auto"/>
        <w:rPr>
          <w:sz w:val="20"/>
          <w:szCs w:val="20"/>
          <w:color w:val="auto"/>
        </w:rPr>
      </w:pPr>
      <w:r>
        <w:rPr>
          <w:rFonts w:ascii="Arial" w:cs="Arial" w:eastAsia="Arial" w:hAnsi="Arial"/>
          <w:sz w:val="14"/>
          <w:szCs w:val="14"/>
          <w:color w:val="auto"/>
        </w:rPr>
        <w:t>The effectiveness of our internal control over financial reporting as of December 31, 2021 has been audited by PricewaterhouseCoopers, LLP, an independent registered public accounting firm, as stated in their report included in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0" w:lineRule="exact"/>
        <w:rPr>
          <w:sz w:val="20"/>
          <w:szCs w:val="20"/>
          <w:color w:val="auto"/>
        </w:rPr>
      </w:pPr>
    </w:p>
    <w:p>
      <w:pPr>
        <w:ind w:right="220" w:firstLine="254"/>
        <w:spacing w:after="0" w:line="280" w:lineRule="auto"/>
        <w:rPr>
          <w:sz w:val="20"/>
          <w:szCs w:val="20"/>
          <w:color w:val="auto"/>
        </w:rPr>
      </w:pPr>
      <w:r>
        <w:rPr>
          <w:rFonts w:ascii="Arial" w:cs="Arial" w:eastAsia="Arial" w:hAnsi="Arial"/>
          <w:sz w:val="14"/>
          <w:szCs w:val="14"/>
          <w:color w:val="auto"/>
        </w:rPr>
        <w:t>There were no changes in our internal control over financial reporting that occurred during the three months ended December 31, 2021 that have materially affected, or are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the Effectiveness of Controls</w:t>
      </w:r>
    </w:p>
    <w:p>
      <w:pPr>
        <w:spacing w:after="0" w:line="118" w:lineRule="exact"/>
        <w:rPr>
          <w:sz w:val="20"/>
          <w:szCs w:val="20"/>
          <w:color w:val="auto"/>
        </w:rPr>
      </w:pPr>
    </w:p>
    <w:p>
      <w:pPr>
        <w:ind w:right="20" w:firstLine="254"/>
        <w:spacing w:after="0" w:line="261" w:lineRule="auto"/>
        <w:rPr>
          <w:sz w:val="20"/>
          <w:szCs w:val="20"/>
          <w:color w:val="auto"/>
        </w:rPr>
      </w:pPr>
      <w:r>
        <w:rPr>
          <w:rFonts w:ascii="Arial" w:cs="Arial" w:eastAsia="Arial" w:hAnsi="Arial"/>
          <w:sz w:val="14"/>
          <w:szCs w:val="14"/>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DISCLOSURES REGARDING FOREIGN JURISDICTIONS THAT PREVENT INSPECTIONS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438"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4"/>
          <w:szCs w:val="14"/>
          <w:b w:val="1"/>
          <w:bCs w:val="1"/>
          <w:color w:val="auto"/>
        </w:rPr>
        <w:t>SCHEDULE II—VALUATION AND QUALIFYING ACCOUNTS AND RESERVES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gridSpan w:val="3"/>
          </w:tcPr>
          <w:p>
            <w:pPr>
              <w:jc w:val="center"/>
              <w:ind w:right="340"/>
              <w:spacing w:after="0" w:line="101" w:lineRule="exact"/>
              <w:rPr>
                <w:sz w:val="20"/>
                <w:szCs w:val="20"/>
                <w:color w:val="auto"/>
              </w:rPr>
            </w:pPr>
            <w:r>
              <w:rPr>
                <w:rFonts w:ascii="Arial" w:cs="Arial" w:eastAsia="Arial" w:hAnsi="Arial"/>
                <w:sz w:val="11"/>
                <w:szCs w:val="11"/>
                <w:b w:val="1"/>
                <w:bCs w:val="1"/>
                <w:color w:val="auto"/>
                <w:w w:val="90"/>
              </w:rPr>
              <w:t>Balance at</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tcPr>
          <w:p>
            <w:pPr>
              <w:jc w:val="center"/>
              <w:ind w:right="380"/>
              <w:spacing w:after="0" w:line="101" w:lineRule="exact"/>
              <w:rPr>
                <w:sz w:val="20"/>
                <w:szCs w:val="20"/>
                <w:color w:val="auto"/>
              </w:rPr>
            </w:pPr>
            <w:r>
              <w:rPr>
                <w:rFonts w:ascii="Arial" w:cs="Arial" w:eastAsia="Arial" w:hAnsi="Arial"/>
                <w:sz w:val="11"/>
                <w:szCs w:val="11"/>
                <w:b w:val="1"/>
                <w:bCs w:val="1"/>
                <w:color w:val="auto"/>
                <w:w w:val="92"/>
              </w:rPr>
              <w:t>Additions/</w:t>
            </w: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jc w:val="center"/>
              <w:ind w:right="216"/>
              <w:spacing w:after="0" w:line="101" w:lineRule="exact"/>
              <w:rPr>
                <w:sz w:val="20"/>
                <w:szCs w:val="20"/>
                <w:color w:val="auto"/>
              </w:rPr>
            </w:pPr>
            <w:r>
              <w:rPr>
                <w:rFonts w:ascii="Arial" w:cs="Arial" w:eastAsia="Arial" w:hAnsi="Arial"/>
                <w:sz w:val="11"/>
                <w:szCs w:val="11"/>
                <w:b w:val="1"/>
                <w:bCs w:val="1"/>
                <w:color w:val="auto"/>
                <w:w w:val="90"/>
              </w:rPr>
              <w:t>Balance at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3"/>
          </w:tcPr>
          <w:p>
            <w:pPr>
              <w:jc w:val="center"/>
              <w:ind w:right="340"/>
              <w:spacing w:after="0" w:line="106" w:lineRule="exact"/>
              <w:rPr>
                <w:sz w:val="20"/>
                <w:szCs w:val="20"/>
                <w:color w:val="auto"/>
              </w:rPr>
            </w:pPr>
            <w:r>
              <w:rPr>
                <w:rFonts w:ascii="Arial" w:cs="Arial" w:eastAsia="Arial" w:hAnsi="Arial"/>
                <w:sz w:val="11"/>
                <w:szCs w:val="11"/>
                <w:b w:val="1"/>
                <w:bCs w:val="1"/>
                <w:color w:val="auto"/>
                <w:w w:val="92"/>
              </w:rPr>
              <w:t>Beginning of</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tcPr>
          <w:p>
            <w:pPr>
              <w:jc w:val="center"/>
              <w:ind w:right="380"/>
              <w:spacing w:after="0" w:line="106" w:lineRule="exact"/>
              <w:rPr>
                <w:sz w:val="20"/>
                <w:szCs w:val="20"/>
                <w:color w:val="auto"/>
              </w:rPr>
            </w:pPr>
            <w:r>
              <w:rPr>
                <w:rFonts w:ascii="Arial" w:cs="Arial" w:eastAsia="Arial" w:hAnsi="Arial"/>
                <w:sz w:val="11"/>
                <w:szCs w:val="11"/>
                <w:b w:val="1"/>
                <w:bCs w:val="1"/>
                <w:color w:val="auto"/>
                <w:w w:val="92"/>
              </w:rPr>
              <w:t>Charged to</w:t>
            </w: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Deductions</w:t>
            </w:r>
          </w:p>
        </w:tc>
        <w:tc>
          <w:tcPr>
            <w:tcW w:w="280" w:type="dxa"/>
            <w:vAlign w:val="bottom"/>
          </w:tcPr>
          <w:p>
            <w:pPr>
              <w:spacing w:after="0"/>
              <w:rPr>
                <w:sz w:val="9"/>
                <w:szCs w:val="9"/>
                <w:color w:val="auto"/>
              </w:rPr>
            </w:pPr>
          </w:p>
        </w:tc>
        <w:tc>
          <w:tcPr>
            <w:tcW w:w="1140" w:type="dxa"/>
            <w:vAlign w:val="bottom"/>
          </w:tcPr>
          <w:p>
            <w:pPr>
              <w:jc w:val="center"/>
              <w:ind w:right="236"/>
              <w:spacing w:after="0" w:line="106" w:lineRule="exact"/>
              <w:rPr>
                <w:sz w:val="20"/>
                <w:szCs w:val="20"/>
                <w:color w:val="auto"/>
              </w:rPr>
            </w:pPr>
            <w:r>
              <w:rPr>
                <w:rFonts w:ascii="Arial" w:cs="Arial" w:eastAsia="Arial" w:hAnsi="Arial"/>
                <w:sz w:val="11"/>
                <w:szCs w:val="11"/>
                <w:b w:val="1"/>
                <w:bCs w:val="1"/>
                <w:color w:val="auto"/>
                <w:w w:val="93"/>
              </w:rPr>
              <w:t>End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3"/>
              </w:rPr>
              <w:t>Period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Expense</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236"/>
              <w:spacing w:after="0"/>
              <w:rPr>
                <w:sz w:val="20"/>
                <w:szCs w:val="20"/>
                <w:color w:val="auto"/>
              </w:rPr>
            </w:pPr>
            <w:r>
              <w:rPr>
                <w:rFonts w:ascii="Arial" w:cs="Arial" w:eastAsia="Arial" w:hAnsi="Arial"/>
                <w:sz w:val="11"/>
                <w:szCs w:val="11"/>
                <w:b w:val="1"/>
                <w:bCs w:val="1"/>
                <w:color w:val="auto"/>
                <w:w w:val="93"/>
              </w:rPr>
              <w:t>Period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CCEEFF"/>
            </w:tcBorders>
            <w:shd w:val="clear" w:color="auto" w:fill="CCEEFF"/>
          </w:tcPr>
          <w:p>
            <w:pPr>
              <w:spacing w:after="0"/>
              <w:rPr>
                <w:sz w:val="13"/>
                <w:szCs w:val="13"/>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Year ended December 31, 2021</w:t>
            </w:r>
          </w:p>
        </w:tc>
        <w:tc>
          <w:tcPr>
            <w:tcW w:w="2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Accounts receivable allowance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Year ended December 31, 2020</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ind w:left="260"/>
              <w:spacing w:after="0"/>
              <w:rPr>
                <w:sz w:val="20"/>
                <w:szCs w:val="20"/>
                <w:color w:val="auto"/>
              </w:rPr>
            </w:pPr>
            <w:r>
              <w:rPr>
                <w:rFonts w:ascii="Arial" w:cs="Arial" w:eastAsia="Arial" w:hAnsi="Arial"/>
                <w:sz w:val="14"/>
                <w:szCs w:val="14"/>
                <w:color w:val="auto"/>
              </w:rPr>
              <w:t>Accounts receivable allowance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356</w:t>
            </w:r>
          </w:p>
        </w:tc>
        <w:tc>
          <w:tcPr>
            <w:tcW w:w="80" w:type="dxa"/>
            <w:vAlign w:val="bottom"/>
          </w:tcPr>
          <w:p>
            <w:pPr>
              <w:spacing w:after="0"/>
              <w:rPr>
                <w:sz w:val="15"/>
                <w:szCs w:val="15"/>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Year ended December 31, 2019</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ind w:left="260"/>
              <w:spacing w:after="0"/>
              <w:rPr>
                <w:sz w:val="20"/>
                <w:szCs w:val="20"/>
                <w:color w:val="auto"/>
              </w:rPr>
            </w:pPr>
            <w:r>
              <w:rPr>
                <w:rFonts w:ascii="Arial" w:cs="Arial" w:eastAsia="Arial" w:hAnsi="Arial"/>
                <w:sz w:val="14"/>
                <w:szCs w:val="14"/>
                <w:color w:val="auto"/>
              </w:rPr>
              <w:t>Accounts receivable allowance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gridSpan w:val="3"/>
          </w:tcPr>
          <w:p>
            <w:pPr>
              <w:jc w:val="center"/>
              <w:ind w:right="300"/>
              <w:spacing w:after="0" w:line="101" w:lineRule="exact"/>
              <w:rPr>
                <w:sz w:val="20"/>
                <w:szCs w:val="20"/>
                <w:color w:val="auto"/>
              </w:rPr>
            </w:pPr>
            <w:r>
              <w:rPr>
                <w:rFonts w:ascii="Arial" w:cs="Arial" w:eastAsia="Arial" w:hAnsi="Arial"/>
                <w:sz w:val="11"/>
                <w:szCs w:val="11"/>
                <w:b w:val="1"/>
                <w:bCs w:val="1"/>
                <w:color w:val="auto"/>
                <w:w w:val="90"/>
              </w:rPr>
              <w:t>Balance at</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tcPr>
          <w:p>
            <w:pPr>
              <w:jc w:val="center"/>
              <w:ind w:right="340"/>
              <w:spacing w:after="0" w:line="101" w:lineRule="exact"/>
              <w:rPr>
                <w:sz w:val="20"/>
                <w:szCs w:val="20"/>
                <w:color w:val="auto"/>
              </w:rPr>
            </w:pPr>
            <w:r>
              <w:rPr>
                <w:rFonts w:ascii="Arial" w:cs="Arial" w:eastAsia="Arial" w:hAnsi="Arial"/>
                <w:sz w:val="11"/>
                <w:szCs w:val="11"/>
                <w:b w:val="1"/>
                <w:bCs w:val="1"/>
                <w:color w:val="auto"/>
                <w:w w:val="92"/>
              </w:rPr>
              <w:t>Additions/</w:t>
            </w: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jc w:val="center"/>
              <w:ind w:right="196"/>
              <w:spacing w:after="0" w:line="101" w:lineRule="exact"/>
              <w:rPr>
                <w:sz w:val="20"/>
                <w:szCs w:val="20"/>
                <w:color w:val="auto"/>
              </w:rPr>
            </w:pPr>
            <w:r>
              <w:rPr>
                <w:rFonts w:ascii="Arial" w:cs="Arial" w:eastAsia="Arial" w:hAnsi="Arial"/>
                <w:sz w:val="11"/>
                <w:szCs w:val="11"/>
                <w:b w:val="1"/>
                <w:bCs w:val="1"/>
                <w:color w:val="auto"/>
                <w:w w:val="94"/>
              </w:rPr>
              <w:t>Balance at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3"/>
          </w:tcPr>
          <w:p>
            <w:pPr>
              <w:jc w:val="center"/>
              <w:ind w:right="320"/>
              <w:spacing w:after="0" w:line="106" w:lineRule="exact"/>
              <w:rPr>
                <w:sz w:val="20"/>
                <w:szCs w:val="20"/>
                <w:color w:val="auto"/>
              </w:rPr>
            </w:pPr>
            <w:r>
              <w:rPr>
                <w:rFonts w:ascii="Arial" w:cs="Arial" w:eastAsia="Arial" w:hAnsi="Arial"/>
                <w:sz w:val="11"/>
                <w:szCs w:val="11"/>
                <w:b w:val="1"/>
                <w:bCs w:val="1"/>
                <w:color w:val="auto"/>
                <w:w w:val="89"/>
              </w:rPr>
              <w:t>Beginning of</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2"/>
              </w:rPr>
              <w:t>Charged to</w:t>
            </w: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Deductions</w:t>
            </w:r>
          </w:p>
        </w:tc>
        <w:tc>
          <w:tcPr>
            <w:tcW w:w="280" w:type="dxa"/>
            <w:vAlign w:val="bottom"/>
          </w:tcPr>
          <w:p>
            <w:pPr>
              <w:spacing w:after="0"/>
              <w:rPr>
                <w:sz w:val="9"/>
                <w:szCs w:val="9"/>
                <w:color w:val="auto"/>
              </w:rPr>
            </w:pPr>
          </w:p>
        </w:tc>
        <w:tc>
          <w:tcPr>
            <w:tcW w:w="1140" w:type="dxa"/>
            <w:vAlign w:val="bottom"/>
          </w:tcPr>
          <w:p>
            <w:pPr>
              <w:jc w:val="center"/>
              <w:ind w:right="196"/>
              <w:spacing w:after="0" w:line="106" w:lineRule="exact"/>
              <w:rPr>
                <w:sz w:val="20"/>
                <w:szCs w:val="20"/>
                <w:color w:val="auto"/>
              </w:rPr>
            </w:pPr>
            <w:r>
              <w:rPr>
                <w:rFonts w:ascii="Arial" w:cs="Arial" w:eastAsia="Arial" w:hAnsi="Arial"/>
                <w:sz w:val="11"/>
                <w:szCs w:val="11"/>
                <w:b w:val="1"/>
                <w:bCs w:val="1"/>
                <w:color w:val="auto"/>
                <w:w w:val="93"/>
              </w:rPr>
              <w:t>End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3"/>
              </w:rPr>
              <w:t>Period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8"/>
              </w:rPr>
              <w:t>Expense</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w w:val="93"/>
              </w:rPr>
              <w:t>Period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Year ended December 31, 2021</w:t>
            </w:r>
          </w:p>
        </w:tc>
        <w:tc>
          <w:tcPr>
            <w:tcW w:w="2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ind w:left="260"/>
              <w:spacing w:after="0"/>
              <w:rPr>
                <w:sz w:val="20"/>
                <w:szCs w:val="20"/>
                <w:color w:val="auto"/>
              </w:rPr>
            </w:pPr>
            <w:r>
              <w:rPr>
                <w:rFonts w:ascii="Arial" w:cs="Arial" w:eastAsia="Arial" w:hAnsi="Arial"/>
                <w:sz w:val="14"/>
                <w:szCs w:val="14"/>
                <w:color w:val="auto"/>
              </w:rPr>
              <w:t>Warranty allowance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Year ended December 31, 2020</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ind w:left="260"/>
              <w:spacing w:after="0"/>
              <w:rPr>
                <w:sz w:val="20"/>
                <w:szCs w:val="20"/>
                <w:color w:val="auto"/>
              </w:rPr>
            </w:pPr>
            <w:r>
              <w:rPr>
                <w:rFonts w:ascii="Arial" w:cs="Arial" w:eastAsia="Arial" w:hAnsi="Arial"/>
                <w:sz w:val="14"/>
                <w:szCs w:val="14"/>
                <w:color w:val="auto"/>
              </w:rPr>
              <w:t>Warranty allowance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1,028</w:t>
            </w:r>
          </w:p>
        </w:tc>
        <w:tc>
          <w:tcPr>
            <w:tcW w:w="80" w:type="dxa"/>
            <w:vAlign w:val="bottom"/>
          </w:tcPr>
          <w:p>
            <w:pPr>
              <w:spacing w:after="0"/>
              <w:rPr>
                <w:sz w:val="15"/>
                <w:szCs w:val="15"/>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Year ended December 31, 2019</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ind w:left="260"/>
              <w:spacing w:after="0"/>
              <w:rPr>
                <w:sz w:val="20"/>
                <w:szCs w:val="20"/>
                <w:color w:val="auto"/>
              </w:rPr>
            </w:pPr>
            <w:r>
              <w:rPr>
                <w:rFonts w:ascii="Arial" w:cs="Arial" w:eastAsia="Arial" w:hAnsi="Arial"/>
                <w:sz w:val="14"/>
                <w:szCs w:val="14"/>
                <w:color w:val="auto"/>
              </w:rPr>
              <w:t>Warranty allowance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1,386</w:t>
            </w:r>
          </w:p>
        </w:tc>
        <w:tc>
          <w:tcPr>
            <w:tcW w:w="80" w:type="dxa"/>
            <w:vAlign w:val="bottom"/>
          </w:tcPr>
          <w:p>
            <w:pPr>
              <w:spacing w:after="0"/>
              <w:rPr>
                <w:sz w:val="15"/>
                <w:szCs w:val="15"/>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8" w:right="31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4"/>
          <w:szCs w:val="14"/>
          <w:b w:val="1"/>
          <w:bCs w:val="1"/>
          <w:color w:val="auto"/>
        </w:rPr>
        <w:t>PART III</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29" w:lineRule="exact"/>
        <w:rPr>
          <w:sz w:val="20"/>
          <w:szCs w:val="20"/>
          <w:color w:val="auto"/>
        </w:rPr>
      </w:pPr>
    </w:p>
    <w:p>
      <w:pPr>
        <w:ind w:right="480" w:firstLine="349"/>
        <w:spacing w:after="0" w:line="280" w:lineRule="auto"/>
        <w:rPr>
          <w:sz w:val="20"/>
          <w:szCs w:val="20"/>
          <w:color w:val="auto"/>
        </w:rPr>
      </w:pPr>
      <w:r>
        <w:rPr>
          <w:rFonts w:ascii="Arial" w:cs="Arial" w:eastAsia="Arial" w:hAnsi="Arial"/>
          <w:sz w:val="14"/>
          <w:szCs w:val="14"/>
          <w:color w:val="auto"/>
        </w:rPr>
        <w:t>The information called for by this item will be set forth in our Proxy Statement for the Annual Meeting of Stockholders to be filed with the SEC within 120 days of the fiscal year ended December 31, 2021 and is incorporated herein by reference.</w:t>
      </w:r>
    </w:p>
    <w:p>
      <w:pPr>
        <w:spacing w:after="0" w:line="90" w:lineRule="exact"/>
        <w:rPr>
          <w:sz w:val="20"/>
          <w:szCs w:val="20"/>
          <w:color w:val="auto"/>
        </w:rPr>
      </w:pPr>
    </w:p>
    <w:p>
      <w:pPr>
        <w:ind w:firstLine="318"/>
        <w:spacing w:after="0" w:line="266" w:lineRule="auto"/>
        <w:rPr>
          <w:sz w:val="20"/>
          <w:szCs w:val="20"/>
          <w:color w:val="auto"/>
        </w:rPr>
      </w:pPr>
      <w:r>
        <w:rPr>
          <w:rFonts w:ascii="Arial" w:cs="Arial" w:eastAsia="Arial" w:hAnsi="Arial"/>
          <w:sz w:val="14"/>
          <w:szCs w:val="14"/>
          <w:color w:val="auto"/>
        </w:rPr>
        <w:t>Our board of directors has adopted a Code of Ethics and Conduct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www.fluidigm.com. We will post any amendments to our code of business conduct and ethics, or waivers of its requirements, on our website.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information called for by this item will be set forth in our Proxy Statement and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information, if any, required by this item will be set forth in our Proxy Statement and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information, if any, required by this item will be set forth in our Proxy Statement and is incorporated herein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35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75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69" w:right="339" w:bottom="1440" w:gutter="0" w:footer="0" w:header="0"/>
        </w:sectPr>
      </w:pPr>
    </w:p>
    <w:bookmarkStart w:id="115" w:name="page116"/>
    <w:bookmarkEnd w:id="115"/>
    <w:p>
      <w:pPr>
        <w:ind w:left="5360"/>
        <w:spacing w:after="0"/>
        <w:rPr>
          <w:sz w:val="20"/>
          <w:szCs w:val="20"/>
          <w:color w:val="auto"/>
        </w:rPr>
      </w:pPr>
      <w:r>
        <w:rPr>
          <w:rFonts w:ascii="Arial" w:cs="Arial" w:eastAsia="Arial" w:hAnsi="Arial"/>
          <w:sz w:val="14"/>
          <w:szCs w:val="14"/>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25" w:lineRule="exact"/>
        <w:rPr>
          <w:sz w:val="20"/>
          <w:szCs w:val="20"/>
          <w:color w:val="auto"/>
        </w:rPr>
      </w:pPr>
    </w:p>
    <w:p>
      <w:pPr>
        <w:ind w:left="140" w:hanging="135"/>
        <w:spacing w:after="0"/>
        <w:tabs>
          <w:tab w:leader="none" w:pos="14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Statements. </w:t>
      </w:r>
      <w:r>
        <w:rPr>
          <w:rFonts w:ascii="Arial" w:cs="Arial" w:eastAsia="Arial" w:hAnsi="Arial"/>
          <w:sz w:val="14"/>
          <w:szCs w:val="14"/>
          <w:color w:val="auto"/>
        </w:rPr>
        <w:t>See “</w:t>
      </w:r>
      <w:hyperlink w:anchor="page72">
        <w:r>
          <w:rPr>
            <w:rFonts w:ascii="Arial" w:cs="Arial" w:eastAsia="Arial" w:hAnsi="Arial"/>
            <w:sz w:val="14"/>
            <w:szCs w:val="14"/>
            <w:u w:val="single" w:color="auto"/>
            <w:color w:val="0000FF"/>
          </w:rPr>
          <w:t>Index to Consolidated Financial Statements</w:t>
        </w:r>
      </w:hyperlink>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in Part II, Item 8 of this Form 10-K.</w:t>
      </w:r>
    </w:p>
    <w:p>
      <w:pPr>
        <w:spacing w:after="0" w:line="114" w:lineRule="exact"/>
        <w:rPr>
          <w:rFonts w:ascii="Arial" w:cs="Arial" w:eastAsia="Arial" w:hAnsi="Arial"/>
          <w:sz w:val="14"/>
          <w:szCs w:val="14"/>
          <w:b w:val="1"/>
          <w:bCs w:val="1"/>
          <w:color w:val="auto"/>
        </w:rPr>
      </w:pPr>
    </w:p>
    <w:p>
      <w:pPr>
        <w:ind w:left="140" w:hanging="135"/>
        <w:spacing w:after="0"/>
        <w:tabs>
          <w:tab w:leader="none" w:pos="14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Statement schedule. </w:t>
      </w:r>
      <w:r>
        <w:rPr>
          <w:rFonts w:ascii="Arial" w:cs="Arial" w:eastAsia="Arial" w:hAnsi="Arial"/>
          <w:sz w:val="14"/>
          <w:szCs w:val="14"/>
          <w:color w:val="auto"/>
        </w:rPr>
        <w:t>See “</w:t>
      </w:r>
      <w:hyperlink w:anchor="page72">
        <w:r>
          <w:rPr>
            <w:rFonts w:ascii="Arial" w:cs="Arial" w:eastAsia="Arial" w:hAnsi="Arial"/>
            <w:sz w:val="14"/>
            <w:szCs w:val="14"/>
            <w:u w:val="single" w:color="auto"/>
            <w:color w:val="0000FF"/>
          </w:rPr>
          <w:t>Index to Consolidated Financial Statements</w:t>
        </w:r>
      </w:hyperlink>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in Part II, Item 8 of this Form 10-K.</w:t>
      </w:r>
    </w:p>
    <w:p>
      <w:pPr>
        <w:spacing w:after="0" w:line="124" w:lineRule="exact"/>
        <w:rPr>
          <w:rFonts w:ascii="Arial" w:cs="Arial" w:eastAsia="Arial" w:hAnsi="Arial"/>
          <w:sz w:val="14"/>
          <w:szCs w:val="14"/>
          <w:b w:val="1"/>
          <w:bCs w:val="1"/>
          <w:color w:val="auto"/>
        </w:rPr>
      </w:pPr>
    </w:p>
    <w:p>
      <w:pPr>
        <w:ind w:firstLine="5"/>
        <w:spacing w:after="0" w:line="286" w:lineRule="auto"/>
        <w:tabs>
          <w:tab w:leader="none" w:pos="141"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Exhibits. </w:t>
      </w:r>
      <w:r>
        <w:rPr>
          <w:rFonts w:ascii="Arial" w:cs="Arial" w:eastAsia="Arial" w:hAnsi="Arial"/>
          <w:sz w:val="14"/>
          <w:szCs w:val="14"/>
          <w:color w:val="auto"/>
        </w:rPr>
        <w:t>The exhibits listed in the accompanying</w:t>
      </w:r>
      <w:r>
        <w:rPr>
          <w:rFonts w:ascii="Arial" w:cs="Arial" w:eastAsia="Arial" w:hAnsi="Arial"/>
          <w:sz w:val="14"/>
          <w:szCs w:val="14"/>
          <w:b w:val="1"/>
          <w:bCs w:val="1"/>
          <w:color w:val="auto"/>
        </w:rPr>
        <w:t xml:space="preserve"> </w:t>
      </w:r>
      <w:hyperlink w:anchor="page116">
        <w:r>
          <w:rPr>
            <w:rFonts w:ascii="Arial" w:cs="Arial" w:eastAsia="Arial" w:hAnsi="Arial"/>
            <w:sz w:val="14"/>
            <w:szCs w:val="14"/>
            <w:u w:val="single" w:color="auto"/>
            <w:color w:val="0000FF"/>
          </w:rPr>
          <w:t>Index to Exhibits</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color w:val="auto"/>
        </w:rPr>
        <w:t>are</w:t>
      </w:r>
      <w:r>
        <w:rPr>
          <w:rFonts w:ascii="Arial" w:cs="Arial" w:eastAsia="Arial" w:hAnsi="Arial"/>
          <w:sz w:val="14"/>
          <w:szCs w:val="14"/>
          <w:b w:val="1"/>
          <w:bCs w:val="1"/>
          <w:color w:val="auto"/>
        </w:rPr>
        <w:t xml:space="preserve"> </w:t>
      </w:r>
      <w:r>
        <w:rPr>
          <w:rFonts w:ascii="Arial" w:cs="Arial" w:eastAsia="Arial" w:hAnsi="Arial"/>
          <w:sz w:val="14"/>
          <w:szCs w:val="14"/>
          <w:color w:val="auto"/>
        </w:rPr>
        <w:t>filed herewith or are incorporated by reference to exhibits previously filed with the U.S. Securities and Exchange</w:t>
      </w:r>
      <w:r>
        <w:rPr>
          <w:rFonts w:ascii="Arial" w:cs="Arial" w:eastAsia="Arial" w:hAnsi="Arial"/>
          <w:sz w:val="14"/>
          <w:szCs w:val="14"/>
          <w:b w:val="1"/>
          <w:bCs w:val="1"/>
          <w:color w:val="auto"/>
        </w:rPr>
        <w:t xml:space="preserve"> </w:t>
      </w:r>
      <w:r>
        <w:rPr>
          <w:rFonts w:ascii="Arial" w:cs="Arial" w:eastAsia="Arial" w:hAnsi="Arial"/>
          <w:sz w:val="14"/>
          <w:szCs w:val="14"/>
          <w:color w:val="auto"/>
        </w:rPr>
        <w:t>Commission.</w:t>
      </w:r>
    </w:p>
    <w:p>
      <w:pPr>
        <w:spacing w:after="0" w:line="125"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2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rFonts w:ascii="Arial" w:cs="Arial" w:eastAsia="Arial" w:hAnsi="Arial"/>
          <w:sz w:val="14"/>
          <w:szCs w:val="14"/>
          <w:color w:val="auto"/>
        </w:rPr>
      </w:pPr>
    </w:p>
    <w:p>
      <w:pPr>
        <w:spacing w:after="0" w:line="349" w:lineRule="exact"/>
        <w:rPr>
          <w:rFonts w:ascii="Arial" w:cs="Arial" w:eastAsia="Arial" w:hAnsi="Arial"/>
          <w:sz w:val="14"/>
          <w:szCs w:val="14"/>
          <w:color w:val="auto"/>
        </w:rPr>
      </w:pPr>
    </w:p>
    <w:p>
      <w:pPr>
        <w:ind w:left="5660"/>
        <w:spacing w:after="0"/>
        <w:rPr>
          <w:sz w:val="20"/>
          <w:szCs w:val="20"/>
          <w:color w:val="auto"/>
        </w:rPr>
      </w:pPr>
      <w:r>
        <w:rPr>
          <w:rFonts w:ascii="Arial" w:cs="Arial" w:eastAsia="Arial" w:hAnsi="Arial"/>
          <w:sz w:val="14"/>
          <w:szCs w:val="14"/>
          <w:color w:val="auto"/>
        </w:rPr>
        <w:t>113</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620"/>
          </w:cols>
          <w:pgMar w:left="300" w:top="1269" w:right="97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4"/>
          </w:tcPr>
          <w:p>
            <w:pPr>
              <w:ind w:left="440"/>
              <w:spacing w:after="0"/>
              <w:rPr>
                <w:sz w:val="20"/>
                <w:szCs w:val="20"/>
                <w:color w:val="auto"/>
              </w:rPr>
            </w:pPr>
            <w:r>
              <w:rPr>
                <w:rFonts w:ascii="Arial" w:cs="Arial" w:eastAsia="Arial" w:hAnsi="Arial"/>
                <w:sz w:val="14"/>
                <w:szCs w:val="14"/>
                <w:b w:val="1"/>
                <w:bCs w:val="1"/>
                <w:color w:val="auto"/>
              </w:rPr>
              <w:t>INDEX TO EXHIBITS</w:t>
            </w:r>
          </w:p>
        </w:tc>
        <w:tc>
          <w:tcPr>
            <w:tcW w:w="0" w:type="dxa"/>
            <w:vAlign w:val="bottom"/>
          </w:tcPr>
          <w:p>
            <w:pPr>
              <w:spacing w:after="0"/>
              <w:rPr>
                <w:sz w:val="1"/>
                <w:szCs w:val="1"/>
                <w:color w:val="auto"/>
              </w:rPr>
            </w:pPr>
          </w:p>
        </w:tc>
      </w:tr>
      <w:tr>
        <w:trPr>
          <w:trHeight w:val="424"/>
        </w:trPr>
        <w:tc>
          <w:tcPr>
            <w:tcW w:w="16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29"/>
            <w:vMerge w:val="restart"/>
          </w:tcPr>
          <w:p>
            <w:pPr>
              <w:ind w:left="16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16"/>
        </w:trPr>
        <w:tc>
          <w:tcPr>
            <w:tcW w:w="16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gridSpan w:val="2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auto"/>
            </w:tcBorders>
            <w:vMerge w:val="restart"/>
          </w:tcPr>
          <w:p>
            <w:pPr>
              <w:ind w:left="100"/>
              <w:spacing w:after="0"/>
              <w:rPr>
                <w:sz w:val="20"/>
                <w:szCs w:val="20"/>
                <w:color w:val="auto"/>
              </w:rPr>
            </w:pPr>
            <w:r>
              <w:rPr>
                <w:rFonts w:ascii="Arial" w:cs="Arial" w:eastAsia="Arial" w:hAnsi="Arial"/>
                <w:sz w:val="14"/>
                <w:szCs w:val="14"/>
                <w:color w:val="auto"/>
              </w:rPr>
              <w:t>2.1</w:t>
            </w:r>
          </w:p>
        </w:tc>
        <w:tc>
          <w:tcPr>
            <w:tcW w:w="12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780" w:type="dxa"/>
            <w:vAlign w:val="bottom"/>
            <w:gridSpan w:val="39"/>
          </w:tcPr>
          <w:p>
            <w:pPr>
              <w:spacing w:after="0" w:line="131" w:lineRule="exact"/>
              <w:rPr>
                <w:rFonts w:ascii="Arial" w:cs="Arial" w:eastAsia="Arial" w:hAnsi="Arial"/>
                <w:sz w:val="14"/>
                <w:szCs w:val="14"/>
                <w:color w:val="0000FF"/>
                <w:w w:val="96"/>
              </w:rPr>
            </w:pPr>
            <w:hyperlink r:id="rId148">
              <w:r>
                <w:rPr>
                  <w:rFonts w:ascii="Arial" w:cs="Arial" w:eastAsia="Arial" w:hAnsi="Arial"/>
                  <w:sz w:val="14"/>
                  <w:szCs w:val="14"/>
                  <w:color w:val="0000FF"/>
                  <w:w w:val="96"/>
                </w:rPr>
                <w:t>Agreement and Plan of Merger dated January 28, 2014 by and among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48">
              <w:r>
                <w:rPr>
                  <w:rFonts w:ascii="Arial" w:cs="Arial" w:eastAsia="Arial" w:hAnsi="Arial"/>
                  <w:sz w:val="13"/>
                  <w:szCs w:val="13"/>
                  <w:color w:val="0000FF"/>
                </w:rPr>
                <w:t>Corporation, DVS Sciences, Inc., Dawid Merger Sub, Inc. and Shareholder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4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48">
              <w:r>
                <w:rPr>
                  <w:rFonts w:ascii="Arial" w:cs="Arial" w:eastAsia="Arial" w:hAnsi="Arial"/>
                  <w:sz w:val="13"/>
                  <w:szCs w:val="13"/>
                  <w:color w:val="0000FF"/>
                </w:rPr>
                <w:t>Representative Services LLC.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3.1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3"/>
              </w:rPr>
            </w:pPr>
            <w:hyperlink r:id="rId149">
              <w:r>
                <w:rPr>
                  <w:rFonts w:ascii="Arial" w:cs="Arial" w:eastAsia="Arial" w:hAnsi="Arial"/>
                  <w:sz w:val="14"/>
                  <w:szCs w:val="14"/>
                  <w:color w:val="0000FF"/>
                  <w:w w:val="93"/>
                </w:rPr>
                <w:t>Eighth Amended and Restated Certificate of Incorporation of Fluidigm Corporation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7"/>
              </w:rPr>
            </w:pPr>
            <w:hyperlink r:id="rId149">
              <w:r>
                <w:rPr>
                  <w:rFonts w:ascii="Arial" w:cs="Arial" w:eastAsia="Arial" w:hAnsi="Arial"/>
                  <w:sz w:val="13"/>
                  <w:szCs w:val="13"/>
                  <w:color w:val="0000FF"/>
                  <w:w w:val="97"/>
                </w:rPr>
                <w:t>filed on February 15, 2011.</w:t>
              </w:r>
            </w:hyperlink>
          </w:p>
        </w:tc>
        <w:tc>
          <w:tcPr>
            <w:tcW w:w="3200" w:type="dxa"/>
            <w:vAlign w:val="bottom"/>
            <w:tcBorders>
              <w:top w:val="single" w:sz="8" w:color="0000FF"/>
            </w:tcBorders>
            <w:gridSpan w:val="3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3.2</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7"/>
              </w:rPr>
            </w:pPr>
            <w:hyperlink r:id="rId150">
              <w:r>
                <w:rPr>
                  <w:rFonts w:ascii="Arial" w:cs="Arial" w:eastAsia="Arial" w:hAnsi="Arial"/>
                  <w:sz w:val="14"/>
                  <w:szCs w:val="14"/>
                  <w:color w:val="0000FF"/>
                  <w:w w:val="97"/>
                </w:rPr>
                <w:t>Amended and Restated Bylaws of Fluidigm Corporation effective as of April 24,</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85"/>
              </w:rPr>
            </w:pPr>
            <w:hyperlink r:id="rId150">
              <w:r>
                <w:rPr>
                  <w:rFonts w:ascii="Arial" w:cs="Arial" w:eastAsia="Arial" w:hAnsi="Arial"/>
                  <w:sz w:val="13"/>
                  <w:szCs w:val="13"/>
                  <w:color w:val="0000FF"/>
                  <w:w w:val="85"/>
                </w:rPr>
                <w:t>2021.</w:t>
              </w:r>
            </w:hyperlink>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3.3</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rPr>
            </w:pPr>
            <w:hyperlink r:id="rId151">
              <w:r>
                <w:rPr>
                  <w:rFonts w:ascii="Arial" w:cs="Arial" w:eastAsia="Arial" w:hAnsi="Arial"/>
                  <w:sz w:val="14"/>
                  <w:szCs w:val="14"/>
                  <w:color w:val="0000FF"/>
                </w:rPr>
                <w:t>Certificate of Designation of Rights, Preferences and Privileges of Series A</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51">
              <w:r>
                <w:rPr>
                  <w:rFonts w:ascii="Arial" w:cs="Arial" w:eastAsia="Arial" w:hAnsi="Arial"/>
                  <w:sz w:val="13"/>
                  <w:szCs w:val="13"/>
                  <w:color w:val="0000FF"/>
                </w:rPr>
                <w:t>Participating Preferred Stock.</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3.4</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9"/>
              </w:rPr>
            </w:pPr>
            <w:hyperlink r:id="rId152">
              <w:r>
                <w:rPr>
                  <w:rFonts w:ascii="Arial" w:cs="Arial" w:eastAsia="Arial" w:hAnsi="Arial"/>
                  <w:sz w:val="14"/>
                  <w:szCs w:val="14"/>
                  <w:color w:val="0000FF"/>
                  <w:w w:val="99"/>
                </w:rPr>
                <w:t>Certificate of Elimination of Series A Participating Preferred Stock of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7"/>
              </w:rPr>
            </w:pPr>
            <w:hyperlink r:id="rId152">
              <w:r>
                <w:rPr>
                  <w:rFonts w:ascii="Arial" w:cs="Arial" w:eastAsia="Arial" w:hAnsi="Arial"/>
                  <w:sz w:val="13"/>
                  <w:szCs w:val="13"/>
                  <w:color w:val="0000FF"/>
                  <w:w w:val="97"/>
                </w:rPr>
                <w:t>Corporation.</w:t>
              </w:r>
            </w:hyperlink>
          </w:p>
        </w:tc>
        <w:tc>
          <w:tcPr>
            <w:tcW w:w="378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4.1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bottom w:val="single" w:sz="8" w:color="0000FF"/>
            </w:tcBorders>
            <w:gridSpan w:val="16"/>
          </w:tcPr>
          <w:p>
            <w:pPr>
              <w:spacing w:after="0"/>
              <w:rPr>
                <w:rFonts w:ascii="Arial" w:cs="Arial" w:eastAsia="Arial" w:hAnsi="Arial"/>
                <w:sz w:val="14"/>
                <w:szCs w:val="14"/>
                <w:color w:val="0000FF"/>
                <w:w w:val="92"/>
              </w:rPr>
            </w:pPr>
            <w:hyperlink r:id="rId153">
              <w:r>
                <w:rPr>
                  <w:rFonts w:ascii="Arial" w:cs="Arial" w:eastAsia="Arial" w:hAnsi="Arial"/>
                  <w:sz w:val="14"/>
                  <w:szCs w:val="14"/>
                  <w:color w:val="0000FF"/>
                  <w:w w:val="92"/>
                </w:rPr>
                <w:t>Specimen Common Stock Certificate of Fluidigm Corporation.</w:t>
              </w:r>
            </w:hyperlink>
          </w:p>
        </w:tc>
        <w:tc>
          <w:tcPr>
            <w:tcW w:w="122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4.2</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bottom w:val="single" w:sz="8" w:color="0000FF"/>
            </w:tcBorders>
            <w:gridSpan w:val="6"/>
          </w:tcPr>
          <w:p>
            <w:pPr>
              <w:spacing w:after="0"/>
              <w:rPr>
                <w:rFonts w:ascii="Arial" w:cs="Arial" w:eastAsia="Arial" w:hAnsi="Arial"/>
                <w:sz w:val="14"/>
                <w:szCs w:val="14"/>
                <w:color w:val="0000FF"/>
                <w:w w:val="91"/>
              </w:rPr>
            </w:pPr>
            <w:hyperlink r:id="rId154">
              <w:r>
                <w:rPr>
                  <w:rFonts w:ascii="Arial" w:cs="Arial" w:eastAsia="Arial" w:hAnsi="Arial"/>
                  <w:sz w:val="14"/>
                  <w:szCs w:val="14"/>
                  <w:color w:val="0000FF"/>
                  <w:w w:val="91"/>
                </w:rPr>
                <w:t>Description of Securities.</w:t>
              </w:r>
            </w:hyperlink>
          </w:p>
        </w:tc>
        <w:tc>
          <w:tcPr>
            <w:tcW w:w="3340" w:type="dxa"/>
            <w:vAlign w:val="bottom"/>
            <w:gridSpan w:val="3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4.3</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3"/>
              </w:rPr>
            </w:pPr>
            <w:hyperlink r:id="rId155">
              <w:r>
                <w:rPr>
                  <w:rFonts w:ascii="Arial" w:cs="Arial" w:eastAsia="Arial" w:hAnsi="Arial"/>
                  <w:sz w:val="14"/>
                  <w:szCs w:val="14"/>
                  <w:color w:val="0000FF"/>
                  <w:w w:val="93"/>
                </w:rPr>
                <w:t>Indenture, dated February 4, 2014, by and between Fluidigm Corporation and U.S.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34"/>
          </w:tcPr>
          <w:p>
            <w:pPr>
              <w:spacing w:after="0" w:line="118" w:lineRule="exact"/>
              <w:rPr>
                <w:rFonts w:ascii="Arial" w:cs="Arial" w:eastAsia="Arial" w:hAnsi="Arial"/>
                <w:sz w:val="13"/>
                <w:szCs w:val="13"/>
                <w:color w:val="0000FF"/>
              </w:rPr>
            </w:pPr>
            <w:hyperlink r:id="rId155">
              <w:r>
                <w:rPr>
                  <w:rFonts w:ascii="Arial" w:cs="Arial" w:eastAsia="Arial" w:hAnsi="Arial"/>
                  <w:sz w:val="13"/>
                  <w:szCs w:val="13"/>
                  <w:color w:val="0000FF"/>
                </w:rPr>
                <w:t>Bank National Association.</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4.4</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5"/>
              </w:rPr>
            </w:pPr>
            <w:hyperlink r:id="rId156">
              <w:r>
                <w:rPr>
                  <w:rFonts w:ascii="Arial" w:cs="Arial" w:eastAsia="Arial" w:hAnsi="Arial"/>
                  <w:sz w:val="14"/>
                  <w:szCs w:val="14"/>
                  <w:color w:val="0000FF"/>
                  <w:w w:val="95"/>
                </w:rPr>
                <w:t>First Supplemental Indenture, dated February 4, 2014, by and between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tcBorders>
              <w:top w:val="single" w:sz="8" w:color="0000FF"/>
              <w:bottom w:val="single" w:sz="8" w:color="0000FF"/>
            </w:tcBorders>
            <w:gridSpan w:val="15"/>
          </w:tcPr>
          <w:p>
            <w:pPr>
              <w:spacing w:after="0" w:line="118" w:lineRule="exact"/>
              <w:rPr>
                <w:rFonts w:ascii="Arial" w:cs="Arial" w:eastAsia="Arial" w:hAnsi="Arial"/>
                <w:sz w:val="13"/>
                <w:szCs w:val="13"/>
                <w:color w:val="0000FF"/>
                <w:w w:val="99"/>
              </w:rPr>
            </w:pPr>
            <w:hyperlink r:id="rId156">
              <w:r>
                <w:rPr>
                  <w:rFonts w:ascii="Arial" w:cs="Arial" w:eastAsia="Arial" w:hAnsi="Arial"/>
                  <w:sz w:val="13"/>
                  <w:szCs w:val="13"/>
                  <w:color w:val="0000FF"/>
                  <w:w w:val="99"/>
                </w:rPr>
                <w:t>Corporation and U.S. Bank National Association.</w:t>
              </w:r>
            </w:hyperlink>
          </w:p>
        </w:tc>
        <w:tc>
          <w:tcPr>
            <w:tcW w:w="172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4.5</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bottom w:val="single" w:sz="8" w:color="0000FF"/>
            </w:tcBorders>
            <w:gridSpan w:val="14"/>
          </w:tcPr>
          <w:p>
            <w:pPr>
              <w:spacing w:after="0"/>
              <w:rPr>
                <w:rFonts w:ascii="Arial" w:cs="Arial" w:eastAsia="Arial" w:hAnsi="Arial"/>
                <w:sz w:val="14"/>
                <w:szCs w:val="14"/>
                <w:color w:val="0000FF"/>
                <w:w w:val="93"/>
              </w:rPr>
            </w:pPr>
            <w:hyperlink r:id="rId156">
              <w:r>
                <w:rPr>
                  <w:rFonts w:ascii="Arial" w:cs="Arial" w:eastAsia="Arial" w:hAnsi="Arial"/>
                  <w:sz w:val="14"/>
                  <w:szCs w:val="14"/>
                  <w:color w:val="0000FF"/>
                  <w:w w:val="93"/>
                </w:rPr>
                <w:t>Form of Global Note (included in Exhibit 4.4).</w:t>
              </w:r>
            </w:hyperlink>
          </w:p>
        </w:tc>
        <w:tc>
          <w:tcPr>
            <w:tcW w:w="214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4.6</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5"/>
              </w:rPr>
            </w:pPr>
            <w:hyperlink r:id="rId157">
              <w:r>
                <w:rPr>
                  <w:rFonts w:ascii="Arial" w:cs="Arial" w:eastAsia="Arial" w:hAnsi="Arial"/>
                  <w:sz w:val="14"/>
                  <w:szCs w:val="14"/>
                  <w:color w:val="0000FF"/>
                  <w:w w:val="95"/>
                </w:rPr>
                <w:t>Indenture, dated November 22, 2019, by and between Fluidigm Corporation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157">
              <w:r>
                <w:rPr>
                  <w:rFonts w:ascii="Arial" w:cs="Arial" w:eastAsia="Arial" w:hAnsi="Arial"/>
                  <w:sz w:val="13"/>
                  <w:szCs w:val="13"/>
                  <w:color w:val="0000FF"/>
                  <w:w w:val="99"/>
                </w:rPr>
                <w:t>U.S. Bank National Association.</w:t>
              </w:r>
            </w:hyperlink>
          </w:p>
        </w:tc>
        <w:tc>
          <w:tcPr>
            <w:tcW w:w="270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ind w:left="100"/>
              <w:spacing w:after="0"/>
              <w:rPr>
                <w:sz w:val="20"/>
                <w:szCs w:val="20"/>
                <w:color w:val="auto"/>
              </w:rPr>
            </w:pPr>
            <w:r>
              <w:rPr>
                <w:rFonts w:ascii="Arial" w:cs="Arial" w:eastAsia="Arial" w:hAnsi="Arial"/>
                <w:sz w:val="14"/>
                <w:szCs w:val="14"/>
                <w:color w:val="auto"/>
              </w:rPr>
              <w:t>4.7</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bottom w:val="single" w:sz="8" w:color="0000FF"/>
            </w:tcBorders>
            <w:gridSpan w:val="20"/>
          </w:tcPr>
          <w:p>
            <w:pPr>
              <w:spacing w:after="0"/>
              <w:rPr>
                <w:rFonts w:ascii="Arial" w:cs="Arial" w:eastAsia="Arial" w:hAnsi="Arial"/>
                <w:sz w:val="14"/>
                <w:szCs w:val="14"/>
                <w:color w:val="0000FF"/>
                <w:w w:val="93"/>
              </w:rPr>
            </w:pPr>
            <w:hyperlink r:id="rId157">
              <w:r>
                <w:rPr>
                  <w:rFonts w:ascii="Arial" w:cs="Arial" w:eastAsia="Arial" w:hAnsi="Arial"/>
                  <w:sz w:val="14"/>
                  <w:szCs w:val="14"/>
                  <w:color w:val="0000FF"/>
                  <w:w w:val="93"/>
                </w:rPr>
                <w:t>Form of 5.25% Convertible Senior Note due 2024 (included in Exhibit 4.6).</w:t>
              </w:r>
            </w:hyperlink>
          </w:p>
        </w:tc>
        <w:tc>
          <w:tcPr>
            <w:tcW w:w="48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2"/>
              </w:rPr>
            </w:pPr>
            <w:hyperlink r:id="rId158">
              <w:r>
                <w:rPr>
                  <w:rFonts w:ascii="Arial" w:cs="Arial" w:eastAsia="Arial" w:hAnsi="Arial"/>
                  <w:sz w:val="14"/>
                  <w:szCs w:val="14"/>
                  <w:color w:val="0000FF"/>
                  <w:w w:val="92"/>
                </w:rPr>
                <w:t>Form of Indemnification Agreement between Fluidigm Corporation and its directors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5"/>
              </w:rPr>
            </w:pPr>
            <w:hyperlink r:id="rId158">
              <w:r>
                <w:rPr>
                  <w:rFonts w:ascii="Arial" w:cs="Arial" w:eastAsia="Arial" w:hAnsi="Arial"/>
                  <w:sz w:val="13"/>
                  <w:szCs w:val="13"/>
                  <w:color w:val="0000FF"/>
                  <w:w w:val="95"/>
                </w:rPr>
                <w:t>and officers.</w:t>
              </w:r>
            </w:hyperlink>
          </w:p>
        </w:tc>
        <w:tc>
          <w:tcPr>
            <w:tcW w:w="4060" w:type="dxa"/>
            <w:vAlign w:val="bottom"/>
            <w:tcBorders>
              <w:top w:val="single" w:sz="8" w:color="0000FF"/>
            </w:tcBorders>
            <w:gridSpan w:val="3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10.2</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5"/>
              </w:rPr>
            </w:pPr>
            <w:hyperlink r:id="rId159">
              <w:r>
                <w:rPr>
                  <w:rFonts w:ascii="Arial" w:cs="Arial" w:eastAsia="Arial" w:hAnsi="Arial"/>
                  <w:sz w:val="14"/>
                  <w:szCs w:val="14"/>
                  <w:color w:val="0000FF"/>
                  <w:w w:val="95"/>
                </w:rPr>
                <w:t>Lease between AP3-SF3 CT North, LLC and Fluidigm Corporation, dated March</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2"/>
              </w:rPr>
            </w:pPr>
            <w:hyperlink r:id="rId159">
              <w:r>
                <w:rPr>
                  <w:rFonts w:ascii="Arial" w:cs="Arial" w:eastAsia="Arial" w:hAnsi="Arial"/>
                  <w:sz w:val="13"/>
                  <w:szCs w:val="13"/>
                  <w:color w:val="0000FF"/>
                  <w:w w:val="92"/>
                </w:rPr>
                <w:t>20, 2019.</w:t>
              </w:r>
            </w:hyperlink>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10.2A</w:t>
            </w: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rPr>
            </w:pPr>
            <w:hyperlink r:id="rId160">
              <w:r>
                <w:rPr>
                  <w:rFonts w:ascii="Arial" w:cs="Arial" w:eastAsia="Arial" w:hAnsi="Arial"/>
                  <w:sz w:val="14"/>
                  <w:szCs w:val="14"/>
                  <w:color w:val="0000FF"/>
                </w:rPr>
                <w:t>First Amendment to Lease between AP3-SF3 CT North, LLC and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60">
              <w:r>
                <w:rPr>
                  <w:rFonts w:ascii="Arial" w:cs="Arial" w:eastAsia="Arial" w:hAnsi="Arial"/>
                  <w:sz w:val="13"/>
                  <w:szCs w:val="13"/>
                  <w:color w:val="0000FF"/>
                </w:rPr>
                <w:t>Corporation, dated April 26, 2019.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10.2B</w:t>
            </w: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9"/>
              </w:rPr>
            </w:pPr>
            <w:hyperlink r:id="rId161">
              <w:r>
                <w:rPr>
                  <w:rFonts w:ascii="Arial" w:cs="Arial" w:eastAsia="Arial" w:hAnsi="Arial"/>
                  <w:sz w:val="14"/>
                  <w:szCs w:val="14"/>
                  <w:color w:val="0000FF"/>
                  <w:w w:val="99"/>
                </w:rPr>
                <w:t>Second Amendment to Lease between AP3-SF3 CT North, LLC and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6"/>
              </w:rPr>
            </w:pPr>
            <w:hyperlink r:id="rId161">
              <w:r>
                <w:rPr>
                  <w:rFonts w:ascii="Arial" w:cs="Arial" w:eastAsia="Arial" w:hAnsi="Arial"/>
                  <w:sz w:val="13"/>
                  <w:szCs w:val="13"/>
                  <w:color w:val="0000FF"/>
                  <w:w w:val="96"/>
                </w:rPr>
                <w:t>Corporation, dated February 25, 2020.</w:t>
              </w:r>
            </w:hyperlink>
          </w:p>
        </w:tc>
        <w:tc>
          <w:tcPr>
            <w:tcW w:w="2280" w:type="dxa"/>
            <w:vAlign w:val="bottom"/>
            <w:tcBorders>
              <w:top w:val="single" w:sz="8" w:color="0000FF"/>
            </w:tcBorders>
            <w:gridSpan w:val="14"/>
          </w:tcPr>
          <w:p>
            <w:pPr>
              <w:spacing w:after="0"/>
              <w:rPr>
                <w:sz w:val="10"/>
                <w:szCs w:val="10"/>
                <w:color w:val="auto"/>
              </w:rPr>
            </w:pPr>
          </w:p>
        </w:tc>
        <w:tc>
          <w:tcPr>
            <w:tcW w:w="120" w:type="dxa"/>
            <w:vAlign w:val="bottom"/>
            <w:gridSpan w:val="5"/>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rPr>
            </w:pPr>
            <w:hyperlink r:id="rId162">
              <w:r>
                <w:rPr>
                  <w:rFonts w:ascii="Arial" w:cs="Arial" w:eastAsia="Arial" w:hAnsi="Arial"/>
                  <w:sz w:val="14"/>
                  <w:szCs w:val="14"/>
                  <w:color w:val="0000FF"/>
                </w:rPr>
                <w:t>Office Lease by and among Rodick Equities Inc., Fluidigm Canada Inc.,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162">
              <w:r>
                <w:rPr>
                  <w:rFonts w:ascii="Arial" w:cs="Arial" w:eastAsia="Arial" w:hAnsi="Arial"/>
                  <w:sz w:val="13"/>
                  <w:szCs w:val="13"/>
                  <w:color w:val="0000FF"/>
                  <w:w w:val="99"/>
                </w:rPr>
                <w:t>Fluidigm Corporation, dated August 17, 2015.</w:t>
              </w:r>
            </w:hyperlink>
          </w:p>
        </w:tc>
        <w:tc>
          <w:tcPr>
            <w:tcW w:w="1720" w:type="dxa"/>
            <w:vAlign w:val="bottom"/>
            <w:tcBorders>
              <w:top w:val="single" w:sz="8" w:color="0000FF"/>
            </w:tcBorders>
            <w:gridSpan w:val="9"/>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6"/>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10.4</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7"/>
              </w:rPr>
            </w:pPr>
            <w:hyperlink r:id="rId163">
              <w:r>
                <w:rPr>
                  <w:rFonts w:ascii="Arial" w:cs="Arial" w:eastAsia="Arial" w:hAnsi="Arial"/>
                  <w:sz w:val="14"/>
                  <w:szCs w:val="14"/>
                  <w:color w:val="0000FF"/>
                  <w:w w:val="97"/>
                </w:rPr>
                <w:t>Tenancy for Flatted Factory Space in Singapore between JTC Corporation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24"/>
          </w:tcPr>
          <w:p>
            <w:pPr>
              <w:spacing w:after="0" w:line="118" w:lineRule="exact"/>
              <w:rPr>
                <w:rFonts w:ascii="Arial" w:cs="Arial" w:eastAsia="Arial" w:hAnsi="Arial"/>
                <w:sz w:val="13"/>
                <w:szCs w:val="13"/>
                <w:color w:val="0000FF"/>
                <w:w w:val="99"/>
              </w:rPr>
            </w:pPr>
            <w:hyperlink r:id="rId163">
              <w:r>
                <w:rPr>
                  <w:rFonts w:ascii="Arial" w:cs="Arial" w:eastAsia="Arial" w:hAnsi="Arial"/>
                  <w:sz w:val="13"/>
                  <w:szCs w:val="13"/>
                  <w:color w:val="0000FF"/>
                  <w:w w:val="99"/>
                </w:rPr>
                <w:t>Fluidigm Corporation dated July 27, 2005, as amended August 12, 2008 and</w:t>
              </w:r>
            </w:hyperlink>
          </w:p>
        </w:tc>
        <w:tc>
          <w:tcPr>
            <w:tcW w:w="140" w:type="dxa"/>
            <w:vAlign w:val="bottom"/>
            <w:gridSpan w:val="6"/>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7"/>
              </w:rPr>
            </w:pPr>
            <w:hyperlink r:id="rId163">
              <w:r>
                <w:rPr>
                  <w:rFonts w:ascii="Arial" w:cs="Arial" w:eastAsia="Arial" w:hAnsi="Arial"/>
                  <w:sz w:val="13"/>
                  <w:szCs w:val="13"/>
                  <w:color w:val="0000FF"/>
                  <w:w w:val="97"/>
                </w:rPr>
                <w:t>May 31, 2010.</w:t>
              </w:r>
            </w:hyperlink>
          </w:p>
        </w:tc>
        <w:tc>
          <w:tcPr>
            <w:tcW w:w="3500" w:type="dxa"/>
            <w:vAlign w:val="bottom"/>
            <w:tcBorders>
              <w:top w:val="single" w:sz="8" w:color="0000FF"/>
            </w:tcBorders>
            <w:gridSpan w:val="16"/>
          </w:tcPr>
          <w:p>
            <w:pPr>
              <w:spacing w:after="0"/>
              <w:rPr>
                <w:sz w:val="10"/>
                <w:szCs w:val="10"/>
                <w:color w:val="auto"/>
              </w:rPr>
            </w:pPr>
          </w:p>
        </w:tc>
        <w:tc>
          <w:tcPr>
            <w:tcW w:w="80" w:type="dxa"/>
            <w:vAlign w:val="bottom"/>
            <w:gridSpan w:val="2"/>
          </w:tcPr>
          <w:p>
            <w:pPr>
              <w:spacing w:after="0"/>
              <w:rPr>
                <w:sz w:val="10"/>
                <w:szCs w:val="10"/>
                <w:color w:val="auto"/>
              </w:rPr>
            </w:pPr>
          </w:p>
        </w:tc>
        <w:tc>
          <w:tcPr>
            <w:tcW w:w="160" w:type="dxa"/>
            <w:vAlign w:val="bottom"/>
            <w:gridSpan w:val="7"/>
          </w:tcPr>
          <w:p>
            <w:pPr>
              <w:spacing w:after="0"/>
              <w:rPr>
                <w:sz w:val="10"/>
                <w:szCs w:val="10"/>
                <w:color w:val="auto"/>
              </w:rPr>
            </w:pPr>
          </w:p>
        </w:tc>
        <w:tc>
          <w:tcPr>
            <w:tcW w:w="8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10.5</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3"/>
              </w:rPr>
            </w:pPr>
            <w:hyperlink r:id="rId164">
              <w:r>
                <w:rPr>
                  <w:rFonts w:ascii="Arial" w:cs="Arial" w:eastAsia="Arial" w:hAnsi="Arial"/>
                  <w:sz w:val="14"/>
                  <w:szCs w:val="14"/>
                  <w:color w:val="0000FF"/>
                  <w:w w:val="93"/>
                </w:rPr>
                <w:t>Offer of Tenancy for Facility Lease between Fluidigm Singapore Pte. Ltd. and SBC</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36"/>
          </w:tcPr>
          <w:p>
            <w:pPr>
              <w:spacing w:after="0" w:line="118" w:lineRule="exact"/>
              <w:rPr>
                <w:rFonts w:ascii="Arial" w:cs="Arial" w:eastAsia="Arial" w:hAnsi="Arial"/>
                <w:sz w:val="13"/>
                <w:szCs w:val="13"/>
                <w:color w:val="0000FF"/>
                <w:w w:val="97"/>
              </w:rPr>
            </w:pPr>
            <w:hyperlink r:id="rId164">
              <w:r>
                <w:rPr>
                  <w:rFonts w:ascii="Arial" w:cs="Arial" w:eastAsia="Arial" w:hAnsi="Arial"/>
                  <w:sz w:val="13"/>
                  <w:szCs w:val="13"/>
                  <w:color w:val="0000FF"/>
                  <w:w w:val="97"/>
                </w:rPr>
                <w:t>Institutional Trust Services (Singapore) Limited, as trustee of Ascendas Real Estate</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35"/>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Investment Trust dated October 14, 2013.</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12"/>
            <w:shd w:val="clear" w:color="auto" w:fill="0000FF"/>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10.5A</w:t>
            </w:r>
          </w:p>
        </w:tc>
        <w:tc>
          <w:tcPr>
            <w:tcW w:w="20" w:type="dxa"/>
            <w:vAlign w:val="bottom"/>
          </w:tcPr>
          <w:p>
            <w:pPr>
              <w:spacing w:after="0"/>
              <w:rPr>
                <w:sz w:val="13"/>
                <w:szCs w:val="13"/>
                <w:color w:val="auto"/>
              </w:rPr>
            </w:pPr>
          </w:p>
        </w:tc>
        <w:tc>
          <w:tcPr>
            <w:tcW w:w="4780" w:type="dxa"/>
            <w:vAlign w:val="bottom"/>
            <w:gridSpan w:val="39"/>
          </w:tcPr>
          <w:p>
            <w:pPr>
              <w:spacing w:after="0"/>
              <w:rPr>
                <w:rFonts w:ascii="Arial" w:cs="Arial" w:eastAsia="Arial" w:hAnsi="Arial"/>
                <w:sz w:val="14"/>
                <w:szCs w:val="14"/>
                <w:color w:val="0000FF"/>
                <w:w w:val="99"/>
              </w:rPr>
            </w:pPr>
            <w:hyperlink r:id="rId165">
              <w:r>
                <w:rPr>
                  <w:rFonts w:ascii="Arial" w:cs="Arial" w:eastAsia="Arial" w:hAnsi="Arial"/>
                  <w:sz w:val="14"/>
                  <w:szCs w:val="14"/>
                  <w:color w:val="0000FF"/>
                  <w:w w:val="99"/>
                </w:rPr>
                <w:t>Offer of Tenancy for Lease of Additional Space at Singapore Facility between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0" w:type="dxa"/>
            <w:vAlign w:val="bottom"/>
            <w:tcBorders>
              <w:top w:val="single" w:sz="8" w:color="0000FF"/>
              <w:bottom w:val="single" w:sz="8" w:color="0000FF"/>
            </w:tcBorders>
            <w:gridSpan w:val="23"/>
          </w:tcPr>
          <w:p>
            <w:pPr>
              <w:spacing w:after="0" w:line="118" w:lineRule="exact"/>
              <w:rPr>
                <w:rFonts w:ascii="Arial" w:cs="Arial" w:eastAsia="Arial" w:hAnsi="Arial"/>
                <w:sz w:val="13"/>
                <w:szCs w:val="13"/>
                <w:color w:val="0000FF"/>
                <w:w w:val="95"/>
              </w:rPr>
            </w:pPr>
            <w:hyperlink r:id="rId165">
              <w:r>
                <w:rPr>
                  <w:rFonts w:ascii="Arial" w:cs="Arial" w:eastAsia="Arial" w:hAnsi="Arial"/>
                  <w:sz w:val="13"/>
                  <w:szCs w:val="13"/>
                  <w:color w:val="0000FF"/>
                  <w:w w:val="95"/>
                </w:rPr>
                <w:t>Fluidigm Singapore Pte. Ltd. and HSBC Institutional Trust Services (Singapore)</w:t>
              </w:r>
            </w:hyperlink>
          </w:p>
        </w:tc>
        <w:tc>
          <w:tcPr>
            <w:tcW w:w="160" w:type="dxa"/>
            <w:vAlign w:val="bottom"/>
            <w:tcBorders>
              <w:bottom w:val="single" w:sz="8" w:color="0000FF"/>
            </w:tcBorders>
            <w:gridSpan w:val="7"/>
          </w:tcPr>
          <w:p>
            <w:pPr>
              <w:spacing w:after="0"/>
              <w:rPr>
                <w:sz w:val="10"/>
                <w:szCs w:val="10"/>
                <w:color w:val="auto"/>
              </w:rPr>
            </w:pPr>
          </w:p>
        </w:tc>
        <w:tc>
          <w:tcPr>
            <w:tcW w:w="80" w:type="dxa"/>
            <w:vAlign w:val="bottom"/>
            <w:gridSpan w:val="3"/>
          </w:tcPr>
          <w:p>
            <w:pPr>
              <w:spacing w:after="0"/>
              <w:rPr>
                <w:sz w:val="10"/>
                <w:szCs w:val="10"/>
                <w:color w:val="auto"/>
              </w:rPr>
            </w:pPr>
          </w:p>
        </w:tc>
        <w:tc>
          <w:tcPr>
            <w:tcW w:w="1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bottom w:val="single" w:sz="8" w:color="0000FF"/>
            </w:tcBorders>
            <w:gridSpan w:val="33"/>
          </w:tcPr>
          <w:p>
            <w:pPr>
              <w:spacing w:after="0" w:line="118" w:lineRule="exact"/>
              <w:rPr>
                <w:rFonts w:ascii="Arial" w:cs="Arial" w:eastAsia="Arial" w:hAnsi="Arial"/>
                <w:sz w:val="13"/>
                <w:szCs w:val="13"/>
                <w:color w:val="0000FF"/>
                <w:w w:val="97"/>
              </w:rPr>
            </w:pPr>
            <w:hyperlink r:id="rId165">
              <w:r>
                <w:rPr>
                  <w:rFonts w:ascii="Arial" w:cs="Arial" w:eastAsia="Arial" w:hAnsi="Arial"/>
                  <w:sz w:val="13"/>
                  <w:szCs w:val="13"/>
                  <w:color w:val="0000FF"/>
                  <w:w w:val="97"/>
                </w:rPr>
                <w:t>Limited, as trustee of Ascendas Real Estate Investment Trust, dated April 2, 2015.</w:t>
              </w:r>
            </w:hyperlink>
          </w:p>
        </w:tc>
        <w:tc>
          <w:tcPr>
            <w:tcW w:w="1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573"/>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60" w:type="dxa"/>
            <w:vAlign w:val="bottom"/>
            <w:gridSpan w:val="18"/>
          </w:tcPr>
          <w:p>
            <w:pPr>
              <w:jc w:val="right"/>
              <w:ind w:right="60"/>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115570</wp:posOffset>
            </wp:positionV>
            <wp:extent cx="71875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520" w:type="dxa"/>
            <w:vAlign w:val="bottom"/>
            <w:gridSpan w:val="2"/>
            <w:vMerge w:val="continue"/>
          </w:tcPr>
          <w:p>
            <w:pPr>
              <w:spacing w:after="0"/>
              <w:rPr>
                <w:sz w:val="9"/>
                <w:szCs w:val="9"/>
                <w:color w:val="auto"/>
              </w:rPr>
            </w:pP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89"/>
              </w:rPr>
              <w:t>by Reference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5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2"/>
              </w:rPr>
              <w:t>by Reference</w:t>
            </w: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8"/>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47"/>
        </w:trPr>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8-K</w:t>
            </w:r>
          </w:p>
        </w:tc>
        <w:tc>
          <w:tcPr>
            <w:tcW w:w="8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1/29/2014</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3/28/2011</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4/29/2021</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11/22/2016</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8/2/2017</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S-8</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8/3/2017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2/25/2021</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2/4/2014</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2/4/2014</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2/4/2014</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11/22/2019</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11/22/2019</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1/28/2011</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5/7/2019</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5/7/2019</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10.2B</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2/25/2021</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11/9/2015</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10.20</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12/3/2010</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10.21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3/12/2014</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8/10/2015</w:t>
            </w:r>
          </w:p>
        </w:tc>
        <w:tc>
          <w:tcPr>
            <w:tcW w:w="0" w:type="dxa"/>
            <w:vAlign w:val="bottom"/>
          </w:tcPr>
          <w:p>
            <w:pPr>
              <w:spacing w:after="0"/>
              <w:rPr>
                <w:sz w:val="1"/>
                <w:szCs w:val="1"/>
                <w:color w:val="auto"/>
              </w:rPr>
            </w:pPr>
          </w:p>
        </w:tc>
      </w:tr>
    </w:tbl>
    <w:p>
      <w:pPr>
        <w:sectPr>
          <w:pgSz w:w="11900" w:h="16838" w:orient="portrait"/>
          <w:cols w:equalWidth="0" w:num="2">
            <w:col w:w="6460" w:space="100"/>
            <w:col w:w="4660"/>
          </w:cols>
          <w:pgMar w:left="320" w:top="856" w:right="359" w:bottom="1440" w:gutter="0" w:footer="0" w:header="0"/>
        </w:sectPr>
      </w:pPr>
    </w:p>
    <w:bookmarkStart w:id="117" w:name="page118"/>
    <w:bookmarkEnd w:id="117"/>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23"/>
            <w:vMerge w:val="restart"/>
          </w:tcPr>
          <w:p>
            <w:pPr>
              <w:ind w:left="28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16"/>
        </w:trPr>
        <w:tc>
          <w:tcPr>
            <w:tcW w:w="400" w:type="dxa"/>
            <w:vAlign w:val="bottom"/>
            <w:tcBorders>
              <w:bottom w:val="single" w:sz="8" w:color="auto"/>
            </w:tcBorders>
          </w:tcPr>
          <w:p>
            <w:pPr>
              <w:spacing w:after="0" w:line="117" w:lineRule="exact"/>
              <w:rPr>
                <w:sz w:val="20"/>
                <w:szCs w:val="20"/>
                <w:color w:val="auto"/>
              </w:rPr>
            </w:pPr>
            <w:r>
              <w:rPr>
                <w:rFonts w:ascii="Arial" w:cs="Arial" w:eastAsia="Arial" w:hAnsi="Arial"/>
                <w:sz w:val="11"/>
                <w:szCs w:val="11"/>
                <w:b w:val="1"/>
                <w:bCs w:val="1"/>
                <w:color w:val="auto"/>
                <w:w w:val="91"/>
              </w:rPr>
              <w:t>Number</w:t>
            </w: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10.5B</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800" w:type="dxa"/>
            <w:vAlign w:val="bottom"/>
            <w:gridSpan w:val="30"/>
          </w:tcPr>
          <w:p>
            <w:pPr>
              <w:spacing w:after="0" w:line="131" w:lineRule="exact"/>
              <w:rPr>
                <w:rFonts w:ascii="Arial" w:cs="Arial" w:eastAsia="Arial" w:hAnsi="Arial"/>
                <w:sz w:val="14"/>
                <w:szCs w:val="14"/>
                <w:color w:val="0000FF"/>
                <w:w w:val="93"/>
              </w:rPr>
            </w:pPr>
            <w:hyperlink r:id="rId167">
              <w:r>
                <w:rPr>
                  <w:rFonts w:ascii="Arial" w:cs="Arial" w:eastAsia="Arial" w:hAnsi="Arial"/>
                  <w:sz w:val="14"/>
                  <w:szCs w:val="14"/>
                  <w:color w:val="0000FF"/>
                  <w:w w:val="93"/>
                </w:rPr>
                <w:t>Lease Agreement dated November 19, 2020 between Fluidigm Singapore Pte. Ltd.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bottom w:val="single" w:sz="8" w:color="0000FF"/>
            </w:tcBorders>
            <w:gridSpan w:val="24"/>
          </w:tcPr>
          <w:p>
            <w:pPr>
              <w:spacing w:after="0" w:line="118" w:lineRule="exact"/>
              <w:rPr>
                <w:rFonts w:ascii="Arial" w:cs="Arial" w:eastAsia="Arial" w:hAnsi="Arial"/>
                <w:sz w:val="13"/>
                <w:szCs w:val="13"/>
                <w:color w:val="0000FF"/>
                <w:w w:val="98"/>
              </w:rPr>
            </w:pPr>
            <w:hyperlink r:id="rId167">
              <w:r>
                <w:rPr>
                  <w:rFonts w:ascii="Arial" w:cs="Arial" w:eastAsia="Arial" w:hAnsi="Arial"/>
                  <w:sz w:val="13"/>
                  <w:szCs w:val="13"/>
                  <w:color w:val="0000FF"/>
                  <w:w w:val="98"/>
                </w:rPr>
                <w:t>and HSBC Institutional Trust Services (Singapore) Limited as Trustee of Ascendas</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gridSpan w:val="25"/>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Real Estate Investment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10.5C</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5"/>
              </w:rPr>
            </w:pPr>
            <w:hyperlink r:id="rId168">
              <w:r>
                <w:rPr>
                  <w:rFonts w:ascii="Arial" w:cs="Arial" w:eastAsia="Arial" w:hAnsi="Arial"/>
                  <w:sz w:val="14"/>
                  <w:szCs w:val="14"/>
                  <w:color w:val="0000FF"/>
                  <w:w w:val="95"/>
                </w:rPr>
                <w:t>Lease Agreement dated June 8, 2021 between Fluidigm Singapore Pte. Ltd.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68">
              <w:r>
                <w:rPr>
                  <w:rFonts w:ascii="Arial" w:cs="Arial" w:eastAsia="Arial" w:hAnsi="Arial"/>
                  <w:sz w:val="13"/>
                  <w:szCs w:val="13"/>
                  <w:color w:val="0000FF"/>
                </w:rPr>
                <w:t>HSBC Institutional Trust Services (Singapore) Limited as Trustee of Ascendas</w:t>
              </w:r>
            </w:hyperlink>
          </w:p>
        </w:tc>
        <w:tc>
          <w:tcPr>
            <w:tcW w:w="280" w:type="dxa"/>
            <w:vAlign w:val="bottom"/>
            <w:gridSpan w:val="11"/>
          </w:tcPr>
          <w:p>
            <w:pPr>
              <w:spacing w:after="0" w:line="118" w:lineRule="exact"/>
              <w:rPr>
                <w:rFonts w:ascii="Arial" w:cs="Arial" w:eastAsia="Arial" w:hAnsi="Arial"/>
                <w:sz w:val="13"/>
                <w:szCs w:val="13"/>
                <w:color w:val="0000FF"/>
                <w:w w:val="97"/>
              </w:rPr>
            </w:pPr>
            <w:hyperlink r:id="rId168">
              <w:r>
                <w:rPr>
                  <w:rFonts w:ascii="Arial" w:cs="Arial" w:eastAsia="Arial" w:hAnsi="Arial"/>
                  <w:sz w:val="13"/>
                  <w:szCs w:val="13"/>
                  <w:color w:val="0000FF"/>
                  <w:w w:val="97"/>
                </w:rPr>
                <w:t>Real</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6"/>
              </w:rPr>
            </w:pPr>
            <w:hyperlink r:id="rId168">
              <w:r>
                <w:rPr>
                  <w:rFonts w:ascii="Arial" w:cs="Arial" w:eastAsia="Arial" w:hAnsi="Arial"/>
                  <w:sz w:val="13"/>
                  <w:szCs w:val="13"/>
                  <w:color w:val="0000FF"/>
                  <w:w w:val="96"/>
                </w:rPr>
                <w:t>Estate Investment Trust.</w:t>
              </w:r>
            </w:hyperlink>
          </w:p>
        </w:tc>
        <w:tc>
          <w:tcPr>
            <w:tcW w:w="340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10.5D</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3"/>
              </w:rPr>
            </w:pPr>
            <w:hyperlink w:anchor="page123">
              <w:r>
                <w:rPr>
                  <w:rFonts w:ascii="Arial" w:cs="Arial" w:eastAsia="Arial" w:hAnsi="Arial"/>
                  <w:sz w:val="14"/>
                  <w:szCs w:val="14"/>
                  <w:color w:val="0000FF"/>
                  <w:w w:val="93"/>
                </w:rPr>
                <w:t>Lease Agreement dated December 13, 2021 between Fluidigm Singapore Pte. Ltd.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23"/>
          </w:tcPr>
          <w:p>
            <w:pPr>
              <w:spacing w:after="0" w:line="118" w:lineRule="exact"/>
              <w:rPr>
                <w:rFonts w:ascii="Arial" w:cs="Arial" w:eastAsia="Arial" w:hAnsi="Arial"/>
                <w:sz w:val="13"/>
                <w:szCs w:val="13"/>
                <w:color w:val="0000FF"/>
                <w:w w:val="98"/>
              </w:rPr>
            </w:pPr>
            <w:hyperlink w:anchor="page123">
              <w:r>
                <w:rPr>
                  <w:rFonts w:ascii="Arial" w:cs="Arial" w:eastAsia="Arial" w:hAnsi="Arial"/>
                  <w:sz w:val="13"/>
                  <w:szCs w:val="13"/>
                  <w:color w:val="0000FF"/>
                  <w:w w:val="98"/>
                </w:rPr>
                <w:t>and HSBC Institutional Trust Services (Singapore) Limited as Trustee of Ascendas</w:t>
              </w:r>
            </w:hyperlink>
          </w:p>
        </w:tc>
        <w:tc>
          <w:tcPr>
            <w:tcW w:w="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w:anchor="page123">
              <w:r>
                <w:rPr>
                  <w:rFonts w:ascii="Arial" w:cs="Arial" w:eastAsia="Arial" w:hAnsi="Arial"/>
                  <w:sz w:val="13"/>
                  <w:szCs w:val="13"/>
                  <w:color w:val="0000FF"/>
                </w:rPr>
                <w:t>Real Estate Investment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20"/>
                <w:szCs w:val="20"/>
                <w:color w:val="auto"/>
              </w:rPr>
            </w:pPr>
            <w:r>
              <w:rPr>
                <w:rFonts w:ascii="Arial" w:cs="Arial" w:eastAsia="Arial" w:hAnsi="Arial"/>
                <w:sz w:val="14"/>
                <w:szCs w:val="14"/>
                <w:color w:val="auto"/>
              </w:rPr>
              <w:t>10.6</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auto"/>
              </w:rPr>
              <w:t>Reserved.</w:t>
            </w:r>
          </w:p>
        </w:tc>
        <w:tc>
          <w:tcPr>
            <w:tcW w:w="314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line="149" w:lineRule="exact"/>
              <w:rPr>
                <w:sz w:val="20"/>
                <w:szCs w:val="20"/>
                <w:color w:val="auto"/>
              </w:rPr>
            </w:pPr>
            <w:r>
              <w:rPr>
                <w:rFonts w:ascii="Arial" w:cs="Arial" w:eastAsia="Arial" w:hAnsi="Arial"/>
                <w:sz w:val="14"/>
                <w:szCs w:val="14"/>
                <w:color w:val="auto"/>
              </w:rPr>
              <w:t>10.7#</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bottom w:val="single" w:sz="8" w:color="0000FF"/>
            </w:tcBorders>
            <w:gridSpan w:val="12"/>
          </w:tcPr>
          <w:p>
            <w:pPr>
              <w:spacing w:after="0" w:line="149" w:lineRule="exact"/>
              <w:rPr>
                <w:rFonts w:ascii="Arial" w:cs="Arial" w:eastAsia="Arial" w:hAnsi="Arial"/>
                <w:sz w:val="14"/>
                <w:szCs w:val="14"/>
                <w:color w:val="0000FF"/>
                <w:w w:val="92"/>
              </w:rPr>
            </w:pPr>
            <w:hyperlink r:id="rId169">
              <w:r>
                <w:rPr>
                  <w:rFonts w:ascii="Arial" w:cs="Arial" w:eastAsia="Arial" w:hAnsi="Arial"/>
                  <w:sz w:val="14"/>
                  <w:szCs w:val="14"/>
                  <w:color w:val="0000FF"/>
                  <w:w w:val="92"/>
                </w:rPr>
                <w:t>2009 Equity Incentive Plan of Fluidigm Corporation, as amended.</w:t>
              </w:r>
            </w:hyperlink>
          </w:p>
        </w:tc>
        <w:tc>
          <w:tcPr>
            <w:tcW w:w="10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10.7A#</w:t>
            </w:r>
          </w:p>
        </w:tc>
        <w:tc>
          <w:tcPr>
            <w:tcW w:w="20" w:type="dxa"/>
            <w:vAlign w:val="bottom"/>
          </w:tcPr>
          <w:p>
            <w:pPr>
              <w:spacing w:after="0"/>
              <w:rPr>
                <w:sz w:val="13"/>
                <w:szCs w:val="13"/>
                <w:color w:val="auto"/>
              </w:rPr>
            </w:pPr>
          </w:p>
        </w:tc>
        <w:tc>
          <w:tcPr>
            <w:tcW w:w="3380" w:type="dxa"/>
            <w:vAlign w:val="bottom"/>
            <w:tcBorders>
              <w:bottom w:val="single" w:sz="8" w:color="0000FF"/>
            </w:tcBorders>
            <w:gridSpan w:val="10"/>
          </w:tcPr>
          <w:p>
            <w:pPr>
              <w:spacing w:after="0"/>
              <w:rPr>
                <w:rFonts w:ascii="Arial" w:cs="Arial" w:eastAsia="Arial" w:hAnsi="Arial"/>
                <w:sz w:val="14"/>
                <w:szCs w:val="14"/>
                <w:color w:val="0000FF"/>
                <w:w w:val="90"/>
              </w:rPr>
            </w:pPr>
            <w:hyperlink r:id="rId170">
              <w:r>
                <w:rPr>
                  <w:rFonts w:ascii="Arial" w:cs="Arial" w:eastAsia="Arial" w:hAnsi="Arial"/>
                  <w:sz w:val="14"/>
                  <w:szCs w:val="14"/>
                  <w:color w:val="0000FF"/>
                  <w:w w:val="90"/>
                </w:rPr>
                <w:t>Forms of agreements under the 2009 Equity Incentive Plan.</w:t>
              </w:r>
            </w:hyperlink>
          </w:p>
        </w:tc>
        <w:tc>
          <w:tcPr>
            <w:tcW w:w="142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10.8#</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6"/>
              </w:rPr>
            </w:pPr>
            <w:hyperlink r:id="rId171">
              <w:r>
                <w:rPr>
                  <w:rFonts w:ascii="Arial" w:cs="Arial" w:eastAsia="Arial" w:hAnsi="Arial"/>
                  <w:sz w:val="14"/>
                  <w:szCs w:val="14"/>
                  <w:color w:val="0000FF"/>
                  <w:w w:val="96"/>
                </w:rPr>
                <w:t>Fluidigm Corporation 2011 Equity Incentive Plan, as amended effective May 25,</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71">
              <w:r>
                <w:rPr>
                  <w:rFonts w:ascii="Arial" w:cs="Arial" w:eastAsia="Arial" w:hAnsi="Arial"/>
                  <w:sz w:val="13"/>
                  <w:szCs w:val="13"/>
                  <w:color w:val="0000FF"/>
                  <w:w w:val="92"/>
                </w:rPr>
                <w:t>2021.</w:t>
              </w:r>
            </w:hyperlink>
          </w:p>
        </w:tc>
        <w:tc>
          <w:tcPr>
            <w:tcW w:w="5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10.8A#</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rPr>
            </w:pPr>
            <w:hyperlink r:id="rId172">
              <w:r>
                <w:rPr>
                  <w:rFonts w:ascii="Arial" w:cs="Arial" w:eastAsia="Arial" w:hAnsi="Arial"/>
                  <w:sz w:val="14"/>
                  <w:szCs w:val="14"/>
                  <w:color w:val="0000FF"/>
                </w:rPr>
                <w:t>Forms of agreements under the 2011 Equity Incentive Plan.</w:t>
              </w:r>
            </w:hyperlink>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10.8B#</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8"/>
              </w:rPr>
            </w:pPr>
            <w:hyperlink r:id="rId173">
              <w:r>
                <w:rPr>
                  <w:rFonts w:ascii="Arial" w:cs="Arial" w:eastAsia="Arial" w:hAnsi="Arial"/>
                  <w:sz w:val="14"/>
                  <w:szCs w:val="14"/>
                  <w:color w:val="0000FF"/>
                  <w:w w:val="98"/>
                </w:rPr>
                <w:t>Amendments to the Fluidigm Corporation 2011 Equity Incentive Plan and 2009</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bottom w:val="single" w:sz="8" w:color="0000FF"/>
            </w:tcBorders>
            <w:gridSpan w:val="17"/>
          </w:tcPr>
          <w:p>
            <w:pPr>
              <w:spacing w:after="0" w:line="118" w:lineRule="exact"/>
              <w:rPr>
                <w:rFonts w:ascii="Arial" w:cs="Arial" w:eastAsia="Arial" w:hAnsi="Arial"/>
                <w:sz w:val="13"/>
                <w:szCs w:val="13"/>
                <w:color w:val="0000FF"/>
                <w:w w:val="98"/>
              </w:rPr>
            </w:pPr>
            <w:hyperlink r:id="rId173">
              <w:r>
                <w:rPr>
                  <w:rFonts w:ascii="Arial" w:cs="Arial" w:eastAsia="Arial" w:hAnsi="Arial"/>
                  <w:sz w:val="13"/>
                  <w:szCs w:val="13"/>
                  <w:color w:val="0000FF"/>
                  <w:w w:val="98"/>
                </w:rPr>
                <w:t>Equity Incentive Plan and the DVS Sciences, Inc. 2010 Equity Incentive Plan.</w:t>
              </w:r>
            </w:hyperlink>
          </w:p>
        </w:tc>
        <w:tc>
          <w:tcPr>
            <w:tcW w:w="80" w:type="dxa"/>
            <w:vAlign w:val="bottom"/>
            <w:tcBorders>
              <w:top w:val="single" w:sz="8" w:color="0000FF"/>
            </w:tcBorders>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10.8C#</w:t>
            </w:r>
          </w:p>
        </w:tc>
        <w:tc>
          <w:tcPr>
            <w:tcW w:w="20" w:type="dxa"/>
            <w:vAlign w:val="bottom"/>
          </w:tcPr>
          <w:p>
            <w:pPr>
              <w:spacing w:after="0"/>
              <w:rPr>
                <w:sz w:val="13"/>
                <w:szCs w:val="13"/>
                <w:color w:val="auto"/>
              </w:rPr>
            </w:pPr>
          </w:p>
        </w:tc>
        <w:tc>
          <w:tcPr>
            <w:tcW w:w="3660" w:type="dxa"/>
            <w:vAlign w:val="bottom"/>
            <w:tcBorders>
              <w:bottom w:val="single" w:sz="8" w:color="0000FF"/>
            </w:tcBorders>
            <w:gridSpan w:val="11"/>
          </w:tcPr>
          <w:p>
            <w:pPr>
              <w:spacing w:after="0"/>
              <w:rPr>
                <w:rFonts w:ascii="Arial" w:cs="Arial" w:eastAsia="Arial" w:hAnsi="Arial"/>
                <w:sz w:val="14"/>
                <w:szCs w:val="14"/>
                <w:color w:val="0000FF"/>
                <w:w w:val="90"/>
              </w:rPr>
            </w:pPr>
            <w:hyperlink r:id="rId174">
              <w:r>
                <w:rPr>
                  <w:rFonts w:ascii="Arial" w:cs="Arial" w:eastAsia="Arial" w:hAnsi="Arial"/>
                  <w:sz w:val="14"/>
                  <w:szCs w:val="14"/>
                  <w:color w:val="0000FF"/>
                  <w:w w:val="90"/>
                </w:rPr>
                <w:t>Forms of U.S. agreements under the 2011 Equity Incentive Plan.</w:t>
              </w:r>
            </w:hyperlink>
          </w:p>
        </w:tc>
        <w:tc>
          <w:tcPr>
            <w:tcW w:w="114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10.8D</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4"/>
              </w:rPr>
            </w:pPr>
            <w:hyperlink r:id="rId175">
              <w:r>
                <w:rPr>
                  <w:rFonts w:ascii="Arial" w:cs="Arial" w:eastAsia="Arial" w:hAnsi="Arial"/>
                  <w:sz w:val="14"/>
                  <w:szCs w:val="14"/>
                  <w:color w:val="0000FF"/>
                  <w:w w:val="94"/>
                </w:rPr>
                <w:t>Rules of the Fluidigm Corporation 2011 Equity Incentive Plan for Restricted Stock</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8"/>
              </w:rPr>
            </w:pPr>
            <w:hyperlink r:id="rId175">
              <w:r>
                <w:rPr>
                  <w:rFonts w:ascii="Arial" w:cs="Arial" w:eastAsia="Arial" w:hAnsi="Arial"/>
                  <w:sz w:val="13"/>
                  <w:szCs w:val="13"/>
                  <w:color w:val="0000FF"/>
                  <w:w w:val="98"/>
                </w:rPr>
                <w:t>Unit Awards Granted to French Participants.</w:t>
              </w:r>
            </w:hyperlink>
          </w:p>
        </w:tc>
        <w:tc>
          <w:tcPr>
            <w:tcW w:w="220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10.8E</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4"/>
              </w:rPr>
            </w:pPr>
            <w:hyperlink r:id="rId176">
              <w:r>
                <w:rPr>
                  <w:rFonts w:ascii="Arial" w:cs="Arial" w:eastAsia="Arial" w:hAnsi="Arial"/>
                  <w:sz w:val="14"/>
                  <w:szCs w:val="14"/>
                  <w:color w:val="0000FF"/>
                  <w:w w:val="94"/>
                </w:rPr>
                <w:t>Rules of the Fluidigm Corporation 2011 Equity Incentive Plan for Options Granted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6"/>
              </w:rPr>
            </w:pPr>
            <w:hyperlink r:id="rId176">
              <w:r>
                <w:rPr>
                  <w:rFonts w:ascii="Arial" w:cs="Arial" w:eastAsia="Arial" w:hAnsi="Arial"/>
                  <w:sz w:val="13"/>
                  <w:szCs w:val="13"/>
                  <w:color w:val="0000FF"/>
                  <w:w w:val="96"/>
                </w:rPr>
                <w:t>to French Participants.</w:t>
              </w:r>
            </w:hyperlink>
          </w:p>
        </w:tc>
        <w:tc>
          <w:tcPr>
            <w:tcW w:w="346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10.8F</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rPr>
            </w:pPr>
            <w:hyperlink r:id="rId177">
              <w:r>
                <w:rPr>
                  <w:rFonts w:ascii="Arial" w:cs="Arial" w:eastAsia="Arial" w:hAnsi="Arial"/>
                  <w:sz w:val="14"/>
                  <w:szCs w:val="14"/>
                  <w:color w:val="0000FF"/>
                </w:rPr>
                <w:t>UK Sub-plan to the Fluidigm Corporation 2011 Equity Incentive Plan.</w:t>
              </w:r>
            </w:hyperlink>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10.8G#</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rPr>
            </w:pPr>
            <w:hyperlink r:id="rId178">
              <w:r>
                <w:rPr>
                  <w:rFonts w:ascii="Arial" w:cs="Arial" w:eastAsia="Arial" w:hAnsi="Arial"/>
                  <w:sz w:val="14"/>
                  <w:szCs w:val="14"/>
                  <w:color w:val="0000FF"/>
                </w:rPr>
                <w:t>Form of Restricted Stock Unit Agreement-Non-U.S. under the 2011 Equity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Incentive Plan.</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10.8H#</w:t>
            </w:r>
          </w:p>
        </w:tc>
        <w:tc>
          <w:tcPr>
            <w:tcW w:w="20" w:type="dxa"/>
            <w:vAlign w:val="bottom"/>
          </w:tcPr>
          <w:p>
            <w:pPr>
              <w:spacing w:after="0"/>
              <w:rPr>
                <w:sz w:val="13"/>
                <w:szCs w:val="13"/>
                <w:color w:val="auto"/>
              </w:rPr>
            </w:pPr>
          </w:p>
        </w:tc>
        <w:tc>
          <w:tcPr>
            <w:tcW w:w="4680" w:type="dxa"/>
            <w:vAlign w:val="bottom"/>
            <w:tcBorders>
              <w:bottom w:val="single" w:sz="8" w:color="0000FF"/>
            </w:tcBorders>
            <w:gridSpan w:val="24"/>
          </w:tcPr>
          <w:p>
            <w:pPr>
              <w:spacing w:after="0"/>
              <w:rPr>
                <w:rFonts w:ascii="Arial" w:cs="Arial" w:eastAsia="Arial" w:hAnsi="Arial"/>
                <w:sz w:val="14"/>
                <w:szCs w:val="14"/>
                <w:color w:val="0000FF"/>
                <w:w w:val="92"/>
              </w:rPr>
            </w:pPr>
            <w:hyperlink r:id="rId179">
              <w:r>
                <w:rPr>
                  <w:rFonts w:ascii="Arial" w:cs="Arial" w:eastAsia="Arial" w:hAnsi="Arial"/>
                  <w:sz w:val="14"/>
                  <w:szCs w:val="14"/>
                  <w:color w:val="0000FF"/>
                  <w:w w:val="92"/>
                </w:rPr>
                <w:t>Form of Stock Option Agreement-Non-U.S. under the 2011 Equity Incentive Plan.</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10.9#</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bottom w:val="single" w:sz="8" w:color="0000FF"/>
            </w:tcBorders>
            <w:gridSpan w:val="21"/>
          </w:tcPr>
          <w:p>
            <w:pPr>
              <w:spacing w:after="0"/>
              <w:rPr>
                <w:rFonts w:ascii="Arial" w:cs="Arial" w:eastAsia="Arial" w:hAnsi="Arial"/>
                <w:sz w:val="14"/>
                <w:szCs w:val="14"/>
                <w:color w:val="0000FF"/>
                <w:w w:val="91"/>
              </w:rPr>
            </w:pPr>
            <w:hyperlink r:id="rId180">
              <w:r>
                <w:rPr>
                  <w:rFonts w:ascii="Arial" w:cs="Arial" w:eastAsia="Arial" w:hAnsi="Arial"/>
                  <w:sz w:val="14"/>
                  <w:szCs w:val="14"/>
                  <w:color w:val="0000FF"/>
                  <w:w w:val="91"/>
                </w:rPr>
                <w:t>Fluidigm Corporation 2017 Inducement Award Plan and related form agreements.</w:t>
              </w:r>
            </w:hyperlink>
          </w:p>
        </w:tc>
        <w:tc>
          <w:tcPr>
            <w:tcW w:w="1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10.10#</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rPr>
            </w:pPr>
            <w:hyperlink r:id="rId181">
              <w:r>
                <w:rPr>
                  <w:rFonts w:ascii="Arial" w:cs="Arial" w:eastAsia="Arial" w:hAnsi="Arial"/>
                  <w:sz w:val="14"/>
                  <w:szCs w:val="14"/>
                  <w:color w:val="0000FF"/>
                </w:rPr>
                <w:t>Fluidigm Corporation 2017 Employee Stock Purchase Plan, as amended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2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81">
              <w:r>
                <w:rPr>
                  <w:rFonts w:ascii="Arial" w:cs="Arial" w:eastAsia="Arial" w:hAnsi="Arial"/>
                  <w:sz w:val="13"/>
                  <w:szCs w:val="13"/>
                  <w:color w:val="0000FF"/>
                </w:rPr>
                <w:t>restated effective June 23, 2020.</w:t>
              </w:r>
            </w:hyperlink>
          </w:p>
        </w:tc>
        <w:tc>
          <w:tcPr>
            <w:tcW w:w="20" w:type="dxa"/>
            <w:vAlign w:val="bottom"/>
          </w:tcPr>
          <w:p>
            <w:pPr>
              <w:spacing w:after="0"/>
              <w:rPr>
                <w:sz w:val="10"/>
                <w:szCs w:val="10"/>
                <w:color w:val="auto"/>
              </w:rPr>
            </w:pPr>
          </w:p>
        </w:tc>
        <w:tc>
          <w:tcPr>
            <w:tcW w:w="240" w:type="dxa"/>
            <w:vAlign w:val="bottom"/>
            <w:gridSpan w:val="4"/>
          </w:tcPr>
          <w:p>
            <w:pPr>
              <w:spacing w:after="0"/>
              <w:rPr>
                <w:sz w:val="10"/>
                <w:szCs w:val="10"/>
                <w:color w:val="auto"/>
              </w:rPr>
            </w:pPr>
          </w:p>
        </w:tc>
        <w:tc>
          <w:tcPr>
            <w:tcW w:w="80" w:type="dxa"/>
            <w:vAlign w:val="bottom"/>
            <w:gridSpan w:val="2"/>
          </w:tcPr>
          <w:p>
            <w:pPr>
              <w:spacing w:after="0"/>
              <w:rPr>
                <w:sz w:val="10"/>
                <w:szCs w:val="10"/>
                <w:color w:val="auto"/>
              </w:rPr>
            </w:pPr>
          </w:p>
        </w:tc>
        <w:tc>
          <w:tcPr>
            <w:tcW w:w="10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10.11#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tcBorders>
            <w:gridSpan w:val="7"/>
          </w:tcPr>
          <w:p>
            <w:pPr>
              <w:spacing w:after="0"/>
              <w:rPr>
                <w:rFonts w:ascii="Arial" w:cs="Arial" w:eastAsia="Arial" w:hAnsi="Arial"/>
                <w:sz w:val="14"/>
                <w:szCs w:val="14"/>
                <w:color w:val="0000FF"/>
              </w:rPr>
            </w:pPr>
            <w:hyperlink r:id="rId182">
              <w:r>
                <w:rPr>
                  <w:rFonts w:ascii="Arial" w:cs="Arial" w:eastAsia="Arial" w:hAnsi="Arial"/>
                  <w:sz w:val="14"/>
                  <w:szCs w:val="14"/>
                  <w:color w:val="0000FF"/>
                </w:rPr>
                <w:t>Executive Bonus Plan.</w:t>
              </w:r>
            </w:hyperlink>
          </w:p>
        </w:tc>
        <w:tc>
          <w:tcPr>
            <w:tcW w:w="298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10.12†</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3"/>
              </w:rPr>
            </w:pPr>
            <w:hyperlink r:id="rId183">
              <w:r>
                <w:rPr>
                  <w:rFonts w:ascii="Arial" w:cs="Arial" w:eastAsia="Arial" w:hAnsi="Arial"/>
                  <w:sz w:val="14"/>
                  <w:szCs w:val="14"/>
                  <w:color w:val="0000FF"/>
                  <w:w w:val="93"/>
                </w:rPr>
                <w:t>Second Amended and Restated License Agreement between California Institute of</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8"/>
              </w:rPr>
            </w:pPr>
            <w:hyperlink r:id="rId183">
              <w:r>
                <w:rPr>
                  <w:rFonts w:ascii="Arial" w:cs="Arial" w:eastAsia="Arial" w:hAnsi="Arial"/>
                  <w:sz w:val="13"/>
                  <w:szCs w:val="13"/>
                  <w:color w:val="0000FF"/>
                  <w:w w:val="98"/>
                </w:rPr>
                <w:t>Technology and the registrant, effective as of May 1, 2004.</w:t>
              </w:r>
            </w:hyperlink>
          </w:p>
        </w:tc>
        <w:tc>
          <w:tcPr>
            <w:tcW w:w="1300" w:type="dxa"/>
            <w:vAlign w:val="bottom"/>
            <w:tcBorders>
              <w:top w:val="single" w:sz="8" w:color="0000FF"/>
            </w:tcBorders>
            <w:gridSpan w:val="13"/>
          </w:tcPr>
          <w:p>
            <w:pPr>
              <w:spacing w:after="0"/>
              <w:rPr>
                <w:sz w:val="10"/>
                <w:szCs w:val="10"/>
                <w:color w:val="auto"/>
              </w:rPr>
            </w:pPr>
          </w:p>
        </w:tc>
        <w:tc>
          <w:tcPr>
            <w:tcW w:w="10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10.12A†</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2"/>
              </w:rPr>
            </w:pPr>
            <w:hyperlink r:id="rId184">
              <w:r>
                <w:rPr>
                  <w:rFonts w:ascii="Arial" w:cs="Arial" w:eastAsia="Arial" w:hAnsi="Arial"/>
                  <w:sz w:val="14"/>
                  <w:szCs w:val="14"/>
                  <w:color w:val="0000FF"/>
                  <w:w w:val="92"/>
                </w:rPr>
                <w:t>First Addendum, effective as of March 29, 2007, to Second Amended and Restated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License Agreement between California Institute of Technology and the registrant</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effective as of May 1, 2004.</w:t>
              </w:r>
            </w:hyperlink>
          </w:p>
        </w:tc>
        <w:tc>
          <w:tcPr>
            <w:tcW w:w="22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10.13†</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rPr>
            </w:pPr>
            <w:hyperlink r:id="rId185">
              <w:r>
                <w:rPr>
                  <w:rFonts w:ascii="Arial" w:cs="Arial" w:eastAsia="Arial" w:hAnsi="Arial"/>
                  <w:sz w:val="14"/>
                  <w:szCs w:val="14"/>
                  <w:color w:val="0000FF"/>
                </w:rPr>
                <w:t>Co-Exclusive License Agreement between President and Fellows of Harvard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85">
              <w:r>
                <w:rPr>
                  <w:rFonts w:ascii="Arial" w:cs="Arial" w:eastAsia="Arial" w:hAnsi="Arial"/>
                  <w:sz w:val="13"/>
                  <w:szCs w:val="13"/>
                  <w:color w:val="0000FF"/>
                </w:rPr>
                <w:t>College and the registrant effective as of October 15, 2000.</w:t>
              </w:r>
            </w:hyperlink>
          </w:p>
        </w:tc>
        <w:tc>
          <w:tcPr>
            <w:tcW w:w="4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573"/>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Borders>
              <w:top w:val="single" w:sz="8" w:color="0000FF"/>
            </w:tcBorders>
            <w:gridSpan w:val="9"/>
          </w:tcPr>
          <w:p>
            <w:pPr>
              <w:spacing w:after="0"/>
              <w:rPr>
                <w:sz w:val="24"/>
                <w:szCs w:val="24"/>
                <w:color w:val="auto"/>
              </w:rPr>
            </w:pPr>
          </w:p>
        </w:tc>
        <w:tc>
          <w:tcPr>
            <w:tcW w:w="900" w:type="dxa"/>
            <w:vAlign w:val="bottom"/>
            <w:gridSpan w:val="5"/>
          </w:tcPr>
          <w:p>
            <w:pPr>
              <w:jc w:val="right"/>
              <w:ind w:right="80"/>
              <w:spacing w:after="0"/>
              <w:rPr>
                <w:sz w:val="20"/>
                <w:szCs w:val="20"/>
                <w:color w:val="auto"/>
              </w:rPr>
            </w:pPr>
            <w:r>
              <w:rPr>
                <w:rFonts w:ascii="Arial" w:cs="Arial" w:eastAsia="Arial" w:hAnsi="Arial"/>
                <w:sz w:val="14"/>
                <w:szCs w:val="14"/>
                <w:color w:val="auto"/>
              </w:rPr>
              <w:t>115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108585</wp:posOffset>
            </wp:positionV>
            <wp:extent cx="71875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520" w:type="dxa"/>
            <w:vAlign w:val="bottom"/>
            <w:gridSpan w:val="2"/>
            <w:vMerge w:val="continue"/>
          </w:tcPr>
          <w:p>
            <w:pPr>
              <w:spacing w:after="0"/>
              <w:rPr>
                <w:sz w:val="9"/>
                <w:szCs w:val="9"/>
                <w:color w:val="auto"/>
              </w:rPr>
            </w:pP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89"/>
              </w:rPr>
              <w:t>by Reference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5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2"/>
              </w:rPr>
              <w:t>by Reference</w:t>
            </w: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8"/>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47"/>
        </w:trPr>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10-Q</w:t>
            </w:r>
          </w:p>
        </w:tc>
        <w:tc>
          <w:tcPr>
            <w:tcW w:w="8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8/6/2021</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8/6/2021</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12/3/2010</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10.3A</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12/3/2010</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5/25/2021</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10.4A</w:t>
            </w: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1/28/2011</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8/2/2017</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SC TO-I</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(d)(2)</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SC TO-I</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(d)(3)</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SC TO-I</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(d)(4)</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SC TO-I</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(d)(5)</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SC TO-I</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(d)(6)</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SC TO-I</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(d)(7)</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1/11/2017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6/24/2020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10.25</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3/28/2011</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10.2A</w:t>
            </w: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11/9/2020</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11/9/2020</w:t>
            </w:r>
          </w:p>
        </w:tc>
        <w:tc>
          <w:tcPr>
            <w:tcW w:w="0" w:type="dxa"/>
            <w:vAlign w:val="bottom"/>
          </w:tcPr>
          <w:p>
            <w:pPr>
              <w:spacing w:after="0"/>
              <w:rPr>
                <w:sz w:val="1"/>
                <w:szCs w:val="1"/>
                <w:color w:val="auto"/>
              </w:rPr>
            </w:pPr>
          </w:p>
        </w:tc>
      </w:tr>
    </w:tbl>
    <w:p>
      <w:pPr>
        <w:sectPr>
          <w:pgSz w:w="11900" w:h="16838" w:orient="portrait"/>
          <w:cols w:equalWidth="0" w:num="2">
            <w:col w:w="6460" w:space="100"/>
            <w:col w:w="4660"/>
          </w:cols>
          <w:pgMar w:left="320" w:top="945" w:right="359" w:bottom="1440" w:gutter="0" w:footer="0" w:header="0"/>
        </w:sectPr>
      </w:pPr>
    </w:p>
    <w:bookmarkStart w:id="118" w:name="page119"/>
    <w:bookmarkEnd w:id="118"/>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gridSpan w:val="24"/>
            <w:vMerge w:val="restart"/>
          </w:tcPr>
          <w:p>
            <w:pPr>
              <w:ind w:left="2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16"/>
        </w:trPr>
        <w:tc>
          <w:tcPr>
            <w:tcW w:w="400" w:type="dxa"/>
            <w:vAlign w:val="bottom"/>
            <w:tcBorders>
              <w:bottom w:val="single" w:sz="8" w:color="auto"/>
            </w:tcBorders>
          </w:tcPr>
          <w:p>
            <w:pPr>
              <w:spacing w:after="0" w:line="117" w:lineRule="exact"/>
              <w:rPr>
                <w:sz w:val="20"/>
                <w:szCs w:val="20"/>
                <w:color w:val="auto"/>
              </w:rPr>
            </w:pPr>
            <w:r>
              <w:rPr>
                <w:rFonts w:ascii="Arial" w:cs="Arial" w:eastAsia="Arial" w:hAnsi="Arial"/>
                <w:sz w:val="11"/>
                <w:szCs w:val="11"/>
                <w:b w:val="1"/>
                <w:bCs w:val="1"/>
                <w:color w:val="auto"/>
                <w:w w:val="91"/>
              </w:rPr>
              <w:t>Number</w:t>
            </w: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gridSpan w:val="2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10.13A†</w:t>
            </w: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gridSpan w:val="30"/>
          </w:tcPr>
          <w:p>
            <w:pPr>
              <w:spacing w:after="0" w:line="131" w:lineRule="exact"/>
              <w:rPr>
                <w:rFonts w:ascii="Arial" w:cs="Arial" w:eastAsia="Arial" w:hAnsi="Arial"/>
                <w:sz w:val="14"/>
                <w:szCs w:val="14"/>
                <w:color w:val="0000FF"/>
              </w:rPr>
            </w:pPr>
            <w:hyperlink r:id="rId185">
              <w:r>
                <w:rPr>
                  <w:rFonts w:ascii="Arial" w:cs="Arial" w:eastAsia="Arial" w:hAnsi="Arial"/>
                  <w:sz w:val="14"/>
                  <w:szCs w:val="14"/>
                  <w:color w:val="0000FF"/>
                </w:rPr>
                <w:t>First Amendment to Co-Exclusive License Agreement between President and</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bottom w:val="single" w:sz="8" w:color="0000FF"/>
            </w:tcBorders>
            <w:gridSpan w:val="19"/>
          </w:tcPr>
          <w:p>
            <w:pPr>
              <w:spacing w:after="0" w:line="118" w:lineRule="exact"/>
              <w:rPr>
                <w:rFonts w:ascii="Arial" w:cs="Arial" w:eastAsia="Arial" w:hAnsi="Arial"/>
                <w:sz w:val="13"/>
                <w:szCs w:val="13"/>
                <w:color w:val="0000FF"/>
                <w:w w:val="98"/>
              </w:rPr>
            </w:pPr>
            <w:hyperlink r:id="rId185">
              <w:r>
                <w:rPr>
                  <w:rFonts w:ascii="Arial" w:cs="Arial" w:eastAsia="Arial" w:hAnsi="Arial"/>
                  <w:sz w:val="13"/>
                  <w:szCs w:val="13"/>
                  <w:color w:val="0000FF"/>
                  <w:w w:val="98"/>
                </w:rPr>
                <w:t>Fellows of Harvard College and the registrant effective as of October 15, 2000.</w:t>
              </w:r>
            </w:hyperlink>
          </w:p>
        </w:tc>
        <w:tc>
          <w:tcPr>
            <w:tcW w:w="40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10.14†</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rPr>
            </w:pPr>
            <w:hyperlink r:id="rId187">
              <w:r>
                <w:rPr>
                  <w:rFonts w:ascii="Arial" w:cs="Arial" w:eastAsia="Arial" w:hAnsi="Arial"/>
                  <w:sz w:val="14"/>
                  <w:szCs w:val="14"/>
                  <w:color w:val="0000FF"/>
                </w:rPr>
                <w:t>Co-Exclusive License Agreement between President and Fellows of Harvard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87">
              <w:r>
                <w:rPr>
                  <w:rFonts w:ascii="Arial" w:cs="Arial" w:eastAsia="Arial" w:hAnsi="Arial"/>
                  <w:sz w:val="13"/>
                  <w:szCs w:val="13"/>
                  <w:color w:val="0000FF"/>
                </w:rPr>
                <w:t>College and the registrant effective as of October 15, 2000.</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rPr>
            </w:pPr>
            <w:hyperlink r:id="rId188">
              <w:r>
                <w:rPr>
                  <w:rFonts w:ascii="Arial" w:cs="Arial" w:eastAsia="Arial" w:hAnsi="Arial"/>
                  <w:sz w:val="14"/>
                  <w:szCs w:val="14"/>
                  <w:color w:val="0000FF"/>
                </w:rPr>
                <w:t>Co-Exclusive License Agreement between President and Fellows of Harvard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88">
              <w:r>
                <w:rPr>
                  <w:rFonts w:ascii="Arial" w:cs="Arial" w:eastAsia="Arial" w:hAnsi="Arial"/>
                  <w:sz w:val="13"/>
                  <w:szCs w:val="13"/>
                  <w:color w:val="0000FF"/>
                </w:rPr>
                <w:t>College and the registrant effective as of October 15, 2000.</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10.16†</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rPr>
            </w:pPr>
            <w:hyperlink r:id="rId189">
              <w:r>
                <w:rPr>
                  <w:rFonts w:ascii="Arial" w:cs="Arial" w:eastAsia="Arial" w:hAnsi="Arial"/>
                  <w:sz w:val="14"/>
                  <w:szCs w:val="14"/>
                  <w:color w:val="0000FF"/>
                </w:rPr>
                <w:t>Letter Agreement between President and Fellows of Harvard College and the</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6"/>
              </w:rPr>
            </w:pPr>
            <w:hyperlink r:id="rId189">
              <w:r>
                <w:rPr>
                  <w:rFonts w:ascii="Arial" w:cs="Arial" w:eastAsia="Arial" w:hAnsi="Arial"/>
                  <w:sz w:val="13"/>
                  <w:szCs w:val="13"/>
                  <w:color w:val="0000FF"/>
                  <w:w w:val="96"/>
                </w:rPr>
                <w:t>registrant dated December 22, 2004.</w:t>
              </w:r>
            </w:hyperlink>
          </w:p>
        </w:tc>
        <w:tc>
          <w:tcPr>
            <w:tcW w:w="2320" w:type="dxa"/>
            <w:vAlign w:val="bottom"/>
            <w:tcBorders>
              <w:top w:val="single" w:sz="8" w:color="0000FF"/>
            </w:tcBorders>
            <w:gridSpan w:val="1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10.17†</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w w:val="94"/>
              </w:rPr>
            </w:pPr>
            <w:hyperlink r:id="rId190">
              <w:r>
                <w:rPr>
                  <w:rFonts w:ascii="Arial" w:cs="Arial" w:eastAsia="Arial" w:hAnsi="Arial"/>
                  <w:sz w:val="14"/>
                  <w:szCs w:val="14"/>
                  <w:color w:val="0000FF"/>
                  <w:w w:val="94"/>
                </w:rPr>
                <w:t>License Agreement between MDS Analytical Technologies, a business unit of MDS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90">
              <w:r>
                <w:rPr>
                  <w:rFonts w:ascii="Arial" w:cs="Arial" w:eastAsia="Arial" w:hAnsi="Arial"/>
                  <w:sz w:val="13"/>
                  <w:szCs w:val="13"/>
                  <w:color w:val="0000FF"/>
                </w:rPr>
                <w:t>INC., and DVS Sciences Inc., dated July 17, 2008.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10.18†</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w w:val="93"/>
              </w:rPr>
            </w:pPr>
            <w:hyperlink r:id="rId191">
              <w:r>
                <w:rPr>
                  <w:rFonts w:ascii="Arial" w:cs="Arial" w:eastAsia="Arial" w:hAnsi="Arial"/>
                  <w:sz w:val="14"/>
                  <w:szCs w:val="14"/>
                  <w:color w:val="0000FF"/>
                  <w:w w:val="93"/>
                </w:rPr>
                <w:t>Sublicense Agreement between DVS Sciences Inc. and Fluidigm Corporation, dated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91">
              <w:r>
                <w:rPr>
                  <w:rFonts w:ascii="Arial" w:cs="Arial" w:eastAsia="Arial" w:hAnsi="Arial"/>
                  <w:sz w:val="13"/>
                  <w:szCs w:val="13"/>
                  <w:color w:val="0000FF"/>
                </w:rPr>
                <w:t>January 28, 2014.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10.19</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w w:val="93"/>
              </w:rPr>
            </w:pPr>
            <w:hyperlink r:id="rId192">
              <w:r>
                <w:rPr>
                  <w:rFonts w:ascii="Arial" w:cs="Arial" w:eastAsia="Arial" w:hAnsi="Arial"/>
                  <w:sz w:val="14"/>
                  <w:szCs w:val="14"/>
                  <w:color w:val="0000FF"/>
                  <w:w w:val="93"/>
                </w:rPr>
                <w:t>Loan and Security Agreement, dated as of August 2, 2018 by and between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92">
              <w:r>
                <w:rPr>
                  <w:rFonts w:ascii="Arial" w:cs="Arial" w:eastAsia="Arial" w:hAnsi="Arial"/>
                  <w:sz w:val="13"/>
                  <w:szCs w:val="13"/>
                  <w:color w:val="0000FF"/>
                </w:rPr>
                <w:t>Corporation and Silicon Valley Bank</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10.19A</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rPr>
            </w:pPr>
            <w:hyperlink r:id="rId193">
              <w:r>
                <w:rPr>
                  <w:rFonts w:ascii="Arial" w:cs="Arial" w:eastAsia="Arial" w:hAnsi="Arial"/>
                  <w:sz w:val="14"/>
                  <w:szCs w:val="14"/>
                  <w:color w:val="0000FF"/>
                </w:rPr>
                <w:t>Default Waiver and First Amendment to Loan and Security Agreement, dated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7"/>
              </w:rPr>
            </w:pPr>
            <w:hyperlink r:id="rId193">
              <w:r>
                <w:rPr>
                  <w:rFonts w:ascii="Arial" w:cs="Arial" w:eastAsia="Arial" w:hAnsi="Arial"/>
                  <w:sz w:val="13"/>
                  <w:szCs w:val="13"/>
                  <w:color w:val="0000FF"/>
                  <w:w w:val="97"/>
                </w:rPr>
                <w:t>September 1, 2018, between the Company and Silicon Valley Bank.</w:t>
              </w:r>
            </w:hyperlink>
          </w:p>
        </w:tc>
        <w:tc>
          <w:tcPr>
            <w:tcW w:w="540" w:type="dxa"/>
            <w:vAlign w:val="bottom"/>
            <w:tcBorders>
              <w:top w:val="single" w:sz="8" w:color="0000FF"/>
            </w:tcBorders>
            <w:gridSpan w:val="5"/>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660" w:type="dxa"/>
            <w:vAlign w:val="bottom"/>
            <w:gridSpan w:val="2"/>
          </w:tcPr>
          <w:p>
            <w:pPr>
              <w:spacing w:after="0"/>
              <w:rPr>
                <w:sz w:val="20"/>
                <w:szCs w:val="20"/>
                <w:color w:val="auto"/>
              </w:rPr>
            </w:pPr>
            <w:r>
              <w:rPr>
                <w:rFonts w:ascii="Arial" w:cs="Arial" w:eastAsia="Arial" w:hAnsi="Arial"/>
                <w:sz w:val="14"/>
                <w:szCs w:val="14"/>
                <w:color w:val="auto"/>
              </w:rPr>
              <w:t>10.19B</w:t>
            </w:r>
          </w:p>
        </w:tc>
        <w:tc>
          <w:tcPr>
            <w:tcW w:w="20" w:type="dxa"/>
            <w:vAlign w:val="bottom"/>
          </w:tcPr>
          <w:p>
            <w:pPr>
              <w:spacing w:after="0"/>
              <w:rPr>
                <w:sz w:val="24"/>
                <w:szCs w:val="24"/>
                <w:color w:val="auto"/>
              </w:rPr>
            </w:pPr>
          </w:p>
        </w:tc>
        <w:tc>
          <w:tcPr>
            <w:tcW w:w="4880" w:type="dxa"/>
            <w:vAlign w:val="bottom"/>
            <w:gridSpan w:val="30"/>
          </w:tcPr>
          <w:p>
            <w:pPr>
              <w:spacing w:after="0"/>
              <w:rPr>
                <w:rFonts w:ascii="Arial" w:cs="Arial" w:eastAsia="Arial" w:hAnsi="Arial"/>
                <w:sz w:val="14"/>
                <w:szCs w:val="14"/>
                <w:color w:val="0000FF"/>
                <w:w w:val="96"/>
              </w:rPr>
            </w:pPr>
            <w:hyperlink r:id="rId194">
              <w:r>
                <w:rPr>
                  <w:rFonts w:ascii="Arial" w:cs="Arial" w:eastAsia="Arial" w:hAnsi="Arial"/>
                  <w:sz w:val="14"/>
                  <w:szCs w:val="14"/>
                  <w:color w:val="0000FF"/>
                  <w:w w:val="96"/>
                </w:rPr>
                <w:t>Second Amendment to Loan and Security Agreement, dated November 20, 2019,</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94">
              <w:r>
                <w:rPr>
                  <w:rFonts w:ascii="Arial" w:cs="Arial" w:eastAsia="Arial" w:hAnsi="Arial"/>
                  <w:sz w:val="13"/>
                  <w:szCs w:val="13"/>
                  <w:color w:val="0000FF"/>
                </w:rPr>
                <w:t>between the Company and Silicon Valley Bank.</w:t>
              </w:r>
            </w:hyperlink>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660" w:type="dxa"/>
            <w:vAlign w:val="bottom"/>
            <w:gridSpan w:val="2"/>
          </w:tcPr>
          <w:p>
            <w:pPr>
              <w:spacing w:after="0"/>
              <w:rPr>
                <w:sz w:val="20"/>
                <w:szCs w:val="20"/>
                <w:color w:val="auto"/>
              </w:rPr>
            </w:pPr>
            <w:r>
              <w:rPr>
                <w:rFonts w:ascii="Arial" w:cs="Arial" w:eastAsia="Arial" w:hAnsi="Arial"/>
                <w:sz w:val="14"/>
                <w:szCs w:val="14"/>
                <w:color w:val="auto"/>
              </w:rPr>
              <w:t>10.19C</w:t>
            </w:r>
          </w:p>
        </w:tc>
        <w:tc>
          <w:tcPr>
            <w:tcW w:w="20" w:type="dxa"/>
            <w:vAlign w:val="bottom"/>
          </w:tcPr>
          <w:p>
            <w:pPr>
              <w:spacing w:after="0"/>
              <w:rPr>
                <w:sz w:val="24"/>
                <w:szCs w:val="24"/>
                <w:color w:val="auto"/>
              </w:rPr>
            </w:pPr>
          </w:p>
        </w:tc>
        <w:tc>
          <w:tcPr>
            <w:tcW w:w="4880" w:type="dxa"/>
            <w:vAlign w:val="bottom"/>
            <w:gridSpan w:val="30"/>
          </w:tcPr>
          <w:p>
            <w:pPr>
              <w:spacing w:after="0"/>
              <w:rPr>
                <w:rFonts w:ascii="Arial" w:cs="Arial" w:eastAsia="Arial" w:hAnsi="Arial"/>
                <w:sz w:val="14"/>
                <w:szCs w:val="14"/>
                <w:color w:val="0000FF"/>
                <w:w w:val="95"/>
              </w:rPr>
            </w:pPr>
            <w:hyperlink r:id="rId195">
              <w:r>
                <w:rPr>
                  <w:rFonts w:ascii="Arial" w:cs="Arial" w:eastAsia="Arial" w:hAnsi="Arial"/>
                  <w:sz w:val="14"/>
                  <w:szCs w:val="14"/>
                  <w:color w:val="0000FF"/>
                  <w:w w:val="95"/>
                </w:rPr>
                <w:t>Third Amendment to Loan and Security Agreement, dated April 21, 2020, between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8"/>
              </w:rPr>
            </w:pPr>
            <w:hyperlink r:id="rId195">
              <w:r>
                <w:rPr>
                  <w:rFonts w:ascii="Arial" w:cs="Arial" w:eastAsia="Arial" w:hAnsi="Arial"/>
                  <w:sz w:val="13"/>
                  <w:szCs w:val="13"/>
                  <w:color w:val="0000FF"/>
                  <w:w w:val="98"/>
                </w:rPr>
                <w:t>the Company and Silicon Valley Bank.</w:t>
              </w:r>
            </w:hyperlink>
          </w:p>
        </w:tc>
        <w:tc>
          <w:tcPr>
            <w:tcW w:w="2500" w:type="dxa"/>
            <w:vAlign w:val="bottom"/>
            <w:tcBorders>
              <w:top w:val="single" w:sz="8" w:color="0000FF"/>
            </w:tcBorders>
            <w:gridSpan w:val="15"/>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10.19D</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rPr>
            </w:pPr>
            <w:hyperlink r:id="rId196">
              <w:r>
                <w:rPr>
                  <w:rFonts w:ascii="Arial" w:cs="Arial" w:eastAsia="Arial" w:hAnsi="Arial"/>
                  <w:sz w:val="14"/>
                  <w:szCs w:val="14"/>
                  <w:color w:val="0000FF"/>
                </w:rPr>
                <w:t>Fourth Amendment to Loan and Security Agreement, dated August 2, 2021,</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96">
              <w:r>
                <w:rPr>
                  <w:rFonts w:ascii="Arial" w:cs="Arial" w:eastAsia="Arial" w:hAnsi="Arial"/>
                  <w:sz w:val="13"/>
                  <w:szCs w:val="13"/>
                  <w:color w:val="0000FF"/>
                </w:rPr>
                <w:t>between the Company and Silicon Valley Bank.</w:t>
              </w:r>
            </w:hyperlink>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1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10.19E</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rPr>
            </w:pPr>
            <w:hyperlink w:anchor="page162">
              <w:r>
                <w:rPr>
                  <w:rFonts w:ascii="Arial" w:cs="Arial" w:eastAsia="Arial" w:hAnsi="Arial"/>
                  <w:sz w:val="14"/>
                  <w:szCs w:val="14"/>
                  <w:color w:val="0000FF"/>
                </w:rPr>
                <w:t>Fifth Amendment to Loan and Security Agreement, dated December 27, 2021,</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w:anchor="page162">
              <w:r>
                <w:rPr>
                  <w:rFonts w:ascii="Arial" w:cs="Arial" w:eastAsia="Arial" w:hAnsi="Arial"/>
                  <w:sz w:val="13"/>
                  <w:szCs w:val="13"/>
                  <w:color w:val="0000FF"/>
                </w:rPr>
                <w:t>between the Company and Silicon Valley Bank.</w:t>
              </w:r>
            </w:hyperlink>
          </w:p>
        </w:tc>
        <w:tc>
          <w:tcPr>
            <w:tcW w:w="120" w:type="dxa"/>
            <w:vAlign w:val="bottom"/>
            <w:gridSpan w:val="2"/>
          </w:tcPr>
          <w:p>
            <w:pPr>
              <w:spacing w:after="0"/>
              <w:rPr>
                <w:sz w:val="10"/>
                <w:szCs w:val="10"/>
                <w:color w:val="auto"/>
              </w:rPr>
            </w:pPr>
          </w:p>
        </w:tc>
        <w:tc>
          <w:tcPr>
            <w:tcW w:w="1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10.19F</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w w:val="93"/>
              </w:rPr>
            </w:pPr>
            <w:hyperlink w:anchor="page174">
              <w:r>
                <w:rPr>
                  <w:rFonts w:ascii="Arial" w:cs="Arial" w:eastAsia="Arial" w:hAnsi="Arial"/>
                  <w:sz w:val="14"/>
                  <w:szCs w:val="14"/>
                  <w:color w:val="0000FF"/>
                  <w:w w:val="93"/>
                </w:rPr>
                <w:t>Default Waiver and Consent to Loan and Security Agreement, dated March 4, 2022,</w:t>
              </w:r>
            </w:hyperlink>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6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w:anchor="page174">
              <w:r>
                <w:rPr>
                  <w:rFonts w:ascii="Arial" w:cs="Arial" w:eastAsia="Arial" w:hAnsi="Arial"/>
                  <w:sz w:val="14"/>
                  <w:szCs w:val="14"/>
                  <w:color w:val="0000FF"/>
                </w:rPr>
                <w:t>between the Company and Silicon Valley Bank.</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10.20</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gridSpan w:val="30"/>
          </w:tcPr>
          <w:p>
            <w:pPr>
              <w:spacing w:after="0"/>
              <w:rPr>
                <w:rFonts w:ascii="Arial" w:cs="Arial" w:eastAsia="Arial" w:hAnsi="Arial"/>
                <w:sz w:val="14"/>
                <w:szCs w:val="14"/>
                <w:color w:val="0000FF"/>
                <w:w w:val="92"/>
              </w:rPr>
            </w:pPr>
            <w:hyperlink r:id="rId197">
              <w:r>
                <w:rPr>
                  <w:rFonts w:ascii="Arial" w:cs="Arial" w:eastAsia="Arial" w:hAnsi="Arial"/>
                  <w:sz w:val="14"/>
                  <w:szCs w:val="14"/>
                  <w:color w:val="0000FF"/>
                  <w:w w:val="92"/>
                </w:rPr>
                <w:t>Purchase Agreement, dated November 20, 2019, between Fluidigm Corporation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2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Barclays Capital Inc., as representative of the several initial purchasers named in</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Schedule I thereto.</w:t>
              </w:r>
            </w:hyperlink>
          </w:p>
        </w:tc>
        <w:tc>
          <w:tcPr>
            <w:tcW w:w="18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10.21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rPr>
            </w:pPr>
            <w:hyperlink r:id="rId198">
              <w:r>
                <w:rPr>
                  <w:rFonts w:ascii="Arial" w:cs="Arial" w:eastAsia="Arial" w:hAnsi="Arial"/>
                  <w:sz w:val="14"/>
                  <w:szCs w:val="14"/>
                  <w:color w:val="0000FF"/>
                </w:rPr>
                <w:t>Open Market Sale Agreement, dated as of March 4, 2020, between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9"/>
              </w:rPr>
            </w:pPr>
            <w:hyperlink r:id="rId198">
              <w:r>
                <w:rPr>
                  <w:rFonts w:ascii="Arial" w:cs="Arial" w:eastAsia="Arial" w:hAnsi="Arial"/>
                  <w:sz w:val="13"/>
                  <w:szCs w:val="13"/>
                  <w:color w:val="0000FF"/>
                  <w:w w:val="99"/>
                </w:rPr>
                <w:t>Corporation and Jefferies LLC.</w:t>
              </w:r>
            </w:hyperlink>
          </w:p>
        </w:tc>
        <w:tc>
          <w:tcPr>
            <w:tcW w:w="2540" w:type="dxa"/>
            <w:vAlign w:val="bottom"/>
            <w:tcBorders>
              <w:top w:val="single" w:sz="8" w:color="0000FF"/>
            </w:tcBorders>
            <w:gridSpan w:val="11"/>
          </w:tcPr>
          <w:p>
            <w:pPr>
              <w:spacing w:after="0"/>
              <w:rPr>
                <w:sz w:val="10"/>
                <w:szCs w:val="10"/>
                <w:color w:val="auto"/>
              </w:rPr>
            </w:pPr>
          </w:p>
        </w:tc>
        <w:tc>
          <w:tcPr>
            <w:tcW w:w="420" w:type="dxa"/>
            <w:vAlign w:val="bottom"/>
            <w:gridSpan w:val="8"/>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10.22</w:t>
            </w: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rPr>
            </w:pPr>
            <w:hyperlink r:id="rId199">
              <w:r>
                <w:rPr>
                  <w:rFonts w:ascii="Arial" w:cs="Arial" w:eastAsia="Arial" w:hAnsi="Arial"/>
                  <w:sz w:val="14"/>
                  <w:szCs w:val="14"/>
                  <w:color w:val="0000FF"/>
                </w:rPr>
                <w:t>Contract by and between the National Institutes of Health and the registrant</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6"/>
              </w:rPr>
            </w:pPr>
            <w:hyperlink r:id="rId199">
              <w:r>
                <w:rPr>
                  <w:rFonts w:ascii="Arial" w:cs="Arial" w:eastAsia="Arial" w:hAnsi="Arial"/>
                  <w:sz w:val="13"/>
                  <w:szCs w:val="13"/>
                  <w:color w:val="0000FF"/>
                  <w:w w:val="96"/>
                </w:rPr>
                <w:t>effective as of July 30, 2020, as amended September 28, 2020.</w:t>
              </w:r>
            </w:hyperlink>
          </w:p>
        </w:tc>
        <w:tc>
          <w:tcPr>
            <w:tcW w:w="740" w:type="dxa"/>
            <w:vAlign w:val="bottom"/>
            <w:tcBorders>
              <w:top w:val="single" w:sz="8" w:color="0000FF"/>
            </w:tcBorders>
            <w:gridSpan w:val="2"/>
          </w:tcPr>
          <w:p>
            <w:pPr>
              <w:spacing w:after="0"/>
              <w:rPr>
                <w:sz w:val="10"/>
                <w:szCs w:val="10"/>
                <w:color w:val="auto"/>
              </w:rPr>
            </w:pPr>
          </w:p>
        </w:tc>
        <w:tc>
          <w:tcPr>
            <w:tcW w:w="460" w:type="dxa"/>
            <w:vAlign w:val="bottom"/>
            <w:gridSpan w:val="10"/>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10.22A†</w:t>
            </w:r>
          </w:p>
        </w:tc>
        <w:tc>
          <w:tcPr>
            <w:tcW w:w="20" w:type="dxa"/>
            <w:vAlign w:val="bottom"/>
          </w:tcPr>
          <w:p>
            <w:pPr>
              <w:spacing w:after="0"/>
              <w:rPr>
                <w:sz w:val="13"/>
                <w:szCs w:val="13"/>
                <w:color w:val="auto"/>
              </w:rPr>
            </w:pPr>
          </w:p>
        </w:tc>
        <w:tc>
          <w:tcPr>
            <w:tcW w:w="4880" w:type="dxa"/>
            <w:vAlign w:val="bottom"/>
            <w:gridSpan w:val="30"/>
          </w:tcPr>
          <w:p>
            <w:pPr>
              <w:spacing w:after="0"/>
              <w:rPr>
                <w:rFonts w:ascii="Arial" w:cs="Arial" w:eastAsia="Arial" w:hAnsi="Arial"/>
                <w:sz w:val="14"/>
                <w:szCs w:val="14"/>
                <w:color w:val="0000FF"/>
                <w:w w:val="94"/>
              </w:rPr>
            </w:pPr>
            <w:hyperlink r:id="rId200">
              <w:r>
                <w:rPr>
                  <w:rFonts w:ascii="Arial" w:cs="Arial" w:eastAsia="Arial" w:hAnsi="Arial"/>
                  <w:sz w:val="14"/>
                  <w:szCs w:val="14"/>
                  <w:color w:val="0000FF"/>
                  <w:w w:val="94"/>
                </w:rPr>
                <w:t>Amendment dated May 10, 2021 to Contract by and between the National Institutes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bottom w:val="single" w:sz="8" w:color="0000FF"/>
            </w:tcBorders>
            <w:gridSpan w:val="23"/>
          </w:tcPr>
          <w:p>
            <w:pPr>
              <w:spacing w:after="0" w:line="118" w:lineRule="exact"/>
              <w:rPr>
                <w:rFonts w:ascii="Arial" w:cs="Arial" w:eastAsia="Arial" w:hAnsi="Arial"/>
                <w:sz w:val="13"/>
                <w:szCs w:val="13"/>
                <w:color w:val="0000FF"/>
                <w:w w:val="96"/>
              </w:rPr>
            </w:pPr>
            <w:hyperlink r:id="rId200">
              <w:r>
                <w:rPr>
                  <w:rFonts w:ascii="Arial" w:cs="Arial" w:eastAsia="Arial" w:hAnsi="Arial"/>
                  <w:sz w:val="13"/>
                  <w:szCs w:val="13"/>
                  <w:color w:val="0000FF"/>
                  <w:w w:val="96"/>
                </w:rPr>
                <w:t>of Health and the registrant effective as of July 30, 2020, as amended September 29,</w:t>
              </w:r>
            </w:hyperlink>
          </w:p>
        </w:tc>
        <w:tc>
          <w:tcPr>
            <w:tcW w:w="100" w:type="dxa"/>
            <w:vAlign w:val="bottom"/>
            <w:tcBorders>
              <w:bottom w:val="single" w:sz="8" w:color="0000FF"/>
            </w:tcBorders>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Borders>
              <w:bottom w:val="single" w:sz="8" w:color="0000FF"/>
            </w:tcBorders>
            <w:gridSpan w:val="3"/>
          </w:tcPr>
          <w:p>
            <w:pPr>
              <w:spacing w:after="0" w:line="118" w:lineRule="exact"/>
              <w:rPr>
                <w:rFonts w:ascii="Arial" w:cs="Arial" w:eastAsia="Arial" w:hAnsi="Arial"/>
                <w:sz w:val="13"/>
                <w:szCs w:val="13"/>
                <w:color w:val="0000FF"/>
                <w:w w:val="96"/>
              </w:rPr>
            </w:pPr>
            <w:hyperlink r:id="rId200">
              <w:r>
                <w:rPr>
                  <w:rFonts w:ascii="Arial" w:cs="Arial" w:eastAsia="Arial" w:hAnsi="Arial"/>
                  <w:sz w:val="13"/>
                  <w:szCs w:val="13"/>
                  <w:color w:val="0000FF"/>
                  <w:w w:val="96"/>
                </w:rPr>
                <w:t>2020 and February 18, 2021.</w:t>
              </w:r>
            </w:hyperlink>
          </w:p>
        </w:tc>
        <w:tc>
          <w:tcPr>
            <w:tcW w:w="3200" w:type="dxa"/>
            <w:vAlign w:val="bottom"/>
            <w:gridSpan w:val="2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73"/>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00" w:type="dxa"/>
            <w:vAlign w:val="bottom"/>
            <w:gridSpan w:val="14"/>
          </w:tcPr>
          <w:p>
            <w:pPr>
              <w:jc w:val="right"/>
              <w:ind w:right="100"/>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108585</wp:posOffset>
            </wp:positionV>
            <wp:extent cx="71875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520" w:type="dxa"/>
            <w:vAlign w:val="bottom"/>
            <w:gridSpan w:val="2"/>
            <w:vMerge w:val="continue"/>
          </w:tcPr>
          <w:p>
            <w:pPr>
              <w:spacing w:after="0"/>
              <w:rPr>
                <w:sz w:val="9"/>
                <w:szCs w:val="9"/>
                <w:color w:val="auto"/>
              </w:rPr>
            </w:pP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89"/>
              </w:rPr>
              <w:t>by Reference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5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2"/>
              </w:rPr>
              <w:t>by Reference</w:t>
            </w: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8"/>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47"/>
        </w:trPr>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10-Q</w:t>
            </w:r>
          </w:p>
        </w:tc>
        <w:tc>
          <w:tcPr>
            <w:tcW w:w="8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10.3A</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11/9/2020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10.6</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10-Q/A</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9/15/2014</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10-Q/A</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9/15/2014</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8/2/2018</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10.13A</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2/27/2020</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11/22/2019</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4/22/2020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8/5/2021</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11/22/2019</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3/5/2020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11/9/2020</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8/6/2021</w:t>
            </w:r>
          </w:p>
        </w:tc>
        <w:tc>
          <w:tcPr>
            <w:tcW w:w="0" w:type="dxa"/>
            <w:vAlign w:val="bottom"/>
          </w:tcPr>
          <w:p>
            <w:pPr>
              <w:spacing w:after="0"/>
              <w:rPr>
                <w:sz w:val="1"/>
                <w:szCs w:val="1"/>
                <w:color w:val="auto"/>
              </w:rPr>
            </w:pPr>
          </w:p>
        </w:tc>
      </w:tr>
    </w:tbl>
    <w:p>
      <w:pPr>
        <w:sectPr>
          <w:pgSz w:w="11900" w:h="16838" w:orient="portrait"/>
          <w:cols w:equalWidth="0" w:num="2">
            <w:col w:w="6460" w:space="100"/>
            <w:col w:w="4660"/>
          </w:cols>
          <w:pgMar w:left="320" w:top="945" w:right="359" w:bottom="1440" w:gutter="0" w:footer="0" w:header="0"/>
        </w:sectPr>
      </w:pPr>
    </w:p>
    <w:bookmarkStart w:id="119" w:name="page120"/>
    <w:bookmarkEnd w:id="119"/>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140" w:type="dxa"/>
            <w:vAlign w:val="bottom"/>
            <w:gridSpan w:val="29"/>
            <w:vMerge w:val="restart"/>
          </w:tcPr>
          <w:p>
            <w:pPr>
              <w:ind w:left="42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16"/>
        </w:trPr>
        <w:tc>
          <w:tcPr>
            <w:tcW w:w="400" w:type="dxa"/>
            <w:vAlign w:val="bottom"/>
            <w:tcBorders>
              <w:bottom w:val="single" w:sz="8" w:color="auto"/>
            </w:tcBorders>
          </w:tcPr>
          <w:p>
            <w:pPr>
              <w:spacing w:after="0" w:line="117" w:lineRule="exact"/>
              <w:rPr>
                <w:sz w:val="20"/>
                <w:szCs w:val="20"/>
                <w:color w:val="auto"/>
              </w:rPr>
            </w:pPr>
            <w:r>
              <w:rPr>
                <w:rFonts w:ascii="Arial" w:cs="Arial" w:eastAsia="Arial" w:hAnsi="Arial"/>
                <w:sz w:val="11"/>
                <w:szCs w:val="11"/>
                <w:b w:val="1"/>
                <w:bCs w:val="1"/>
                <w:color w:val="auto"/>
                <w:w w:val="91"/>
              </w:rPr>
              <w:t>Number</w:t>
            </w: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140" w:type="dxa"/>
            <w:vAlign w:val="bottom"/>
            <w:gridSpan w:val="2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10.22B†</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820" w:type="dxa"/>
            <w:vAlign w:val="bottom"/>
            <w:gridSpan w:val="33"/>
          </w:tcPr>
          <w:p>
            <w:pPr>
              <w:spacing w:after="0" w:line="131" w:lineRule="exact"/>
              <w:rPr>
                <w:rFonts w:ascii="Arial" w:cs="Arial" w:eastAsia="Arial" w:hAnsi="Arial"/>
                <w:sz w:val="14"/>
                <w:szCs w:val="14"/>
                <w:color w:val="0000FF"/>
                <w:w w:val="96"/>
              </w:rPr>
            </w:pPr>
            <w:hyperlink r:id="rId202">
              <w:r>
                <w:rPr>
                  <w:rFonts w:ascii="Arial" w:cs="Arial" w:eastAsia="Arial" w:hAnsi="Arial"/>
                  <w:sz w:val="14"/>
                  <w:szCs w:val="14"/>
                  <w:color w:val="0000FF"/>
                  <w:w w:val="96"/>
                </w:rPr>
                <w:t>Amendment dated September 29, 2021 to Contract by and between the National</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22"/>
          </w:tcPr>
          <w:p>
            <w:pPr>
              <w:spacing w:after="0" w:line="118" w:lineRule="exact"/>
              <w:rPr>
                <w:rFonts w:ascii="Arial" w:cs="Arial" w:eastAsia="Arial" w:hAnsi="Arial"/>
                <w:sz w:val="13"/>
                <w:szCs w:val="13"/>
                <w:color w:val="0000FF"/>
                <w:w w:val="98"/>
              </w:rPr>
            </w:pPr>
            <w:hyperlink r:id="rId202">
              <w:r>
                <w:rPr>
                  <w:rFonts w:ascii="Arial" w:cs="Arial" w:eastAsia="Arial" w:hAnsi="Arial"/>
                  <w:sz w:val="13"/>
                  <w:szCs w:val="13"/>
                  <w:color w:val="0000FF"/>
                  <w:w w:val="98"/>
                </w:rPr>
                <w:t>Institutes of Health and the registrant effective as of July 30, 2020, as amended</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6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202">
              <w:r>
                <w:rPr>
                  <w:rFonts w:ascii="Arial" w:cs="Arial" w:eastAsia="Arial" w:hAnsi="Arial"/>
                  <w:sz w:val="13"/>
                  <w:szCs w:val="13"/>
                  <w:color w:val="0000FF"/>
                </w:rPr>
                <w:t>September 29, 2020 and February 18, 2021, and May 10,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10.23#</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w w:val="94"/>
              </w:rPr>
            </w:pPr>
            <w:hyperlink r:id="rId203">
              <w:r>
                <w:rPr>
                  <w:rFonts w:ascii="Arial" w:cs="Arial" w:eastAsia="Arial" w:hAnsi="Arial"/>
                  <w:sz w:val="14"/>
                  <w:szCs w:val="14"/>
                  <w:color w:val="0000FF"/>
                  <w:w w:val="94"/>
                </w:rPr>
                <w:t>Form of Amended and Restated Employment and Severance Agreement between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203">
              <w:r>
                <w:rPr>
                  <w:rFonts w:ascii="Arial" w:cs="Arial" w:eastAsia="Arial" w:hAnsi="Arial"/>
                  <w:sz w:val="13"/>
                  <w:szCs w:val="13"/>
                  <w:color w:val="0000FF"/>
                </w:rPr>
                <w:t>Fluidigm Corporation and each of its executive officers.</w:t>
              </w:r>
            </w:hyperlink>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10.24#</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bottom w:val="single" w:sz="8" w:color="0000FF"/>
            </w:tcBorders>
            <w:gridSpan w:val="14"/>
          </w:tcPr>
          <w:p>
            <w:pPr>
              <w:spacing w:after="0"/>
              <w:rPr>
                <w:rFonts w:ascii="Arial" w:cs="Arial" w:eastAsia="Arial" w:hAnsi="Arial"/>
                <w:sz w:val="14"/>
                <w:szCs w:val="14"/>
                <w:color w:val="0000FF"/>
                <w:w w:val="91"/>
              </w:rPr>
            </w:pPr>
            <w:hyperlink r:id="rId204">
              <w:r>
                <w:rPr>
                  <w:rFonts w:ascii="Arial" w:cs="Arial" w:eastAsia="Arial" w:hAnsi="Arial"/>
                  <w:sz w:val="14"/>
                  <w:szCs w:val="14"/>
                  <w:color w:val="0000FF"/>
                  <w:w w:val="91"/>
                </w:rPr>
                <w:t>Fluidigm Corporation 2020 Change of Control and Severance Plan.</w:t>
              </w:r>
            </w:hyperlink>
          </w:p>
        </w:tc>
        <w:tc>
          <w:tcPr>
            <w:tcW w:w="100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10.25#</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rPr>
            </w:pPr>
            <w:hyperlink r:id="rId205">
              <w:r>
                <w:rPr>
                  <w:rFonts w:ascii="Arial" w:cs="Arial" w:eastAsia="Arial" w:hAnsi="Arial"/>
                  <w:sz w:val="14"/>
                  <w:szCs w:val="14"/>
                  <w:color w:val="0000FF"/>
                </w:rPr>
                <w:t>Endorsement Split-Dollar Life Insurance Agreement.</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10.26#</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bottom w:val="single" w:sz="8" w:color="0000FF"/>
            </w:tcBorders>
            <w:gridSpan w:val="15"/>
          </w:tcPr>
          <w:p>
            <w:pPr>
              <w:spacing w:after="0"/>
              <w:rPr>
                <w:rFonts w:ascii="Arial" w:cs="Arial" w:eastAsia="Arial" w:hAnsi="Arial"/>
                <w:sz w:val="14"/>
                <w:szCs w:val="14"/>
                <w:color w:val="0000FF"/>
                <w:w w:val="92"/>
              </w:rPr>
            </w:pPr>
            <w:hyperlink r:id="rId206">
              <w:r>
                <w:rPr>
                  <w:rFonts w:ascii="Arial" w:cs="Arial" w:eastAsia="Arial" w:hAnsi="Arial"/>
                  <w:sz w:val="14"/>
                  <w:szCs w:val="14"/>
                  <w:color w:val="0000FF"/>
                  <w:w w:val="92"/>
                </w:rPr>
                <w:t>Offer Letter to Stephen Christopher Linthwaite, dated July 14, 2016.</w:t>
              </w:r>
            </w:hyperlink>
          </w:p>
        </w:tc>
        <w:tc>
          <w:tcPr>
            <w:tcW w:w="94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10.27#</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w w:val="97"/>
              </w:rPr>
            </w:pPr>
            <w:hyperlink r:id="rId207">
              <w:r>
                <w:rPr>
                  <w:rFonts w:ascii="Arial" w:cs="Arial" w:eastAsia="Arial" w:hAnsi="Arial"/>
                  <w:sz w:val="14"/>
                  <w:szCs w:val="14"/>
                  <w:color w:val="0000FF"/>
                  <w:w w:val="97"/>
                </w:rPr>
                <w:t>Employment and Severance Agreement, effective as of August 1, 2016, by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207">
              <w:r>
                <w:rPr>
                  <w:rFonts w:ascii="Arial" w:cs="Arial" w:eastAsia="Arial" w:hAnsi="Arial"/>
                  <w:sz w:val="13"/>
                  <w:szCs w:val="13"/>
                  <w:color w:val="0000FF"/>
                </w:rPr>
                <w:t>between Fluidigm Corporation and Stephen Christopher Linthwaite</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10.28#</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7"/>
          </w:tcPr>
          <w:p>
            <w:pPr>
              <w:spacing w:after="0"/>
              <w:rPr>
                <w:rFonts w:ascii="Arial" w:cs="Arial" w:eastAsia="Arial" w:hAnsi="Arial"/>
                <w:sz w:val="14"/>
                <w:szCs w:val="14"/>
                <w:color w:val="0000FF"/>
                <w:w w:val="91"/>
              </w:rPr>
            </w:pPr>
            <w:hyperlink r:id="rId208">
              <w:r>
                <w:rPr>
                  <w:rFonts w:ascii="Arial" w:cs="Arial" w:eastAsia="Arial" w:hAnsi="Arial"/>
                  <w:sz w:val="14"/>
                  <w:szCs w:val="14"/>
                  <w:color w:val="0000FF"/>
                  <w:w w:val="91"/>
                </w:rPr>
                <w:t>Offer Letter to Vikram Jog dated January 29, 2008.</w:t>
              </w:r>
            </w:hyperlink>
          </w:p>
        </w:tc>
        <w:tc>
          <w:tcPr>
            <w:tcW w:w="920" w:type="dxa"/>
            <w:vAlign w:val="bottom"/>
            <w:tcBorders>
              <w:top w:val="single" w:sz="8" w:color="0000FF"/>
            </w:tcBorders>
            <w:gridSpan w:val="7"/>
          </w:tcPr>
          <w:p>
            <w:pPr>
              <w:spacing w:after="0"/>
              <w:rPr>
                <w:sz w:val="13"/>
                <w:szCs w:val="13"/>
                <w:color w:val="auto"/>
              </w:rPr>
            </w:pPr>
          </w:p>
        </w:tc>
        <w:tc>
          <w:tcPr>
            <w:tcW w:w="100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10.29#</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bottom w:val="single" w:sz="8" w:color="0000FF"/>
            </w:tcBorders>
            <w:gridSpan w:val="11"/>
          </w:tcPr>
          <w:p>
            <w:pPr>
              <w:spacing w:after="0"/>
              <w:rPr>
                <w:rFonts w:ascii="Arial" w:cs="Arial" w:eastAsia="Arial" w:hAnsi="Arial"/>
                <w:sz w:val="14"/>
                <w:szCs w:val="14"/>
                <w:color w:val="0000FF"/>
                <w:w w:val="92"/>
              </w:rPr>
            </w:pPr>
            <w:hyperlink r:id="rId209">
              <w:r>
                <w:rPr>
                  <w:rFonts w:ascii="Arial" w:cs="Arial" w:eastAsia="Arial" w:hAnsi="Arial"/>
                  <w:sz w:val="14"/>
                  <w:szCs w:val="14"/>
                  <w:color w:val="0000FF"/>
                  <w:w w:val="92"/>
                </w:rPr>
                <w:t>Offer Letter to Bradley A. Kreger dated February 13, 2018.</w:t>
              </w:r>
            </w:hyperlink>
          </w:p>
        </w:tc>
        <w:tc>
          <w:tcPr>
            <w:tcW w:w="146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10.30#</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rPr>
            </w:pPr>
            <w:hyperlink r:id="rId210">
              <w:r>
                <w:rPr>
                  <w:rFonts w:ascii="Arial" w:cs="Arial" w:eastAsia="Arial" w:hAnsi="Arial"/>
                  <w:sz w:val="14"/>
                  <w:szCs w:val="14"/>
                  <w:color w:val="0000FF"/>
                </w:rPr>
                <w:t>Offer Letter to Colin McCracken dated April 12, 2019.</w:t>
              </w:r>
            </w:hyperlink>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10.31#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tcBorders>
            <w:gridSpan w:val="9"/>
          </w:tcPr>
          <w:p>
            <w:pPr>
              <w:spacing w:after="0"/>
              <w:rPr>
                <w:rFonts w:ascii="Arial" w:cs="Arial" w:eastAsia="Arial" w:hAnsi="Arial"/>
                <w:sz w:val="14"/>
                <w:szCs w:val="14"/>
                <w:color w:val="0000FF"/>
              </w:rPr>
            </w:pPr>
            <w:hyperlink r:id="rId211">
              <w:r>
                <w:rPr>
                  <w:rFonts w:ascii="Arial" w:cs="Arial" w:eastAsia="Arial" w:hAnsi="Arial"/>
                  <w:sz w:val="14"/>
                  <w:szCs w:val="14"/>
                  <w:color w:val="0000FF"/>
                </w:rPr>
                <w:t>Offer Letter to Nick Khadder dated April 6, 2020.</w:t>
              </w:r>
            </w:hyperlink>
          </w:p>
        </w:tc>
        <w:tc>
          <w:tcPr>
            <w:tcW w:w="166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10.32#</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bottom w:val="single" w:sz="8" w:color="0000FF"/>
            </w:tcBorders>
            <w:gridSpan w:val="16"/>
          </w:tcPr>
          <w:p>
            <w:pPr>
              <w:spacing w:after="0"/>
              <w:rPr>
                <w:rFonts w:ascii="Arial" w:cs="Arial" w:eastAsia="Arial" w:hAnsi="Arial"/>
                <w:sz w:val="14"/>
                <w:szCs w:val="14"/>
                <w:color w:val="0000FF"/>
                <w:w w:val="91"/>
              </w:rPr>
            </w:pPr>
            <w:hyperlink r:id="rId212">
              <w:r>
                <w:rPr>
                  <w:rFonts w:ascii="Arial" w:cs="Arial" w:eastAsia="Arial" w:hAnsi="Arial"/>
                  <w:sz w:val="14"/>
                  <w:szCs w:val="14"/>
                  <w:color w:val="0000FF"/>
                  <w:w w:val="91"/>
                </w:rPr>
                <w:t>Repatriation Agreement with Colin McCracken dated June 16, 2021.</w:t>
              </w:r>
            </w:hyperlink>
          </w:p>
        </w:tc>
        <w:tc>
          <w:tcPr>
            <w:tcW w:w="92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10.33#</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w w:val="99"/>
              </w:rPr>
            </w:pPr>
            <w:hyperlink r:id="rId213">
              <w:r>
                <w:rPr>
                  <w:rFonts w:ascii="Arial" w:cs="Arial" w:eastAsia="Arial" w:hAnsi="Arial"/>
                  <w:sz w:val="14"/>
                  <w:szCs w:val="14"/>
                  <w:color w:val="0000FF"/>
                  <w:w w:val="99"/>
                </w:rPr>
                <w:t>Terms and Conditions of Employment for Colin McCracken, effective June 26,</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213">
              <w:r>
                <w:rPr>
                  <w:rFonts w:ascii="Arial" w:cs="Arial" w:eastAsia="Arial" w:hAnsi="Arial"/>
                  <w:sz w:val="13"/>
                  <w:szCs w:val="13"/>
                  <w:color w:val="0000FF"/>
                  <w:w w:val="92"/>
                </w:rPr>
                <w:t>2021.</w:t>
              </w:r>
            </w:hyperlink>
          </w:p>
        </w:tc>
        <w:tc>
          <w:tcPr>
            <w:tcW w:w="4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20"/>
                <w:szCs w:val="20"/>
                <w:color w:val="auto"/>
              </w:rPr>
            </w:pPr>
            <w:r>
              <w:rPr>
                <w:rFonts w:ascii="Arial" w:cs="Arial" w:eastAsia="Arial" w:hAnsi="Arial"/>
                <w:sz w:val="14"/>
                <w:szCs w:val="14"/>
                <w:color w:val="auto"/>
              </w:rPr>
              <w:t>10.34</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20" w:type="dxa"/>
            <w:vAlign w:val="bottom"/>
            <w:gridSpan w:val="33"/>
          </w:tcPr>
          <w:p>
            <w:pPr>
              <w:spacing w:after="0"/>
              <w:rPr>
                <w:sz w:val="20"/>
                <w:szCs w:val="20"/>
                <w:color w:val="auto"/>
              </w:rPr>
            </w:pPr>
            <w:r>
              <w:rPr>
                <w:rFonts w:ascii="Arial" w:cs="Arial" w:eastAsia="Arial" w:hAnsi="Arial"/>
                <w:sz w:val="14"/>
                <w:szCs w:val="14"/>
                <w:color w:val="auto"/>
              </w:rPr>
              <w:t>Reserved.</w:t>
            </w:r>
          </w:p>
        </w:tc>
        <w:tc>
          <w:tcPr>
            <w:tcW w:w="0" w:type="dxa"/>
            <w:vAlign w:val="bottom"/>
          </w:tcPr>
          <w:p>
            <w:pPr>
              <w:spacing w:after="0"/>
              <w:rPr>
                <w:sz w:val="1"/>
                <w:szCs w:val="1"/>
                <w:color w:val="auto"/>
              </w:rPr>
            </w:pPr>
          </w:p>
        </w:tc>
      </w:tr>
      <w:tr>
        <w:trPr>
          <w:trHeight w:val="149"/>
        </w:trPr>
        <w:tc>
          <w:tcPr>
            <w:tcW w:w="400" w:type="dxa"/>
            <w:vAlign w:val="bottom"/>
          </w:tcPr>
          <w:p>
            <w:pPr>
              <w:spacing w:after="0" w:line="149" w:lineRule="exact"/>
              <w:rPr>
                <w:sz w:val="20"/>
                <w:szCs w:val="20"/>
                <w:color w:val="auto"/>
              </w:rPr>
            </w:pPr>
            <w:r>
              <w:rPr>
                <w:rFonts w:ascii="Arial" w:cs="Arial" w:eastAsia="Arial" w:hAnsi="Arial"/>
                <w:sz w:val="14"/>
                <w:szCs w:val="14"/>
                <w:color w:val="auto"/>
              </w:rPr>
              <w:t>10.35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33"/>
          </w:tcPr>
          <w:p>
            <w:pPr>
              <w:spacing w:after="0" w:line="149" w:lineRule="exact"/>
              <w:rPr>
                <w:rFonts w:ascii="Arial" w:cs="Arial" w:eastAsia="Arial" w:hAnsi="Arial"/>
                <w:sz w:val="14"/>
                <w:szCs w:val="14"/>
                <w:color w:val="0000FF"/>
                <w:w w:val="93"/>
              </w:rPr>
            </w:pPr>
            <w:hyperlink r:id="rId214">
              <w:r>
                <w:rPr>
                  <w:rFonts w:ascii="Arial" w:cs="Arial" w:eastAsia="Arial" w:hAnsi="Arial"/>
                  <w:sz w:val="14"/>
                  <w:szCs w:val="14"/>
                  <w:color w:val="0000FF"/>
                  <w:w w:val="93"/>
                </w:rPr>
                <w:t>Series B-1 Loan Agreement, dated as of January 23, 2022, by and among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bottom w:val="single" w:sz="8" w:color="0000FF"/>
            </w:tcBorders>
            <w:gridSpan w:val="29"/>
          </w:tcPr>
          <w:p>
            <w:pPr>
              <w:spacing w:after="0" w:line="118" w:lineRule="exact"/>
              <w:rPr>
                <w:rFonts w:ascii="Arial" w:cs="Arial" w:eastAsia="Arial" w:hAnsi="Arial"/>
                <w:sz w:val="13"/>
                <w:szCs w:val="13"/>
                <w:color w:val="0000FF"/>
                <w:w w:val="98"/>
              </w:rPr>
            </w:pPr>
            <w:hyperlink r:id="rId214">
              <w:r>
                <w:rPr>
                  <w:rFonts w:ascii="Arial" w:cs="Arial" w:eastAsia="Arial" w:hAnsi="Arial"/>
                  <w:sz w:val="13"/>
                  <w:szCs w:val="13"/>
                  <w:color w:val="0000FF"/>
                  <w:w w:val="98"/>
                </w:rPr>
                <w:t>Corporation, Casdin Partners Master Fund, L.P., and Casdin Private Growth Equity</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bottom w:val="single" w:sz="8" w:color="0000FF"/>
            </w:tcBorders>
            <w:gridSpan w:val="2"/>
          </w:tcPr>
          <w:p>
            <w:pPr>
              <w:spacing w:after="0" w:line="118" w:lineRule="exact"/>
              <w:rPr>
                <w:rFonts w:ascii="Arial" w:cs="Arial" w:eastAsia="Arial" w:hAnsi="Arial"/>
                <w:sz w:val="13"/>
                <w:szCs w:val="13"/>
                <w:color w:val="0000FF"/>
                <w:w w:val="98"/>
              </w:rPr>
            </w:pPr>
            <w:hyperlink r:id="rId214">
              <w:r>
                <w:rPr>
                  <w:rFonts w:ascii="Arial" w:cs="Arial" w:eastAsia="Arial" w:hAnsi="Arial"/>
                  <w:sz w:val="13"/>
                  <w:szCs w:val="13"/>
                  <w:color w:val="0000FF"/>
                  <w:w w:val="98"/>
                </w:rPr>
                <w:t>Fund II, L.P.</w:t>
              </w:r>
            </w:hyperlink>
          </w:p>
        </w:tc>
        <w:tc>
          <w:tcPr>
            <w:tcW w:w="4040" w:type="dxa"/>
            <w:vAlign w:val="bottom"/>
            <w:gridSpan w:val="2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10.35A</w:t>
            </w: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w w:val="93"/>
              </w:rPr>
            </w:pPr>
            <w:hyperlink r:id="rId215">
              <w:r>
                <w:rPr>
                  <w:rFonts w:ascii="Arial" w:cs="Arial" w:eastAsia="Arial" w:hAnsi="Arial"/>
                  <w:sz w:val="14"/>
                  <w:szCs w:val="14"/>
                  <w:color w:val="0000FF"/>
                  <w:w w:val="93"/>
                </w:rPr>
                <w:t>Series B-2 Loan Agreement, dated as of January 23, 2022, by and among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215">
              <w:r>
                <w:rPr>
                  <w:rFonts w:ascii="Arial" w:cs="Arial" w:eastAsia="Arial" w:hAnsi="Arial"/>
                  <w:sz w:val="13"/>
                  <w:szCs w:val="13"/>
                  <w:color w:val="0000FF"/>
                </w:rPr>
                <w:t>Corporation, Viking Global Opportunities Illiquid Investments Sub-Master LP, and</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rPr>
            </w:pPr>
            <w:hyperlink r:id="rId215">
              <w:r>
                <w:rPr>
                  <w:rFonts w:ascii="Arial" w:cs="Arial" w:eastAsia="Arial" w:hAnsi="Arial"/>
                  <w:sz w:val="13"/>
                  <w:szCs w:val="13"/>
                  <w:color w:val="0000FF"/>
                </w:rPr>
                <w:t>Viking Global Opportunities Drawdown (Aggregator) LP.</w:t>
              </w:r>
            </w:hyperlink>
          </w:p>
        </w:tc>
        <w:tc>
          <w:tcPr>
            <w:tcW w:w="1420" w:type="dxa"/>
            <w:vAlign w:val="bottom"/>
            <w:tcBorders>
              <w:top w:val="single" w:sz="8" w:color="0000FF"/>
            </w:tcBorders>
            <w:gridSpan w:val="17"/>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10.36</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bottom w:val="single" w:sz="8" w:color="0000FF"/>
            </w:tcBorders>
            <w:gridSpan w:val="26"/>
          </w:tcPr>
          <w:p>
            <w:pPr>
              <w:spacing w:after="0"/>
              <w:rPr>
                <w:rFonts w:ascii="Arial" w:cs="Arial" w:eastAsia="Arial" w:hAnsi="Arial"/>
                <w:sz w:val="14"/>
                <w:szCs w:val="14"/>
                <w:color w:val="0000FF"/>
                <w:w w:val="90"/>
              </w:rPr>
            </w:pPr>
            <w:hyperlink r:id="rId216">
              <w:r>
                <w:rPr>
                  <w:rFonts w:ascii="Arial" w:cs="Arial" w:eastAsia="Arial" w:hAnsi="Arial"/>
                  <w:sz w:val="14"/>
                  <w:szCs w:val="14"/>
                  <w:color w:val="0000FF"/>
                  <w:w w:val="90"/>
                </w:rPr>
                <w:t>Series B-1 Convertible Preferred Stock Purchase Agreement, dated as of January</w:t>
              </w:r>
            </w:hyperlink>
          </w:p>
        </w:tc>
        <w:tc>
          <w:tcPr>
            <w:tcW w:w="2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20" w:type="dxa"/>
            <w:vAlign w:val="bottom"/>
            <w:gridSpan w:val="33"/>
          </w:tcPr>
          <w:p>
            <w:pPr>
              <w:spacing w:after="0" w:line="118" w:lineRule="exact"/>
              <w:rPr>
                <w:rFonts w:ascii="Arial" w:cs="Arial" w:eastAsia="Arial" w:hAnsi="Arial"/>
                <w:sz w:val="13"/>
                <w:szCs w:val="13"/>
                <w:color w:val="0000FF"/>
              </w:rPr>
            </w:pPr>
            <w:hyperlink r:id="rId216">
              <w:r>
                <w:rPr>
                  <w:rFonts w:ascii="Arial" w:cs="Arial" w:eastAsia="Arial" w:hAnsi="Arial"/>
                  <w:sz w:val="13"/>
                  <w:szCs w:val="13"/>
                  <w:color w:val="0000FF"/>
                </w:rPr>
                <w:t>23, 2022, by and among Fluidigm Corporation, Casdin Private Growth Equity Fund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32"/>
          </w:tcPr>
          <w:p>
            <w:pPr>
              <w:spacing w:after="0" w:line="118" w:lineRule="exact"/>
              <w:rPr>
                <w:rFonts w:ascii="Arial" w:cs="Arial" w:eastAsia="Arial" w:hAnsi="Arial"/>
                <w:sz w:val="13"/>
                <w:szCs w:val="13"/>
                <w:color w:val="0000FF"/>
              </w:rPr>
            </w:pPr>
            <w:hyperlink r:id="rId216">
              <w:r>
                <w:rPr>
                  <w:rFonts w:ascii="Arial" w:cs="Arial" w:eastAsia="Arial" w:hAnsi="Arial"/>
                  <w:sz w:val="13"/>
                  <w:szCs w:val="13"/>
                  <w:color w:val="0000FF"/>
                </w:rPr>
                <w:t>II, L.P., and Casdin Partners Master Fund, L.P.</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10.36A</w:t>
            </w: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w w:val="94"/>
              </w:rPr>
            </w:pPr>
            <w:hyperlink r:id="rId216">
              <w:r>
                <w:rPr>
                  <w:rFonts w:ascii="Arial" w:cs="Arial" w:eastAsia="Arial" w:hAnsi="Arial"/>
                  <w:sz w:val="14"/>
                  <w:szCs w:val="14"/>
                  <w:color w:val="0000FF"/>
                  <w:w w:val="94"/>
                </w:rPr>
                <w:t>Series B-2 Convertible Preferred Stock Purchase Agreement, dated as of January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8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216">
              <w:r>
                <w:rPr>
                  <w:rFonts w:ascii="Arial" w:cs="Arial" w:eastAsia="Arial" w:hAnsi="Arial"/>
                  <w:sz w:val="13"/>
                  <w:szCs w:val="13"/>
                  <w:color w:val="0000FF"/>
                </w:rPr>
                <w:t>23, 2022, by and among Fluidigm Corporation, Viking Global Opportunities</w:t>
              </w:r>
            </w:hyperlink>
          </w:p>
        </w:tc>
        <w:tc>
          <w:tcPr>
            <w:tcW w:w="40" w:type="dxa"/>
            <w:vAlign w:val="bottom"/>
            <w:gridSpan w:val="2"/>
          </w:tcPr>
          <w:p>
            <w:pPr>
              <w:spacing w:after="0"/>
              <w:rPr>
                <w:sz w:val="10"/>
                <w:szCs w:val="10"/>
                <w:color w:val="auto"/>
              </w:rPr>
            </w:pPr>
          </w:p>
        </w:tc>
        <w:tc>
          <w:tcPr>
            <w:tcW w:w="16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6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20" w:type="dxa"/>
            <w:vAlign w:val="bottom"/>
            <w:gridSpan w:val="33"/>
          </w:tcPr>
          <w:p>
            <w:pPr>
              <w:spacing w:after="0" w:line="118" w:lineRule="exact"/>
              <w:rPr>
                <w:rFonts w:ascii="Arial" w:cs="Arial" w:eastAsia="Arial" w:hAnsi="Arial"/>
                <w:sz w:val="13"/>
                <w:szCs w:val="13"/>
                <w:color w:val="0000FF"/>
              </w:rPr>
            </w:pPr>
            <w:hyperlink r:id="rId216">
              <w:r>
                <w:rPr>
                  <w:rFonts w:ascii="Arial" w:cs="Arial" w:eastAsia="Arial" w:hAnsi="Arial"/>
                  <w:sz w:val="13"/>
                  <w:szCs w:val="13"/>
                  <w:color w:val="0000FF"/>
                </w:rPr>
                <w:t>Illiquid Investments Sub-Master LP, and Viking Global Opportunities Drawdown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7"/>
              </w:rPr>
            </w:pPr>
            <w:hyperlink r:id="rId216">
              <w:r>
                <w:rPr>
                  <w:rFonts w:ascii="Arial" w:cs="Arial" w:eastAsia="Arial" w:hAnsi="Arial"/>
                  <w:sz w:val="13"/>
                  <w:szCs w:val="13"/>
                  <w:color w:val="0000FF"/>
                  <w:w w:val="97"/>
                </w:rPr>
                <w:t>(Aggregator) LP.</w:t>
              </w:r>
            </w:hyperlink>
          </w:p>
        </w:tc>
        <w:tc>
          <w:tcPr>
            <w:tcW w:w="3660" w:type="dxa"/>
            <w:vAlign w:val="bottom"/>
            <w:tcBorders>
              <w:top w:val="single" w:sz="8" w:color="0000FF"/>
            </w:tcBorders>
            <w:gridSpan w:val="23"/>
          </w:tcPr>
          <w:p>
            <w:pPr>
              <w:spacing w:after="0"/>
              <w:rPr>
                <w:sz w:val="10"/>
                <w:szCs w:val="10"/>
                <w:color w:val="auto"/>
              </w:rPr>
            </w:pPr>
          </w:p>
        </w:tc>
        <w:tc>
          <w:tcPr>
            <w:tcW w:w="16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10.37</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w w:val="98"/>
              </w:rPr>
            </w:pPr>
            <w:hyperlink r:id="rId217">
              <w:r>
                <w:rPr>
                  <w:rFonts w:ascii="Arial" w:cs="Arial" w:eastAsia="Arial" w:hAnsi="Arial"/>
                  <w:sz w:val="14"/>
                  <w:szCs w:val="14"/>
                  <w:color w:val="0000FF"/>
                  <w:w w:val="98"/>
                </w:rPr>
                <w:t>Registration Rights Agreement, dated as of January 23, 2022, by and between</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06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20" w:type="dxa"/>
            <w:vAlign w:val="bottom"/>
            <w:gridSpan w:val="33"/>
          </w:tcPr>
          <w:p>
            <w:pPr>
              <w:spacing w:after="0" w:line="118" w:lineRule="exact"/>
              <w:rPr>
                <w:rFonts w:ascii="Arial" w:cs="Arial" w:eastAsia="Arial" w:hAnsi="Arial"/>
                <w:sz w:val="13"/>
                <w:szCs w:val="13"/>
                <w:color w:val="0000FF"/>
              </w:rPr>
            </w:pPr>
            <w:hyperlink r:id="rId217">
              <w:r>
                <w:rPr>
                  <w:rFonts w:ascii="Arial" w:cs="Arial" w:eastAsia="Arial" w:hAnsi="Arial"/>
                  <w:sz w:val="13"/>
                  <w:szCs w:val="13"/>
                  <w:color w:val="0000FF"/>
                </w:rPr>
                <w:t>Fluidigm Corporation, Casdin Private Growth Equity Fund II, L.P., Casdin Partners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31"/>
          </w:tcPr>
          <w:p>
            <w:pPr>
              <w:spacing w:after="0" w:line="118" w:lineRule="exact"/>
              <w:rPr>
                <w:rFonts w:ascii="Arial" w:cs="Arial" w:eastAsia="Arial" w:hAnsi="Arial"/>
                <w:sz w:val="13"/>
                <w:szCs w:val="13"/>
                <w:color w:val="0000FF"/>
              </w:rPr>
            </w:pPr>
            <w:hyperlink r:id="rId217">
              <w:r>
                <w:rPr>
                  <w:rFonts w:ascii="Arial" w:cs="Arial" w:eastAsia="Arial" w:hAnsi="Arial"/>
                  <w:sz w:val="13"/>
                  <w:szCs w:val="13"/>
                  <w:color w:val="0000FF"/>
                </w:rPr>
                <w:t>Master Fund, L.P., Viking Global Opportunities Illiquid Investments Sub-Master</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4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rPr>
            </w:pPr>
            <w:hyperlink r:id="rId217">
              <w:r>
                <w:rPr>
                  <w:rFonts w:ascii="Arial" w:cs="Arial" w:eastAsia="Arial" w:hAnsi="Arial"/>
                  <w:sz w:val="13"/>
                  <w:szCs w:val="13"/>
                  <w:color w:val="0000FF"/>
                </w:rPr>
                <w:t>LP, and Viking Global Opportunities Drawdown (Aggregator) LP.</w:t>
              </w:r>
            </w:hyperlink>
          </w:p>
        </w:tc>
        <w:tc>
          <w:tcPr>
            <w:tcW w:w="820" w:type="dxa"/>
            <w:vAlign w:val="bottom"/>
            <w:tcBorders>
              <w:top w:val="single" w:sz="8" w:color="0000FF"/>
            </w:tcBorders>
            <w:gridSpan w:val="10"/>
          </w:tcPr>
          <w:p>
            <w:pPr>
              <w:spacing w:after="0"/>
              <w:rPr>
                <w:sz w:val="10"/>
                <w:szCs w:val="10"/>
                <w:color w:val="auto"/>
              </w:rPr>
            </w:pPr>
          </w:p>
        </w:tc>
        <w:tc>
          <w:tcPr>
            <w:tcW w:w="26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10.38#</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33"/>
          </w:tcPr>
          <w:p>
            <w:pPr>
              <w:spacing w:after="0"/>
              <w:rPr>
                <w:rFonts w:ascii="Arial" w:cs="Arial" w:eastAsia="Arial" w:hAnsi="Arial"/>
                <w:sz w:val="14"/>
                <w:szCs w:val="14"/>
                <w:color w:val="0000FF"/>
              </w:rPr>
            </w:pPr>
            <w:hyperlink r:id="rId218">
              <w:r>
                <w:rPr>
                  <w:rFonts w:ascii="Arial" w:cs="Arial" w:eastAsia="Arial" w:hAnsi="Arial"/>
                  <w:sz w:val="14"/>
                  <w:szCs w:val="14"/>
                  <w:color w:val="0000FF"/>
                </w:rPr>
                <w:t>Stephen Christopher Linthwaite Transition Agreement and Release.</w:t>
              </w:r>
            </w:hyperlink>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10.39#</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14"/>
          </w:tcPr>
          <w:p>
            <w:pPr>
              <w:spacing w:after="0"/>
              <w:rPr>
                <w:rFonts w:ascii="Arial" w:cs="Arial" w:eastAsia="Arial" w:hAnsi="Arial"/>
                <w:sz w:val="14"/>
                <w:szCs w:val="14"/>
                <w:color w:val="0000FF"/>
              </w:rPr>
            </w:pPr>
            <w:hyperlink r:id="rId219">
              <w:r>
                <w:rPr>
                  <w:rFonts w:ascii="Arial" w:cs="Arial" w:eastAsia="Arial" w:hAnsi="Arial"/>
                  <w:sz w:val="14"/>
                  <w:szCs w:val="14"/>
                  <w:color w:val="0000FF"/>
                </w:rPr>
                <w:t>Michael Egholm Offer Letter.</w:t>
              </w:r>
            </w:hyperlink>
          </w:p>
        </w:tc>
        <w:tc>
          <w:tcPr>
            <w:tcW w:w="100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573"/>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top w:val="single" w:sz="8" w:color="0000FF"/>
            </w:tcBorders>
            <w:gridSpan w:val="4"/>
          </w:tcPr>
          <w:p>
            <w:pPr>
              <w:spacing w:after="0"/>
              <w:rPr>
                <w:sz w:val="24"/>
                <w:szCs w:val="24"/>
                <w:color w:val="auto"/>
              </w:rPr>
            </w:pPr>
          </w:p>
        </w:tc>
        <w:tc>
          <w:tcPr>
            <w:tcW w:w="2640" w:type="dxa"/>
            <w:vAlign w:val="bottom"/>
            <w:gridSpan w:val="13"/>
          </w:tcPr>
          <w:p>
            <w:pPr>
              <w:jc w:val="right"/>
              <w:ind w:right="140"/>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108585</wp:posOffset>
            </wp:positionV>
            <wp:extent cx="71875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520" w:type="dxa"/>
            <w:vAlign w:val="bottom"/>
            <w:gridSpan w:val="2"/>
            <w:vMerge w:val="continue"/>
          </w:tcPr>
          <w:p>
            <w:pPr>
              <w:spacing w:after="0"/>
              <w:rPr>
                <w:sz w:val="9"/>
                <w:szCs w:val="9"/>
                <w:color w:val="auto"/>
              </w:rPr>
            </w:pP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89"/>
              </w:rPr>
              <w:t>by Reference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5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2"/>
              </w:rPr>
              <w:t>by Reference</w:t>
            </w: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8"/>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47"/>
        </w:trPr>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10-Q</w:t>
            </w:r>
          </w:p>
        </w:tc>
        <w:tc>
          <w:tcPr>
            <w:tcW w:w="8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4"/>
                <w:szCs w:val="14"/>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11/9/2021</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10.14</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12/11/2012</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8/7/2020</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11/7/2017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5/8/2018</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11/9/2016</w:t>
            </w:r>
          </w:p>
        </w:tc>
        <w:tc>
          <w:tcPr>
            <w:tcW w:w="0" w:type="dxa"/>
            <w:vAlign w:val="bottom"/>
          </w:tcPr>
          <w:p>
            <w:pPr>
              <w:spacing w:after="0"/>
              <w:rPr>
                <w:sz w:val="1"/>
                <w:szCs w:val="1"/>
                <w:color w:val="auto"/>
              </w:rPr>
            </w:pPr>
          </w:p>
        </w:tc>
      </w:tr>
      <w:tr>
        <w:trPr>
          <w:trHeight w:val="31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10.17</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12/3/2010</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10.18</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3/18/2019</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10.30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2/25/2021</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10.31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2/25/2021</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8/6/2021</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8/6/2021</w:t>
            </w:r>
          </w:p>
        </w:tc>
        <w:tc>
          <w:tcPr>
            <w:tcW w:w="0" w:type="dxa"/>
            <w:vAlign w:val="bottom"/>
          </w:tcPr>
          <w:p>
            <w:pPr>
              <w:spacing w:after="0"/>
              <w:rPr>
                <w:sz w:val="1"/>
                <w:szCs w:val="1"/>
                <w:color w:val="auto"/>
              </w:rPr>
            </w:pPr>
          </w:p>
        </w:tc>
      </w:tr>
      <w:tr>
        <w:trPr>
          <w:trHeight w:val="498"/>
        </w:trPr>
        <w:tc>
          <w:tcPr>
            <w:tcW w:w="1520" w:type="dxa"/>
            <w:vAlign w:val="bottom"/>
            <w:gridSpan w:val="2"/>
          </w:tcPr>
          <w:p>
            <w:pPr>
              <w:jc w:val="center"/>
              <w:ind w:right="80"/>
              <w:spacing w:after="0"/>
              <w:rPr>
                <w:sz w:val="20"/>
                <w:szCs w:val="20"/>
                <w:color w:val="auto"/>
              </w:rPr>
            </w:pPr>
            <w:r>
              <w:rPr>
                <w:rFonts w:ascii="Arial" w:cs="Arial" w:eastAsia="Arial" w:hAnsi="Arial"/>
                <w:sz w:val="14"/>
                <w:szCs w:val="14"/>
                <w:color w:val="auto"/>
              </w:rPr>
              <w:t>8-K/A</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9"/>
              </w:rPr>
              <w:t>2/11/2022</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DEF 14A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Anx. B</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2/24/2022</w:t>
            </w:r>
          </w:p>
        </w:tc>
        <w:tc>
          <w:tcPr>
            <w:tcW w:w="0" w:type="dxa"/>
            <w:vAlign w:val="bottom"/>
          </w:tcPr>
          <w:p>
            <w:pPr>
              <w:spacing w:after="0"/>
              <w:rPr>
                <w:sz w:val="1"/>
                <w:szCs w:val="1"/>
                <w:color w:val="auto"/>
              </w:rPr>
            </w:pPr>
          </w:p>
        </w:tc>
      </w:tr>
      <w:tr>
        <w:trPr>
          <w:trHeight w:val="45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DEF 14A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Anx. C</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2/24/2022</w:t>
            </w:r>
          </w:p>
        </w:tc>
        <w:tc>
          <w:tcPr>
            <w:tcW w:w="0" w:type="dxa"/>
            <w:vAlign w:val="bottom"/>
          </w:tcPr>
          <w:p>
            <w:pPr>
              <w:spacing w:after="0"/>
              <w:rPr>
                <w:sz w:val="1"/>
                <w:szCs w:val="1"/>
                <w:color w:val="auto"/>
              </w:rPr>
            </w:pPr>
          </w:p>
        </w:tc>
      </w:tr>
      <w:tr>
        <w:trPr>
          <w:trHeight w:val="593"/>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593"/>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10.6</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10.7</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bl>
    <w:p>
      <w:pPr>
        <w:sectPr>
          <w:pgSz w:w="11900" w:h="16838" w:orient="portrait"/>
          <w:cols w:equalWidth="0" w:num="2">
            <w:col w:w="6460" w:space="100"/>
            <w:col w:w="4660"/>
          </w:cols>
          <w:pgMar w:left="320" w:top="945" w:right="35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89"/>
              </w:rPr>
              <w:t>by Reference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9"/>
            <w:vMerge w:val="restart"/>
          </w:tcPr>
          <w:p>
            <w:pPr>
              <w:ind w:left="180"/>
              <w:spacing w:after="0"/>
              <w:rPr>
                <w:sz w:val="20"/>
                <w:szCs w:val="20"/>
                <w:color w:val="auto"/>
              </w:rPr>
            </w:pPr>
            <w:r>
              <w:rPr>
                <w:rFonts w:ascii="Arial" w:cs="Arial" w:eastAsia="Arial" w:hAnsi="Arial"/>
                <w:sz w:val="11"/>
                <w:szCs w:val="11"/>
                <w:b w:val="1"/>
                <w:bCs w:val="1"/>
                <w:color w:val="auto"/>
              </w:rPr>
              <w:t>Description</w:t>
            </w:r>
          </w:p>
        </w:tc>
        <w:tc>
          <w:tcPr>
            <w:tcW w:w="15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2"/>
              </w:rPr>
              <w:t>by Reference</w:t>
            </w:r>
          </w:p>
        </w:tc>
        <w:tc>
          <w:tcPr>
            <w:tcW w:w="17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8"/>
              </w:rPr>
              <w:t>From Exhibit</w:t>
            </w: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Date Filed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0" w:type="dxa"/>
            <w:vAlign w:val="bottom"/>
            <w:tcBorders>
              <w:bottom w:val="single" w:sz="8" w:color="auto"/>
            </w:tcBorders>
          </w:tcPr>
          <w:p>
            <w:pPr>
              <w:spacing w:after="0" w:line="117" w:lineRule="exact"/>
              <w:rPr>
                <w:sz w:val="20"/>
                <w:szCs w:val="20"/>
                <w:color w:val="auto"/>
              </w:rPr>
            </w:pPr>
            <w:r>
              <w:rPr>
                <w:rFonts w:ascii="Arial" w:cs="Arial" w:eastAsia="Arial" w:hAnsi="Arial"/>
                <w:sz w:val="11"/>
                <w:szCs w:val="11"/>
                <w:b w:val="1"/>
                <w:bCs w:val="1"/>
                <w:color w:val="auto"/>
                <w:w w:val="91"/>
              </w:rPr>
              <w:t>Number</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9"/>
            <w:vMerge w:val="continue"/>
          </w:tcPr>
          <w:p>
            <w:pPr>
              <w:spacing w:after="0"/>
              <w:rPr>
                <w:sz w:val="10"/>
                <w:szCs w:val="10"/>
                <w:color w:val="auto"/>
              </w:rPr>
            </w:pPr>
          </w:p>
        </w:tc>
        <w:tc>
          <w:tcPr>
            <w:tcW w:w="152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w w:val="96"/>
              </w:rPr>
              <w:t>From Form</w:t>
            </w: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ind w:left="20"/>
              <w:spacing w:after="0"/>
              <w:rPr>
                <w:sz w:val="20"/>
                <w:szCs w:val="20"/>
                <w:color w:val="auto"/>
              </w:rPr>
            </w:pPr>
            <w:r>
              <w:rPr>
                <w:rFonts w:ascii="Arial" w:cs="Arial" w:eastAsia="Arial" w:hAnsi="Arial"/>
                <w:sz w:val="14"/>
                <w:szCs w:val="14"/>
                <w:color w:val="auto"/>
                <w:w w:val="88"/>
              </w:rPr>
              <w:t>10.40#</w:t>
            </w:r>
          </w:p>
        </w:tc>
        <w:tc>
          <w:tcPr>
            <w:tcW w:w="1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2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80" w:type="dxa"/>
            <w:vAlign w:val="bottom"/>
            <w:gridSpan w:val="12"/>
          </w:tcPr>
          <w:p>
            <w:pPr>
              <w:spacing w:after="0" w:line="131" w:lineRule="exact"/>
              <w:rPr>
                <w:rFonts w:ascii="Arial" w:cs="Arial" w:eastAsia="Arial" w:hAnsi="Arial"/>
                <w:sz w:val="14"/>
                <w:szCs w:val="14"/>
                <w:color w:val="0000FF"/>
                <w:w w:val="98"/>
              </w:rPr>
            </w:pPr>
            <w:hyperlink r:id="rId221">
              <w:r>
                <w:rPr>
                  <w:rFonts w:ascii="Arial" w:cs="Arial" w:eastAsia="Arial" w:hAnsi="Arial"/>
                  <w:sz w:val="14"/>
                  <w:szCs w:val="14"/>
                  <w:color w:val="0000FF"/>
                  <w:w w:val="98"/>
                </w:rPr>
                <w:t>Indemnification Agreement, dated January 23, 2022, by and between Fluidigm</w:t>
              </w:r>
            </w:hyperlink>
          </w:p>
        </w:tc>
        <w:tc>
          <w:tcPr>
            <w:tcW w:w="10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Arial" w:cs="Arial" w:eastAsia="Arial" w:hAnsi="Arial"/>
                <w:sz w:val="14"/>
                <w:szCs w:val="14"/>
                <w:color w:val="auto"/>
              </w:rPr>
              <w:t>8-K</w:t>
            </w:r>
          </w:p>
        </w:tc>
        <w:tc>
          <w:tcPr>
            <w:tcW w:w="80" w:type="dxa"/>
            <w:vAlign w:val="bottom"/>
          </w:tcPr>
          <w:p>
            <w:pPr>
              <w:spacing w:after="0"/>
              <w:rPr>
                <w:sz w:val="11"/>
                <w:szCs w:val="11"/>
                <w:color w:val="auto"/>
              </w:rPr>
            </w:pPr>
          </w:p>
        </w:tc>
        <w:tc>
          <w:tcPr>
            <w:tcW w:w="1600" w:type="dxa"/>
            <w:vAlign w:val="bottom"/>
          </w:tcPr>
          <w:p>
            <w:pPr>
              <w:jc w:val="center"/>
              <w:spacing w:after="0" w:line="131" w:lineRule="exact"/>
              <w:rPr>
                <w:sz w:val="20"/>
                <w:szCs w:val="20"/>
                <w:color w:val="auto"/>
              </w:rPr>
            </w:pPr>
            <w:r>
              <w:rPr>
                <w:rFonts w:ascii="Arial" w:cs="Arial" w:eastAsia="Arial" w:hAnsi="Arial"/>
                <w:sz w:val="14"/>
                <w:szCs w:val="14"/>
                <w:color w:val="auto"/>
                <w:w w:val="87"/>
              </w:rPr>
              <w:t>10.8</w:t>
            </w:r>
          </w:p>
        </w:tc>
        <w:tc>
          <w:tcPr>
            <w:tcW w:w="10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221">
              <w:r>
                <w:rPr>
                  <w:rFonts w:ascii="Arial" w:cs="Arial" w:eastAsia="Arial" w:hAnsi="Arial"/>
                  <w:sz w:val="13"/>
                  <w:szCs w:val="13"/>
                  <w:color w:val="0000FF"/>
                </w:rPr>
                <w:t>Corporation and Michael Egholm.</w:t>
              </w:r>
            </w:hyperlink>
          </w:p>
        </w:tc>
        <w:tc>
          <w:tcPr>
            <w:tcW w:w="440" w:type="dxa"/>
            <w:vAlign w:val="bottom"/>
            <w:gridSpan w:val="2"/>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w w:val="88"/>
              </w:rPr>
              <w:t>10.41#</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4"/>
              </w:rPr>
            </w:pPr>
            <w:hyperlink r:id="rId222">
              <w:r>
                <w:rPr>
                  <w:rFonts w:ascii="Arial" w:cs="Arial" w:eastAsia="Arial" w:hAnsi="Arial"/>
                  <w:sz w:val="14"/>
                  <w:szCs w:val="14"/>
                  <w:color w:val="0000FF"/>
                  <w:w w:val="94"/>
                </w:rPr>
                <w:t>Hanjoon Alex Kim Offer Letter.</w:t>
              </w:r>
            </w:hyperlink>
          </w:p>
        </w:tc>
        <w:tc>
          <w:tcPr>
            <w:tcW w:w="100" w:type="dxa"/>
            <w:vAlign w:val="bottom"/>
            <w:tcBorders>
              <w:top w:val="single" w:sz="8" w:color="0000FF"/>
            </w:tcBorders>
          </w:tcPr>
          <w:p>
            <w:pPr>
              <w:spacing w:after="0"/>
              <w:rPr>
                <w:sz w:val="13"/>
                <w:szCs w:val="13"/>
                <w:color w:val="auto"/>
              </w:rPr>
            </w:pPr>
          </w:p>
        </w:tc>
        <w:tc>
          <w:tcPr>
            <w:tcW w:w="2960" w:type="dxa"/>
            <w:vAlign w:val="bottom"/>
            <w:gridSpan w:val="9"/>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10.9</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w w:val="88"/>
              </w:rPr>
              <w:t>10.42#</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bottom w:val="single" w:sz="8" w:color="0000FF"/>
            </w:tcBorders>
            <w:gridSpan w:val="2"/>
          </w:tcPr>
          <w:p>
            <w:pPr>
              <w:spacing w:after="0"/>
              <w:rPr>
                <w:rFonts w:ascii="Arial" w:cs="Arial" w:eastAsia="Arial" w:hAnsi="Arial"/>
                <w:sz w:val="14"/>
                <w:szCs w:val="14"/>
                <w:color w:val="0000FF"/>
                <w:w w:val="91"/>
              </w:rPr>
            </w:pPr>
            <w:hyperlink r:id="rId223">
              <w:r>
                <w:rPr>
                  <w:rFonts w:ascii="Arial" w:cs="Arial" w:eastAsia="Arial" w:hAnsi="Arial"/>
                  <w:sz w:val="14"/>
                  <w:szCs w:val="14"/>
                  <w:color w:val="0000FF"/>
                  <w:w w:val="91"/>
                </w:rPr>
                <w:t>Form of Retention Letter.</w:t>
              </w:r>
            </w:hyperlink>
          </w:p>
        </w:tc>
        <w:tc>
          <w:tcPr>
            <w:tcW w:w="3440" w:type="dxa"/>
            <w:vAlign w:val="bottom"/>
            <w:gridSpan w:val="11"/>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10.10</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rPr>
              <w:t>21.1</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3"/>
          </w:tcPr>
          <w:p>
            <w:pPr>
              <w:spacing w:after="0"/>
              <w:rPr>
                <w:rFonts w:ascii="Arial" w:cs="Arial" w:eastAsia="Arial" w:hAnsi="Arial"/>
                <w:sz w:val="14"/>
                <w:szCs w:val="14"/>
                <w:color w:val="0000FF"/>
              </w:rPr>
            </w:pPr>
            <w:hyperlink w:anchor="page189">
              <w:r>
                <w:rPr>
                  <w:rFonts w:ascii="Arial" w:cs="Arial" w:eastAsia="Arial" w:hAnsi="Arial"/>
                  <w:sz w:val="14"/>
                  <w:szCs w:val="14"/>
                  <w:color w:val="0000FF"/>
                </w:rPr>
                <w:t>Subsidiaries of Fluidigm Corporation.</w:t>
              </w:r>
            </w:hyperlink>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rPr>
              <w:t>23.1</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3"/>
          </w:tcPr>
          <w:p>
            <w:pPr>
              <w:spacing w:after="0"/>
              <w:rPr>
                <w:rFonts w:ascii="Arial" w:cs="Arial" w:eastAsia="Arial" w:hAnsi="Arial"/>
                <w:sz w:val="14"/>
                <w:szCs w:val="14"/>
                <w:color w:val="0000FF"/>
              </w:rPr>
            </w:pPr>
            <w:hyperlink w:anchor="page190">
              <w:r>
                <w:rPr>
                  <w:rFonts w:ascii="Arial" w:cs="Arial" w:eastAsia="Arial" w:hAnsi="Arial"/>
                  <w:sz w:val="14"/>
                  <w:szCs w:val="14"/>
                  <w:color w:val="0000FF"/>
                </w:rPr>
                <w:t>Consent of PricewaterhouseCoopers LLP, Independent Registered Public</w:t>
              </w:r>
            </w:hyperlink>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w:anchor="page190">
              <w:r>
                <w:rPr>
                  <w:rFonts w:ascii="Arial" w:cs="Arial" w:eastAsia="Arial" w:hAnsi="Arial"/>
                  <w:sz w:val="13"/>
                  <w:szCs w:val="13"/>
                  <w:color w:val="0000FF"/>
                </w:rPr>
                <w:t>Accounting Firm.</w:t>
              </w:r>
            </w:hyperlink>
          </w:p>
        </w:tc>
        <w:tc>
          <w:tcPr>
            <w:tcW w:w="312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3"/>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rPr>
              <w:t>24.1</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bottom w:val="single" w:sz="8" w:color="0000FF"/>
            </w:tcBorders>
            <w:gridSpan w:val="6"/>
          </w:tcPr>
          <w:p>
            <w:pPr>
              <w:spacing w:after="0"/>
              <w:rPr>
                <w:rFonts w:ascii="Arial" w:cs="Arial" w:eastAsia="Arial" w:hAnsi="Arial"/>
                <w:sz w:val="14"/>
                <w:szCs w:val="14"/>
                <w:color w:val="0000FF"/>
                <w:w w:val="91"/>
              </w:rPr>
            </w:pPr>
            <w:hyperlink w:anchor="page121">
              <w:r>
                <w:rPr>
                  <w:rFonts w:ascii="Arial" w:cs="Arial" w:eastAsia="Arial" w:hAnsi="Arial"/>
                  <w:sz w:val="14"/>
                  <w:szCs w:val="14"/>
                  <w:color w:val="0000FF"/>
                  <w:w w:val="91"/>
                </w:rPr>
                <w:t>Power of Attorney (contained in the signature page to this Form 10-K).</w:t>
              </w:r>
            </w:hyperlink>
          </w:p>
        </w:tc>
        <w:tc>
          <w:tcPr>
            <w:tcW w:w="860" w:type="dxa"/>
            <w:vAlign w:val="bottom"/>
            <w:gridSpan w:val="7"/>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rPr>
              <w:t>31.1</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3"/>
          </w:tcPr>
          <w:p>
            <w:pPr>
              <w:spacing w:after="0"/>
              <w:rPr>
                <w:rFonts w:ascii="Arial" w:cs="Arial" w:eastAsia="Arial" w:hAnsi="Arial"/>
                <w:sz w:val="14"/>
                <w:szCs w:val="14"/>
                <w:color w:val="0000FF"/>
              </w:rPr>
            </w:pPr>
            <w:hyperlink w:anchor="page191">
              <w:r>
                <w:rPr>
                  <w:rFonts w:ascii="Arial" w:cs="Arial" w:eastAsia="Arial" w:hAnsi="Arial"/>
                  <w:sz w:val="14"/>
                  <w:szCs w:val="14"/>
                  <w:color w:val="0000FF"/>
                </w:rPr>
                <w:t>Certification Pursuant to 18 U.S.C. Section 1350, as Adopted Pursuant to</w:t>
              </w:r>
            </w:hyperlink>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6"/>
              </w:rPr>
            </w:pPr>
            <w:hyperlink w:anchor="page191">
              <w:r>
                <w:rPr>
                  <w:rFonts w:ascii="Arial" w:cs="Arial" w:eastAsia="Arial" w:hAnsi="Arial"/>
                  <w:sz w:val="13"/>
                  <w:szCs w:val="13"/>
                  <w:color w:val="0000FF"/>
                  <w:w w:val="96"/>
                </w:rPr>
                <w:t>Section 302 of the Sarbanes-Oxley Act of 2002 of Chief Executive Officer.</w:t>
              </w:r>
            </w:hyperlink>
          </w:p>
        </w:tc>
        <w:tc>
          <w:tcPr>
            <w:tcW w:w="6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tcPr>
          <w:p>
            <w:pPr>
              <w:spacing w:after="0"/>
              <w:rPr>
                <w:sz w:val="10"/>
                <w:szCs w:val="10"/>
                <w:color w:val="auto"/>
              </w:rPr>
            </w:pPr>
          </w:p>
        </w:tc>
        <w:tc>
          <w:tcPr>
            <w:tcW w:w="640" w:type="dxa"/>
            <w:vAlign w:val="bottom"/>
            <w:gridSpan w:val="3"/>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rPr>
              <w:t>31.2</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3"/>
          </w:tcPr>
          <w:p>
            <w:pPr>
              <w:spacing w:after="0"/>
              <w:rPr>
                <w:rFonts w:ascii="Arial" w:cs="Arial" w:eastAsia="Arial" w:hAnsi="Arial"/>
                <w:sz w:val="14"/>
                <w:szCs w:val="14"/>
                <w:color w:val="0000FF"/>
              </w:rPr>
            </w:pPr>
            <w:hyperlink w:anchor="page192">
              <w:r>
                <w:rPr>
                  <w:rFonts w:ascii="Arial" w:cs="Arial" w:eastAsia="Arial" w:hAnsi="Arial"/>
                  <w:sz w:val="14"/>
                  <w:szCs w:val="14"/>
                  <w:color w:val="0000FF"/>
                </w:rPr>
                <w:t>Certification Pursuant to 18 U.S.C. Section 1350, as Adopted Pursuant to</w:t>
              </w:r>
            </w:hyperlink>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7"/>
              </w:rPr>
            </w:pPr>
            <w:hyperlink w:anchor="page192">
              <w:r>
                <w:rPr>
                  <w:rFonts w:ascii="Arial" w:cs="Arial" w:eastAsia="Arial" w:hAnsi="Arial"/>
                  <w:sz w:val="13"/>
                  <w:szCs w:val="13"/>
                  <w:color w:val="0000FF"/>
                  <w:w w:val="97"/>
                </w:rPr>
                <w:t>Section 302 of the Sarbanes-Oxley Act of 2002 of Chief Financial Officer.</w:t>
              </w:r>
            </w:hyperlink>
          </w:p>
        </w:tc>
        <w:tc>
          <w:tcPr>
            <w:tcW w:w="60" w:type="dxa"/>
            <w:vAlign w:val="bottom"/>
            <w:tcBorders>
              <w:bottom w:val="single" w:sz="8" w:color="0000FF"/>
            </w:tcBorders>
          </w:tcPr>
          <w:p>
            <w:pPr>
              <w:spacing w:after="0"/>
              <w:rPr>
                <w:sz w:val="10"/>
                <w:szCs w:val="10"/>
                <w:color w:val="auto"/>
              </w:rPr>
            </w:pPr>
          </w:p>
        </w:tc>
        <w:tc>
          <w:tcPr>
            <w:tcW w:w="680" w:type="dxa"/>
            <w:vAlign w:val="bottom"/>
            <w:gridSpan w:val="4"/>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rPr>
              <w:t>32.1~</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3"/>
          </w:tcPr>
          <w:p>
            <w:pPr>
              <w:spacing w:after="0"/>
              <w:rPr>
                <w:rFonts w:ascii="Arial" w:cs="Arial" w:eastAsia="Arial" w:hAnsi="Arial"/>
                <w:sz w:val="14"/>
                <w:szCs w:val="14"/>
                <w:color w:val="0000FF"/>
              </w:rPr>
            </w:pPr>
            <w:hyperlink w:anchor="page193">
              <w:r>
                <w:rPr>
                  <w:rFonts w:ascii="Arial" w:cs="Arial" w:eastAsia="Arial" w:hAnsi="Arial"/>
                  <w:sz w:val="14"/>
                  <w:szCs w:val="14"/>
                  <w:color w:val="0000FF"/>
                </w:rPr>
                <w:t>Certification Pursuant to 18 U.S.C. Section 1350, as Adopted Pursuant to</w:t>
              </w:r>
            </w:hyperlink>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6"/>
              </w:rPr>
            </w:pPr>
            <w:hyperlink w:anchor="page193">
              <w:r>
                <w:rPr>
                  <w:rFonts w:ascii="Arial" w:cs="Arial" w:eastAsia="Arial" w:hAnsi="Arial"/>
                  <w:sz w:val="13"/>
                  <w:szCs w:val="13"/>
                  <w:color w:val="0000FF"/>
                  <w:w w:val="96"/>
                </w:rPr>
                <w:t>Section 906 of the Sarbanes-Oxley Act of 2002 of Chief Executive Officer.</w:t>
              </w:r>
            </w:hyperlink>
          </w:p>
        </w:tc>
        <w:tc>
          <w:tcPr>
            <w:tcW w:w="100" w:type="dxa"/>
            <w:vAlign w:val="bottom"/>
            <w:tcBorders>
              <w:bottom w:val="single" w:sz="8" w:color="0000FF"/>
            </w:tcBorders>
            <w:gridSpan w:val="2"/>
          </w:tcPr>
          <w:p>
            <w:pPr>
              <w:spacing w:after="0"/>
              <w:rPr>
                <w:sz w:val="10"/>
                <w:szCs w:val="10"/>
                <w:color w:val="auto"/>
              </w:rPr>
            </w:pPr>
          </w:p>
        </w:tc>
        <w:tc>
          <w:tcPr>
            <w:tcW w:w="640" w:type="dxa"/>
            <w:vAlign w:val="bottom"/>
            <w:gridSpan w:val="3"/>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2"/>
          </w:tcPr>
          <w:p>
            <w:pPr>
              <w:ind w:left="20"/>
              <w:spacing w:after="0"/>
              <w:rPr>
                <w:sz w:val="20"/>
                <w:szCs w:val="20"/>
                <w:color w:val="auto"/>
              </w:rPr>
            </w:pPr>
            <w:r>
              <w:rPr>
                <w:rFonts w:ascii="Arial" w:cs="Arial" w:eastAsia="Arial" w:hAnsi="Arial"/>
                <w:sz w:val="14"/>
                <w:szCs w:val="14"/>
                <w:color w:val="auto"/>
              </w:rPr>
              <w:t>32.2~</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13"/>
          </w:tcPr>
          <w:p>
            <w:pPr>
              <w:spacing w:after="0"/>
              <w:rPr>
                <w:rFonts w:ascii="Arial" w:cs="Arial" w:eastAsia="Arial" w:hAnsi="Arial"/>
                <w:sz w:val="14"/>
                <w:szCs w:val="14"/>
                <w:color w:val="0000FF"/>
              </w:rPr>
            </w:pPr>
            <w:hyperlink w:anchor="page194">
              <w:r>
                <w:rPr>
                  <w:rFonts w:ascii="Arial" w:cs="Arial" w:eastAsia="Arial" w:hAnsi="Arial"/>
                  <w:sz w:val="14"/>
                  <w:szCs w:val="14"/>
                  <w:color w:val="0000FF"/>
                </w:rPr>
                <w:t>Certification Pursuant to 18 U.S.C. Section 1350, as Adopted Pursuant to</w:t>
              </w:r>
            </w:hyperlink>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7"/>
              </w:rPr>
            </w:pPr>
            <w:hyperlink w:anchor="page194">
              <w:r>
                <w:rPr>
                  <w:rFonts w:ascii="Arial" w:cs="Arial" w:eastAsia="Arial" w:hAnsi="Arial"/>
                  <w:sz w:val="13"/>
                  <w:szCs w:val="13"/>
                  <w:color w:val="0000FF"/>
                  <w:w w:val="97"/>
                </w:rPr>
                <w:t>Section 906 of the Sarbanes-Oxley Act of 2002 of Chief Financial Officer.</w:t>
              </w:r>
            </w:hyperlink>
          </w:p>
        </w:tc>
        <w:tc>
          <w:tcPr>
            <w:tcW w:w="60" w:type="dxa"/>
            <w:vAlign w:val="bottom"/>
            <w:tcBorders>
              <w:bottom w:val="single" w:sz="8" w:color="0000FF"/>
            </w:tcBorders>
          </w:tcPr>
          <w:p>
            <w:pPr>
              <w:spacing w:after="0"/>
              <w:rPr>
                <w:sz w:val="10"/>
                <w:szCs w:val="10"/>
                <w:color w:val="auto"/>
              </w:rPr>
            </w:pPr>
          </w:p>
        </w:tc>
        <w:tc>
          <w:tcPr>
            <w:tcW w:w="680" w:type="dxa"/>
            <w:vAlign w:val="bottom"/>
            <w:gridSpan w:val="4"/>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101.INS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gridSpan w:val="13"/>
          </w:tcPr>
          <w:p>
            <w:pPr>
              <w:spacing w:after="0" w:line="149" w:lineRule="exact"/>
              <w:rPr>
                <w:sz w:val="20"/>
                <w:szCs w:val="20"/>
                <w:color w:val="auto"/>
              </w:rPr>
            </w:pPr>
            <w:r>
              <w:rPr>
                <w:rFonts w:ascii="Arial" w:cs="Arial" w:eastAsia="Arial" w:hAnsi="Arial"/>
                <w:sz w:val="14"/>
                <w:szCs w:val="14"/>
                <w:color w:val="auto"/>
              </w:rPr>
              <w:t>XBRL Instance Document - the instance document does not appear in the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gridSpan w:val="13"/>
          </w:tcPr>
          <w:p>
            <w:pPr>
              <w:spacing w:after="0" w:line="138" w:lineRule="exact"/>
              <w:rPr>
                <w:sz w:val="20"/>
                <w:szCs w:val="20"/>
                <w:color w:val="auto"/>
              </w:rPr>
            </w:pPr>
            <w:r>
              <w:rPr>
                <w:rFonts w:ascii="Arial" w:cs="Arial" w:eastAsia="Arial" w:hAnsi="Arial"/>
                <w:sz w:val="14"/>
                <w:szCs w:val="14"/>
                <w:color w:val="auto"/>
                <w:w w:val="96"/>
              </w:rPr>
              <w:t>Interactive Data File because its XBRL tags are embedded within the Inline XBRL</w:t>
            </w: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13"/>
          </w:tcPr>
          <w:p>
            <w:pPr>
              <w:spacing w:after="0"/>
              <w:rPr>
                <w:sz w:val="20"/>
                <w:szCs w:val="20"/>
                <w:color w:val="auto"/>
              </w:rPr>
            </w:pPr>
            <w:r>
              <w:rPr>
                <w:rFonts w:ascii="Arial" w:cs="Arial" w:eastAsia="Arial" w:hAnsi="Arial"/>
                <w:sz w:val="14"/>
                <w:szCs w:val="14"/>
                <w:color w:val="auto"/>
              </w:rPr>
              <w:t>document.</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Schema Document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Label Document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101.PRE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13"/>
          </w:tcPr>
          <w:p>
            <w:pPr>
              <w:spacing w:after="0"/>
              <w:rPr>
                <w:sz w:val="20"/>
                <w:szCs w:val="20"/>
                <w:color w:val="auto"/>
              </w:rPr>
            </w:pPr>
            <w:r>
              <w:rPr>
                <w:rFonts w:ascii="Arial" w:cs="Arial" w:eastAsia="Arial" w:hAnsi="Arial"/>
                <w:sz w:val="14"/>
                <w:szCs w:val="14"/>
                <w:color w:val="auto"/>
              </w:rPr>
              <w:t>XBRL Taxonomy Extension Presentation Document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40" w:hanging="104"/>
        <w:spacing w:after="0"/>
        <w:tabs>
          <w:tab w:leader="none" w:pos="140" w:val="left"/>
        </w:tabs>
        <w:numPr>
          <w:ilvl w:val="1"/>
          <w:numId w:val="51"/>
        </w:numPr>
        <w:rPr>
          <w:rFonts w:ascii="Arial" w:cs="Arial" w:eastAsia="Arial" w:hAnsi="Arial"/>
          <w:sz w:val="13"/>
          <w:szCs w:val="13"/>
          <w:color w:val="auto"/>
        </w:rPr>
      </w:pPr>
      <w:r>
        <w:rPr>
          <w:rFonts w:ascii="Arial" w:cs="Arial" w:eastAsia="Arial" w:hAnsi="Arial"/>
          <w:sz w:val="13"/>
          <w:szCs w:val="13"/>
          <w:color w:val="auto"/>
        </w:rPr>
        <w:t>Management contracts or compensation plans or arrangements in which directors or executive officers are eligible to participate.</w:t>
      </w:r>
    </w:p>
    <w:p>
      <w:pPr>
        <w:spacing w:after="0" w:line="83" w:lineRule="exact"/>
        <w:rPr>
          <w:rFonts w:ascii="Arial" w:cs="Arial" w:eastAsia="Arial" w:hAnsi="Arial"/>
          <w:sz w:val="13"/>
          <w:szCs w:val="13"/>
          <w:color w:val="auto"/>
        </w:rPr>
      </w:pPr>
    </w:p>
    <w:p>
      <w:pPr>
        <w:ind w:left="100" w:hanging="95"/>
        <w:spacing w:after="0"/>
        <w:tabs>
          <w:tab w:leader="none" w:pos="1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Portions of this exhibit have been redacted in compliance with Regulation S-K Item 601(b)(10)(iv) or pursuant to an order granted by the Securities and Exchange Commission for confidential treatment.</w:t>
      </w:r>
    </w:p>
    <w:p>
      <w:pPr>
        <w:spacing w:after="0" w:line="95" w:lineRule="exact"/>
        <w:rPr>
          <w:sz w:val="20"/>
          <w:szCs w:val="20"/>
          <w:color w:val="auto"/>
        </w:rPr>
      </w:pPr>
    </w:p>
    <w:p>
      <w:pPr>
        <w:ind w:left="140" w:hanging="135"/>
        <w:spacing w:after="0" w:line="244" w:lineRule="auto"/>
        <w:tabs>
          <w:tab w:leader="none" w:pos="113"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Fluidigm Corporation specifically incorporates it by reference.</w:t>
      </w:r>
    </w:p>
    <w:p>
      <w:pPr>
        <w:spacing w:after="0" w:line="200" w:lineRule="exact"/>
        <w:rPr>
          <w:sz w:val="20"/>
          <w:szCs w:val="20"/>
          <w:color w:val="auto"/>
        </w:rPr>
      </w:pP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127000</wp:posOffset>
            </wp:positionV>
            <wp:extent cx="71875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945"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260" w:firstLine="349"/>
        <w:spacing w:after="0" w:line="28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59"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FLUIDIGM CORPORATION</w:t>
      </w:r>
    </w:p>
    <w:p>
      <w:pPr>
        <w:spacing w:after="0" w:line="61" w:lineRule="exact"/>
        <w:rPr>
          <w:sz w:val="20"/>
          <w:szCs w:val="20"/>
          <w:color w:val="auto"/>
        </w:rPr>
      </w:pPr>
    </w:p>
    <w:p>
      <w:pPr>
        <w:ind w:left="20"/>
        <w:spacing w:after="0"/>
        <w:tabs>
          <w:tab w:leader="none" w:pos="7240" w:val="left"/>
          <w:tab w:leader="none" w:pos="8560" w:val="left"/>
        </w:tabs>
        <w:rPr>
          <w:sz w:val="20"/>
          <w:szCs w:val="20"/>
          <w:color w:val="auto"/>
        </w:rPr>
      </w:pPr>
      <w:r>
        <w:rPr>
          <w:rFonts w:ascii="Arial" w:cs="Arial" w:eastAsia="Arial" w:hAnsi="Arial"/>
          <w:sz w:val="14"/>
          <w:szCs w:val="14"/>
          <w:color w:val="auto"/>
        </w:rPr>
        <w:t>Dated: March 7,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12065</wp:posOffset>
            </wp:positionV>
            <wp:extent cx="219202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5">
                      <a:extLst>
                        <a:ext uri="{28A0092B-C50C-407E-A947-70E740481C1C}"/>
                      </a:extLst>
                    </a:blip>
                    <a:srcRect/>
                    <a:stretch>
                      <a:fillRect/>
                    </a:stretch>
                  </pic:blipFill>
                  <pic:spPr bwMode="auto">
                    <a:xfrm>
                      <a:off x="0" y="0"/>
                      <a:ext cx="2192020" cy="6985"/>
                    </a:xfrm>
                    <a:prstGeom prst="rect">
                      <a:avLst/>
                    </a:prstGeom>
                    <a:noFill/>
                  </pic:spPr>
                </pic:pic>
              </a:graphicData>
            </a:graphic>
          </wp:anchor>
        </w:drawing>
      </w:r>
    </w:p>
    <w:p>
      <w:pPr>
        <w:spacing w:after="0" w:line="3"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Stephen Christopher Linthwaite</w:t>
      </w:r>
    </w:p>
    <w:p>
      <w:pPr>
        <w:spacing w:after="0" w:line="22"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President and Chief Executive Officer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POWER OF ATTORNEY</w:t>
      </w:r>
    </w:p>
    <w:p>
      <w:pPr>
        <w:spacing w:after="0" w:line="140" w:lineRule="exact"/>
        <w:rPr>
          <w:sz w:val="20"/>
          <w:szCs w:val="20"/>
          <w:color w:val="auto"/>
        </w:rPr>
      </w:pPr>
    </w:p>
    <w:p>
      <w:pPr>
        <w:ind w:firstLine="349"/>
        <w:spacing w:after="0" w:line="259"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Stephen Christopher Linthwaite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06" w:lineRule="exact"/>
        <w:rPr>
          <w:sz w:val="20"/>
          <w:szCs w:val="20"/>
          <w:color w:val="auto"/>
        </w:rPr>
      </w:pPr>
    </w:p>
    <w:p>
      <w:pPr>
        <w:ind w:right="40" w:firstLine="349"/>
        <w:spacing w:after="0" w:line="28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60" w:type="dxa"/>
            <w:vAlign w:val="bottom"/>
          </w:tcPr>
          <w:p>
            <w:pPr>
              <w:spacing w:after="0"/>
              <w:rPr>
                <w:sz w:val="10"/>
                <w:szCs w:val="10"/>
                <w:color w:val="auto"/>
              </w:rPr>
            </w:pPr>
          </w:p>
        </w:tc>
        <w:tc>
          <w:tcPr>
            <w:tcW w:w="2620" w:type="dxa"/>
            <w:vAlign w:val="bottom"/>
            <w:gridSpan w:val="2"/>
          </w:tcPr>
          <w:p>
            <w:pPr>
              <w:jc w:val="center"/>
              <w:ind w:right="2160"/>
              <w:spacing w:after="0"/>
              <w:rPr>
                <w:sz w:val="20"/>
                <w:szCs w:val="20"/>
                <w:color w:val="auto"/>
              </w:rPr>
            </w:pPr>
            <w:r>
              <w:rPr>
                <w:rFonts w:ascii="Arial" w:cs="Arial" w:eastAsia="Arial" w:hAnsi="Arial"/>
                <w:sz w:val="11"/>
                <w:szCs w:val="11"/>
                <w:b w:val="1"/>
                <w:bCs w:val="1"/>
                <w:color w:val="auto"/>
                <w:w w:val="90"/>
              </w:rPr>
              <w:t>Signature</w:t>
            </w:r>
          </w:p>
        </w:tc>
        <w:tc>
          <w:tcPr>
            <w:tcW w:w="4580" w:type="dxa"/>
            <w:vAlign w:val="bottom"/>
            <w:gridSpan w:val="3"/>
          </w:tcPr>
          <w:p>
            <w:pPr>
              <w:ind w:left="120"/>
              <w:spacing w:after="0"/>
              <w:rPr>
                <w:sz w:val="20"/>
                <w:szCs w:val="20"/>
                <w:color w:val="auto"/>
              </w:rPr>
            </w:pPr>
            <w:r>
              <w:rPr>
                <w:rFonts w:ascii="Arial" w:cs="Arial" w:eastAsia="Arial" w:hAnsi="Arial"/>
                <w:sz w:val="11"/>
                <w:szCs w:val="11"/>
                <w:b w:val="1"/>
                <w:bCs w:val="1"/>
                <w:color w:val="auto"/>
              </w:rPr>
              <w:t>Title</w:t>
            </w:r>
          </w:p>
        </w:tc>
        <w:tc>
          <w:tcPr>
            <w:tcW w:w="940" w:type="dxa"/>
            <w:vAlign w:val="bottom"/>
            <w:gridSpan w:val="3"/>
          </w:tcPr>
          <w:p>
            <w:pPr>
              <w:ind w:left="100"/>
              <w:spacing w:after="0"/>
              <w:rPr>
                <w:sz w:val="20"/>
                <w:szCs w:val="20"/>
                <w:color w:val="auto"/>
              </w:rPr>
            </w:pPr>
            <w:r>
              <w:rPr>
                <w:rFonts w:ascii="Arial" w:cs="Arial" w:eastAsia="Arial" w:hAnsi="Arial"/>
                <w:sz w:val="11"/>
                <w:szCs w:val="11"/>
                <w:b w:val="1"/>
                <w:bCs w:val="1"/>
                <w:color w:val="auto"/>
              </w:rPr>
              <w:t>Date</w:t>
            </w:r>
          </w:p>
        </w:tc>
      </w:tr>
      <w:tr>
        <w:trPr>
          <w:trHeight w:val="20"/>
        </w:trPr>
        <w:tc>
          <w:tcPr>
            <w:tcW w:w="2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4"/>
        </w:trPr>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/s/ Stephen Christopher Linthwaite</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w w:val="95"/>
              </w:rPr>
              <w:t>President and Chief Executive Officer (Principal Executive Officer); Director</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w w:val="91"/>
              </w:rPr>
              <w:t>March 7, 2022</w:t>
            </w:r>
          </w:p>
        </w:tc>
      </w:tr>
      <w:tr>
        <w:trPr>
          <w:trHeight w:val="137"/>
        </w:trPr>
        <w:tc>
          <w:tcPr>
            <w:tcW w:w="47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3"/>
              </w:rPr>
              <w:t>Stephen Christopher Linthwaite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2"/>
        </w:trPr>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/s/ Vikram Jog</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Chief Financial Officer (Principal Financial and Accounting Officer)</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w w:val="91"/>
              </w:rPr>
              <w:t>March 7, 2022</w:t>
            </w:r>
          </w:p>
        </w:tc>
      </w:tr>
      <w:tr>
        <w:trPr>
          <w:trHeight w:val="137"/>
        </w:trPr>
        <w:tc>
          <w:tcPr>
            <w:tcW w:w="47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Vikram Jog</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2"/>
        </w:trPr>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/s/ Carlos V. Paya</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Chairman of the Board of Directors</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w w:val="91"/>
              </w:rPr>
              <w:t>March 7, 2022</w:t>
            </w:r>
          </w:p>
        </w:tc>
      </w:tr>
      <w:tr>
        <w:trPr>
          <w:trHeight w:val="137"/>
        </w:trPr>
        <w:tc>
          <w:tcPr>
            <w:tcW w:w="47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Carlos V. Paya</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2"/>
        </w:trPr>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/s/ Nicolas M. Barthelemy</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w w:val="91"/>
              </w:rPr>
              <w:t>March 7, 2022</w:t>
            </w:r>
          </w:p>
        </w:tc>
      </w:tr>
      <w:tr>
        <w:trPr>
          <w:trHeight w:val="137"/>
        </w:trPr>
        <w:tc>
          <w:tcPr>
            <w:tcW w:w="47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3"/>
              </w:rPr>
              <w:t>Nicolas M. Barthelemy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2"/>
        </w:trPr>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/s/ Gerhard F. Burbach</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w w:val="91"/>
              </w:rPr>
              <w:t>March 7, 2022</w:t>
            </w:r>
          </w:p>
        </w:tc>
      </w:tr>
      <w:tr>
        <w:trPr>
          <w:trHeight w:val="137"/>
        </w:trPr>
        <w:tc>
          <w:tcPr>
            <w:tcW w:w="47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Gerhard F. Burbach</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2"/>
        </w:trPr>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/s/ Laura M. Clague</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w w:val="91"/>
              </w:rPr>
              <w:t>March 7, 2022</w:t>
            </w:r>
          </w:p>
        </w:tc>
      </w:tr>
      <w:tr>
        <w:trPr>
          <w:trHeight w:val="137"/>
        </w:trPr>
        <w:tc>
          <w:tcPr>
            <w:tcW w:w="47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6"/>
              </w:rPr>
              <w:t>Laura M. Clague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2"/>
        </w:trPr>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/s/ Bill W. Colston</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w w:val="91"/>
              </w:rPr>
              <w:t>March 7, 2022</w:t>
            </w:r>
          </w:p>
        </w:tc>
      </w:tr>
      <w:tr>
        <w:trPr>
          <w:trHeight w:val="137"/>
        </w:trPr>
        <w:tc>
          <w:tcPr>
            <w:tcW w:w="47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5"/>
              </w:rPr>
              <w:t>Bill W. Colston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2"/>
        </w:trPr>
        <w:tc>
          <w:tcPr>
            <w:tcW w:w="4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/s/ Ana K. Stankovic</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gridSpan w:val="3"/>
          </w:tcPr>
          <w:p>
            <w:pPr>
              <w:ind w:left="100"/>
              <w:spacing w:after="0"/>
              <w:rPr>
                <w:sz w:val="20"/>
                <w:szCs w:val="20"/>
                <w:color w:val="auto"/>
              </w:rPr>
            </w:pPr>
            <w:r>
              <w:rPr>
                <w:rFonts w:ascii="Arial" w:cs="Arial" w:eastAsia="Arial" w:hAnsi="Arial"/>
                <w:sz w:val="14"/>
                <w:szCs w:val="14"/>
                <w:color w:val="auto"/>
                <w:w w:val="91"/>
              </w:rPr>
              <w:t>March 7, 2022</w:t>
            </w:r>
          </w:p>
        </w:tc>
      </w:tr>
      <w:tr>
        <w:trPr>
          <w:trHeight w:val="137"/>
        </w:trPr>
        <w:tc>
          <w:tcPr>
            <w:tcW w:w="47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5"/>
              </w:rPr>
              <w:t>Ana K. Stankovic</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bl>
    <w:p>
      <w:pPr>
        <w:sectPr>
          <w:pgSz w:w="11900" w:h="16838" w:orient="portrait"/>
          <w:cols w:equalWidth="0" w:num="1">
            <w:col w:w="11280"/>
          </w:cols>
          <w:pgMar w:left="300" w:top="1067"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Exhibit 10.5D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118110</wp:posOffset>
            </wp:positionV>
            <wp:extent cx="1876425" cy="4641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6">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0C0C0C"/>
        </w:rPr>
        <w:t>Lease reference number: T0029436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15240</wp:posOffset>
            </wp:positionV>
            <wp:extent cx="412242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7">
                      <a:extLst>
                        <a:ext uri="{28A0092B-C50C-407E-A947-70E740481C1C}"/>
                      </a:extLst>
                    </a:blip>
                    <a:srcRect/>
                    <a:stretch>
                      <a:fillRect/>
                    </a:stretch>
                  </pic:blipFill>
                  <pic:spPr bwMode="auto">
                    <a:xfrm>
                      <a:off x="0" y="0"/>
                      <a:ext cx="4122420"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-2540</wp:posOffset>
            </wp:positionV>
            <wp:extent cx="19939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8">
                      <a:extLst>
                        <a:ext uri="{28A0092B-C50C-407E-A947-70E740481C1C}"/>
                      </a:extLst>
                    </a:blip>
                    <a:srcRect/>
                    <a:stretch>
                      <a:fillRect/>
                    </a:stretch>
                  </pic:blipFill>
                  <pic:spPr bwMode="auto">
                    <a:xfrm>
                      <a:off x="0" y="0"/>
                      <a:ext cx="199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0C0C0C"/>
        </w:rPr>
        <w:t>HSBC INSTITUTIONAL TRUST SERVICES (SINGAPORE) LIMITED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0C0C0C"/>
        </w:rPr>
        <w:t>AS TRUSTEE OF ASCENDAS REAL ESTATE INVESTMENT TRUST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C0C0C"/>
        </w:rPr>
        <w:t>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C0C0C"/>
        </w:rPr>
        <w:t>FLUIDIGM SINGAPORE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C0C0C"/>
        </w:rPr>
        <w:t>Lease for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C0C0C"/>
        </w:rPr>
        <w:t>BLOCK 5008 ANG MO KIO AVENUE 5</w:t>
      </w:r>
    </w:p>
    <w:p>
      <w:pPr>
        <w:spacing w:after="0" w:line="8" w:lineRule="exact"/>
        <w:rPr>
          <w:sz w:val="20"/>
          <w:szCs w:val="20"/>
          <w:color w:val="auto"/>
        </w:rPr>
      </w:pPr>
    </w:p>
    <w:p>
      <w:pPr>
        <w:jc w:val="center"/>
        <w:ind w:right="4440"/>
        <w:spacing w:after="0"/>
        <w:rPr>
          <w:sz w:val="20"/>
          <w:szCs w:val="20"/>
          <w:color w:val="auto"/>
        </w:rPr>
      </w:pPr>
      <w:r>
        <w:rPr>
          <w:rFonts w:ascii="Arial" w:cs="Arial" w:eastAsia="Arial" w:hAnsi="Arial"/>
          <w:sz w:val="13"/>
          <w:szCs w:val="13"/>
          <w:b w:val="1"/>
          <w:bCs w:val="1"/>
          <w:color w:val="0C0C0C"/>
        </w:rPr>
        <w:t xml:space="preserve">#07-11 </w:t>
      </w:r>
      <w:r>
        <w:rPr>
          <w:rFonts w:ascii="Arial" w:cs="Arial" w:eastAsia="Arial" w:hAnsi="Arial"/>
          <w:sz w:val="13"/>
          <w:szCs w:val="13"/>
          <w:color w:val="0C0C0C"/>
        </w:rPr>
        <w:t>&amp;</w:t>
      </w:r>
      <w:r>
        <w:rPr>
          <w:rFonts w:ascii="Arial" w:cs="Arial" w:eastAsia="Arial" w:hAnsi="Arial"/>
          <w:sz w:val="13"/>
          <w:szCs w:val="13"/>
          <w:b w:val="1"/>
          <w:bCs w:val="1"/>
          <w:color w:val="0C0C0C"/>
        </w:rPr>
        <w:t xml:space="preserve"> #07-15 TECHPLACE </w:t>
      </w:r>
      <w:r>
        <w:rPr>
          <w:rFonts w:ascii="Arial" w:cs="Arial" w:eastAsia="Arial" w:hAnsi="Arial"/>
          <w:sz w:val="13"/>
          <w:szCs w:val="13"/>
          <w:color w:val="0C0C0C"/>
        </w:rPr>
        <w:t>II</w:t>
      </w:r>
    </w:p>
    <w:p>
      <w:pPr>
        <w:spacing w:after="0" w:line="12" w:lineRule="exact"/>
        <w:rPr>
          <w:sz w:val="20"/>
          <w:szCs w:val="20"/>
          <w:color w:val="auto"/>
        </w:rPr>
      </w:pPr>
    </w:p>
    <w:p>
      <w:pPr>
        <w:jc w:val="center"/>
        <w:ind w:right="4460"/>
        <w:spacing w:after="0"/>
        <w:rPr>
          <w:sz w:val="20"/>
          <w:szCs w:val="20"/>
          <w:color w:val="auto"/>
        </w:rPr>
      </w:pPr>
      <w:r>
        <w:rPr>
          <w:rFonts w:ascii="Arial" w:cs="Arial" w:eastAsia="Arial" w:hAnsi="Arial"/>
          <w:sz w:val="13"/>
          <w:szCs w:val="13"/>
          <w:b w:val="1"/>
          <w:bCs w:val="1"/>
          <w:color w:val="0C0C0C"/>
        </w:rPr>
        <w:t>SINGAPORE 569874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0"/>
          <w:szCs w:val="10"/>
          <w:color w:val="auto"/>
        </w:rPr>
        <w:t>Plain English Standard Covenants Lease Template (Revised 190421)</w:t>
      </w:r>
    </w:p>
    <w:p>
      <w:pPr>
        <w:sectPr>
          <w:pgSz w:w="11900" w:h="16838" w:orient="portrait"/>
          <w:cols w:equalWidth="0" w:num="1">
            <w:col w:w="11280"/>
          </w:cols>
          <w:pgMar w:left="300" w:top="90" w:right="31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694055</wp:posOffset>
            </wp:positionV>
            <wp:extent cx="1876425" cy="4641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9">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80" w:type="dxa"/>
            <w:vAlign w:val="bottom"/>
          </w:tcPr>
          <w:p>
            <w:pPr>
              <w:jc w:val="center"/>
              <w:ind w:left="1456"/>
              <w:spacing w:after="0"/>
              <w:rPr>
                <w:sz w:val="20"/>
                <w:szCs w:val="20"/>
                <w:color w:val="auto"/>
              </w:rPr>
            </w:pPr>
            <w:r>
              <w:rPr>
                <w:rFonts w:ascii="Arial" w:cs="Arial" w:eastAsia="Arial" w:hAnsi="Arial"/>
                <w:sz w:val="13"/>
                <w:szCs w:val="13"/>
                <w:b w:val="1"/>
                <w:bCs w:val="1"/>
                <w:color w:val="111111"/>
                <w:w w:val="97"/>
              </w:rPr>
              <w:t>SCHEDULE 1</w:t>
            </w:r>
          </w:p>
        </w:tc>
      </w:tr>
      <w:tr>
        <w:trPr>
          <w:trHeight w:val="169"/>
        </w:trPr>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80" w:type="dxa"/>
            <w:vAlign w:val="bottom"/>
          </w:tcPr>
          <w:p>
            <w:pPr>
              <w:jc w:val="center"/>
              <w:ind w:left="1456"/>
              <w:spacing w:after="0"/>
              <w:rPr>
                <w:sz w:val="20"/>
                <w:szCs w:val="20"/>
                <w:color w:val="auto"/>
              </w:rPr>
            </w:pPr>
            <w:r>
              <w:rPr>
                <w:rFonts w:ascii="Arial" w:cs="Arial" w:eastAsia="Arial" w:hAnsi="Arial"/>
                <w:sz w:val="13"/>
                <w:szCs w:val="13"/>
                <w:b w:val="1"/>
                <w:bCs w:val="1"/>
                <w:color w:val="111111"/>
                <w:w w:val="96"/>
              </w:rPr>
              <w:t>DETAILS OF LEASE</w:t>
            </w:r>
          </w:p>
        </w:tc>
      </w:tr>
      <w:tr>
        <w:trPr>
          <w:trHeight w:val="339"/>
        </w:trPr>
        <w:tc>
          <w:tcPr>
            <w:tcW w:w="48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1400" w:type="dxa"/>
            <w:vAlign w:val="bottom"/>
            <w:gridSpan w:val="8"/>
          </w:tcPr>
          <w:p>
            <w:pPr>
              <w:ind w:left="80"/>
              <w:spacing w:after="0"/>
              <w:rPr>
                <w:sz w:val="20"/>
                <w:szCs w:val="20"/>
                <w:color w:val="auto"/>
              </w:rPr>
            </w:pPr>
            <w:r>
              <w:rPr>
                <w:rFonts w:ascii="Arial" w:cs="Arial" w:eastAsia="Arial" w:hAnsi="Arial"/>
                <w:sz w:val="13"/>
                <w:szCs w:val="13"/>
                <w:b w:val="1"/>
                <w:bCs w:val="1"/>
                <w:color w:val="auto"/>
                <w:w w:val="95"/>
              </w:rPr>
              <w:t>Landlord (we, us, our)</w:t>
            </w:r>
          </w:p>
        </w:tc>
        <w:tc>
          <w:tcPr>
            <w:tcW w:w="4660" w:type="dxa"/>
            <w:vAlign w:val="bottom"/>
            <w:gridSpan w:val="2"/>
          </w:tcPr>
          <w:p>
            <w:pPr>
              <w:ind w:left="140"/>
              <w:spacing w:after="0"/>
              <w:rPr>
                <w:sz w:val="20"/>
                <w:szCs w:val="20"/>
                <w:color w:val="auto"/>
              </w:rPr>
            </w:pPr>
            <w:r>
              <w:rPr>
                <w:rFonts w:ascii="Arial" w:cs="Arial" w:eastAsia="Arial" w:hAnsi="Arial"/>
                <w:sz w:val="13"/>
                <w:szCs w:val="13"/>
                <w:color w:val="auto"/>
              </w:rPr>
              <w:t>:  HSBC INSTITUTIONAL TRUST SERVICES (SINGAPORE) LIMITED</w:t>
            </w:r>
          </w:p>
        </w:tc>
      </w:tr>
      <w:tr>
        <w:trPr>
          <w:trHeight w:val="180"/>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60" w:type="dxa"/>
            <w:vAlign w:val="bottom"/>
            <w:gridSpan w:val="2"/>
          </w:tcPr>
          <w:p>
            <w:pPr>
              <w:ind w:left="720"/>
              <w:spacing w:after="0"/>
              <w:rPr>
                <w:sz w:val="20"/>
                <w:szCs w:val="20"/>
                <w:color w:val="auto"/>
              </w:rPr>
            </w:pPr>
            <w:r>
              <w:rPr>
                <w:rFonts w:ascii="Arial" w:cs="Arial" w:eastAsia="Arial" w:hAnsi="Arial"/>
                <w:sz w:val="13"/>
                <w:szCs w:val="13"/>
                <w:color w:val="auto"/>
                <w:w w:val="96"/>
              </w:rPr>
              <w:t>AS TRUSTEE OF ASCENDAS REAL ESTATE INVESTMENT TRUST</w:t>
            </w:r>
          </w:p>
        </w:tc>
      </w:tr>
      <w:tr>
        <w:trPr>
          <w:trHeight w:val="339"/>
        </w:trPr>
        <w:tc>
          <w:tcPr>
            <w:tcW w:w="6540" w:type="dxa"/>
            <w:vAlign w:val="bottom"/>
            <w:gridSpan w:val="11"/>
          </w:tcPr>
          <w:p>
            <w:pPr>
              <w:spacing w:after="0"/>
              <w:rPr>
                <w:sz w:val="20"/>
                <w:szCs w:val="20"/>
                <w:color w:val="auto"/>
              </w:rPr>
            </w:pPr>
            <w:r>
              <w:rPr>
                <w:rFonts w:ascii="Arial" w:cs="Arial" w:eastAsia="Arial" w:hAnsi="Arial"/>
                <w:sz w:val="13"/>
                <w:szCs w:val="13"/>
                <w:b w:val="1"/>
                <w:bCs w:val="1"/>
                <w:color w:val="auto"/>
              </w:rPr>
              <w:t xml:space="preserve">Item 2:  Tenant (you, your)  </w:t>
            </w:r>
            <w:r>
              <w:rPr>
                <w:rFonts w:ascii="Arial" w:cs="Arial" w:eastAsia="Arial" w:hAnsi="Arial"/>
                <w:sz w:val="13"/>
                <w:szCs w:val="13"/>
                <w:color w:val="auto"/>
              </w:rPr>
              <w:t>:  FLUIDIGM SINGAPORE PTE. LTD.</w:t>
            </w:r>
          </w:p>
        </w:tc>
      </w:tr>
      <w:tr>
        <w:trPr>
          <w:trHeight w:val="349"/>
        </w:trPr>
        <w:tc>
          <w:tcPr>
            <w:tcW w:w="480" w:type="dxa"/>
            <w:vAlign w:val="bottom"/>
          </w:tcPr>
          <w:p>
            <w:pPr>
              <w:spacing w:after="0"/>
              <w:rPr>
                <w:sz w:val="20"/>
                <w:szCs w:val="20"/>
                <w:color w:val="auto"/>
              </w:rPr>
            </w:pPr>
            <w:r>
              <w:rPr>
                <w:rFonts w:ascii="Arial" w:cs="Arial" w:eastAsia="Arial" w:hAnsi="Arial"/>
                <w:sz w:val="13"/>
                <w:szCs w:val="13"/>
                <w:b w:val="1"/>
                <w:bCs w:val="1"/>
                <w:color w:val="auto"/>
              </w:rPr>
              <w:t>Item 3:</w:t>
            </w: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Premises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80"/>
        </w:trPr>
        <w:tc>
          <w:tcPr>
            <w:tcW w:w="480" w:type="dxa"/>
            <w:vAlign w:val="bottom"/>
          </w:tcPr>
          <w:p>
            <w:pPr>
              <w:spacing w:after="0"/>
              <w:rPr>
                <w:sz w:val="15"/>
                <w:szCs w:val="15"/>
                <w:color w:val="auto"/>
              </w:rPr>
            </w:pPr>
          </w:p>
        </w:tc>
        <w:tc>
          <w:tcPr>
            <w:tcW w:w="400" w:type="dxa"/>
            <w:vAlign w:val="bottom"/>
            <w:gridSpan w:val="2"/>
          </w:tcPr>
          <w:p>
            <w:pPr>
              <w:ind w:left="200"/>
              <w:spacing w:after="0"/>
              <w:rPr>
                <w:sz w:val="20"/>
                <w:szCs w:val="20"/>
                <w:color w:val="auto"/>
              </w:rPr>
            </w:pPr>
            <w:r>
              <w:rPr>
                <w:rFonts w:ascii="Arial" w:cs="Arial" w:eastAsia="Arial" w:hAnsi="Arial"/>
                <w:sz w:val="13"/>
                <w:szCs w:val="13"/>
                <w:color w:val="auto"/>
              </w:rPr>
              <w:t>(a)</w:t>
            </w:r>
          </w:p>
        </w:tc>
        <w:tc>
          <w:tcPr>
            <w:tcW w:w="820" w:type="dxa"/>
            <w:vAlign w:val="bottom"/>
            <w:gridSpan w:val="5"/>
          </w:tcPr>
          <w:p>
            <w:pPr>
              <w:ind w:left="60"/>
              <w:spacing w:after="0"/>
              <w:rPr>
                <w:sz w:val="20"/>
                <w:szCs w:val="20"/>
                <w:color w:val="auto"/>
              </w:rPr>
            </w:pPr>
            <w:r>
              <w:rPr>
                <w:rFonts w:ascii="Arial" w:cs="Arial" w:eastAsia="Arial" w:hAnsi="Arial"/>
                <w:sz w:val="13"/>
                <w:szCs w:val="13"/>
                <w:color w:val="auto"/>
                <w:w w:val="95"/>
              </w:rPr>
              <w:t>Unit numbers</w:t>
            </w:r>
          </w:p>
        </w:tc>
        <w:tc>
          <w:tcPr>
            <w:tcW w:w="4840" w:type="dxa"/>
            <w:vAlign w:val="bottom"/>
            <w:gridSpan w:val="3"/>
          </w:tcPr>
          <w:p>
            <w:pPr>
              <w:ind w:left="120"/>
              <w:spacing w:after="0"/>
              <w:rPr>
                <w:sz w:val="20"/>
                <w:szCs w:val="20"/>
                <w:color w:val="auto"/>
              </w:rPr>
            </w:pPr>
            <w:r>
              <w:rPr>
                <w:rFonts w:ascii="Arial" w:cs="Arial" w:eastAsia="Arial" w:hAnsi="Arial"/>
                <w:sz w:val="13"/>
                <w:szCs w:val="13"/>
                <w:color w:val="auto"/>
              </w:rPr>
              <w:t>:  Block 5008 #07-11 &amp; #07-15</w:t>
            </w:r>
          </w:p>
        </w:tc>
      </w:tr>
      <w:tr>
        <w:trPr>
          <w:trHeight w:val="339"/>
        </w:trPr>
        <w:tc>
          <w:tcPr>
            <w:tcW w:w="480" w:type="dxa"/>
            <w:vAlign w:val="bottom"/>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3"/>
                <w:szCs w:val="13"/>
                <w:color w:val="auto"/>
              </w:rPr>
              <w:t>(b)</w:t>
            </w:r>
          </w:p>
        </w:tc>
        <w:tc>
          <w:tcPr>
            <w:tcW w:w="620" w:type="dxa"/>
            <w:vAlign w:val="bottom"/>
            <w:gridSpan w:val="3"/>
          </w:tcPr>
          <w:p>
            <w:pPr>
              <w:ind w:left="60"/>
              <w:spacing w:after="0"/>
              <w:rPr>
                <w:sz w:val="20"/>
                <w:szCs w:val="20"/>
                <w:color w:val="auto"/>
              </w:rPr>
            </w:pPr>
            <w:r>
              <w:rPr>
                <w:rFonts w:ascii="Arial" w:cs="Arial" w:eastAsia="Arial" w:hAnsi="Arial"/>
                <w:sz w:val="13"/>
                <w:szCs w:val="13"/>
                <w:color w:val="auto"/>
              </w:rPr>
              <w:t>Building</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Arial" w:cs="Arial" w:eastAsia="Arial" w:hAnsi="Arial"/>
                <w:sz w:val="13"/>
                <w:szCs w:val="13"/>
                <w:color w:val="auto"/>
              </w:rPr>
              <w:t>Block 5008 Ang Mo Kio Avenue 5 TECHplace II Singapore 569874</w:t>
            </w:r>
          </w:p>
        </w:tc>
      </w:tr>
      <w:tr>
        <w:trPr>
          <w:trHeight w:val="334"/>
        </w:trPr>
        <w:tc>
          <w:tcPr>
            <w:tcW w:w="480" w:type="dxa"/>
            <w:vAlign w:val="bottom"/>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3"/>
                <w:szCs w:val="13"/>
                <w:color w:val="auto"/>
              </w:rPr>
              <w:t>(c)</w:t>
            </w:r>
          </w:p>
        </w:tc>
        <w:tc>
          <w:tcPr>
            <w:tcW w:w="620" w:type="dxa"/>
            <w:vAlign w:val="bottom"/>
            <w:gridSpan w:val="3"/>
          </w:tcPr>
          <w:p>
            <w:pPr>
              <w:ind w:left="60"/>
              <w:spacing w:after="0"/>
              <w:rPr>
                <w:sz w:val="20"/>
                <w:szCs w:val="20"/>
                <w:color w:val="auto"/>
              </w:rPr>
            </w:pPr>
            <w:r>
              <w:rPr>
                <w:rFonts w:ascii="Arial" w:cs="Arial" w:eastAsia="Arial" w:hAnsi="Arial"/>
                <w:sz w:val="13"/>
                <w:szCs w:val="13"/>
                <w:color w:val="auto"/>
                <w:w w:val="96"/>
              </w:rPr>
              <w:t>Boundary</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840" w:type="dxa"/>
            <w:vAlign w:val="bottom"/>
            <w:gridSpan w:val="3"/>
          </w:tcPr>
          <w:p>
            <w:pPr>
              <w:ind w:left="100"/>
              <w:spacing w:after="0"/>
              <w:rPr>
                <w:sz w:val="20"/>
                <w:szCs w:val="20"/>
                <w:color w:val="auto"/>
              </w:rPr>
            </w:pPr>
            <w:r>
              <w:rPr>
                <w:rFonts w:ascii="Arial" w:cs="Arial" w:eastAsia="Arial" w:hAnsi="Arial"/>
                <w:sz w:val="13"/>
                <w:szCs w:val="13"/>
                <w:color w:val="auto"/>
              </w:rPr>
              <w:t>(for identification only) edged in red in the attached plan (or plans)</w:t>
            </w:r>
          </w:p>
        </w:tc>
      </w:tr>
      <w:tr>
        <w:trPr>
          <w:trHeight w:val="153"/>
        </w:trPr>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60" w:type="dxa"/>
            <w:vAlign w:val="bottom"/>
            <w:gridSpan w:val="2"/>
          </w:tcPr>
          <w:p>
            <w:pPr>
              <w:ind w:left="700"/>
              <w:spacing w:after="0"/>
              <w:rPr>
                <w:sz w:val="20"/>
                <w:szCs w:val="20"/>
                <w:color w:val="auto"/>
              </w:rPr>
            </w:pPr>
            <w:r>
              <w:rPr>
                <w:rFonts w:ascii="Arial" w:cs="Arial" w:eastAsia="Arial" w:hAnsi="Arial"/>
                <w:sz w:val="13"/>
                <w:szCs w:val="13"/>
                <w:color w:val="auto"/>
              </w:rPr>
              <w:t>marked as schedule 5</w:t>
            </w:r>
          </w:p>
        </w:tc>
      </w:tr>
      <w:tr>
        <w:trPr>
          <w:trHeight w:val="180"/>
        </w:trPr>
        <w:tc>
          <w:tcPr>
            <w:tcW w:w="480" w:type="dxa"/>
            <w:vAlign w:val="bottom"/>
          </w:tcPr>
          <w:p>
            <w:pPr>
              <w:spacing w:after="0"/>
              <w:rPr>
                <w:sz w:val="20"/>
                <w:szCs w:val="20"/>
                <w:color w:val="auto"/>
              </w:rPr>
            </w:pPr>
            <w:r>
              <w:rPr>
                <w:rFonts w:ascii="Arial" w:cs="Arial" w:eastAsia="Arial" w:hAnsi="Arial"/>
                <w:sz w:val="13"/>
                <w:szCs w:val="13"/>
                <w:b w:val="1"/>
                <w:bCs w:val="1"/>
                <w:color w:val="auto"/>
              </w:rPr>
              <w:t>Item 4:</w:t>
            </w: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Floor Area</w:t>
            </w:r>
          </w:p>
        </w:tc>
        <w:tc>
          <w:tcPr>
            <w:tcW w:w="2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153"/>
        </w:trPr>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3"/>
                <w:szCs w:val="13"/>
                <w:color w:val="auto"/>
              </w:rPr>
              <w:t>Unit numbers</w:t>
            </w:r>
          </w:p>
        </w:tc>
        <w:tc>
          <w:tcPr>
            <w:tcW w:w="100" w:type="dxa"/>
            <w:vAlign w:val="bottom"/>
          </w:tcPr>
          <w:p>
            <w:pPr>
              <w:spacing w:after="0"/>
              <w:rPr>
                <w:sz w:val="13"/>
                <w:szCs w:val="13"/>
                <w:color w:val="auto"/>
              </w:rPr>
            </w:pPr>
          </w:p>
        </w:tc>
        <w:tc>
          <w:tcPr>
            <w:tcW w:w="4940" w:type="dxa"/>
            <w:vAlign w:val="bottom"/>
            <w:gridSpan w:val="4"/>
          </w:tcPr>
          <w:p>
            <w:pPr>
              <w:spacing w:after="0"/>
              <w:rPr>
                <w:sz w:val="20"/>
                <w:szCs w:val="20"/>
                <w:color w:val="auto"/>
              </w:rPr>
            </w:pPr>
            <w:r>
              <w:rPr>
                <w:rFonts w:ascii="Arial" w:cs="Arial" w:eastAsia="Arial" w:hAnsi="Arial"/>
                <w:sz w:val="13"/>
                <w:szCs w:val="13"/>
                <w:color w:val="auto"/>
              </w:rPr>
              <w:t>Floor Area (square metre)</w:t>
            </w: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87"/>
        </w:trPr>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7"/>
          </w:tcPr>
          <w:p>
            <w:pPr>
              <w:spacing w:after="0"/>
              <w:rPr>
                <w:sz w:val="20"/>
                <w:szCs w:val="20"/>
                <w:color w:val="auto"/>
              </w:rPr>
            </w:pPr>
            <w:r>
              <w:rPr>
                <w:rFonts w:ascii="Arial" w:cs="Arial" w:eastAsia="Arial" w:hAnsi="Arial"/>
                <w:sz w:val="13"/>
                <w:szCs w:val="13"/>
                <w:color w:val="auto"/>
                <w:w w:val="96"/>
              </w:rPr>
              <w:t>Block 5008 #07-11 &amp;</w:t>
            </w:r>
          </w:p>
        </w:tc>
        <w:tc>
          <w:tcPr>
            <w:tcW w:w="1180" w:type="dxa"/>
            <w:vAlign w:val="bottom"/>
          </w:tcPr>
          <w:p>
            <w:pPr>
              <w:spacing w:after="0"/>
              <w:rPr>
                <w:sz w:val="16"/>
                <w:szCs w:val="16"/>
                <w:color w:val="auto"/>
              </w:rPr>
            </w:pPr>
          </w:p>
        </w:tc>
        <w:tc>
          <w:tcPr>
            <w:tcW w:w="3480" w:type="dxa"/>
            <w:vAlign w:val="bottom"/>
          </w:tcPr>
          <w:p>
            <w:pPr>
              <w:spacing w:after="0"/>
              <w:rPr>
                <w:sz w:val="16"/>
                <w:szCs w:val="16"/>
                <w:color w:val="auto"/>
              </w:rPr>
            </w:pPr>
          </w:p>
        </w:tc>
      </w:tr>
      <w:tr>
        <w:trPr>
          <w:trHeight w:val="180"/>
        </w:trPr>
        <w:tc>
          <w:tcPr>
            <w:tcW w:w="480" w:type="dxa"/>
            <w:vAlign w:val="bottom"/>
          </w:tcPr>
          <w:p>
            <w:pPr>
              <w:spacing w:after="0"/>
              <w:rPr>
                <w:sz w:val="15"/>
                <w:szCs w:val="15"/>
                <w:color w:val="auto"/>
              </w:rPr>
            </w:pPr>
          </w:p>
        </w:tc>
        <w:tc>
          <w:tcPr>
            <w:tcW w:w="760" w:type="dxa"/>
            <w:vAlign w:val="bottom"/>
            <w:gridSpan w:val="3"/>
          </w:tcPr>
          <w:p>
            <w:pPr>
              <w:ind w:left="220"/>
              <w:spacing w:after="0"/>
              <w:rPr>
                <w:sz w:val="20"/>
                <w:szCs w:val="20"/>
                <w:color w:val="auto"/>
              </w:rPr>
            </w:pPr>
            <w:r>
              <w:rPr>
                <w:rFonts w:ascii="Arial" w:cs="Arial" w:eastAsia="Arial" w:hAnsi="Arial"/>
                <w:sz w:val="13"/>
                <w:szCs w:val="13"/>
                <w:color w:val="auto"/>
              </w:rPr>
              <w:t>#07-15</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gridSpan w:val="4"/>
          </w:tcPr>
          <w:p>
            <w:pPr>
              <w:ind w:left="20"/>
              <w:spacing w:after="0"/>
              <w:rPr>
                <w:sz w:val="20"/>
                <w:szCs w:val="20"/>
                <w:color w:val="auto"/>
              </w:rPr>
            </w:pPr>
            <w:r>
              <w:rPr>
                <w:rFonts w:ascii="Arial" w:cs="Arial" w:eastAsia="Arial" w:hAnsi="Arial"/>
                <w:sz w:val="13"/>
                <w:szCs w:val="13"/>
                <w:color w:val="auto"/>
              </w:rPr>
              <w:t>460.00</w:t>
            </w:r>
          </w:p>
        </w:tc>
        <w:tc>
          <w:tcPr>
            <w:tcW w:w="3480" w:type="dxa"/>
            <w:vAlign w:val="bottom"/>
          </w:tcPr>
          <w:p>
            <w:pPr>
              <w:spacing w:after="0"/>
              <w:rPr>
                <w:sz w:val="15"/>
                <w:szCs w:val="15"/>
                <w:color w:val="auto"/>
              </w:rPr>
            </w:pPr>
          </w:p>
        </w:tc>
      </w:tr>
      <w:tr>
        <w:trPr>
          <w:trHeight w:val="222"/>
        </w:trPr>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6"/>
          </w:tcPr>
          <w:p>
            <w:pPr>
              <w:spacing w:after="0"/>
              <w:rPr>
                <w:sz w:val="20"/>
                <w:szCs w:val="20"/>
                <w:color w:val="auto"/>
              </w:rPr>
            </w:pPr>
            <w:r>
              <w:rPr>
                <w:rFonts w:ascii="Arial" w:cs="Arial" w:eastAsia="Arial" w:hAnsi="Arial"/>
                <w:sz w:val="13"/>
                <w:szCs w:val="13"/>
                <w:color w:val="auto"/>
              </w:rPr>
              <w:t>Total Floor Area</w:t>
            </w:r>
          </w:p>
        </w:tc>
        <w:tc>
          <w:tcPr>
            <w:tcW w:w="1360" w:type="dxa"/>
            <w:vAlign w:val="bottom"/>
            <w:gridSpan w:val="2"/>
          </w:tcPr>
          <w:p>
            <w:pPr>
              <w:jc w:val="right"/>
              <w:ind w:right="856"/>
              <w:spacing w:after="0"/>
              <w:rPr>
                <w:sz w:val="20"/>
                <w:szCs w:val="20"/>
                <w:color w:val="auto"/>
              </w:rPr>
            </w:pPr>
            <w:r>
              <w:rPr>
                <w:rFonts w:ascii="Arial" w:cs="Arial" w:eastAsia="Arial" w:hAnsi="Arial"/>
                <w:sz w:val="13"/>
                <w:szCs w:val="13"/>
                <w:color w:val="auto"/>
              </w:rPr>
              <w:t>460.00</w:t>
            </w:r>
          </w:p>
        </w:tc>
        <w:tc>
          <w:tcPr>
            <w:tcW w:w="3480" w:type="dxa"/>
            <w:vAlign w:val="bottom"/>
          </w:tcPr>
          <w:p>
            <w:pPr>
              <w:spacing w:after="0"/>
              <w:rPr>
                <w:sz w:val="19"/>
                <w:szCs w:val="19"/>
                <w:color w:val="auto"/>
              </w:rPr>
            </w:pPr>
          </w:p>
        </w:tc>
      </w:tr>
      <w:tr>
        <w:trPr>
          <w:trHeight w:val="477"/>
        </w:trPr>
        <w:tc>
          <w:tcPr>
            <w:tcW w:w="480" w:type="dxa"/>
            <w:vAlign w:val="bottom"/>
          </w:tcPr>
          <w:p>
            <w:pPr>
              <w:spacing w:after="0"/>
              <w:rPr>
                <w:sz w:val="20"/>
                <w:szCs w:val="20"/>
                <w:color w:val="auto"/>
              </w:rPr>
            </w:pPr>
            <w:r>
              <w:rPr>
                <w:rFonts w:ascii="Arial" w:cs="Arial" w:eastAsia="Arial" w:hAnsi="Arial"/>
                <w:sz w:val="13"/>
                <w:szCs w:val="13"/>
                <w:b w:val="1"/>
                <w:bCs w:val="1"/>
                <w:color w:val="auto"/>
              </w:rPr>
              <w:t>Item 5:</w:t>
            </w:r>
          </w:p>
        </w:tc>
        <w:tc>
          <w:tcPr>
            <w:tcW w:w="1220" w:type="dxa"/>
            <w:vAlign w:val="bottom"/>
            <w:gridSpan w:val="7"/>
          </w:tcPr>
          <w:p>
            <w:pPr>
              <w:ind w:left="80"/>
              <w:spacing w:after="0"/>
              <w:rPr>
                <w:sz w:val="20"/>
                <w:szCs w:val="20"/>
                <w:color w:val="auto"/>
              </w:rPr>
            </w:pPr>
            <w:r>
              <w:rPr>
                <w:rFonts w:ascii="Arial" w:cs="Arial" w:eastAsia="Arial" w:hAnsi="Arial"/>
                <w:sz w:val="13"/>
                <w:szCs w:val="13"/>
                <w:b w:val="1"/>
                <w:bCs w:val="1"/>
                <w:color w:val="auto"/>
              </w:rPr>
              <w:t>Possession Date</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4660" w:type="dxa"/>
            <w:vAlign w:val="bottom"/>
            <w:gridSpan w:val="2"/>
          </w:tcPr>
          <w:p>
            <w:pPr>
              <w:jc w:val="right"/>
              <w:ind w:right="4336"/>
              <w:spacing w:after="0"/>
              <w:rPr>
                <w:sz w:val="20"/>
                <w:szCs w:val="20"/>
                <w:color w:val="auto"/>
              </w:rPr>
            </w:pPr>
            <w:r>
              <w:rPr>
                <w:rFonts w:ascii="Arial" w:cs="Arial" w:eastAsia="Arial" w:hAnsi="Arial"/>
                <w:sz w:val="13"/>
                <w:szCs w:val="13"/>
                <w:color w:val="auto"/>
                <w:w w:val="94"/>
              </w:rPr>
              <w:t>N.A.</w:t>
            </w:r>
          </w:p>
        </w:tc>
      </w:tr>
      <w:tr>
        <w:trPr>
          <w:trHeight w:val="349"/>
        </w:trPr>
        <w:tc>
          <w:tcPr>
            <w:tcW w:w="48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Start Date</w:t>
            </w:r>
          </w:p>
        </w:tc>
        <w:tc>
          <w:tcPr>
            <w:tcW w:w="5300" w:type="dxa"/>
            <w:vAlign w:val="bottom"/>
            <w:gridSpan w:val="7"/>
          </w:tcPr>
          <w:p>
            <w:pPr>
              <w:ind w:left="60"/>
              <w:spacing w:after="0"/>
              <w:rPr>
                <w:sz w:val="20"/>
                <w:szCs w:val="20"/>
                <w:color w:val="auto"/>
              </w:rPr>
            </w:pPr>
            <w:r>
              <w:rPr>
                <w:rFonts w:ascii="Arial" w:cs="Arial" w:eastAsia="Arial" w:hAnsi="Arial"/>
                <w:sz w:val="13"/>
                <w:szCs w:val="13"/>
                <w:color w:val="auto"/>
              </w:rPr>
              <w:t>:  01 February 2022</w:t>
            </w:r>
          </w:p>
        </w:tc>
      </w:tr>
    </w:tbl>
    <w:p>
      <w:pPr>
        <w:spacing w:after="0" w:line="170" w:lineRule="exact"/>
        <w:rPr>
          <w:sz w:val="20"/>
          <w:szCs w:val="20"/>
          <w:color w:val="auto"/>
        </w:rPr>
      </w:pPr>
    </w:p>
    <w:p>
      <w:pPr>
        <w:ind w:left="80"/>
        <w:spacing w:after="0"/>
        <w:tabs>
          <w:tab w:leader="none" w:pos="620" w:val="left"/>
          <w:tab w:leader="none" w:pos="1060" w:val="left"/>
          <w:tab w:leader="none" w:pos="1240" w:val="left"/>
        </w:tabs>
        <w:rPr>
          <w:sz w:val="20"/>
          <w:szCs w:val="20"/>
          <w:color w:val="auto"/>
        </w:rPr>
      </w:pPr>
      <w:r>
        <w:rPr>
          <w:rFonts w:ascii="Arial" w:cs="Arial" w:eastAsia="Arial" w:hAnsi="Arial"/>
          <w:sz w:val="13"/>
          <w:szCs w:val="13"/>
          <w:b w:val="1"/>
          <w:bCs w:val="1"/>
          <w:color w:val="auto"/>
        </w:rPr>
        <w:t>Item 7:</w:t>
        <w:tab/>
        <w:t>Term</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14 months beginning from the Start Date</w:t>
      </w:r>
    </w:p>
    <w:p>
      <w:pPr>
        <w:spacing w:after="0" w:line="189" w:lineRule="exact"/>
        <w:rPr>
          <w:sz w:val="20"/>
          <w:szCs w:val="20"/>
          <w:color w:val="auto"/>
        </w:rPr>
      </w:pPr>
    </w:p>
    <w:p>
      <w:pPr>
        <w:ind w:left="80"/>
        <w:spacing w:after="0"/>
        <w:tabs>
          <w:tab w:leader="none" w:pos="620" w:val="left"/>
          <w:tab w:leader="none" w:pos="1600" w:val="left"/>
          <w:tab w:leader="none" w:pos="1780" w:val="left"/>
        </w:tabs>
        <w:rPr>
          <w:sz w:val="20"/>
          <w:szCs w:val="20"/>
          <w:color w:val="auto"/>
        </w:rPr>
      </w:pPr>
      <w:r>
        <w:rPr>
          <w:rFonts w:ascii="Arial" w:cs="Arial" w:eastAsia="Arial" w:hAnsi="Arial"/>
          <w:sz w:val="13"/>
          <w:szCs w:val="13"/>
          <w:b w:val="1"/>
          <w:bCs w:val="1"/>
          <w:color w:val="auto"/>
        </w:rPr>
        <w:t>Item 8:</w:t>
        <w:tab/>
        <w:t>Permitted Use</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R&amp;D and manufacturing of fluidic chips and microfluidic system only</w:t>
      </w:r>
    </w:p>
    <w:p>
      <w:pPr>
        <w:spacing w:after="0" w:line="200" w:lineRule="exact"/>
        <w:rPr>
          <w:sz w:val="20"/>
          <w:szCs w:val="20"/>
          <w:color w:val="auto"/>
        </w:rPr>
      </w:pPr>
    </w:p>
    <w:p>
      <w:pPr>
        <w:ind w:left="80"/>
        <w:spacing w:after="0"/>
        <w:tabs>
          <w:tab w:leader="none" w:pos="620" w:val="left"/>
          <w:tab w:leader="none" w:pos="1040" w:val="left"/>
        </w:tabs>
        <w:rPr>
          <w:sz w:val="20"/>
          <w:szCs w:val="20"/>
          <w:color w:val="auto"/>
        </w:rPr>
      </w:pPr>
      <w:r>
        <w:rPr>
          <w:rFonts w:ascii="Arial" w:cs="Arial" w:eastAsia="Arial" w:hAnsi="Arial"/>
          <w:sz w:val="13"/>
          <w:szCs w:val="13"/>
          <w:b w:val="1"/>
          <w:bCs w:val="1"/>
          <w:color w:val="auto"/>
        </w:rPr>
        <w:t>Item 9:</w:t>
        <w:tab/>
        <w:t>Rent</w:t>
      </w:r>
      <w:r>
        <w:rPr>
          <w:sz w:val="20"/>
          <w:szCs w:val="20"/>
          <w:color w:val="auto"/>
        </w:rPr>
        <w:tab/>
      </w:r>
      <w:r>
        <w:rPr>
          <w:rFonts w:ascii="Arial" w:cs="Arial" w:eastAsia="Arial" w:hAnsi="Arial"/>
          <w:sz w:val="13"/>
          <w:szCs w:val="13"/>
          <w:color w:val="auto"/>
        </w:rPr>
        <w:t>:</w:t>
      </w:r>
    </w:p>
    <w:p>
      <w:pPr>
        <w:spacing w:after="0" w:line="205" w:lineRule="exact"/>
        <w:rPr>
          <w:sz w:val="20"/>
          <w:szCs w:val="20"/>
          <w:color w:val="auto"/>
        </w:rPr>
      </w:pPr>
    </w:p>
    <w:p>
      <w:pPr>
        <w:ind w:left="80"/>
        <w:spacing w:after="0"/>
        <w:tabs>
          <w:tab w:leader="none" w:pos="34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The Gross Rent, Net Rent and Service Charge are as follows.</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3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Unit</w:t>
            </w:r>
          </w:p>
        </w:tc>
        <w:tc>
          <w:tcPr>
            <w:tcW w:w="1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Net Rent Rate</w:t>
            </w:r>
          </w:p>
        </w:tc>
        <w:tc>
          <w:tcPr>
            <w:tcW w:w="1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Service Charge</w:t>
            </w:r>
          </w:p>
        </w:tc>
        <w:tc>
          <w:tcPr>
            <w:tcW w:w="1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Gross Rent Rate</w:t>
            </w: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Net Rent</w:t>
            </w:r>
          </w:p>
        </w:tc>
        <w:tc>
          <w:tcPr>
            <w:tcW w:w="1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Service Charge</w:t>
            </w:r>
          </w:p>
        </w:tc>
        <w:tc>
          <w:tcPr>
            <w:tcW w:w="1380" w:type="dxa"/>
            <w:vAlign w:val="bottom"/>
            <w:tcBorders>
              <w:top w:val="single" w:sz="8" w:color="auto"/>
              <w:right w:val="single" w:sz="8" w:color="auto"/>
            </w:tcBorders>
          </w:tcPr>
          <w:p>
            <w:pPr>
              <w:jc w:val="right"/>
              <w:ind w:right="313"/>
              <w:spacing w:after="0"/>
              <w:rPr>
                <w:sz w:val="20"/>
                <w:szCs w:val="20"/>
                <w:color w:val="auto"/>
              </w:rPr>
            </w:pPr>
            <w:r>
              <w:rPr>
                <w:rFonts w:ascii="Arial" w:cs="Arial" w:eastAsia="Arial" w:hAnsi="Arial"/>
                <w:sz w:val="13"/>
                <w:szCs w:val="13"/>
                <w:color w:val="auto"/>
              </w:rPr>
              <w:t>Gross Rent</w:t>
            </w:r>
          </w:p>
        </w:tc>
        <w:tc>
          <w:tcPr>
            <w:tcW w:w="2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Period such rent or charge applies</w:t>
            </w:r>
          </w:p>
        </w:tc>
      </w:tr>
      <w:tr>
        <w:trPr>
          <w:trHeight w:val="169"/>
        </w:trPr>
        <w:tc>
          <w:tcPr>
            <w:tcW w:w="1380" w:type="dxa"/>
            <w:vAlign w:val="bottom"/>
            <w:tcBorders>
              <w:left w:val="single" w:sz="8" w:color="auto"/>
              <w:right w:val="single" w:sz="8" w:color="auto"/>
            </w:tcBorders>
          </w:tcPr>
          <w:p>
            <w:pPr>
              <w:spacing w:after="0"/>
              <w:rPr>
                <w:sz w:val="14"/>
                <w:szCs w:val="14"/>
                <w:color w:val="auto"/>
              </w:rPr>
            </w:pPr>
          </w:p>
        </w:tc>
        <w:tc>
          <w:tcPr>
            <w:tcW w:w="10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(per square</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Rate (per square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(per square</w:t>
            </w:r>
          </w:p>
        </w:tc>
        <w:tc>
          <w:tcPr>
            <w:tcW w:w="13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1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for</w:t>
            </w:r>
          </w:p>
        </w:tc>
      </w:tr>
      <w:tr>
        <w:trPr>
          <w:trHeight w:val="169"/>
        </w:trPr>
        <w:tc>
          <w:tcPr>
            <w:tcW w:w="1380" w:type="dxa"/>
            <w:vAlign w:val="bottom"/>
            <w:tcBorders>
              <w:left w:val="single" w:sz="8" w:color="auto"/>
              <w:right w:val="single" w:sz="8" w:color="auto"/>
            </w:tcBorders>
          </w:tcPr>
          <w:p>
            <w:pPr>
              <w:spacing w:after="0"/>
              <w:rPr>
                <w:sz w:val="14"/>
                <w:szCs w:val="14"/>
                <w:color w:val="auto"/>
              </w:rPr>
            </w:pPr>
          </w:p>
        </w:tc>
        <w:tc>
          <w:tcPr>
            <w:tcW w:w="10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metre)</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metre)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metre)</w:t>
            </w:r>
          </w:p>
        </w:tc>
        <w:tc>
          <w:tcPr>
            <w:tcW w:w="132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r>
      <w:tr>
        <w:trPr>
          <w:trHeight w:val="26"/>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160"/>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Block 5008</w:t>
            </w:r>
          </w:p>
        </w:tc>
        <w:tc>
          <w:tcPr>
            <w:tcW w:w="10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$12.45</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$2.62</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$15.07</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$5,727.00</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$1,205.20</w:t>
            </w:r>
          </w:p>
        </w:tc>
        <w:tc>
          <w:tcPr>
            <w:tcW w:w="1380" w:type="dxa"/>
            <w:vAlign w:val="bottom"/>
            <w:tcBorders>
              <w:right w:val="single" w:sz="8" w:color="auto"/>
            </w:tcBorders>
          </w:tcPr>
          <w:p>
            <w:pPr>
              <w:jc w:val="right"/>
              <w:ind w:right="673"/>
              <w:spacing w:after="0"/>
              <w:rPr>
                <w:sz w:val="20"/>
                <w:szCs w:val="20"/>
                <w:color w:val="auto"/>
              </w:rPr>
            </w:pPr>
            <w:r>
              <w:rPr>
                <w:rFonts w:ascii="Arial" w:cs="Arial" w:eastAsia="Arial" w:hAnsi="Arial"/>
                <w:sz w:val="14"/>
                <w:szCs w:val="14"/>
                <w:color w:val="auto"/>
                <w:w w:val="99"/>
              </w:rPr>
              <w:t>$6,932.20</w:t>
            </w:r>
          </w:p>
        </w:tc>
        <w:tc>
          <w:tcPr>
            <w:tcW w:w="2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 February 2022</w:t>
            </w:r>
          </w:p>
        </w:tc>
      </w:tr>
      <w:tr>
        <w:trPr>
          <w:trHeight w:val="129"/>
        </w:trPr>
        <w:tc>
          <w:tcPr>
            <w:tcW w:w="1380" w:type="dxa"/>
            <w:vAlign w:val="bottom"/>
            <w:tcBorders>
              <w:left w:val="single" w:sz="8" w:color="auto"/>
              <w:right w:val="single" w:sz="8" w:color="auto"/>
            </w:tcBorders>
          </w:tcPr>
          <w:p>
            <w:pPr>
              <w:ind w:left="100"/>
              <w:spacing w:after="0" w:line="129" w:lineRule="exact"/>
              <w:rPr>
                <w:sz w:val="20"/>
                <w:szCs w:val="20"/>
                <w:color w:val="auto"/>
              </w:rPr>
            </w:pPr>
            <w:r>
              <w:rPr>
                <w:rFonts w:ascii="Arial" w:cs="Arial" w:eastAsia="Arial" w:hAnsi="Arial"/>
                <w:sz w:val="13"/>
                <w:szCs w:val="13"/>
                <w:color w:val="auto"/>
              </w:rPr>
              <w:t>#07-11 &amp;</w:t>
            </w:r>
          </w:p>
        </w:tc>
        <w:tc>
          <w:tcPr>
            <w:tcW w:w="10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line="129" w:lineRule="exact"/>
              <w:rPr>
                <w:sz w:val="20"/>
                <w:szCs w:val="20"/>
                <w:color w:val="auto"/>
              </w:rPr>
            </w:pPr>
            <w:r>
              <w:rPr>
                <w:rFonts w:ascii="Arial" w:cs="Arial" w:eastAsia="Arial" w:hAnsi="Arial"/>
                <w:sz w:val="13"/>
                <w:szCs w:val="13"/>
                <w:color w:val="auto"/>
              </w:rPr>
              <w:t>to 31 March 2023</w:t>
            </w:r>
          </w:p>
        </w:tc>
      </w:tr>
      <w:tr>
        <w:trPr>
          <w:trHeight w:val="153"/>
        </w:trPr>
        <w:tc>
          <w:tcPr>
            <w:tcW w:w="13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#07-15</w:t>
            </w:r>
          </w:p>
        </w:tc>
        <w:tc>
          <w:tcPr>
            <w:tcW w:w="10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2120" w:type="dxa"/>
            <w:vAlign w:val="bottom"/>
            <w:tcBorders>
              <w:right w:val="single" w:sz="8" w:color="auto"/>
            </w:tcBorders>
          </w:tcPr>
          <w:p>
            <w:pPr>
              <w:spacing w:after="0"/>
              <w:rPr>
                <w:sz w:val="13"/>
                <w:szCs w:val="13"/>
                <w:color w:val="auto"/>
              </w:rPr>
            </w:pPr>
          </w:p>
        </w:tc>
      </w:tr>
      <w:tr>
        <w:trPr>
          <w:trHeight w:val="26"/>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bl>
    <w:p>
      <w:pPr>
        <w:spacing w:after="0" w:line="177" w:lineRule="exact"/>
        <w:rPr>
          <w:sz w:val="20"/>
          <w:szCs w:val="20"/>
          <w:color w:val="auto"/>
        </w:rPr>
      </w:pPr>
    </w:p>
    <w:p>
      <w:pPr>
        <w:ind w:left="80"/>
        <w:spacing w:after="0"/>
        <w:rPr>
          <w:sz w:val="20"/>
          <w:szCs w:val="20"/>
          <w:color w:val="auto"/>
        </w:rPr>
      </w:pPr>
      <w:r>
        <w:rPr>
          <w:rFonts w:ascii="Arial" w:cs="Arial" w:eastAsia="Arial" w:hAnsi="Arial"/>
          <w:sz w:val="12"/>
          <w:szCs w:val="12"/>
          <w:color w:val="111111"/>
        </w:rPr>
        <w:t>(b) The charges shown above do not include goods and services tax (GST) and other Taxes you must pay under this Lease.</w:t>
      </w:r>
    </w:p>
    <w:p>
      <w:pPr>
        <w:sectPr>
          <w:pgSz w:w="11900" w:h="16838" w:orient="portrait"/>
          <w:cols w:equalWidth="0" w:num="1">
            <w:col w:w="11300"/>
          </w:cols>
          <w:pgMar w:left="300" w:top="1440" w:right="299" w:bottom="1440" w:gutter="0" w:footer="0" w:header="0"/>
        </w:sectPr>
      </w:pPr>
    </w:p>
    <w:p>
      <w:pPr>
        <w:spacing w:after="0" w:line="178" w:lineRule="exact"/>
        <w:rPr>
          <w:sz w:val="20"/>
          <w:szCs w:val="20"/>
          <w:color w:val="auto"/>
        </w:rPr>
      </w:pPr>
    </w:p>
    <w:p>
      <w:pPr>
        <w:ind w:left="80"/>
        <w:spacing w:after="0"/>
        <w:tabs>
          <w:tab w:leader="none" w:pos="6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color w:val="auto"/>
        </w:rPr>
        <w:t>Fitting Out Rent-free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N.A.</w:t>
      </w:r>
    </w:p>
    <w:p>
      <w:pPr>
        <w:spacing w:after="0" w:line="15" w:lineRule="exact"/>
        <w:rPr>
          <w:sz w:val="20"/>
          <w:szCs w:val="20"/>
          <w:color w:val="auto"/>
        </w:rPr>
      </w:pPr>
    </w:p>
    <w:p>
      <w:pPr>
        <w:sectPr>
          <w:pgSz w:w="11900" w:h="16838" w:orient="portrait"/>
          <w:cols w:equalWidth="0" w:num="3">
            <w:col w:w="1940" w:space="180"/>
            <w:col w:w="40" w:space="140"/>
            <w:col w:w="9000"/>
          </w:cols>
          <w:pgMar w:left="300" w:top="1440" w:right="299" w:bottom="1440" w:gutter="0" w:footer="0" w:header="0"/>
          <w:type w:val="continuous"/>
        </w:sectPr>
      </w:pPr>
    </w:p>
    <w:p>
      <w:pPr>
        <w:ind w:left="220"/>
        <w:spacing w:after="0"/>
        <w:rPr>
          <w:sz w:val="20"/>
          <w:szCs w:val="20"/>
          <w:color w:val="auto"/>
        </w:rPr>
      </w:pPr>
      <w:r>
        <w:rPr>
          <w:rFonts w:ascii="Arial" w:cs="Arial" w:eastAsia="Arial" w:hAnsi="Arial"/>
          <w:sz w:val="12"/>
          <w:szCs w:val="12"/>
          <w:b w:val="1"/>
          <w:bCs w:val="1"/>
          <w:color w:val="auto"/>
        </w:rPr>
        <w:t>Period (if any)</w:t>
      </w:r>
    </w:p>
    <w:p>
      <w:pPr>
        <w:sectPr>
          <w:pgSz w:w="11900" w:h="16838" w:orient="portrait"/>
          <w:cols w:equalWidth="0" w:num="1">
            <w:col w:w="11300"/>
          </w:cols>
          <w:pgMar w:left="300" w:top="1440" w:right="29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w:t>
      </w:r>
      <w:r>
        <w:rPr>
          <w:rFonts w:ascii="Arial" w:cs="Arial" w:eastAsia="Arial" w:hAnsi="Arial"/>
          <w:sz w:val="11"/>
          <w:szCs w:val="11"/>
          <w:b w:val="1"/>
          <w:bCs w:val="1"/>
          <w:color w:val="111111"/>
        </w:rPr>
        <w:t>11: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Term Rent-free Per</w:t>
      </w:r>
      <w:r>
        <w:rPr>
          <w:rFonts w:ascii="Arial" w:cs="Arial" w:eastAsia="Arial" w:hAnsi="Arial"/>
          <w:sz w:val="12"/>
          <w:szCs w:val="12"/>
          <w:b w:val="1"/>
          <w:bCs w:val="1"/>
          <w:color w:val="111111"/>
        </w:rPr>
        <w:t>iod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111111"/>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111111"/>
        </w:rPr>
        <w:t>N.A.</w:t>
      </w:r>
    </w:p>
    <w:p>
      <w:pPr>
        <w:spacing w:after="0" w:line="9" w:lineRule="exact"/>
        <w:rPr>
          <w:sz w:val="20"/>
          <w:szCs w:val="20"/>
          <w:color w:val="auto"/>
        </w:rPr>
      </w:pPr>
    </w:p>
    <w:p>
      <w:pPr>
        <w:sectPr>
          <w:pgSz w:w="11900" w:h="16838" w:orient="portrait"/>
          <w:cols w:equalWidth="0" w:num="4">
            <w:col w:w="480" w:space="120"/>
            <w:col w:w="1340" w:space="120"/>
            <w:col w:w="40" w:space="140"/>
            <w:col w:w="9060"/>
          </w:cols>
          <w:pgMar w:left="300" w:top="1440" w:right="299" w:bottom="1440" w:gutter="0" w:footer="0" w:header="0"/>
          <w:type w:val="continuous"/>
        </w:sectPr>
      </w:pPr>
    </w:p>
    <w:p>
      <w:pPr>
        <w:ind w:left="760"/>
        <w:spacing w:after="0"/>
        <w:rPr>
          <w:sz w:val="20"/>
          <w:szCs w:val="20"/>
          <w:color w:val="auto"/>
        </w:rPr>
      </w:pPr>
      <w:r>
        <w:rPr>
          <w:rFonts w:ascii="Arial" w:cs="Arial" w:eastAsia="Arial" w:hAnsi="Arial"/>
          <w:sz w:val="12"/>
          <w:szCs w:val="12"/>
          <w:b w:val="1"/>
          <w:bCs w:val="1"/>
          <w:color w:val="111111"/>
        </w:rPr>
        <w:t>(if any)</w:t>
      </w:r>
    </w:p>
    <w:p>
      <w:pPr>
        <w:sectPr>
          <w:pgSz w:w="11900" w:h="16838" w:orient="portrait"/>
          <w:cols w:equalWidth="0" w:num="1">
            <w:col w:w="11300"/>
          </w:cols>
          <w:pgMar w:left="300" w:top="144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300"/>
          </w:cols>
          <w:pgMar w:left="300" w:top="1440" w:right="299" w:bottom="1440" w:gutter="0" w:footer="0" w:header="0"/>
          <w:type w:val="continuous"/>
        </w:sectPr>
      </w:pPr>
    </w:p>
    <w:bookmarkStart w:id="124" w:name="page125"/>
    <w:bookmarkEnd w:id="124"/>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0">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2"/>
                <w:szCs w:val="12"/>
                <w:b w:val="1"/>
                <w:bCs w:val="1"/>
                <w:color w:val="111111"/>
              </w:rPr>
              <w:t>Item 12: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111111"/>
              </w:rPr>
              <w:t>Security Deposit</w:t>
            </w:r>
          </w:p>
        </w:tc>
        <w:tc>
          <w:tcPr>
            <w:tcW w:w="2580" w:type="dxa"/>
            <w:vAlign w:val="bottom"/>
            <w:gridSpan w:val="5"/>
          </w:tcPr>
          <w:p>
            <w:pPr>
              <w:ind w:left="20"/>
              <w:spacing w:after="0"/>
              <w:rPr>
                <w:sz w:val="20"/>
                <w:szCs w:val="20"/>
                <w:color w:val="auto"/>
              </w:rPr>
            </w:pPr>
            <w:r>
              <w:rPr>
                <w:rFonts w:ascii="Arial" w:cs="Arial" w:eastAsia="Arial" w:hAnsi="Arial"/>
                <w:sz w:val="12"/>
                <w:szCs w:val="12"/>
                <w:b w:val="1"/>
                <w:bCs w:val="1"/>
                <w:color w:val="111111"/>
              </w:rPr>
              <w:t xml:space="preserve">:  </w:t>
            </w:r>
            <w:r>
              <w:rPr>
                <w:rFonts w:ascii="Arial" w:cs="Arial" w:eastAsia="Arial" w:hAnsi="Arial"/>
                <w:sz w:val="12"/>
                <w:szCs w:val="12"/>
                <w:color w:val="111111"/>
              </w:rPr>
              <w:t>$20,796</w:t>
            </w:r>
            <w:r>
              <w:rPr>
                <w:rFonts w:ascii="Arial" w:cs="Arial" w:eastAsia="Arial" w:hAnsi="Arial"/>
                <w:sz w:val="12"/>
                <w:szCs w:val="12"/>
                <w:color w:val="2A2A2A"/>
              </w:rPr>
              <w:t>.</w:t>
            </w:r>
            <w:r>
              <w:rPr>
                <w:rFonts w:ascii="Arial" w:cs="Arial" w:eastAsia="Arial" w:hAnsi="Arial"/>
                <w:sz w:val="12"/>
                <w:szCs w:val="12"/>
                <w:color w:val="111111"/>
              </w:rPr>
              <w:t>60, being 3 months</w:t>
            </w:r>
            <w:r>
              <w:rPr>
                <w:rFonts w:ascii="Arial" w:cs="Arial" w:eastAsia="Arial" w:hAnsi="Arial"/>
                <w:sz w:val="12"/>
                <w:szCs w:val="12"/>
                <w:color w:val="2A2A2A"/>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Gross Rent</w:t>
            </w:r>
          </w:p>
        </w:tc>
        <w:tc>
          <w:tcPr>
            <w:tcW w:w="3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520" w:type="dxa"/>
            <w:vAlign w:val="bottom"/>
          </w:tcPr>
          <w:p>
            <w:pPr>
              <w:spacing w:after="0"/>
              <w:rPr>
                <w:sz w:val="20"/>
                <w:szCs w:val="20"/>
                <w:color w:val="auto"/>
              </w:rPr>
            </w:pPr>
            <w:r>
              <w:rPr>
                <w:rFonts w:ascii="Arial" w:cs="Arial" w:eastAsia="Arial" w:hAnsi="Arial"/>
                <w:sz w:val="12"/>
                <w:szCs w:val="12"/>
                <w:b w:val="1"/>
                <w:bCs w:val="1"/>
                <w:color w:val="111111"/>
              </w:rPr>
              <w:t>Item 13:</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111111"/>
              </w:rPr>
              <w:t>Tenant's Works Deposit</w:t>
            </w:r>
          </w:p>
        </w:tc>
        <w:tc>
          <w:tcPr>
            <w:tcW w:w="220" w:type="dxa"/>
            <w:vAlign w:val="bottom"/>
          </w:tcPr>
          <w:p>
            <w:pPr>
              <w:jc w:val="right"/>
              <w:ind w:right="60"/>
              <w:spacing w:after="0"/>
              <w:rPr>
                <w:sz w:val="20"/>
                <w:szCs w:val="20"/>
                <w:color w:val="auto"/>
              </w:rPr>
            </w:pPr>
            <w:r>
              <w:rPr>
                <w:rFonts w:ascii="Arial" w:cs="Arial" w:eastAsia="Arial" w:hAnsi="Arial"/>
                <w:sz w:val="12"/>
                <w:szCs w:val="12"/>
                <w:b w:val="1"/>
                <w:bCs w:val="1"/>
                <w:color w:val="111111"/>
              </w:rPr>
              <w:t>:</w:t>
            </w:r>
          </w:p>
        </w:tc>
        <w:tc>
          <w:tcPr>
            <w:tcW w:w="7080" w:type="dxa"/>
            <w:vAlign w:val="bottom"/>
            <w:gridSpan w:val="5"/>
          </w:tcPr>
          <w:p>
            <w:pPr>
              <w:spacing w:after="0"/>
              <w:rPr>
                <w:sz w:val="20"/>
                <w:szCs w:val="20"/>
                <w:color w:val="auto"/>
              </w:rPr>
            </w:pPr>
            <w:r>
              <w:rPr>
                <w:rFonts w:ascii="Arial" w:cs="Arial" w:eastAsia="Arial" w:hAnsi="Arial"/>
                <w:sz w:val="13"/>
                <w:szCs w:val="13"/>
                <w:color w:val="111111"/>
                <w:w w:val="97"/>
              </w:rPr>
              <w:t>$4,600.00 (based on the rate of $10.00 per square metre of the Floor Area of the Premises (a minimum of $2,000</w:t>
            </w:r>
            <w:r>
              <w:rPr>
                <w:rFonts w:ascii="Arial" w:cs="Arial" w:eastAsia="Arial" w:hAnsi="Arial"/>
                <w:sz w:val="13"/>
                <w:szCs w:val="13"/>
                <w:color w:val="3D3D3D"/>
                <w:w w:val="97"/>
              </w:rPr>
              <w:t>.</w:t>
            </w:r>
            <w:r>
              <w:rPr>
                <w:rFonts w:ascii="Arial" w:cs="Arial" w:eastAsia="Arial" w:hAnsi="Arial"/>
                <w:sz w:val="13"/>
                <w:szCs w:val="13"/>
                <w:color w:val="111111"/>
                <w:w w:val="97"/>
              </w:rPr>
              <w:t>00 applies))</w:t>
            </w: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2"/>
                <w:szCs w:val="12"/>
                <w:b w:val="1"/>
                <w:bCs w:val="1"/>
                <w:color w:val="111111"/>
              </w:rPr>
              <w:t>Item 14:</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111111"/>
              </w:rPr>
              <w:t>Public liability  :</w:t>
            </w:r>
          </w:p>
        </w:tc>
        <w:tc>
          <w:tcPr>
            <w:tcW w:w="580" w:type="dxa"/>
            <w:vAlign w:val="bottom"/>
            <w:gridSpan w:val="2"/>
          </w:tcPr>
          <w:p>
            <w:pPr>
              <w:ind w:left="40"/>
              <w:spacing w:after="0"/>
              <w:rPr>
                <w:sz w:val="20"/>
                <w:szCs w:val="20"/>
                <w:color w:val="auto"/>
              </w:rPr>
            </w:pPr>
            <w:r>
              <w:rPr>
                <w:rFonts w:ascii="Arial" w:cs="Arial" w:eastAsia="Arial" w:hAnsi="Arial"/>
                <w:sz w:val="13"/>
                <w:szCs w:val="13"/>
                <w:color w:val="111111"/>
                <w:w w:val="94"/>
              </w:rPr>
              <w:t>$3 million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3"/>
                <w:szCs w:val="13"/>
                <w:b w:val="1"/>
                <w:bCs w:val="1"/>
                <w:color w:val="auto"/>
              </w:rPr>
              <w:t xml:space="preserve">insurance </w:t>
            </w:r>
            <w:r>
              <w:rPr>
                <w:rFonts w:ascii="Arial" w:cs="Arial" w:eastAsia="Arial" w:hAnsi="Arial"/>
                <w:sz w:val="11"/>
                <w:szCs w:val="11"/>
                <w:b w:val="1"/>
                <w:bCs w:val="1"/>
                <w:color w:val="111111"/>
              </w:rPr>
              <w:t>amount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2"/>
                <w:szCs w:val="12"/>
                <w:b w:val="1"/>
                <w:bCs w:val="1"/>
                <w:color w:val="111111"/>
              </w:rPr>
              <w:t>Item 15:</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111111"/>
              </w:rPr>
              <w:t>Electricity Supply</w:t>
            </w: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111111"/>
              </w:rPr>
              <w:t xml:space="preserve">:  </w:t>
            </w:r>
            <w:r>
              <w:rPr>
                <w:rFonts w:ascii="Arial" w:cs="Arial" w:eastAsia="Arial" w:hAnsi="Arial"/>
                <w:sz w:val="12"/>
                <w:szCs w:val="12"/>
                <w:color w:val="111111"/>
              </w:rPr>
              <w:t>N.A.</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20" w:type="dxa"/>
            <w:vAlign w:val="bottom"/>
          </w:tcPr>
          <w:p>
            <w:pPr>
              <w:spacing w:after="0"/>
              <w:rPr>
                <w:sz w:val="13"/>
                <w:szCs w:val="13"/>
                <w:color w:val="auto"/>
              </w:rPr>
            </w:pPr>
          </w:p>
        </w:tc>
        <w:tc>
          <w:tcPr>
            <w:tcW w:w="1140" w:type="dxa"/>
            <w:vAlign w:val="bottom"/>
          </w:tcPr>
          <w:p>
            <w:pPr>
              <w:ind w:left="240"/>
              <w:spacing w:after="0"/>
              <w:rPr>
                <w:sz w:val="20"/>
                <w:szCs w:val="20"/>
                <w:color w:val="auto"/>
              </w:rPr>
            </w:pPr>
            <w:r>
              <w:rPr>
                <w:rFonts w:ascii="Arial" w:cs="Arial" w:eastAsia="Arial" w:hAnsi="Arial"/>
                <w:sz w:val="12"/>
                <w:szCs w:val="12"/>
                <w:b w:val="1"/>
                <w:bCs w:val="1"/>
                <w:color w:val="111111"/>
              </w:rPr>
              <w:t>Deposit (initial</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520" w:type="dxa"/>
            <w:vAlign w:val="bottom"/>
          </w:tcPr>
          <w:p>
            <w:pPr>
              <w:spacing w:after="0"/>
              <w:rPr>
                <w:sz w:val="20"/>
                <w:szCs w:val="20"/>
                <w:color w:val="auto"/>
              </w:rPr>
            </w:pPr>
            <w:r>
              <w:rPr>
                <w:rFonts w:ascii="Arial" w:cs="Arial" w:eastAsia="Arial" w:hAnsi="Arial"/>
                <w:sz w:val="12"/>
                <w:szCs w:val="12"/>
                <w:b w:val="1"/>
                <w:bCs w:val="1"/>
                <w:color w:val="111111"/>
              </w:rPr>
              <w:t>Item 16:</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111111"/>
                <w:w w:val="99"/>
              </w:rPr>
              <w:t>Floor loading limit</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111111"/>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3"/>
                <w:szCs w:val="13"/>
                <w:color w:val="111111"/>
              </w:rPr>
              <w:t>Storey</w:t>
            </w:r>
          </w:p>
        </w:tc>
        <w:tc>
          <w:tcPr>
            <w:tcW w:w="460" w:type="dxa"/>
            <w:vAlign w:val="bottom"/>
          </w:tcPr>
          <w:p>
            <w:pPr>
              <w:spacing w:after="0"/>
              <w:rPr>
                <w:sz w:val="15"/>
                <w:szCs w:val="15"/>
                <w:color w:val="auto"/>
              </w:rPr>
            </w:pPr>
          </w:p>
        </w:tc>
        <w:tc>
          <w:tcPr>
            <w:tcW w:w="338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111111"/>
              </w:rPr>
              <w:t>Floor Loading (kN per square metre)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3"/>
                <w:szCs w:val="13"/>
                <w:color w:val="111111"/>
              </w:rPr>
              <w:t>1</w:t>
            </w:r>
          </w:p>
        </w:tc>
        <w:tc>
          <w:tcPr>
            <w:tcW w:w="460" w:type="dxa"/>
            <w:vAlign w:val="bottom"/>
          </w:tcPr>
          <w:p>
            <w:pPr>
              <w:spacing w:after="0"/>
              <w:rPr>
                <w:sz w:val="14"/>
                <w:szCs w:val="14"/>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111111"/>
              </w:rPr>
              <w:t>12.5</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3"/>
                <w:szCs w:val="13"/>
                <w:color w:val="111111"/>
              </w:rPr>
              <w:t>4 to 8</w:t>
            </w:r>
          </w:p>
        </w:tc>
        <w:tc>
          <w:tcPr>
            <w:tcW w:w="460" w:type="dxa"/>
            <w:vAlign w:val="bottom"/>
          </w:tcPr>
          <w:p>
            <w:pPr>
              <w:spacing w:after="0"/>
              <w:rPr>
                <w:sz w:val="14"/>
                <w:szCs w:val="14"/>
                <w:color w:val="auto"/>
              </w:rPr>
            </w:pPr>
          </w:p>
        </w:tc>
        <w:tc>
          <w:tcPr>
            <w:tcW w:w="338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111111"/>
              </w:rPr>
              <w:t>7</w:t>
            </w:r>
            <w:r>
              <w:rPr>
                <w:rFonts w:ascii="Arial" w:cs="Arial" w:eastAsia="Arial" w:hAnsi="Arial"/>
                <w:sz w:val="13"/>
                <w:szCs w:val="13"/>
                <w:color w:val="3D3D3D"/>
              </w:rPr>
              <w:t>.</w:t>
            </w:r>
            <w:r>
              <w:rPr>
                <w:rFonts w:ascii="Arial" w:cs="Arial" w:eastAsia="Arial" w:hAnsi="Arial"/>
                <w:sz w:val="13"/>
                <w:szCs w:val="13"/>
                <w:color w:val="111111"/>
              </w:rPr>
              <w:t>5</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3"/>
                <w:szCs w:val="13"/>
                <w:color w:val="111111"/>
              </w:rPr>
              <w:t>Canteen</w:t>
            </w:r>
          </w:p>
        </w:tc>
        <w:tc>
          <w:tcPr>
            <w:tcW w:w="460" w:type="dxa"/>
            <w:vAlign w:val="bottom"/>
          </w:tcPr>
          <w:p>
            <w:pPr>
              <w:spacing w:after="0"/>
              <w:rPr>
                <w:sz w:val="14"/>
                <w:szCs w:val="14"/>
                <w:color w:val="auto"/>
              </w:rPr>
            </w:pPr>
          </w:p>
        </w:tc>
        <w:tc>
          <w:tcPr>
            <w:tcW w:w="338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111111"/>
              </w:rPr>
              <w:t>5</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0" w:type="dxa"/>
            <w:vAlign w:val="bottom"/>
            <w:vMerge w:val="restart"/>
          </w:tcPr>
          <w:p>
            <w:pPr>
              <w:spacing w:after="0"/>
              <w:rPr>
                <w:sz w:val="20"/>
                <w:szCs w:val="20"/>
                <w:color w:val="auto"/>
              </w:rPr>
            </w:pPr>
            <w:r>
              <w:rPr>
                <w:rFonts w:ascii="Arial" w:cs="Arial" w:eastAsia="Arial" w:hAnsi="Arial"/>
                <w:sz w:val="12"/>
                <w:szCs w:val="12"/>
                <w:b w:val="1"/>
                <w:bCs w:val="1"/>
                <w:color w:val="111111"/>
              </w:rPr>
              <w:t>Item 17:</w:t>
            </w:r>
          </w:p>
        </w:tc>
        <w:tc>
          <w:tcPr>
            <w:tcW w:w="1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111111"/>
              </w:rPr>
              <w:t>Car-park passes (if any)</w:t>
            </w:r>
          </w:p>
        </w:tc>
        <w:tc>
          <w:tcPr>
            <w:tcW w:w="22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111111"/>
              </w:rPr>
              <w:t>:</w:t>
            </w:r>
          </w:p>
        </w:tc>
        <w:tc>
          <w:tcPr>
            <w:tcW w:w="300" w:type="dxa"/>
            <w:vAlign w:val="bottom"/>
            <w:vMerge w:val="restart"/>
          </w:tcPr>
          <w:p>
            <w:pPr>
              <w:ind w:left="20"/>
              <w:spacing w:after="0"/>
              <w:rPr>
                <w:sz w:val="20"/>
                <w:szCs w:val="20"/>
                <w:color w:val="auto"/>
              </w:rPr>
            </w:pPr>
            <w:r>
              <w:rPr>
                <w:rFonts w:ascii="Arial" w:cs="Arial" w:eastAsia="Arial" w:hAnsi="Arial"/>
                <w:sz w:val="12"/>
                <w:szCs w:val="12"/>
                <w:color w:val="111111"/>
              </w:rPr>
              <w:t>2</w:t>
            </w:r>
          </w:p>
        </w:tc>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520" w:type="dxa"/>
            <w:vAlign w:val="bottom"/>
            <w:vMerge w:val="continue"/>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0159"/>
          </w:cols>
          <w:pgMar w:left="300" w:top="1440" w:right="1440" w:bottom="1440" w:gutter="0" w:footer="0" w:header="0"/>
        </w:sectPr>
      </w:pPr>
    </w:p>
    <w:bookmarkStart w:id="125" w:name="page126"/>
    <w:bookmarkEnd w:id="125"/>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1">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3"/>
          <w:szCs w:val="13"/>
          <w:b w:val="1"/>
          <w:bCs w:val="1"/>
          <w:color w:val="131313"/>
        </w:rPr>
        <w:t>SCHEDULE 2 SPECIAL COVENANTS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2"/>
          <w:szCs w:val="12"/>
          <w:color w:val="131313"/>
        </w:rPr>
        <w:t>(By way of note, the Plain English Campaign's Crystal Mark will not apply to this section.)</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1"/>
          <w:szCs w:val="11"/>
          <w:color w:val="131313"/>
        </w:rPr>
        <w:t>Any commercial terms and amendments to the Standard Covenants or Tenants' Guide will be set out in this schedule.</w:t>
      </w:r>
    </w:p>
    <w:p>
      <w:pPr>
        <w:spacing w:after="0" w:line="376"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0159"/>
          </w:cols>
          <w:pgMar w:left="300" w:top="1440" w:right="1440" w:bottom="1440" w:gutter="0" w:footer="0" w:header="0"/>
        </w:sectPr>
      </w:pPr>
    </w:p>
    <w:bookmarkStart w:id="126" w:name="page127"/>
    <w:bookmarkEnd w:id="126"/>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2">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3"/>
          <w:szCs w:val="13"/>
          <w:b w:val="1"/>
          <w:bCs w:val="1"/>
          <w:color w:val="131313"/>
        </w:rPr>
        <w:t>SCHEDULE 3 BUILDING COVENANTS</w:t>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12"/>
          <w:szCs w:val="12"/>
          <w:color w:val="131313"/>
        </w:rPr>
        <w:t>(By way of note, the Plain English Campaign's Crystal Mark will not apply to this section</w:t>
      </w:r>
      <w:r>
        <w:rPr>
          <w:rFonts w:ascii="Arial" w:cs="Arial" w:eastAsia="Arial" w:hAnsi="Arial"/>
          <w:sz w:val="12"/>
          <w:szCs w:val="12"/>
          <w:color w:val="2D2D2D"/>
        </w:rPr>
        <w:t>.</w:t>
      </w:r>
      <w:r>
        <w:rPr>
          <w:rFonts w:ascii="Arial" w:cs="Arial" w:eastAsia="Arial" w:hAnsi="Arial"/>
          <w:sz w:val="12"/>
          <w:szCs w:val="12"/>
          <w:color w:val="131313"/>
        </w:rPr>
        <w:t>) Any Building Covenants specific to the Building will be set out in this schedule</w:t>
      </w:r>
      <w:r>
        <w:rPr>
          <w:rFonts w:ascii="Arial" w:cs="Arial" w:eastAsia="Arial" w:hAnsi="Arial"/>
          <w:sz w:val="12"/>
          <w:szCs w:val="12"/>
          <w:color w:val="2D2D2D"/>
        </w:rPr>
        <w:t>.</w:t>
      </w:r>
    </w:p>
    <w:p>
      <w:pPr>
        <w:spacing w:after="0" w:line="84" w:lineRule="exact"/>
        <w:rPr>
          <w:sz w:val="20"/>
          <w:szCs w:val="20"/>
          <w:color w:val="auto"/>
        </w:rPr>
      </w:pPr>
    </w:p>
    <w:p>
      <w:pPr>
        <w:ind w:left="120" w:right="5100" w:firstLine="4"/>
        <w:spacing w:after="0" w:line="269" w:lineRule="auto"/>
        <w:rPr>
          <w:sz w:val="20"/>
          <w:szCs w:val="20"/>
          <w:color w:val="auto"/>
        </w:rPr>
      </w:pPr>
      <w:r>
        <w:rPr>
          <w:rFonts w:ascii="Arial" w:cs="Arial" w:eastAsia="Arial" w:hAnsi="Arial"/>
          <w:sz w:val="12"/>
          <w:szCs w:val="12"/>
          <w:u w:val="single" w:color="auto"/>
          <w:color w:val="2D2D2D"/>
        </w:rPr>
        <w:t>In a</w:t>
      </w:r>
      <w:r>
        <w:rPr>
          <w:rFonts w:ascii="Arial" w:cs="Arial" w:eastAsia="Arial" w:hAnsi="Arial"/>
          <w:sz w:val="12"/>
          <w:szCs w:val="12"/>
          <w:u w:val="single" w:color="auto"/>
          <w:color w:val="131313"/>
        </w:rPr>
        <w:t>dd</w:t>
      </w:r>
      <w:r>
        <w:rPr>
          <w:rFonts w:ascii="Arial" w:cs="Arial" w:eastAsia="Arial" w:hAnsi="Arial"/>
          <w:sz w:val="12"/>
          <w:szCs w:val="12"/>
          <w:u w:val="single" w:color="auto"/>
          <w:color w:val="424242"/>
        </w:rPr>
        <w:t>iti</w:t>
      </w:r>
      <w:r>
        <w:rPr>
          <w:rFonts w:ascii="Arial" w:cs="Arial" w:eastAsia="Arial" w:hAnsi="Arial"/>
          <w:sz w:val="12"/>
          <w:szCs w:val="12"/>
          <w:u w:val="single" w:color="auto"/>
          <w:color w:val="131313"/>
        </w:rPr>
        <w:t>o</w:t>
      </w:r>
      <w:r>
        <w:rPr>
          <w:rFonts w:ascii="Arial" w:cs="Arial" w:eastAsia="Arial" w:hAnsi="Arial"/>
          <w:sz w:val="12"/>
          <w:szCs w:val="12"/>
          <w:u w:val="single" w:color="auto"/>
          <w:color w:val="424242"/>
        </w:rPr>
        <w:t>n</w:t>
      </w:r>
      <w:r>
        <w:rPr>
          <w:rFonts w:ascii="Arial" w:cs="Arial" w:eastAsia="Arial" w:hAnsi="Arial"/>
          <w:sz w:val="12"/>
          <w:szCs w:val="12"/>
          <w:u w:val="single" w:color="auto"/>
          <w:color w:val="2D2D2D"/>
        </w:rPr>
        <w:t xml:space="preserve"> to th</w:t>
      </w:r>
      <w:r>
        <w:rPr>
          <w:rFonts w:ascii="Arial" w:cs="Arial" w:eastAsia="Arial" w:hAnsi="Arial"/>
          <w:sz w:val="12"/>
          <w:szCs w:val="12"/>
          <w:u w:val="single" w:color="auto"/>
          <w:color w:val="131313"/>
        </w:rPr>
        <w:t>e</w:t>
      </w:r>
      <w:r>
        <w:rPr>
          <w:rFonts w:ascii="Arial" w:cs="Arial" w:eastAsia="Arial" w:hAnsi="Arial"/>
          <w:sz w:val="12"/>
          <w:szCs w:val="12"/>
          <w:u w:val="single" w:color="auto"/>
          <w:color w:val="2D2D2D"/>
        </w:rPr>
        <w:t xml:space="preserve"> provi</w:t>
      </w:r>
      <w:r>
        <w:rPr>
          <w:rFonts w:ascii="Arial" w:cs="Arial" w:eastAsia="Arial" w:hAnsi="Arial"/>
          <w:sz w:val="12"/>
          <w:szCs w:val="12"/>
          <w:u w:val="single" w:color="auto"/>
          <w:color w:val="131313"/>
        </w:rPr>
        <w:t>s</w:t>
      </w:r>
      <w:r>
        <w:rPr>
          <w:rFonts w:ascii="Arial" w:cs="Arial" w:eastAsia="Arial" w:hAnsi="Arial"/>
          <w:sz w:val="12"/>
          <w:szCs w:val="12"/>
          <w:u w:val="single" w:color="auto"/>
          <w:color w:val="424242"/>
        </w:rPr>
        <w:t>ions</w:t>
      </w:r>
      <w:r>
        <w:rPr>
          <w:rFonts w:ascii="Arial" w:cs="Arial" w:eastAsia="Arial" w:hAnsi="Arial"/>
          <w:sz w:val="12"/>
          <w:szCs w:val="12"/>
          <w:u w:val="single" w:color="auto"/>
          <w:color w:val="2D2D2D"/>
        </w:rPr>
        <w:t xml:space="preserve"> s</w:t>
      </w:r>
      <w:r>
        <w:rPr>
          <w:rFonts w:ascii="Arial" w:cs="Arial" w:eastAsia="Arial" w:hAnsi="Arial"/>
          <w:sz w:val="12"/>
          <w:szCs w:val="12"/>
          <w:u w:val="single" w:color="auto"/>
          <w:color w:val="131313"/>
        </w:rPr>
        <w:t>e</w:t>
      </w:r>
      <w:r>
        <w:rPr>
          <w:rFonts w:ascii="Arial" w:cs="Arial" w:eastAsia="Arial" w:hAnsi="Arial"/>
          <w:sz w:val="12"/>
          <w:szCs w:val="12"/>
          <w:u w:val="single" w:color="auto"/>
          <w:color w:val="2D2D2D"/>
        </w:rPr>
        <w:t xml:space="preserve">t </w:t>
      </w:r>
      <w:r>
        <w:rPr>
          <w:rFonts w:ascii="Arial" w:cs="Arial" w:eastAsia="Arial" w:hAnsi="Arial"/>
          <w:sz w:val="12"/>
          <w:szCs w:val="12"/>
          <w:u w:val="single" w:color="auto"/>
          <w:color w:val="131313"/>
        </w:rPr>
        <w:t>o</w:t>
      </w:r>
      <w:r>
        <w:rPr>
          <w:rFonts w:ascii="Arial" w:cs="Arial" w:eastAsia="Arial" w:hAnsi="Arial"/>
          <w:sz w:val="12"/>
          <w:szCs w:val="12"/>
          <w:u w:val="single" w:color="auto"/>
          <w:color w:val="2D2D2D"/>
        </w:rPr>
        <w:t xml:space="preserve">ut </w:t>
      </w:r>
      <w:r>
        <w:rPr>
          <w:rFonts w:ascii="Arial" w:cs="Arial" w:eastAsia="Arial" w:hAnsi="Arial"/>
          <w:sz w:val="12"/>
          <w:szCs w:val="12"/>
          <w:u w:val="single" w:color="auto"/>
          <w:color w:val="424242"/>
        </w:rPr>
        <w:t>in</w:t>
      </w:r>
      <w:r>
        <w:rPr>
          <w:rFonts w:ascii="Arial" w:cs="Arial" w:eastAsia="Arial" w:hAnsi="Arial"/>
          <w:sz w:val="12"/>
          <w:szCs w:val="12"/>
          <w:u w:val="single" w:color="auto"/>
          <w:color w:val="2D2D2D"/>
        </w:rPr>
        <w:t xml:space="preserve"> th</w:t>
      </w:r>
      <w:r>
        <w:rPr>
          <w:rFonts w:ascii="Arial" w:cs="Arial" w:eastAsia="Arial" w:hAnsi="Arial"/>
          <w:sz w:val="12"/>
          <w:szCs w:val="12"/>
          <w:u w:val="single" w:color="auto"/>
          <w:color w:val="131313"/>
        </w:rPr>
        <w:t>e Sp</w:t>
      </w:r>
      <w:r>
        <w:rPr>
          <w:rFonts w:ascii="Arial" w:cs="Arial" w:eastAsia="Arial" w:hAnsi="Arial"/>
          <w:sz w:val="12"/>
          <w:szCs w:val="12"/>
          <w:u w:val="single" w:color="auto"/>
          <w:color w:val="2D2D2D"/>
        </w:rPr>
        <w:t>ecia</w:t>
      </w:r>
      <w:r>
        <w:rPr>
          <w:rFonts w:ascii="Arial" w:cs="Arial" w:eastAsia="Arial" w:hAnsi="Arial"/>
          <w:sz w:val="12"/>
          <w:szCs w:val="12"/>
          <w:u w:val="single" w:color="auto"/>
          <w:color w:val="131313"/>
        </w:rPr>
        <w:t>l Co</w:t>
      </w:r>
      <w:r>
        <w:rPr>
          <w:rFonts w:ascii="Arial" w:cs="Arial" w:eastAsia="Arial" w:hAnsi="Arial"/>
          <w:sz w:val="12"/>
          <w:szCs w:val="12"/>
          <w:u w:val="single" w:color="auto"/>
          <w:color w:val="2D2D2D"/>
        </w:rPr>
        <w:t>v</w:t>
      </w:r>
      <w:r>
        <w:rPr>
          <w:rFonts w:ascii="Arial" w:cs="Arial" w:eastAsia="Arial" w:hAnsi="Arial"/>
          <w:sz w:val="12"/>
          <w:szCs w:val="12"/>
          <w:u w:val="single" w:color="auto"/>
          <w:color w:val="131313"/>
        </w:rPr>
        <w:t>e</w:t>
      </w:r>
      <w:r>
        <w:rPr>
          <w:rFonts w:ascii="Arial" w:cs="Arial" w:eastAsia="Arial" w:hAnsi="Arial"/>
          <w:sz w:val="12"/>
          <w:szCs w:val="12"/>
          <w:u w:val="single" w:color="auto"/>
          <w:color w:val="424242"/>
        </w:rPr>
        <w:t>nants</w:t>
      </w:r>
      <w:r>
        <w:rPr>
          <w:rFonts w:ascii="Arial" w:cs="Arial" w:eastAsia="Arial" w:hAnsi="Arial"/>
          <w:sz w:val="12"/>
          <w:szCs w:val="12"/>
          <w:u w:val="single" w:color="auto"/>
          <w:color w:val="131313"/>
        </w:rPr>
        <w:t>. bo</w:t>
      </w:r>
      <w:r>
        <w:rPr>
          <w:rFonts w:ascii="Arial" w:cs="Arial" w:eastAsia="Arial" w:hAnsi="Arial"/>
          <w:sz w:val="12"/>
          <w:szCs w:val="12"/>
          <w:u w:val="single" w:color="auto"/>
          <w:color w:val="424242"/>
        </w:rPr>
        <w:t>t</w:t>
      </w:r>
      <w:r>
        <w:rPr>
          <w:rFonts w:ascii="Arial" w:cs="Arial" w:eastAsia="Arial" w:hAnsi="Arial"/>
          <w:sz w:val="12"/>
          <w:szCs w:val="12"/>
          <w:u w:val="single" w:color="auto"/>
          <w:color w:val="131313"/>
        </w:rPr>
        <w:t>h you</w:t>
      </w:r>
      <w:r>
        <w:rPr>
          <w:rFonts w:ascii="Arial" w:cs="Arial" w:eastAsia="Arial" w:hAnsi="Arial"/>
          <w:sz w:val="12"/>
          <w:szCs w:val="12"/>
          <w:u w:val="single" w:color="auto"/>
          <w:color w:val="2D2D2D"/>
        </w:rPr>
        <w:t xml:space="preserve"> an</w:t>
      </w:r>
      <w:r>
        <w:rPr>
          <w:rFonts w:ascii="Arial" w:cs="Arial" w:eastAsia="Arial" w:hAnsi="Arial"/>
          <w:sz w:val="12"/>
          <w:szCs w:val="12"/>
          <w:u w:val="single" w:color="auto"/>
          <w:color w:val="131313"/>
        </w:rPr>
        <w:t>d u</w:t>
      </w:r>
      <w:r>
        <w:rPr>
          <w:rFonts w:ascii="Arial" w:cs="Arial" w:eastAsia="Arial" w:hAnsi="Arial"/>
          <w:sz w:val="12"/>
          <w:szCs w:val="12"/>
          <w:u w:val="single" w:color="auto"/>
          <w:color w:val="2D2D2D"/>
        </w:rPr>
        <w:t xml:space="preserve">s must </w:t>
      </w:r>
      <w:r>
        <w:rPr>
          <w:rFonts w:ascii="Arial" w:cs="Arial" w:eastAsia="Arial" w:hAnsi="Arial"/>
          <w:sz w:val="12"/>
          <w:szCs w:val="12"/>
          <w:u w:val="single" w:color="auto"/>
          <w:color w:val="131313"/>
        </w:rPr>
        <w:t>ke</w:t>
      </w:r>
      <w:r>
        <w:rPr>
          <w:rFonts w:ascii="Arial" w:cs="Arial" w:eastAsia="Arial" w:hAnsi="Arial"/>
          <w:sz w:val="12"/>
          <w:szCs w:val="12"/>
          <w:u w:val="single" w:color="auto"/>
          <w:color w:val="2D2D2D"/>
        </w:rPr>
        <w:t>e</w:t>
      </w:r>
      <w:r>
        <w:rPr>
          <w:rFonts w:ascii="Arial" w:cs="Arial" w:eastAsia="Arial" w:hAnsi="Arial"/>
          <w:sz w:val="12"/>
          <w:szCs w:val="12"/>
          <w:u w:val="single" w:color="auto"/>
          <w:color w:val="131313"/>
        </w:rPr>
        <w:t>p</w:t>
      </w:r>
      <w:r>
        <w:rPr>
          <w:rFonts w:ascii="Arial" w:cs="Arial" w:eastAsia="Arial" w:hAnsi="Arial"/>
          <w:sz w:val="12"/>
          <w:szCs w:val="12"/>
          <w:u w:val="single" w:color="auto"/>
          <w:color w:val="2D2D2D"/>
        </w:rPr>
        <w:t xml:space="preserve"> t</w:t>
      </w:r>
      <w:r>
        <w:rPr>
          <w:rFonts w:ascii="Arial" w:cs="Arial" w:eastAsia="Arial" w:hAnsi="Arial"/>
          <w:sz w:val="12"/>
          <w:szCs w:val="12"/>
          <w:u w:val="single" w:color="auto"/>
          <w:color w:val="131313"/>
        </w:rPr>
        <w:t>o a</w:t>
      </w:r>
      <w:r>
        <w:rPr>
          <w:rFonts w:ascii="Arial" w:cs="Arial" w:eastAsia="Arial" w:hAnsi="Arial"/>
          <w:sz w:val="12"/>
          <w:szCs w:val="12"/>
          <w:u w:val="single" w:color="auto"/>
          <w:color w:val="2D2D2D"/>
        </w:rPr>
        <w:t>n</w:t>
      </w:r>
      <w:r>
        <w:rPr>
          <w:rFonts w:ascii="Arial" w:cs="Arial" w:eastAsia="Arial" w:hAnsi="Arial"/>
          <w:sz w:val="12"/>
          <w:szCs w:val="12"/>
          <w:u w:val="single" w:color="auto"/>
          <w:color w:val="131313"/>
        </w:rPr>
        <w:t>d b</w:t>
      </w:r>
      <w:r>
        <w:rPr>
          <w:rFonts w:ascii="Arial" w:cs="Arial" w:eastAsia="Arial" w:hAnsi="Arial"/>
          <w:sz w:val="12"/>
          <w:szCs w:val="12"/>
          <w:u w:val="single" w:color="auto"/>
          <w:color w:val="2D2D2D"/>
        </w:rPr>
        <w:t xml:space="preserve">e </w:t>
      </w:r>
      <w:r>
        <w:rPr>
          <w:rFonts w:ascii="Arial" w:cs="Arial" w:eastAsia="Arial" w:hAnsi="Arial"/>
          <w:sz w:val="12"/>
          <w:szCs w:val="12"/>
          <w:u w:val="single" w:color="auto"/>
          <w:color w:val="131313"/>
        </w:rPr>
        <w:t>bo</w:t>
      </w:r>
      <w:r>
        <w:rPr>
          <w:rFonts w:ascii="Arial" w:cs="Arial" w:eastAsia="Arial" w:hAnsi="Arial"/>
          <w:sz w:val="12"/>
          <w:szCs w:val="12"/>
          <w:u w:val="single" w:color="auto"/>
          <w:color w:val="2D2D2D"/>
        </w:rPr>
        <w:t>u</w:t>
      </w:r>
      <w:r>
        <w:rPr>
          <w:rFonts w:ascii="Arial" w:cs="Arial" w:eastAsia="Arial" w:hAnsi="Arial"/>
          <w:sz w:val="12"/>
          <w:szCs w:val="12"/>
          <w:u w:val="single" w:color="auto"/>
          <w:color w:val="131313"/>
        </w:rPr>
        <w:t>n</w:t>
      </w:r>
      <w:r>
        <w:rPr>
          <w:rFonts w:ascii="Arial" w:cs="Arial" w:eastAsia="Arial" w:hAnsi="Arial"/>
          <w:sz w:val="12"/>
          <w:szCs w:val="12"/>
          <w:u w:val="single" w:color="auto"/>
          <w:color w:val="2D2D2D"/>
        </w:rPr>
        <w:t xml:space="preserve">d by </w:t>
      </w:r>
      <w:r>
        <w:rPr>
          <w:rFonts w:ascii="Arial" w:cs="Arial" w:eastAsia="Arial" w:hAnsi="Arial"/>
          <w:sz w:val="12"/>
          <w:szCs w:val="12"/>
          <w:u w:val="single" w:color="auto"/>
          <w:color w:val="131313"/>
        </w:rPr>
        <w:t>t</w:t>
      </w:r>
      <w:r>
        <w:rPr>
          <w:rFonts w:ascii="Arial" w:cs="Arial" w:eastAsia="Arial" w:hAnsi="Arial"/>
          <w:sz w:val="12"/>
          <w:szCs w:val="12"/>
          <w:u w:val="single" w:color="auto"/>
          <w:color w:val="424242"/>
        </w:rPr>
        <w:t>h</w:t>
      </w:r>
      <w:r>
        <w:rPr>
          <w:rFonts w:ascii="Arial" w:cs="Arial" w:eastAsia="Arial" w:hAnsi="Arial"/>
          <w:sz w:val="12"/>
          <w:szCs w:val="12"/>
          <w:u w:val="single" w:color="auto"/>
          <w:color w:val="131313"/>
        </w:rPr>
        <w:t>e</w:t>
      </w:r>
      <w:r>
        <w:rPr>
          <w:rFonts w:ascii="Arial" w:cs="Arial" w:eastAsia="Arial" w:hAnsi="Arial"/>
          <w:sz w:val="12"/>
          <w:szCs w:val="12"/>
          <w:u w:val="single" w:color="auto"/>
          <w:color w:val="2D2D2D"/>
        </w:rPr>
        <w:t xml:space="preserve"> following t</w:t>
      </w:r>
      <w:r>
        <w:rPr>
          <w:rFonts w:ascii="Arial" w:cs="Arial" w:eastAsia="Arial" w:hAnsi="Arial"/>
          <w:sz w:val="12"/>
          <w:szCs w:val="12"/>
          <w:u w:val="single" w:color="auto"/>
          <w:color w:val="131313"/>
        </w:rPr>
        <w:t>e</w:t>
      </w:r>
      <w:r>
        <w:rPr>
          <w:rFonts w:ascii="Arial" w:cs="Arial" w:eastAsia="Arial" w:hAnsi="Arial"/>
          <w:sz w:val="12"/>
          <w:szCs w:val="12"/>
          <w:u w:val="single" w:color="auto"/>
          <w:color w:val="2D2D2D"/>
        </w:rPr>
        <w:t>rm</w:t>
      </w:r>
      <w:r>
        <w:rPr>
          <w:rFonts w:ascii="Arial" w:cs="Arial" w:eastAsia="Arial" w:hAnsi="Arial"/>
          <w:sz w:val="12"/>
          <w:szCs w:val="12"/>
          <w:u w:val="single" w:color="auto"/>
          <w:color w:val="131313"/>
        </w:rPr>
        <w:t>s</w:t>
      </w:r>
      <w:r>
        <w:rPr>
          <w:rFonts w:ascii="Arial" w:cs="Arial" w:eastAsia="Arial" w:hAnsi="Arial"/>
          <w:sz w:val="12"/>
          <w:szCs w:val="12"/>
          <w:u w:val="single" w:color="auto"/>
          <w:color w:val="424242"/>
        </w:rPr>
        <w:t>,</w:t>
      </w:r>
      <w:r>
        <w:rPr>
          <w:rFonts w:ascii="Arial" w:cs="Arial" w:eastAsia="Arial" w:hAnsi="Arial"/>
          <w:sz w:val="12"/>
          <w:szCs w:val="12"/>
          <w:u w:val="single" w:color="auto"/>
          <w:color w:val="2D2D2D"/>
        </w:rPr>
        <w:t xml:space="preserve"> cove</w:t>
      </w:r>
      <w:r>
        <w:rPr>
          <w:rFonts w:ascii="Arial" w:cs="Arial" w:eastAsia="Arial" w:hAnsi="Arial"/>
          <w:sz w:val="12"/>
          <w:szCs w:val="12"/>
          <w:u w:val="single" w:color="auto"/>
          <w:color w:val="131313"/>
        </w:rPr>
        <w:t>n</w:t>
      </w:r>
      <w:r>
        <w:rPr>
          <w:rFonts w:ascii="Arial" w:cs="Arial" w:eastAsia="Arial" w:hAnsi="Arial"/>
          <w:sz w:val="12"/>
          <w:szCs w:val="12"/>
          <w:u w:val="single" w:color="auto"/>
          <w:color w:val="2D2D2D"/>
        </w:rPr>
        <w:t>an</w:t>
      </w:r>
      <w:r>
        <w:rPr>
          <w:rFonts w:ascii="Arial" w:cs="Arial" w:eastAsia="Arial" w:hAnsi="Arial"/>
          <w:sz w:val="12"/>
          <w:szCs w:val="12"/>
          <w:u w:val="single" w:color="auto"/>
          <w:color w:val="131313"/>
        </w:rPr>
        <w:t>ts</w:t>
      </w:r>
      <w:r>
        <w:rPr>
          <w:rFonts w:ascii="Arial" w:cs="Arial" w:eastAsia="Arial" w:hAnsi="Arial"/>
          <w:sz w:val="12"/>
          <w:szCs w:val="12"/>
          <w:u w:val="single" w:color="auto"/>
          <w:color w:val="2D2D2D"/>
        </w:rPr>
        <w:t xml:space="preserve"> and cond</w:t>
      </w:r>
      <w:r>
        <w:rPr>
          <w:rFonts w:ascii="Arial" w:cs="Arial" w:eastAsia="Arial" w:hAnsi="Arial"/>
          <w:sz w:val="12"/>
          <w:szCs w:val="12"/>
          <w:u w:val="single" w:color="auto"/>
          <w:color w:val="131313"/>
        </w:rPr>
        <w:t>i</w:t>
      </w:r>
      <w:r>
        <w:rPr>
          <w:rFonts w:ascii="Arial" w:cs="Arial" w:eastAsia="Arial" w:hAnsi="Arial"/>
          <w:sz w:val="12"/>
          <w:szCs w:val="12"/>
          <w:u w:val="single" w:color="auto"/>
          <w:color w:val="2D2D2D"/>
        </w:rPr>
        <w:t>ti</w:t>
      </w:r>
      <w:r>
        <w:rPr>
          <w:rFonts w:ascii="Arial" w:cs="Arial" w:eastAsia="Arial" w:hAnsi="Arial"/>
          <w:sz w:val="12"/>
          <w:szCs w:val="12"/>
          <w:u w:val="single" w:color="auto"/>
          <w:color w:val="131313"/>
        </w:rPr>
        <w:t>o</w:t>
      </w:r>
      <w:r>
        <w:rPr>
          <w:rFonts w:ascii="Arial" w:cs="Arial" w:eastAsia="Arial" w:hAnsi="Arial"/>
          <w:sz w:val="12"/>
          <w:szCs w:val="12"/>
          <w:u w:val="single" w:color="auto"/>
          <w:color w:val="2D2D2D"/>
        </w:rPr>
        <w:t>ns:-</w:t>
      </w:r>
    </w:p>
    <w:p>
      <w:pPr>
        <w:spacing w:after="0" w:line="153" w:lineRule="exact"/>
        <w:rPr>
          <w:sz w:val="20"/>
          <w:szCs w:val="20"/>
          <w:color w:val="auto"/>
        </w:rPr>
      </w:pPr>
    </w:p>
    <w:p>
      <w:pPr>
        <w:ind w:left="600" w:hanging="475"/>
        <w:spacing w:after="0"/>
        <w:tabs>
          <w:tab w:leader="none" w:pos="600" w:val="left"/>
        </w:tabs>
        <w:numPr>
          <w:ilvl w:val="0"/>
          <w:numId w:val="53"/>
        </w:numPr>
        <w:rPr>
          <w:rFonts w:ascii="Arial" w:cs="Arial" w:eastAsia="Arial" w:hAnsi="Arial"/>
          <w:sz w:val="12"/>
          <w:szCs w:val="12"/>
          <w:b w:val="1"/>
          <w:bCs w:val="1"/>
          <w:color w:val="131313"/>
        </w:rPr>
      </w:pPr>
      <w:r>
        <w:rPr>
          <w:rFonts w:ascii="Arial" w:cs="Arial" w:eastAsia="Arial" w:hAnsi="Arial"/>
          <w:sz w:val="12"/>
          <w:szCs w:val="12"/>
          <w:b w:val="1"/>
          <w:bCs w:val="1"/>
          <w:color w:val="131313"/>
        </w:rPr>
        <w:t>REDEVELOPMENT</w:t>
      </w:r>
    </w:p>
    <w:p>
      <w:pPr>
        <w:spacing w:after="0" w:line="204" w:lineRule="exact"/>
        <w:rPr>
          <w:rFonts w:ascii="Arial" w:cs="Arial" w:eastAsia="Arial" w:hAnsi="Arial"/>
          <w:sz w:val="12"/>
          <w:szCs w:val="12"/>
          <w:b w:val="1"/>
          <w:bCs w:val="1"/>
          <w:color w:val="131313"/>
        </w:rPr>
      </w:pPr>
    </w:p>
    <w:p>
      <w:pPr>
        <w:ind w:left="600"/>
        <w:spacing w:after="0"/>
        <w:rPr>
          <w:rFonts w:ascii="Arial" w:cs="Arial" w:eastAsia="Arial" w:hAnsi="Arial"/>
          <w:sz w:val="12"/>
          <w:szCs w:val="12"/>
          <w:b w:val="1"/>
          <w:bCs w:val="1"/>
          <w:color w:val="131313"/>
        </w:rPr>
      </w:pPr>
      <w:r>
        <w:rPr>
          <w:rFonts w:ascii="Arial" w:cs="Arial" w:eastAsia="Arial" w:hAnsi="Arial"/>
          <w:sz w:val="12"/>
          <w:szCs w:val="12"/>
          <w:color w:val="131313"/>
        </w:rPr>
        <w:t>Without being affected by anything else in th</w:t>
      </w:r>
      <w:r>
        <w:rPr>
          <w:rFonts w:ascii="Arial" w:cs="Arial" w:eastAsia="Arial" w:hAnsi="Arial"/>
          <w:sz w:val="12"/>
          <w:szCs w:val="12"/>
          <w:color w:val="2D2D2D"/>
        </w:rPr>
        <w:t>i</w:t>
      </w:r>
      <w:r>
        <w:rPr>
          <w:rFonts w:ascii="Arial" w:cs="Arial" w:eastAsia="Arial" w:hAnsi="Arial"/>
          <w:sz w:val="12"/>
          <w:szCs w:val="12"/>
          <w:color w:val="131313"/>
        </w:rPr>
        <w:t>s Lease, if at any time during the Term we decide that:-</w:t>
      </w:r>
    </w:p>
    <w:p>
      <w:pPr>
        <w:spacing w:after="0" w:line="190" w:lineRule="exact"/>
        <w:rPr>
          <w:rFonts w:ascii="Arial" w:cs="Arial" w:eastAsia="Arial" w:hAnsi="Arial"/>
          <w:sz w:val="12"/>
          <w:szCs w:val="12"/>
          <w:b w:val="1"/>
          <w:bCs w:val="1"/>
          <w:color w:val="131313"/>
        </w:rPr>
      </w:pPr>
    </w:p>
    <w:p>
      <w:pPr>
        <w:ind w:left="1080" w:hanging="481"/>
        <w:spacing w:after="0"/>
        <w:tabs>
          <w:tab w:leader="none" w:pos="1080" w:val="left"/>
        </w:tabs>
        <w:numPr>
          <w:ilvl w:val="1"/>
          <w:numId w:val="53"/>
        </w:numPr>
        <w:rPr>
          <w:rFonts w:ascii="Arial" w:cs="Arial" w:eastAsia="Arial" w:hAnsi="Arial"/>
          <w:sz w:val="12"/>
          <w:szCs w:val="12"/>
          <w:color w:val="131313"/>
        </w:rPr>
      </w:pPr>
      <w:r>
        <w:rPr>
          <w:rFonts w:ascii="Arial" w:cs="Arial" w:eastAsia="Arial" w:hAnsi="Arial"/>
          <w:sz w:val="12"/>
          <w:szCs w:val="12"/>
          <w:color w:val="131313"/>
        </w:rPr>
        <w:t>the Building is to be demolished for redevelopment; or</w:t>
      </w:r>
    </w:p>
    <w:p>
      <w:pPr>
        <w:spacing w:after="0" w:line="190" w:lineRule="exact"/>
        <w:rPr>
          <w:rFonts w:ascii="Arial" w:cs="Arial" w:eastAsia="Arial" w:hAnsi="Arial"/>
          <w:sz w:val="12"/>
          <w:szCs w:val="12"/>
          <w:color w:val="131313"/>
        </w:rPr>
      </w:pPr>
    </w:p>
    <w:p>
      <w:pPr>
        <w:ind w:left="1080" w:hanging="481"/>
        <w:spacing w:after="0"/>
        <w:tabs>
          <w:tab w:leader="none" w:pos="1080" w:val="left"/>
        </w:tabs>
        <w:numPr>
          <w:ilvl w:val="1"/>
          <w:numId w:val="53"/>
        </w:numPr>
        <w:rPr>
          <w:rFonts w:ascii="Arial" w:cs="Arial" w:eastAsia="Arial" w:hAnsi="Arial"/>
          <w:sz w:val="12"/>
          <w:szCs w:val="12"/>
          <w:color w:val="131313"/>
        </w:rPr>
      </w:pPr>
      <w:r>
        <w:rPr>
          <w:rFonts w:ascii="Arial" w:cs="Arial" w:eastAsia="Arial" w:hAnsi="Arial"/>
          <w:sz w:val="12"/>
          <w:szCs w:val="12"/>
          <w:color w:val="131313"/>
        </w:rPr>
        <w:t>the Building or any part of the Building is to be renovated, retrofitted, refurbished or altered, and this will affect the Prem</w:t>
      </w:r>
      <w:r>
        <w:rPr>
          <w:rFonts w:ascii="Arial" w:cs="Arial" w:eastAsia="Arial" w:hAnsi="Arial"/>
          <w:sz w:val="12"/>
          <w:szCs w:val="12"/>
          <w:color w:val="2D2D2D"/>
        </w:rPr>
        <w:t>i</w:t>
      </w:r>
      <w:r>
        <w:rPr>
          <w:rFonts w:ascii="Arial" w:cs="Arial" w:eastAsia="Arial" w:hAnsi="Arial"/>
          <w:sz w:val="12"/>
          <w:szCs w:val="12"/>
          <w:color w:val="131313"/>
        </w:rPr>
        <w:t>ses,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2"/>
          <w:szCs w:val="12"/>
          <w:color w:val="131313"/>
        </w:rPr>
        <w:t>we may end this Lease by giving you 06 months' notice in writing.</w:t>
      </w:r>
    </w:p>
    <w:p>
      <w:pPr>
        <w:spacing w:after="0" w:line="190" w:lineRule="exact"/>
        <w:rPr>
          <w:sz w:val="20"/>
          <w:szCs w:val="20"/>
          <w:color w:val="auto"/>
        </w:rPr>
      </w:pPr>
    </w:p>
    <w:p>
      <w:pPr>
        <w:jc w:val="both"/>
        <w:ind w:left="600"/>
        <w:spacing w:after="0" w:line="250" w:lineRule="auto"/>
        <w:rPr>
          <w:sz w:val="20"/>
          <w:szCs w:val="20"/>
          <w:color w:val="auto"/>
        </w:rPr>
      </w:pPr>
      <w:r>
        <w:rPr>
          <w:rFonts w:ascii="Arial" w:cs="Arial" w:eastAsia="Arial" w:hAnsi="Arial"/>
          <w:sz w:val="12"/>
          <w:szCs w:val="12"/>
          <w:color w:val="131313"/>
        </w:rPr>
        <w:t>When this Lease ends, you must deliver vacant possession of the Premises to us in line with the terms of this Lease, and you will have no claim (including right of compensation) against us for ending this Lease.</w:t>
      </w:r>
    </w:p>
    <w:p>
      <w:pPr>
        <w:spacing w:after="0" w:line="178" w:lineRule="exact"/>
        <w:rPr>
          <w:sz w:val="20"/>
          <w:szCs w:val="20"/>
          <w:color w:val="auto"/>
        </w:rPr>
      </w:pPr>
    </w:p>
    <w:p>
      <w:pPr>
        <w:jc w:val="both"/>
        <w:ind w:left="600" w:firstLine="2"/>
        <w:spacing w:after="0" w:line="245" w:lineRule="auto"/>
        <w:rPr>
          <w:sz w:val="20"/>
          <w:szCs w:val="20"/>
          <w:color w:val="auto"/>
        </w:rPr>
      </w:pPr>
      <w:r>
        <w:rPr>
          <w:rFonts w:ascii="Arial" w:cs="Arial" w:eastAsia="Arial" w:hAnsi="Arial"/>
          <w:sz w:val="12"/>
          <w:szCs w:val="12"/>
          <w:color w:val="131313"/>
        </w:rPr>
        <w:t>To avoid any doubt, th</w:t>
      </w:r>
      <w:r>
        <w:rPr>
          <w:rFonts w:ascii="Arial" w:cs="Arial" w:eastAsia="Arial" w:hAnsi="Arial"/>
          <w:sz w:val="12"/>
          <w:szCs w:val="12"/>
          <w:color w:val="2D2D2D"/>
        </w:rPr>
        <w:t>i</w:t>
      </w:r>
      <w:r>
        <w:rPr>
          <w:rFonts w:ascii="Arial" w:cs="Arial" w:eastAsia="Arial" w:hAnsi="Arial"/>
          <w:sz w:val="12"/>
          <w:szCs w:val="12"/>
          <w:color w:val="131313"/>
        </w:rPr>
        <w:t>s will not affect any rights and remedies that we may have against you in respect of any of your failure to keep to the terms and conditions of this Lease which occurred before the ending of this Lease</w:t>
      </w:r>
      <w:r>
        <w:rPr>
          <w:rFonts w:ascii="Arial" w:cs="Arial" w:eastAsia="Arial" w:hAnsi="Arial"/>
          <w:sz w:val="12"/>
          <w:szCs w:val="12"/>
          <w:color w:val="2D2D2D"/>
        </w:rPr>
        <w:t>.</w:t>
      </w:r>
      <w:r>
        <w:rPr>
          <w:rFonts w:ascii="Arial" w:cs="Arial" w:eastAsia="Arial" w:hAnsi="Arial"/>
          <w:sz w:val="12"/>
          <w:szCs w:val="12"/>
          <w:color w:val="131313"/>
        </w:rPr>
        <w:t xml:space="preserve"> We may also offer you alternative space if available which you may relocate to within such time as we notify you and on such rent, lease term and other terms and conditions as we may decide. Whether or not you accept the offer, this will not affect your obligation to deliver vacant possession of the Premises on the date set out in the notice.</w:t>
      </w:r>
    </w:p>
    <w:p>
      <w:pPr>
        <w:spacing w:after="0" w:line="167" w:lineRule="exact"/>
        <w:rPr>
          <w:sz w:val="20"/>
          <w:szCs w:val="20"/>
          <w:color w:val="auto"/>
        </w:rPr>
      </w:pPr>
    </w:p>
    <w:p>
      <w:pPr>
        <w:ind w:left="380" w:hanging="255"/>
        <w:spacing w:after="0"/>
        <w:tabs>
          <w:tab w:leader="none" w:pos="380" w:val="left"/>
        </w:tabs>
        <w:numPr>
          <w:ilvl w:val="0"/>
          <w:numId w:val="54"/>
        </w:numPr>
        <w:rPr>
          <w:rFonts w:ascii="Arial" w:cs="Arial" w:eastAsia="Arial" w:hAnsi="Arial"/>
          <w:sz w:val="12"/>
          <w:szCs w:val="12"/>
          <w:b w:val="1"/>
          <w:bCs w:val="1"/>
          <w:color w:val="131313"/>
        </w:rPr>
      </w:pPr>
      <w:r>
        <w:rPr>
          <w:rFonts w:ascii="Arial" w:cs="Arial" w:eastAsia="Arial" w:hAnsi="Arial"/>
          <w:sz w:val="12"/>
          <w:szCs w:val="12"/>
          <w:b w:val="1"/>
          <w:bCs w:val="1"/>
          <w:color w:val="131313"/>
        </w:rPr>
        <w:t>GREEN LEASE CERTIFIED/GOLD REQUIREMENTS</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2"/>
          <w:szCs w:val="12"/>
          <w:color w:val="131313"/>
        </w:rPr>
        <w:t>As the Building is presently or intended to be Green Mark certified, you must keep to our following requirements during the Term:</w:t>
      </w:r>
    </w:p>
    <w:p>
      <w:pPr>
        <w:spacing w:after="0" w:line="116" w:lineRule="exact"/>
        <w:rPr>
          <w:sz w:val="20"/>
          <w:szCs w:val="20"/>
          <w:color w:val="auto"/>
        </w:rPr>
      </w:pPr>
    </w:p>
    <w:p>
      <w:pPr>
        <w:jc w:val="both"/>
        <w:ind w:left="1080" w:hanging="481"/>
        <w:spacing w:after="0" w:line="245" w:lineRule="auto"/>
        <w:tabs>
          <w:tab w:leader="none" w:pos="1079" w:val="left"/>
        </w:tabs>
        <w:numPr>
          <w:ilvl w:val="0"/>
          <w:numId w:val="55"/>
        </w:numPr>
        <w:rPr>
          <w:rFonts w:ascii="Arial" w:cs="Arial" w:eastAsia="Arial" w:hAnsi="Arial"/>
          <w:sz w:val="12"/>
          <w:szCs w:val="12"/>
          <w:color w:val="131313"/>
        </w:rPr>
      </w:pPr>
      <w:r>
        <w:rPr>
          <w:rFonts w:ascii="Arial" w:cs="Arial" w:eastAsia="Arial" w:hAnsi="Arial"/>
          <w:sz w:val="12"/>
          <w:szCs w:val="12"/>
          <w:color w:val="131313"/>
        </w:rPr>
        <w:t>You must use energy-saving light bulbs for lighting and the overall lighting power density for office area together with laboratories shall not exceed 10 watts per square metre. If you use fluorescent light fittings, you must install it with electronics ballast. You may also use LED lights for as long as such lights do not exceed 8 watts per square metre. You must submit the lighting technical specifications, lighting schedules (showing the quantity, types of lightings and location), lighting layout plans, and the lighting power budget to us for approval before installation.</w:t>
      </w:r>
    </w:p>
    <w:p>
      <w:pPr>
        <w:spacing w:after="0" w:line="96" w:lineRule="exact"/>
        <w:rPr>
          <w:rFonts w:ascii="Arial" w:cs="Arial" w:eastAsia="Arial" w:hAnsi="Arial"/>
          <w:sz w:val="12"/>
          <w:szCs w:val="12"/>
          <w:color w:val="131313"/>
        </w:rPr>
      </w:pPr>
    </w:p>
    <w:p>
      <w:pPr>
        <w:ind w:left="1080" w:hanging="481"/>
        <w:spacing w:after="0" w:line="250" w:lineRule="auto"/>
        <w:tabs>
          <w:tab w:leader="none" w:pos="1079" w:val="left"/>
        </w:tabs>
        <w:numPr>
          <w:ilvl w:val="0"/>
          <w:numId w:val="55"/>
        </w:numPr>
        <w:rPr>
          <w:rFonts w:ascii="Arial" w:cs="Arial" w:eastAsia="Arial" w:hAnsi="Arial"/>
          <w:sz w:val="12"/>
          <w:szCs w:val="12"/>
          <w:color w:val="131313"/>
        </w:rPr>
      </w:pPr>
      <w:r>
        <w:rPr>
          <w:rFonts w:ascii="Arial" w:cs="Arial" w:eastAsia="Arial" w:hAnsi="Arial"/>
          <w:sz w:val="12"/>
          <w:szCs w:val="12"/>
          <w:color w:val="131313"/>
        </w:rPr>
        <w:t>The overall lighting power density for retail and food &amp; beverage areas shall not exceed 20 watts per square metre and 10 watts per square metre respectively. You must submit the lighting technical specifications, lighting schedules (showing the quantity, types of lightings and location), lighting layout plans, and the lighting power budget to us for approval before installation.</w:t>
      </w:r>
    </w:p>
    <w:p>
      <w:pPr>
        <w:spacing w:after="0" w:line="104" w:lineRule="exact"/>
        <w:rPr>
          <w:rFonts w:ascii="Arial" w:cs="Arial" w:eastAsia="Arial" w:hAnsi="Arial"/>
          <w:sz w:val="12"/>
          <w:szCs w:val="12"/>
          <w:color w:val="131313"/>
        </w:rPr>
      </w:pPr>
    </w:p>
    <w:p>
      <w:pPr>
        <w:ind w:left="1080" w:hanging="481"/>
        <w:spacing w:after="0"/>
        <w:tabs>
          <w:tab w:leader="none" w:pos="1080" w:val="left"/>
        </w:tabs>
        <w:numPr>
          <w:ilvl w:val="0"/>
          <w:numId w:val="55"/>
        </w:numPr>
        <w:rPr>
          <w:rFonts w:ascii="Arial" w:cs="Arial" w:eastAsia="Arial" w:hAnsi="Arial"/>
          <w:sz w:val="12"/>
          <w:szCs w:val="12"/>
          <w:color w:val="131313"/>
        </w:rPr>
      </w:pPr>
      <w:r>
        <w:rPr>
          <w:rFonts w:ascii="Arial" w:cs="Arial" w:eastAsia="Arial" w:hAnsi="Arial"/>
          <w:sz w:val="12"/>
          <w:szCs w:val="12"/>
          <w:color w:val="131313"/>
        </w:rPr>
        <w:t>You must not use halogen light fittings in the Building.</w:t>
      </w:r>
    </w:p>
    <w:p>
      <w:pPr>
        <w:spacing w:after="0" w:line="116" w:lineRule="exact"/>
        <w:rPr>
          <w:rFonts w:ascii="Arial" w:cs="Arial" w:eastAsia="Arial" w:hAnsi="Arial"/>
          <w:sz w:val="12"/>
          <w:szCs w:val="12"/>
          <w:color w:val="131313"/>
        </w:rPr>
      </w:pPr>
    </w:p>
    <w:p>
      <w:pPr>
        <w:ind w:left="1080" w:hanging="481"/>
        <w:spacing w:after="0"/>
        <w:tabs>
          <w:tab w:leader="none" w:pos="1080" w:val="left"/>
        </w:tabs>
        <w:numPr>
          <w:ilvl w:val="0"/>
          <w:numId w:val="55"/>
        </w:numPr>
        <w:rPr>
          <w:rFonts w:ascii="Arial" w:cs="Arial" w:eastAsia="Arial" w:hAnsi="Arial"/>
          <w:sz w:val="12"/>
          <w:szCs w:val="12"/>
          <w:color w:val="131313"/>
        </w:rPr>
      </w:pPr>
      <w:r>
        <w:rPr>
          <w:rFonts w:ascii="Arial" w:cs="Arial" w:eastAsia="Arial" w:hAnsi="Arial"/>
          <w:sz w:val="12"/>
          <w:szCs w:val="12"/>
          <w:color w:val="131313"/>
        </w:rPr>
        <w:t>You must ensure that if an area is not used frequently or only used occasionally, it must have provision of occupancy sensor to switch off the light when there is no occupant in the area.</w:t>
      </w:r>
    </w:p>
    <w:p>
      <w:pPr>
        <w:spacing w:after="0" w:line="105" w:lineRule="exact"/>
        <w:rPr>
          <w:rFonts w:ascii="Arial" w:cs="Arial" w:eastAsia="Arial" w:hAnsi="Arial"/>
          <w:sz w:val="12"/>
          <w:szCs w:val="12"/>
          <w:color w:val="131313"/>
        </w:rPr>
      </w:pPr>
    </w:p>
    <w:p>
      <w:pPr>
        <w:ind w:left="1080" w:hanging="481"/>
        <w:spacing w:after="0"/>
        <w:tabs>
          <w:tab w:leader="none" w:pos="1080" w:val="left"/>
        </w:tabs>
        <w:numPr>
          <w:ilvl w:val="0"/>
          <w:numId w:val="55"/>
        </w:numPr>
        <w:rPr>
          <w:rFonts w:ascii="Arial" w:cs="Arial" w:eastAsia="Arial" w:hAnsi="Arial"/>
          <w:sz w:val="12"/>
          <w:szCs w:val="12"/>
          <w:color w:val="131313"/>
        </w:rPr>
      </w:pPr>
      <w:r>
        <w:rPr>
          <w:rFonts w:ascii="Arial" w:cs="Arial" w:eastAsia="Arial" w:hAnsi="Arial"/>
          <w:sz w:val="12"/>
          <w:szCs w:val="12"/>
          <w:color w:val="131313"/>
        </w:rPr>
        <w:t>You must not remove occupancy sensors installed in the toilets under any circumstance.</w:t>
      </w:r>
    </w:p>
    <w:p>
      <w:pPr>
        <w:spacing w:after="0" w:line="116" w:lineRule="exact"/>
        <w:rPr>
          <w:rFonts w:ascii="Arial" w:cs="Arial" w:eastAsia="Arial" w:hAnsi="Arial"/>
          <w:sz w:val="12"/>
          <w:szCs w:val="12"/>
          <w:color w:val="131313"/>
        </w:rPr>
      </w:pPr>
    </w:p>
    <w:p>
      <w:pPr>
        <w:ind w:left="1080" w:hanging="481"/>
        <w:spacing w:after="0" w:line="250" w:lineRule="auto"/>
        <w:tabs>
          <w:tab w:leader="none" w:pos="1079" w:val="left"/>
        </w:tabs>
        <w:numPr>
          <w:ilvl w:val="0"/>
          <w:numId w:val="55"/>
        </w:numPr>
        <w:rPr>
          <w:rFonts w:ascii="Arial" w:cs="Arial" w:eastAsia="Arial" w:hAnsi="Arial"/>
          <w:sz w:val="12"/>
          <w:szCs w:val="12"/>
          <w:color w:val="131313"/>
        </w:rPr>
      </w:pPr>
      <w:r>
        <w:rPr>
          <w:rFonts w:ascii="Arial" w:cs="Arial" w:eastAsia="Arial" w:hAnsi="Arial"/>
          <w:sz w:val="12"/>
          <w:szCs w:val="12"/>
          <w:color w:val="131313"/>
        </w:rPr>
        <w:t>If you need to replace any light fittings in the toilets, the overall lighting power density for each toilet must not exceed 10 watts per square metre and such replacement will be subject to our prior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200"/>
          </w:cols>
          <w:pgMar w:left="300" w:top="1440" w:right="39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3">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55" w:lineRule="exact"/>
        <w:rPr>
          <w:sz w:val="20"/>
          <w:szCs w:val="20"/>
          <w:color w:val="auto"/>
        </w:rPr>
      </w:pPr>
    </w:p>
    <w:p>
      <w:pPr>
        <w:ind w:left="1080" w:hanging="481"/>
        <w:spacing w:after="0"/>
        <w:tabs>
          <w:tab w:leader="none" w:pos="10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You must ensure that the design or installation for lighting installation in the Premises must have proper zoning together with switch control to switch on and off the zone.</w:t>
      </w:r>
    </w:p>
    <w:p>
      <w:pPr>
        <w:spacing w:after="0" w:line="94" w:lineRule="exact"/>
        <w:rPr>
          <w:rFonts w:ascii="Arial" w:cs="Arial" w:eastAsia="Arial" w:hAnsi="Arial"/>
          <w:sz w:val="12"/>
          <w:szCs w:val="12"/>
          <w:color w:val="auto"/>
        </w:rPr>
      </w:pPr>
    </w:p>
    <w:p>
      <w:pPr>
        <w:ind w:left="1080" w:hanging="481"/>
        <w:spacing w:after="0" w:line="250" w:lineRule="auto"/>
        <w:tabs>
          <w:tab w:leader="none" w:pos="1079" w:val="left"/>
        </w:tabs>
        <w:numPr>
          <w:ilvl w:val="0"/>
          <w:numId w:val="56"/>
        </w:numPr>
        <w:rPr>
          <w:rFonts w:ascii="Arial" w:cs="Arial" w:eastAsia="Arial" w:hAnsi="Arial"/>
          <w:sz w:val="12"/>
          <w:szCs w:val="12"/>
          <w:color w:val="131313"/>
        </w:rPr>
      </w:pPr>
      <w:r>
        <w:rPr>
          <w:rFonts w:ascii="Arial" w:cs="Arial" w:eastAsia="Arial" w:hAnsi="Arial"/>
          <w:sz w:val="12"/>
          <w:szCs w:val="12"/>
          <w:color w:val="131313"/>
        </w:rPr>
        <w:t>You must provide separate sub-meters for server rooms and data centres to monitor your energy consumption. You must provide such data to us annually for Green Mark verification and auditing. These sub-meters must be linked to our building automation system for recording of your energy consumption and for Green Mark verification purposes.</w:t>
      </w:r>
    </w:p>
    <w:p>
      <w:pPr>
        <w:spacing w:after="0" w:line="104" w:lineRule="exact"/>
        <w:rPr>
          <w:rFonts w:ascii="Arial" w:cs="Arial" w:eastAsia="Arial" w:hAnsi="Arial"/>
          <w:sz w:val="12"/>
          <w:szCs w:val="12"/>
          <w:color w:val="131313"/>
        </w:rPr>
      </w:pPr>
    </w:p>
    <w:p>
      <w:pPr>
        <w:jc w:val="both"/>
        <w:ind w:left="1080" w:hanging="481"/>
        <w:spacing w:after="0" w:line="243" w:lineRule="auto"/>
        <w:tabs>
          <w:tab w:leader="none" w:pos="1079" w:val="left"/>
        </w:tabs>
        <w:numPr>
          <w:ilvl w:val="0"/>
          <w:numId w:val="56"/>
        </w:numPr>
        <w:rPr>
          <w:rFonts w:ascii="Arial" w:cs="Arial" w:eastAsia="Arial" w:hAnsi="Arial"/>
          <w:sz w:val="12"/>
          <w:szCs w:val="12"/>
          <w:color w:val="131313"/>
        </w:rPr>
      </w:pPr>
      <w:r>
        <w:rPr>
          <w:rFonts w:ascii="Arial" w:cs="Arial" w:eastAsia="Arial" w:hAnsi="Arial"/>
          <w:sz w:val="12"/>
          <w:szCs w:val="12"/>
          <w:color w:val="131313"/>
        </w:rPr>
        <w:t>If you require any stand-alone air-cooled air-conditioning system for the Premises, you must first discuss with our agent, Ascendas Services Pte Ltd to explore the feasibility of tapping the Building’s chilled water and confirm if it is more energy efficient to do so than installing stand-alone air-cooled air-conditioning system.Only air-cooled air-conditioning system with minimum coefficient of performance (“COP”) of 3.78 or more is allowed to be installed and you must submit the system’s efficiency computation, technical specifications and evidence of achieving the targeted COP to us for approval before installation.</w:t>
      </w:r>
    </w:p>
    <w:p>
      <w:pPr>
        <w:spacing w:after="0" w:line="108" w:lineRule="exact"/>
        <w:rPr>
          <w:rFonts w:ascii="Arial" w:cs="Arial" w:eastAsia="Arial" w:hAnsi="Arial"/>
          <w:sz w:val="12"/>
          <w:szCs w:val="12"/>
          <w:color w:val="131313"/>
        </w:rPr>
      </w:pPr>
    </w:p>
    <w:p>
      <w:pPr>
        <w:ind w:left="1080" w:hanging="481"/>
        <w:spacing w:after="0" w:line="250" w:lineRule="auto"/>
        <w:tabs>
          <w:tab w:leader="none" w:pos="1072" w:val="left"/>
        </w:tabs>
        <w:numPr>
          <w:ilvl w:val="0"/>
          <w:numId w:val="56"/>
        </w:numPr>
        <w:rPr>
          <w:rFonts w:ascii="Arial" w:cs="Arial" w:eastAsia="Arial" w:hAnsi="Arial"/>
          <w:sz w:val="12"/>
          <w:szCs w:val="12"/>
          <w:color w:val="131313"/>
        </w:rPr>
      </w:pPr>
      <w:r>
        <w:rPr>
          <w:rFonts w:ascii="Arial" w:cs="Arial" w:eastAsia="Arial" w:hAnsi="Arial"/>
          <w:sz w:val="12"/>
          <w:szCs w:val="12"/>
          <w:color w:val="131313"/>
        </w:rPr>
        <w:t>You must ensure that all air-conditioning systems installed are designed to allow for cooling load variations due to fluctuations in ambient temperature to ensure consistent indoor conditions for thermal comfort. As required by the relevant codes of practices, the indoor temperature shall be between 230C to 250C with relative humidity less than 65 percent.</w:t>
      </w:r>
    </w:p>
    <w:p>
      <w:pPr>
        <w:spacing w:after="0" w:line="93" w:lineRule="exact"/>
        <w:rPr>
          <w:rFonts w:ascii="Arial" w:cs="Arial" w:eastAsia="Arial" w:hAnsi="Arial"/>
          <w:sz w:val="12"/>
          <w:szCs w:val="12"/>
          <w:color w:val="131313"/>
        </w:rPr>
      </w:pPr>
    </w:p>
    <w:p>
      <w:pPr>
        <w:jc w:val="both"/>
        <w:ind w:left="1080" w:hanging="481"/>
        <w:spacing w:after="0" w:line="245" w:lineRule="auto"/>
        <w:tabs>
          <w:tab w:leader="none" w:pos="1072" w:val="left"/>
        </w:tabs>
        <w:numPr>
          <w:ilvl w:val="0"/>
          <w:numId w:val="56"/>
        </w:numPr>
        <w:rPr>
          <w:rFonts w:ascii="Arial" w:cs="Arial" w:eastAsia="Arial" w:hAnsi="Arial"/>
          <w:sz w:val="12"/>
          <w:szCs w:val="12"/>
          <w:color w:val="131313"/>
        </w:rPr>
      </w:pPr>
      <w:r>
        <w:rPr>
          <w:rFonts w:ascii="Arial" w:cs="Arial" w:eastAsia="Arial" w:hAnsi="Arial"/>
          <w:sz w:val="12"/>
          <w:szCs w:val="12"/>
          <w:color w:val="131313"/>
        </w:rPr>
        <w:t>You must only use paints with low volatile organic compound (“VOC”) and adhesives with low emission formaldehyde certified by recognised Green Certification bodies such as Singapore Green Labeling Scheme(“SGLS”) or Singapore Green Building Product Scheme (“SGBP”). You must submit the relevant Green Certification bodies certification, layout plans showing the area of coverage and catalogues or technical specifications of the products to us for approval before installation.</w:t>
      </w:r>
    </w:p>
    <w:p>
      <w:pPr>
        <w:spacing w:after="0" w:line="106" w:lineRule="exact"/>
        <w:rPr>
          <w:rFonts w:ascii="Arial" w:cs="Arial" w:eastAsia="Arial" w:hAnsi="Arial"/>
          <w:sz w:val="12"/>
          <w:szCs w:val="12"/>
          <w:color w:val="131313"/>
        </w:rPr>
      </w:pPr>
    </w:p>
    <w:p>
      <w:pPr>
        <w:jc w:val="both"/>
        <w:ind w:left="1080" w:hanging="481"/>
        <w:spacing w:after="0" w:line="245" w:lineRule="auto"/>
        <w:tabs>
          <w:tab w:leader="none" w:pos="1072" w:val="left"/>
        </w:tabs>
        <w:numPr>
          <w:ilvl w:val="0"/>
          <w:numId w:val="56"/>
        </w:numPr>
        <w:rPr>
          <w:rFonts w:ascii="Arial" w:cs="Arial" w:eastAsia="Arial" w:hAnsi="Arial"/>
          <w:sz w:val="12"/>
          <w:szCs w:val="12"/>
          <w:color w:val="131313"/>
        </w:rPr>
      </w:pPr>
      <w:r>
        <w:rPr>
          <w:rFonts w:ascii="Arial" w:cs="Arial" w:eastAsia="Arial" w:hAnsi="Arial"/>
          <w:sz w:val="12"/>
          <w:szCs w:val="12"/>
          <w:color w:val="131313"/>
        </w:rPr>
        <w:t>You must promote the use of appropriate environmentally friendly products that are certified by recognized Green Certification bodies such as SGLS or SGBP in your fit-out works. You must submit the relevant Green Certification bodies certification and layout plans showing the area of coverage and catalogue/ technical specifications of the products to us for approval before installation.</w:t>
      </w:r>
    </w:p>
    <w:p>
      <w:pPr>
        <w:spacing w:after="0" w:line="106" w:lineRule="exact"/>
        <w:rPr>
          <w:rFonts w:ascii="Arial" w:cs="Arial" w:eastAsia="Arial" w:hAnsi="Arial"/>
          <w:sz w:val="12"/>
          <w:szCs w:val="12"/>
          <w:color w:val="131313"/>
        </w:rPr>
      </w:pPr>
    </w:p>
    <w:p>
      <w:pPr>
        <w:ind w:left="1080" w:hanging="481"/>
        <w:spacing w:after="0" w:line="250" w:lineRule="auto"/>
        <w:tabs>
          <w:tab w:leader="none" w:pos="1072" w:val="left"/>
        </w:tabs>
        <w:numPr>
          <w:ilvl w:val="0"/>
          <w:numId w:val="56"/>
        </w:numPr>
        <w:rPr>
          <w:rFonts w:ascii="Arial" w:cs="Arial" w:eastAsia="Arial" w:hAnsi="Arial"/>
          <w:sz w:val="12"/>
          <w:szCs w:val="12"/>
          <w:color w:val="131313"/>
        </w:rPr>
      </w:pPr>
      <w:r>
        <w:rPr>
          <w:rFonts w:ascii="Arial" w:cs="Arial" w:eastAsia="Arial" w:hAnsi="Arial"/>
          <w:sz w:val="12"/>
          <w:szCs w:val="12"/>
          <w:color w:val="131313"/>
        </w:rPr>
        <w:t>If any water fittings in the toilets are to be installed or replaced, you must only use the Public Utilities Board Water Efficiency Labelling Scheme (“PUB WELS”) certified 3-tick water fittings and such installations will be subjected to our prior approval.</w:t>
      </w:r>
    </w:p>
    <w:p>
      <w:pPr>
        <w:spacing w:after="0" w:line="93" w:lineRule="exact"/>
        <w:rPr>
          <w:rFonts w:ascii="Arial" w:cs="Arial" w:eastAsia="Arial" w:hAnsi="Arial"/>
          <w:sz w:val="12"/>
          <w:szCs w:val="12"/>
          <w:color w:val="131313"/>
        </w:rPr>
      </w:pPr>
    </w:p>
    <w:p>
      <w:pPr>
        <w:ind w:left="1080" w:hanging="481"/>
        <w:spacing w:after="0" w:line="250" w:lineRule="auto"/>
        <w:tabs>
          <w:tab w:leader="none" w:pos="1072" w:val="left"/>
        </w:tabs>
        <w:numPr>
          <w:ilvl w:val="0"/>
          <w:numId w:val="56"/>
        </w:numPr>
        <w:rPr>
          <w:rFonts w:ascii="Arial" w:cs="Arial" w:eastAsia="Arial" w:hAnsi="Arial"/>
          <w:sz w:val="12"/>
          <w:szCs w:val="12"/>
          <w:color w:val="131313"/>
        </w:rPr>
      </w:pPr>
      <w:r>
        <w:rPr>
          <w:rFonts w:ascii="Arial" w:cs="Arial" w:eastAsia="Arial" w:hAnsi="Arial"/>
          <w:sz w:val="12"/>
          <w:szCs w:val="12"/>
          <w:color w:val="131313"/>
        </w:rPr>
        <w:t>You are encouraged to promote and implement sustainability policies such as recycling program, provide recycle bins for the collection and storage of different recyclable waste, tracking the amount of waste recycled and energy-savings programs to conserve energy.</w:t>
      </w:r>
    </w:p>
    <w:p>
      <w:pPr>
        <w:spacing w:after="0" w:line="104" w:lineRule="exact"/>
        <w:rPr>
          <w:rFonts w:ascii="Arial" w:cs="Arial" w:eastAsia="Arial" w:hAnsi="Arial"/>
          <w:sz w:val="12"/>
          <w:szCs w:val="12"/>
          <w:color w:val="131313"/>
        </w:rPr>
      </w:pPr>
    </w:p>
    <w:p>
      <w:pPr>
        <w:ind w:left="1080" w:hanging="481"/>
        <w:spacing w:after="0"/>
        <w:tabs>
          <w:tab w:leader="none" w:pos="1080" w:val="left"/>
        </w:tabs>
        <w:numPr>
          <w:ilvl w:val="0"/>
          <w:numId w:val="56"/>
        </w:numPr>
        <w:rPr>
          <w:rFonts w:ascii="Arial" w:cs="Arial" w:eastAsia="Arial" w:hAnsi="Arial"/>
          <w:sz w:val="12"/>
          <w:szCs w:val="12"/>
          <w:color w:val="131313"/>
        </w:rPr>
      </w:pPr>
      <w:r>
        <w:rPr>
          <w:rFonts w:ascii="Arial" w:cs="Arial" w:eastAsia="Arial" w:hAnsi="Arial"/>
          <w:sz w:val="12"/>
          <w:szCs w:val="12"/>
          <w:color w:val="131313"/>
        </w:rPr>
        <w:t>You must keep in line with the steps set out in the flowchart in Annex 1 and fill in the form set out in Annex 2 below.</w:t>
      </w:r>
    </w:p>
    <w:p>
      <w:pPr>
        <w:spacing w:after="0" w:line="116" w:lineRule="exact"/>
        <w:rPr>
          <w:rFonts w:ascii="Arial" w:cs="Arial" w:eastAsia="Arial" w:hAnsi="Arial"/>
          <w:sz w:val="12"/>
          <w:szCs w:val="12"/>
          <w:color w:val="131313"/>
        </w:rPr>
      </w:pPr>
    </w:p>
    <w:p>
      <w:pPr>
        <w:jc w:val="both"/>
        <w:ind w:left="1080" w:hanging="481"/>
        <w:spacing w:after="0" w:line="245" w:lineRule="auto"/>
        <w:tabs>
          <w:tab w:leader="none" w:pos="1072" w:val="left"/>
        </w:tabs>
        <w:numPr>
          <w:ilvl w:val="0"/>
          <w:numId w:val="56"/>
        </w:numPr>
        <w:rPr>
          <w:rFonts w:ascii="Arial" w:cs="Arial" w:eastAsia="Arial" w:hAnsi="Arial"/>
          <w:sz w:val="11"/>
          <w:szCs w:val="11"/>
          <w:color w:val="auto"/>
        </w:rPr>
      </w:pPr>
      <w:r>
        <w:rPr>
          <w:rFonts w:ascii="Arial" w:cs="Arial" w:eastAsia="Arial" w:hAnsi="Arial"/>
          <w:sz w:val="12"/>
          <w:szCs w:val="12"/>
          <w:color w:val="131313"/>
        </w:rPr>
        <w:t>To avoid any doubt, you must keep to any changes to the latest relevant Green Lease requirements which may apply from time to time as required by the Authorities or us so that you do not affect our application for Green Mark certification or re-certification for the Building or Park. You may obtain a copy of the latest Green Lease requirements from the management office of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200"/>
          </w:cols>
          <w:pgMar w:left="300" w:top="1440" w:right="39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452120</wp:posOffset>
            </wp:positionV>
            <wp:extent cx="4135755" cy="63011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4">
                      <a:extLst>
                        <a:ext uri="{28A0092B-C50C-407E-A947-70E740481C1C}"/>
                      </a:extLst>
                    </a:blip>
                    <a:srcRect/>
                    <a:stretch>
                      <a:fillRect/>
                    </a:stretch>
                  </pic:blipFill>
                  <pic:spPr bwMode="auto">
                    <a:xfrm>
                      <a:off x="0" y="0"/>
                      <a:ext cx="4135755" cy="6301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0159"/>
          </w:cols>
          <w:pgMar w:left="300" w:top="1440"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452120</wp:posOffset>
            </wp:positionV>
            <wp:extent cx="4135755" cy="62001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5">
                      <a:extLst>
                        <a:ext uri="{28A0092B-C50C-407E-A947-70E740481C1C}"/>
                      </a:extLst>
                    </a:blip>
                    <a:srcRect/>
                    <a:stretch>
                      <a:fillRect/>
                    </a:stretch>
                  </pic:blipFill>
                  <pic:spPr bwMode="auto">
                    <a:xfrm>
                      <a:off x="0" y="0"/>
                      <a:ext cx="4135755" cy="620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420" w:type="dxa"/>
            <w:vAlign w:val="bottom"/>
          </w:tcPr>
          <w:p>
            <w:pPr>
              <w:jc w:val="right"/>
              <w:spacing w:after="0"/>
              <w:rPr>
                <w:sz w:val="20"/>
                <w:szCs w:val="20"/>
                <w:color w:val="auto"/>
              </w:rPr>
            </w:pPr>
            <w:r>
              <w:rPr>
                <w:rFonts w:ascii="Arial" w:cs="Arial" w:eastAsia="Arial" w:hAnsi="Arial"/>
                <w:sz w:val="14"/>
                <w:szCs w:val="14"/>
                <w:color w:val="auto"/>
              </w:rPr>
              <w:t>8</w:t>
            </w:r>
          </w:p>
        </w:tc>
      </w:tr>
    </w:tbl>
    <w:p>
      <w:pPr>
        <w:sectPr>
          <w:pgSz w:w="11900" w:h="16838" w:orient="portrait"/>
          <w:cols w:equalWidth="0" w:num="1">
            <w:col w:w="10159"/>
          </w:cols>
          <w:pgMar w:left="300" w:top="1440" w:right="1440"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452120</wp:posOffset>
            </wp:positionV>
            <wp:extent cx="4135755" cy="5978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6">
                      <a:extLst>
                        <a:ext uri="{28A0092B-C50C-407E-A947-70E740481C1C}"/>
                      </a:extLst>
                    </a:blip>
                    <a:srcRect/>
                    <a:stretch>
                      <a:fillRect/>
                    </a:stretch>
                  </pic:blipFill>
                  <pic:spPr bwMode="auto">
                    <a:xfrm>
                      <a:off x="0" y="0"/>
                      <a:ext cx="4135755" cy="597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420" w:type="dxa"/>
            <w:vAlign w:val="bottom"/>
          </w:tcPr>
          <w:p>
            <w:pPr>
              <w:jc w:val="right"/>
              <w:spacing w:after="0"/>
              <w:rPr>
                <w:sz w:val="20"/>
                <w:szCs w:val="20"/>
                <w:color w:val="auto"/>
              </w:rPr>
            </w:pPr>
            <w:r>
              <w:rPr>
                <w:rFonts w:ascii="Arial" w:cs="Arial" w:eastAsia="Arial" w:hAnsi="Arial"/>
                <w:sz w:val="14"/>
                <w:szCs w:val="14"/>
                <w:color w:val="auto"/>
              </w:rPr>
              <w:t>9</w:t>
            </w:r>
          </w:p>
        </w:tc>
      </w:tr>
    </w:tbl>
    <w:p>
      <w:pPr>
        <w:sectPr>
          <w:pgSz w:w="11900" w:h="16838" w:orient="portrait"/>
          <w:cols w:equalWidth="0" w:num="1">
            <w:col w:w="10159"/>
          </w:cols>
          <w:pgMar w:left="300" w:top="1440" w:right="1440" w:bottom="1440" w:gutter="0" w:footer="0" w:header="0"/>
        </w:sectPr>
      </w:pPr>
    </w:p>
    <w:bookmarkStart w:id="131" w:name="page132"/>
    <w:bookmarkEnd w:id="131"/>
    <w:p>
      <w:pPr>
        <w:spacing w:after="0" w:line="2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7">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ind w:left="2940"/>
        <w:spacing w:after="0"/>
        <w:rPr>
          <w:sz w:val="20"/>
          <w:szCs w:val="20"/>
          <w:color w:val="auto"/>
        </w:rPr>
      </w:pPr>
      <w:r>
        <w:rPr>
          <w:rFonts w:ascii="Arial" w:cs="Arial" w:eastAsia="Arial" w:hAnsi="Arial"/>
          <w:sz w:val="13"/>
          <w:szCs w:val="13"/>
          <w:b w:val="1"/>
          <w:bCs w:val="1"/>
          <w:color w:val="111111"/>
        </w:rPr>
        <w:t>SCHEDULE 4 STATEMENT OF ACCOUNTS</w:t>
      </w:r>
    </w:p>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27"/>
        </w:trPr>
        <w:tc>
          <w:tcPr>
            <w:tcW w:w="7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111111"/>
              </w:rPr>
              <w:t>Amount</w:t>
            </w: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262626"/>
              </w:rPr>
              <w:t>GST (7%)</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40"/>
              <w:spacing w:after="0"/>
              <w:rPr>
                <w:sz w:val="20"/>
                <w:szCs w:val="20"/>
                <w:color w:val="auto"/>
              </w:rPr>
            </w:pPr>
            <w:r>
              <w:rPr>
                <w:rFonts w:ascii="Arial" w:cs="Arial" w:eastAsia="Arial" w:hAnsi="Arial"/>
                <w:sz w:val="11"/>
                <w:szCs w:val="11"/>
                <w:b w:val="1"/>
                <w:bCs w:val="1"/>
                <w:color w:val="111111"/>
              </w:rPr>
              <w:t>NET RENT:</w:t>
            </w:r>
          </w:p>
        </w:tc>
        <w:tc>
          <w:tcPr>
            <w:tcW w:w="1060" w:type="dxa"/>
            <w:vAlign w:val="bottom"/>
          </w:tcPr>
          <w:p>
            <w:pPr>
              <w:spacing w:after="0" w:line="20" w:lineRule="exact"/>
              <w:rPr>
                <w:sz w:val="1"/>
                <w:szCs w:val="1"/>
                <w:color w:val="auto"/>
              </w:rPr>
            </w:pPr>
          </w:p>
        </w:tc>
        <w:tc>
          <w:tcPr>
            <w:tcW w:w="420" w:type="dxa"/>
            <w:vAlign w:val="bottom"/>
            <w:shd w:val="clear" w:color="auto" w:fill="1111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00" w:type="dxa"/>
            <w:vAlign w:val="bottom"/>
            <w:shd w:val="clear" w:color="auto" w:fill="26262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20" w:type="dxa"/>
            <w:vAlign w:val="bottom"/>
            <w:vMerge w:val="continue"/>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1"/>
                <w:szCs w:val="11"/>
                <w:color w:val="111111"/>
              </w:rPr>
              <w:t>$5,727.00</w:t>
            </w:r>
          </w:p>
        </w:tc>
        <w:tc>
          <w:tcPr>
            <w:tcW w:w="1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1"/>
                <w:szCs w:val="11"/>
                <w:color w:val="3A3A3A"/>
              </w:rPr>
              <w:t>$400</w:t>
            </w:r>
            <w:r>
              <w:rPr>
                <w:rFonts w:ascii="Arial" w:cs="Arial" w:eastAsia="Arial" w:hAnsi="Arial"/>
                <w:sz w:val="11"/>
                <w:szCs w:val="11"/>
                <w:color w:val="626262"/>
              </w:rPr>
              <w:t>.</w:t>
            </w:r>
            <w:r>
              <w:rPr>
                <w:rFonts w:ascii="Arial" w:cs="Arial" w:eastAsia="Arial" w:hAnsi="Arial"/>
                <w:sz w:val="11"/>
                <w:szCs w:val="11"/>
                <w:color w:val="262626"/>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20" w:type="dxa"/>
            <w:vAlign w:val="bottom"/>
          </w:tcPr>
          <w:p>
            <w:pPr>
              <w:ind w:left="40"/>
              <w:spacing w:after="0"/>
              <w:rPr>
                <w:sz w:val="20"/>
                <w:szCs w:val="20"/>
                <w:color w:val="auto"/>
              </w:rPr>
            </w:pPr>
            <w:r>
              <w:rPr>
                <w:rFonts w:ascii="Arial" w:cs="Arial" w:eastAsia="Arial" w:hAnsi="Arial"/>
                <w:sz w:val="11"/>
                <w:szCs w:val="11"/>
                <w:color w:val="111111"/>
              </w:rPr>
              <w:t>$12.45 per square metre per month on 460.00 square metres for a</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40"/>
              <w:spacing w:after="0"/>
              <w:rPr>
                <w:sz w:val="20"/>
                <w:szCs w:val="20"/>
                <w:color w:val="auto"/>
              </w:rPr>
            </w:pPr>
            <w:r>
              <w:rPr>
                <w:rFonts w:ascii="Arial" w:cs="Arial" w:eastAsia="Arial" w:hAnsi="Arial"/>
                <w:sz w:val="11"/>
                <w:szCs w:val="11"/>
                <w:color w:val="111111"/>
              </w:rPr>
              <w:t>period of 14 months beginning from 1 February 2022</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40"/>
              <w:spacing w:after="0"/>
              <w:rPr>
                <w:sz w:val="20"/>
                <w:szCs w:val="20"/>
                <w:color w:val="auto"/>
              </w:rPr>
            </w:pPr>
            <w:r>
              <w:rPr>
                <w:rFonts w:ascii="Arial" w:cs="Arial" w:eastAsia="Arial" w:hAnsi="Arial"/>
                <w:sz w:val="11"/>
                <w:szCs w:val="11"/>
                <w:b w:val="1"/>
                <w:bCs w:val="1"/>
                <w:color w:val="111111"/>
              </w:rPr>
              <w:t>SERVICE CHARGE:</w:t>
            </w:r>
          </w:p>
        </w:tc>
        <w:tc>
          <w:tcPr>
            <w:tcW w:w="1480" w:type="dxa"/>
            <w:vAlign w:val="bottom"/>
            <w:gridSpan w:val="2"/>
          </w:tcPr>
          <w:p>
            <w:pPr>
              <w:jc w:val="right"/>
              <w:spacing w:after="0"/>
              <w:rPr>
                <w:sz w:val="20"/>
                <w:szCs w:val="20"/>
                <w:color w:val="auto"/>
              </w:rPr>
            </w:pPr>
            <w:r>
              <w:rPr>
                <w:rFonts w:ascii="Arial" w:cs="Arial" w:eastAsia="Arial" w:hAnsi="Arial"/>
                <w:sz w:val="11"/>
                <w:szCs w:val="11"/>
                <w:color w:val="111111"/>
              </w:rPr>
              <w:t>$1,205.20</w:t>
            </w:r>
          </w:p>
        </w:tc>
        <w:tc>
          <w:tcPr>
            <w:tcW w:w="100" w:type="dxa"/>
            <w:vAlign w:val="bottom"/>
          </w:tcPr>
          <w:p>
            <w:pPr>
              <w:spacing w:after="0"/>
              <w:rPr>
                <w:sz w:val="15"/>
                <w:szCs w:val="15"/>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1"/>
                <w:szCs w:val="11"/>
                <w:color w:val="111111"/>
              </w:rPr>
              <w:t>$84.36</w:t>
            </w:r>
          </w:p>
        </w:tc>
        <w:tc>
          <w:tcPr>
            <w:tcW w:w="0" w:type="dxa"/>
            <w:vAlign w:val="bottom"/>
          </w:tcPr>
          <w:p>
            <w:pPr>
              <w:spacing w:after="0"/>
              <w:rPr>
                <w:sz w:val="1"/>
                <w:szCs w:val="1"/>
                <w:color w:val="auto"/>
              </w:rPr>
            </w:pPr>
          </w:p>
        </w:tc>
      </w:tr>
      <w:tr>
        <w:trPr>
          <w:trHeight w:val="180"/>
        </w:trPr>
        <w:tc>
          <w:tcPr>
            <w:tcW w:w="7120" w:type="dxa"/>
            <w:vAlign w:val="bottom"/>
          </w:tcPr>
          <w:p>
            <w:pPr>
              <w:ind w:left="40"/>
              <w:spacing w:after="0"/>
              <w:rPr>
                <w:sz w:val="20"/>
                <w:szCs w:val="20"/>
                <w:color w:val="auto"/>
              </w:rPr>
            </w:pPr>
            <w:r>
              <w:rPr>
                <w:rFonts w:ascii="Arial" w:cs="Arial" w:eastAsia="Arial" w:hAnsi="Arial"/>
                <w:sz w:val="11"/>
                <w:szCs w:val="11"/>
                <w:color w:val="111111"/>
              </w:rPr>
              <w:t>$2.62 per square metre per month on 460.00 square metres for a</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120" w:type="dxa"/>
            <w:vAlign w:val="bottom"/>
          </w:tcPr>
          <w:p>
            <w:pPr>
              <w:ind w:left="40"/>
              <w:spacing w:after="0"/>
              <w:rPr>
                <w:sz w:val="20"/>
                <w:szCs w:val="20"/>
                <w:color w:val="auto"/>
              </w:rPr>
            </w:pPr>
            <w:r>
              <w:rPr>
                <w:rFonts w:ascii="Arial" w:cs="Arial" w:eastAsia="Arial" w:hAnsi="Arial"/>
                <w:sz w:val="11"/>
                <w:szCs w:val="11"/>
                <w:color w:val="111111"/>
              </w:rPr>
              <w:t>period of 14 months beginning from 1 February 2022</w:t>
            </w: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120" w:type="dxa"/>
            <w:vAlign w:val="bottom"/>
          </w:tcPr>
          <w:p>
            <w:pPr>
              <w:ind w:left="40"/>
              <w:spacing w:after="0"/>
              <w:rPr>
                <w:sz w:val="20"/>
                <w:szCs w:val="20"/>
                <w:color w:val="auto"/>
              </w:rPr>
            </w:pPr>
            <w:r>
              <w:rPr>
                <w:rFonts w:ascii="Arial" w:cs="Arial" w:eastAsia="Arial" w:hAnsi="Arial"/>
                <w:sz w:val="11"/>
                <w:szCs w:val="11"/>
                <w:b w:val="1"/>
                <w:bCs w:val="1"/>
                <w:color w:val="111111"/>
              </w:rPr>
              <w:t>GROSS RENT:</w:t>
            </w:r>
          </w:p>
        </w:tc>
        <w:tc>
          <w:tcPr>
            <w:tcW w:w="1480" w:type="dxa"/>
            <w:vAlign w:val="bottom"/>
            <w:gridSpan w:val="2"/>
          </w:tcPr>
          <w:p>
            <w:pPr>
              <w:jc w:val="right"/>
              <w:spacing w:after="0"/>
              <w:rPr>
                <w:sz w:val="20"/>
                <w:szCs w:val="20"/>
                <w:color w:val="auto"/>
              </w:rPr>
            </w:pPr>
            <w:r>
              <w:rPr>
                <w:rFonts w:ascii="Arial" w:cs="Arial" w:eastAsia="Arial" w:hAnsi="Arial"/>
                <w:sz w:val="11"/>
                <w:szCs w:val="11"/>
                <w:color w:val="111111"/>
              </w:rPr>
              <w:t>$6,932.20</w:t>
            </w:r>
          </w:p>
        </w:tc>
        <w:tc>
          <w:tcPr>
            <w:tcW w:w="100" w:type="dxa"/>
            <w:vAlign w:val="bottom"/>
          </w:tcPr>
          <w:p>
            <w:pPr>
              <w:spacing w:after="0"/>
              <w:rPr>
                <w:sz w:val="14"/>
                <w:szCs w:val="14"/>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1"/>
                <w:szCs w:val="11"/>
                <w:color w:val="111111"/>
              </w:rPr>
              <w:t>$485.25</w:t>
            </w:r>
          </w:p>
        </w:tc>
        <w:tc>
          <w:tcPr>
            <w:tcW w:w="0" w:type="dxa"/>
            <w:vAlign w:val="bottom"/>
          </w:tcPr>
          <w:p>
            <w:pPr>
              <w:spacing w:after="0"/>
              <w:rPr>
                <w:sz w:val="1"/>
                <w:szCs w:val="1"/>
                <w:color w:val="auto"/>
              </w:rPr>
            </w:pPr>
          </w:p>
        </w:tc>
      </w:tr>
      <w:tr>
        <w:trPr>
          <w:trHeight w:val="180"/>
        </w:trPr>
        <w:tc>
          <w:tcPr>
            <w:tcW w:w="7120" w:type="dxa"/>
            <w:vAlign w:val="bottom"/>
          </w:tcPr>
          <w:p>
            <w:pPr>
              <w:ind w:left="40"/>
              <w:spacing w:after="0"/>
              <w:rPr>
                <w:sz w:val="20"/>
                <w:szCs w:val="20"/>
                <w:color w:val="auto"/>
              </w:rPr>
            </w:pPr>
            <w:r>
              <w:rPr>
                <w:rFonts w:ascii="Arial" w:cs="Arial" w:eastAsia="Arial" w:hAnsi="Arial"/>
                <w:sz w:val="11"/>
                <w:szCs w:val="11"/>
                <w:color w:val="111111"/>
              </w:rPr>
              <w:t>$15.07 per square metre per month on 460.00 square metres for a</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40"/>
              <w:spacing w:after="0"/>
              <w:rPr>
                <w:sz w:val="20"/>
                <w:szCs w:val="20"/>
                <w:color w:val="auto"/>
              </w:rPr>
            </w:pPr>
            <w:r>
              <w:rPr>
                <w:rFonts w:ascii="Arial" w:cs="Arial" w:eastAsia="Arial" w:hAnsi="Arial"/>
                <w:sz w:val="11"/>
                <w:szCs w:val="11"/>
                <w:color w:val="111111"/>
              </w:rPr>
              <w:t>period of 14 months beginning from 01 December 2020</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20" w:type="dxa"/>
            <w:vAlign w:val="bottom"/>
          </w:tcPr>
          <w:p>
            <w:pPr>
              <w:ind w:left="40"/>
              <w:spacing w:after="0"/>
              <w:rPr>
                <w:sz w:val="20"/>
                <w:szCs w:val="20"/>
                <w:color w:val="auto"/>
              </w:rPr>
            </w:pPr>
            <w:r>
              <w:rPr>
                <w:rFonts w:ascii="Arial" w:cs="Arial" w:eastAsia="Arial" w:hAnsi="Arial"/>
                <w:sz w:val="11"/>
                <w:szCs w:val="11"/>
                <w:b w:val="1"/>
                <w:bCs w:val="1"/>
                <w:color w:val="111111"/>
              </w:rPr>
              <w:t>Legal Fees</w:t>
            </w:r>
          </w:p>
        </w:tc>
        <w:tc>
          <w:tcPr>
            <w:tcW w:w="1480" w:type="dxa"/>
            <w:vAlign w:val="bottom"/>
            <w:gridSpan w:val="2"/>
          </w:tcPr>
          <w:p>
            <w:pPr>
              <w:jc w:val="right"/>
              <w:spacing w:after="0"/>
              <w:rPr>
                <w:sz w:val="20"/>
                <w:szCs w:val="20"/>
                <w:color w:val="auto"/>
              </w:rPr>
            </w:pPr>
            <w:r>
              <w:rPr>
                <w:rFonts w:ascii="Arial" w:cs="Arial" w:eastAsia="Arial" w:hAnsi="Arial"/>
                <w:sz w:val="11"/>
                <w:szCs w:val="11"/>
                <w:color w:val="111111"/>
              </w:rPr>
              <w:t>$800.00</w:t>
            </w:r>
          </w:p>
        </w:tc>
        <w:tc>
          <w:tcPr>
            <w:tcW w:w="100" w:type="dxa"/>
            <w:vAlign w:val="bottom"/>
          </w:tcPr>
          <w:p>
            <w:pPr>
              <w:spacing w:after="0"/>
              <w:rPr>
                <w:sz w:val="15"/>
                <w:szCs w:val="15"/>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1"/>
                <w:szCs w:val="11"/>
                <w:color w:val="111111"/>
              </w:rPr>
              <w:t>$56.00</w:t>
            </w:r>
          </w:p>
        </w:tc>
        <w:tc>
          <w:tcPr>
            <w:tcW w:w="0" w:type="dxa"/>
            <w:vAlign w:val="bottom"/>
          </w:tcPr>
          <w:p>
            <w:pPr>
              <w:spacing w:after="0"/>
              <w:rPr>
                <w:sz w:val="1"/>
                <w:szCs w:val="1"/>
                <w:color w:val="auto"/>
              </w:rPr>
            </w:pPr>
          </w:p>
        </w:tc>
      </w:tr>
      <w:tr>
        <w:trPr>
          <w:trHeight w:val="190"/>
        </w:trPr>
        <w:tc>
          <w:tcPr>
            <w:tcW w:w="7120" w:type="dxa"/>
            <w:vAlign w:val="bottom"/>
          </w:tcPr>
          <w:p>
            <w:pPr>
              <w:ind w:left="40"/>
              <w:spacing w:after="0"/>
              <w:rPr>
                <w:sz w:val="20"/>
                <w:szCs w:val="20"/>
                <w:color w:val="auto"/>
              </w:rPr>
            </w:pPr>
            <w:r>
              <w:rPr>
                <w:rFonts w:ascii="Arial" w:cs="Arial" w:eastAsia="Arial" w:hAnsi="Arial"/>
                <w:sz w:val="11"/>
                <w:szCs w:val="11"/>
                <w:b w:val="1"/>
                <w:bCs w:val="1"/>
                <w:color w:val="111111"/>
              </w:rPr>
              <w:t>Security Deposit in Cash</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111111"/>
              </w:rPr>
              <w:t>$20,796.60</w:t>
            </w:r>
          </w:p>
        </w:tc>
        <w:tc>
          <w:tcPr>
            <w:tcW w:w="1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120" w:type="dxa"/>
            <w:vAlign w:val="bottom"/>
          </w:tcPr>
          <w:p>
            <w:pPr>
              <w:ind w:left="40"/>
              <w:spacing w:after="0"/>
              <w:rPr>
                <w:sz w:val="20"/>
                <w:szCs w:val="20"/>
                <w:color w:val="auto"/>
              </w:rPr>
            </w:pPr>
            <w:r>
              <w:rPr>
                <w:rFonts w:ascii="Arial" w:cs="Arial" w:eastAsia="Arial" w:hAnsi="Arial"/>
                <w:sz w:val="11"/>
                <w:szCs w:val="11"/>
                <w:b w:val="1"/>
                <w:bCs w:val="1"/>
                <w:color w:val="111111"/>
              </w:rPr>
              <w:t>Subtotal</w:t>
            </w:r>
          </w:p>
        </w:tc>
        <w:tc>
          <w:tcPr>
            <w:tcW w:w="1480" w:type="dxa"/>
            <w:vAlign w:val="bottom"/>
            <w:gridSpan w:val="2"/>
          </w:tcPr>
          <w:p>
            <w:pPr>
              <w:jc w:val="right"/>
              <w:spacing w:after="0"/>
              <w:rPr>
                <w:sz w:val="20"/>
                <w:szCs w:val="20"/>
                <w:color w:val="auto"/>
              </w:rPr>
            </w:pPr>
            <w:r>
              <w:rPr>
                <w:rFonts w:ascii="Arial" w:cs="Arial" w:eastAsia="Arial" w:hAnsi="Arial"/>
                <w:sz w:val="11"/>
                <w:szCs w:val="11"/>
                <w:color w:val="111111"/>
              </w:rPr>
              <w:t>$28,528.80</w:t>
            </w:r>
          </w:p>
        </w:tc>
        <w:tc>
          <w:tcPr>
            <w:tcW w:w="100" w:type="dxa"/>
            <w:vAlign w:val="bottom"/>
          </w:tcPr>
          <w:p>
            <w:pPr>
              <w:spacing w:after="0"/>
              <w:rPr>
                <w:sz w:val="14"/>
                <w:szCs w:val="14"/>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1"/>
                <w:szCs w:val="11"/>
                <w:color w:val="111111"/>
              </w:rPr>
              <w:t>$541.25</w:t>
            </w:r>
          </w:p>
        </w:tc>
        <w:tc>
          <w:tcPr>
            <w:tcW w:w="0" w:type="dxa"/>
            <w:vAlign w:val="bottom"/>
          </w:tcPr>
          <w:p>
            <w:pPr>
              <w:spacing w:after="0"/>
              <w:rPr>
                <w:sz w:val="1"/>
                <w:szCs w:val="1"/>
                <w:color w:val="auto"/>
              </w:rPr>
            </w:pPr>
          </w:p>
        </w:tc>
      </w:tr>
      <w:tr>
        <w:trPr>
          <w:trHeight w:val="190"/>
        </w:trPr>
        <w:tc>
          <w:tcPr>
            <w:tcW w:w="7120" w:type="dxa"/>
            <w:vAlign w:val="bottom"/>
          </w:tcPr>
          <w:p>
            <w:pPr>
              <w:ind w:left="40"/>
              <w:spacing w:after="0"/>
              <w:rPr>
                <w:sz w:val="20"/>
                <w:szCs w:val="20"/>
                <w:color w:val="auto"/>
              </w:rPr>
            </w:pPr>
            <w:r>
              <w:rPr>
                <w:rFonts w:ascii="Arial" w:cs="Arial" w:eastAsia="Arial" w:hAnsi="Arial"/>
                <w:sz w:val="11"/>
                <w:szCs w:val="11"/>
                <w:b w:val="1"/>
                <w:bCs w:val="1"/>
                <w:color w:val="111111"/>
              </w:rPr>
              <w:t>Less Security Deposit in Cash from Current Lease</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111111"/>
              </w:rPr>
              <w:t>($20,796.60)</w:t>
            </w:r>
          </w:p>
        </w:tc>
        <w:tc>
          <w:tcPr>
            <w:tcW w:w="1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120" w:type="dxa"/>
            <w:vAlign w:val="bottom"/>
          </w:tcPr>
          <w:p>
            <w:pPr>
              <w:ind w:left="40"/>
              <w:spacing w:after="0"/>
              <w:rPr>
                <w:sz w:val="20"/>
                <w:szCs w:val="20"/>
                <w:color w:val="auto"/>
              </w:rPr>
            </w:pPr>
            <w:r>
              <w:rPr>
                <w:rFonts w:ascii="Arial" w:cs="Arial" w:eastAsia="Arial" w:hAnsi="Arial"/>
                <w:sz w:val="11"/>
                <w:szCs w:val="11"/>
                <w:b w:val="1"/>
                <w:bCs w:val="1"/>
                <w:color w:val="111111"/>
              </w:rPr>
              <w:t>GST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111111"/>
              </w:rPr>
              <w:t>$541.25</w:t>
            </w:r>
          </w:p>
        </w:tc>
        <w:tc>
          <w:tcPr>
            <w:tcW w:w="1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120" w:type="dxa"/>
            <w:vAlign w:val="bottom"/>
          </w:tcPr>
          <w:p>
            <w:pPr>
              <w:ind w:left="40"/>
              <w:spacing w:after="0"/>
              <w:rPr>
                <w:sz w:val="20"/>
                <w:szCs w:val="20"/>
                <w:color w:val="auto"/>
              </w:rPr>
            </w:pPr>
            <w:r>
              <w:rPr>
                <w:rFonts w:ascii="Arial" w:cs="Arial" w:eastAsia="Arial" w:hAnsi="Arial"/>
                <w:sz w:val="11"/>
                <w:szCs w:val="11"/>
                <w:b w:val="1"/>
                <w:bCs w:val="1"/>
                <w:color w:val="111111"/>
              </w:rPr>
              <w:t>Total amount (including GST)</w:t>
            </w:r>
          </w:p>
        </w:tc>
        <w:tc>
          <w:tcPr>
            <w:tcW w:w="1480" w:type="dxa"/>
            <w:vAlign w:val="bottom"/>
            <w:gridSpan w:val="2"/>
          </w:tcPr>
          <w:p>
            <w:pPr>
              <w:jc w:val="right"/>
              <w:spacing w:after="0"/>
              <w:rPr>
                <w:sz w:val="20"/>
                <w:szCs w:val="20"/>
                <w:color w:val="auto"/>
              </w:rPr>
            </w:pPr>
            <w:r>
              <w:rPr>
                <w:rFonts w:ascii="Arial" w:cs="Arial" w:eastAsia="Arial" w:hAnsi="Arial"/>
                <w:sz w:val="11"/>
                <w:szCs w:val="11"/>
                <w:color w:val="111111"/>
              </w:rPr>
              <w:t>$8,273.45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120" w:type="dxa"/>
            <w:vAlign w:val="bottom"/>
          </w:tcPr>
          <w:p>
            <w:pPr>
              <w:ind w:left="40"/>
              <w:spacing w:after="0"/>
              <w:rPr>
                <w:sz w:val="20"/>
                <w:szCs w:val="20"/>
                <w:color w:val="auto"/>
              </w:rPr>
            </w:pPr>
            <w:r>
              <w:rPr>
                <w:rFonts w:ascii="Arial" w:cs="Arial" w:eastAsia="Arial" w:hAnsi="Arial"/>
                <w:sz w:val="11"/>
                <w:szCs w:val="11"/>
                <w:color w:val="111111"/>
              </w:rPr>
              <w:t>[payable to "HTSG A/C ASCENDAS</w:t>
            </w:r>
            <w:r>
              <w:rPr>
                <w:rFonts w:ascii="Arial" w:cs="Arial" w:eastAsia="Arial" w:hAnsi="Arial"/>
                <w:sz w:val="11"/>
                <w:szCs w:val="11"/>
                <w:color w:val="C3C3C3"/>
              </w:rPr>
              <w:t>·</w:t>
            </w:r>
            <w:r>
              <w:rPr>
                <w:rFonts w:ascii="Arial" w:cs="Arial" w:eastAsia="Arial" w:hAnsi="Arial"/>
                <w:sz w:val="11"/>
                <w:szCs w:val="11"/>
                <w:color w:val="111111"/>
              </w:rPr>
              <w:t>REIT"]</w:t>
            </w: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120" w:type="dxa"/>
            <w:vAlign w:val="bottom"/>
          </w:tcPr>
          <w:p>
            <w:pPr>
              <w:spacing w:after="0"/>
              <w:rPr>
                <w:sz w:val="20"/>
                <w:szCs w:val="20"/>
                <w:color w:val="auto"/>
              </w:rPr>
            </w:pPr>
            <w:r>
              <w:rPr>
                <w:rFonts w:ascii="Arial" w:cs="Arial" w:eastAsia="Arial" w:hAnsi="Arial"/>
                <w:sz w:val="11"/>
                <w:szCs w:val="11"/>
                <w:b w:val="1"/>
                <w:bCs w:val="1"/>
                <w:color w:val="auto"/>
              </w:rPr>
              <w:t xml:space="preserve">Stamp Duty </w:t>
            </w:r>
            <w:r>
              <w:rPr>
                <w:rFonts w:ascii="Arial" w:cs="Arial" w:eastAsia="Arial" w:hAnsi="Arial"/>
                <w:sz w:val="11"/>
                <w:szCs w:val="11"/>
                <w:color w:val="auto"/>
              </w:rPr>
              <w:t>[payable to 'lnfinitus Law Corporation']</w:t>
            </w:r>
          </w:p>
        </w:tc>
        <w:tc>
          <w:tcPr>
            <w:tcW w:w="1060" w:type="dxa"/>
            <w:vAlign w:val="bottom"/>
          </w:tcPr>
          <w:p>
            <w:pPr>
              <w:jc w:val="right"/>
              <w:ind w:right="204"/>
              <w:spacing w:after="0"/>
              <w:rPr>
                <w:sz w:val="20"/>
                <w:szCs w:val="20"/>
                <w:color w:val="auto"/>
              </w:rPr>
            </w:pPr>
            <w:r>
              <w:rPr>
                <w:rFonts w:ascii="Arial" w:cs="Arial" w:eastAsia="Arial" w:hAnsi="Arial"/>
                <w:sz w:val="11"/>
                <w:szCs w:val="11"/>
                <w:color w:val="111111"/>
              </w:rPr>
              <w:t>$388.00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7120" w:type="dxa"/>
            <w:vAlign w:val="bottom"/>
          </w:tcPr>
          <w:p>
            <w:pPr>
              <w:spacing w:after="0"/>
              <w:rPr>
                <w:sz w:val="20"/>
                <w:szCs w:val="20"/>
                <w:color w:val="auto"/>
              </w:rPr>
            </w:pPr>
            <w:r>
              <w:rPr>
                <w:rFonts w:ascii="Arial" w:cs="Arial" w:eastAsia="Arial" w:hAnsi="Arial"/>
                <w:sz w:val="11"/>
                <w:szCs w:val="11"/>
                <w:b w:val="1"/>
                <w:bCs w:val="1"/>
                <w:color w:val="auto"/>
              </w:rPr>
              <w:t>Tenant’s Works Deposit</w:t>
            </w:r>
          </w:p>
        </w:tc>
        <w:tc>
          <w:tcPr>
            <w:tcW w:w="1480" w:type="dxa"/>
            <w:vAlign w:val="bottom"/>
            <w:gridSpan w:val="2"/>
          </w:tcPr>
          <w:p>
            <w:pPr>
              <w:jc w:val="right"/>
              <w:spacing w:after="0"/>
              <w:rPr>
                <w:sz w:val="20"/>
                <w:szCs w:val="20"/>
                <w:color w:val="auto"/>
              </w:rPr>
            </w:pPr>
            <w:r>
              <w:rPr>
                <w:rFonts w:ascii="Arial" w:cs="Arial" w:eastAsia="Arial" w:hAnsi="Arial"/>
                <w:sz w:val="11"/>
                <w:szCs w:val="11"/>
                <w:color w:val="111111"/>
              </w:rPr>
              <w:t>$4,600.00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7120" w:type="dxa"/>
            <w:vAlign w:val="bottom"/>
          </w:tcPr>
          <w:p>
            <w:pPr>
              <w:spacing w:after="0"/>
              <w:rPr>
                <w:sz w:val="20"/>
                <w:szCs w:val="20"/>
                <w:color w:val="auto"/>
              </w:rPr>
            </w:pPr>
            <w:r>
              <w:rPr>
                <w:rFonts w:ascii="Arial" w:cs="Arial" w:eastAsia="Arial" w:hAnsi="Arial"/>
                <w:sz w:val="11"/>
                <w:szCs w:val="11"/>
                <w:color w:val="auto"/>
              </w:rPr>
              <w:t>(You are required to pay tenant’s works deposit if any renovation works are to be carried out)</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120" w:right="120" w:hanging="1"/>
        <w:spacing w:after="0" w:line="239" w:lineRule="auto"/>
        <w:rPr>
          <w:sz w:val="20"/>
          <w:szCs w:val="20"/>
          <w:color w:val="auto"/>
        </w:rPr>
      </w:pPr>
      <w:r>
        <w:rPr>
          <w:rFonts w:ascii="Arial" w:cs="Arial" w:eastAsia="Arial" w:hAnsi="Arial"/>
          <w:sz w:val="11"/>
          <w:szCs w:val="11"/>
          <w:color w:val="auto"/>
        </w:rPr>
        <w:t>*As a show of goodwill, we allow you to pay the advance gross rental of $7,417.45 (including 7% GST) when it is due in February 2022. As such, please give us a cheque payable to “HTSG a/c Ascendas REIT” for the amount of $856.00 instead of $8,273.45 and another cheque payable to “Infinitus Law Corporation” for the amount of $388.00.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020"/>
          </w:cols>
          <w:pgMar w:left="300" w:top="1440" w:right="579" w:bottom="1440" w:gutter="0" w:footer="0" w:header="0"/>
        </w:sectPr>
      </w:pPr>
    </w:p>
    <w:bookmarkStart w:id="132" w:name="page133"/>
    <w:bookmarkEnd w:id="132"/>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8">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3"/>
          <w:szCs w:val="13"/>
          <w:b w:val="1"/>
          <w:bCs w:val="1"/>
          <w:color w:val="111111"/>
        </w:rPr>
        <w:t>CONTENTS PAGE</w:t>
      </w:r>
    </w:p>
    <w:p>
      <w:pPr>
        <w:spacing w:after="0" w:line="211" w:lineRule="exact"/>
        <w:rPr>
          <w:sz w:val="20"/>
          <w:szCs w:val="20"/>
          <w:color w:val="auto"/>
        </w:rPr>
      </w:pPr>
    </w:p>
    <w:p>
      <w:pPr>
        <w:ind w:left="80"/>
        <w:spacing w:after="0"/>
        <w:tabs>
          <w:tab w:leader="none" w:pos="6780" w:val="left"/>
        </w:tabs>
        <w:rPr>
          <w:sz w:val="20"/>
          <w:szCs w:val="20"/>
          <w:color w:val="auto"/>
        </w:rPr>
      </w:pPr>
      <w:r>
        <w:rPr>
          <w:rFonts w:ascii="Arial" w:cs="Arial" w:eastAsia="Arial" w:hAnsi="Arial"/>
          <w:sz w:val="13"/>
          <w:szCs w:val="13"/>
          <w:b w:val="1"/>
          <w:bCs w:val="1"/>
          <w:color w:val="auto"/>
        </w:rPr>
        <w:t>SCHEDULE 1 DETAILS OF LEASE . . . . . . . . . . . . . . . . . . . . . . . . . . . . . . . . . . . . . . . . . . . . . . . . . . . . . . . . . . . . . . . .</w:t>
      </w:r>
      <w:r>
        <w:rPr>
          <w:sz w:val="20"/>
          <w:szCs w:val="20"/>
          <w:color w:val="auto"/>
        </w:rPr>
        <w:tab/>
      </w:r>
      <w:r>
        <w:rPr>
          <w:rFonts w:ascii="Arial" w:cs="Arial" w:eastAsia="Arial" w:hAnsi="Arial"/>
          <w:sz w:val="10"/>
          <w:szCs w:val="10"/>
          <w:b w:val="1"/>
          <w:bCs w:val="1"/>
          <w:color w:val="auto"/>
        </w:rPr>
        <w:t>2</w:t>
      </w:r>
    </w:p>
    <w:p>
      <w:pPr>
        <w:spacing w:after="0" w:line="20" w:lineRule="exact"/>
        <w:rPr>
          <w:sz w:val="20"/>
          <w:szCs w:val="20"/>
          <w:color w:val="auto"/>
        </w:rPr>
      </w:pPr>
    </w:p>
    <w:p>
      <w:pPr>
        <w:ind w:left="80"/>
        <w:spacing w:after="0"/>
        <w:tabs>
          <w:tab w:leader="none" w:pos="6820" w:val="left"/>
        </w:tabs>
        <w:rPr>
          <w:sz w:val="20"/>
          <w:szCs w:val="20"/>
          <w:color w:val="auto"/>
        </w:rPr>
      </w:pPr>
      <w:r>
        <w:rPr>
          <w:rFonts w:ascii="Arial" w:cs="Arial" w:eastAsia="Arial" w:hAnsi="Arial"/>
          <w:sz w:val="13"/>
          <w:szCs w:val="13"/>
          <w:b w:val="1"/>
          <w:bCs w:val="1"/>
          <w:color w:val="auto"/>
        </w:rPr>
        <w:t>SCHEDULE 2 SPECIAL COVENANTS . . . . . . . . . . . . . . . . . . . . . . . . . . . . . . . . . . . . . . . . . . . . . . . . . . . . . . . . . . . . . .</w:t>
      </w:r>
      <w:r>
        <w:rPr>
          <w:sz w:val="20"/>
          <w:szCs w:val="20"/>
          <w:color w:val="auto"/>
        </w:rPr>
        <w:tab/>
      </w:r>
      <w:r>
        <w:rPr>
          <w:rFonts w:ascii="Arial" w:cs="Arial" w:eastAsia="Arial" w:hAnsi="Arial"/>
          <w:sz w:val="10"/>
          <w:szCs w:val="10"/>
          <w:b w:val="1"/>
          <w:bCs w:val="1"/>
          <w:color w:val="auto"/>
        </w:rPr>
        <w:t>4</w:t>
      </w:r>
    </w:p>
    <w:p>
      <w:pPr>
        <w:spacing w:after="0" w:line="20" w:lineRule="exact"/>
        <w:rPr>
          <w:sz w:val="20"/>
          <w:szCs w:val="20"/>
          <w:color w:val="auto"/>
        </w:rPr>
      </w:pPr>
    </w:p>
    <w:p>
      <w:pPr>
        <w:ind w:left="80"/>
        <w:spacing w:after="0"/>
        <w:tabs>
          <w:tab w:leader="none" w:pos="6800" w:val="left"/>
        </w:tabs>
        <w:rPr>
          <w:sz w:val="20"/>
          <w:szCs w:val="20"/>
          <w:color w:val="auto"/>
        </w:rPr>
      </w:pPr>
      <w:r>
        <w:rPr>
          <w:rFonts w:ascii="Arial" w:cs="Arial" w:eastAsia="Arial" w:hAnsi="Arial"/>
          <w:sz w:val="13"/>
          <w:szCs w:val="13"/>
          <w:b w:val="1"/>
          <w:bCs w:val="1"/>
          <w:color w:val="auto"/>
        </w:rPr>
        <w:t>SCHEDULE 3 BUILDING COVENANTS . . . . . . . . . . . . . . . . . . . . . . . . . . . . . . . . . . . . . . . . . . . . . . . . . . . . . . . . . . . . .</w:t>
        <w:tab/>
        <w:t>5</w:t>
      </w:r>
    </w:p>
    <w:p>
      <w:pPr>
        <w:spacing w:after="0" w:line="20" w:lineRule="exact"/>
        <w:rPr>
          <w:sz w:val="20"/>
          <w:szCs w:val="20"/>
          <w:color w:val="auto"/>
        </w:rPr>
      </w:pPr>
    </w:p>
    <w:p>
      <w:pPr>
        <w:ind w:left="80"/>
        <w:spacing w:after="0"/>
        <w:tabs>
          <w:tab w:leader="none" w:pos="6800" w:val="left"/>
        </w:tabs>
        <w:rPr>
          <w:sz w:val="20"/>
          <w:szCs w:val="20"/>
          <w:color w:val="auto"/>
        </w:rPr>
      </w:pPr>
      <w:r>
        <w:rPr>
          <w:rFonts w:ascii="Arial" w:cs="Arial" w:eastAsia="Arial" w:hAnsi="Arial"/>
          <w:sz w:val="13"/>
          <w:szCs w:val="13"/>
          <w:b w:val="1"/>
          <w:bCs w:val="1"/>
          <w:color w:val="auto"/>
        </w:rPr>
        <w:t>SCHEDULE 4 STATEMENT OF ACCOUNTS . . . . . . . . . . . . . . . . . . . . . . . . . . . . . . . . . . . . . . . . . . . . . . . . . . . . . . . . .</w:t>
      </w:r>
      <w:r>
        <w:rPr>
          <w:sz w:val="20"/>
          <w:szCs w:val="20"/>
          <w:color w:val="auto"/>
        </w:rPr>
        <w:tab/>
      </w:r>
      <w:r>
        <w:rPr>
          <w:rFonts w:ascii="Arial" w:cs="Arial" w:eastAsia="Arial" w:hAnsi="Arial"/>
          <w:sz w:val="10"/>
          <w:szCs w:val="10"/>
          <w:b w:val="1"/>
          <w:bCs w:val="1"/>
          <w:color w:val="auto"/>
        </w:rPr>
        <w:t>6</w:t>
      </w:r>
    </w:p>
    <w:p>
      <w:pPr>
        <w:spacing w:after="0" w:line="200" w:lineRule="exact"/>
        <w:rPr>
          <w:sz w:val="20"/>
          <w:szCs w:val="20"/>
          <w:color w:val="auto"/>
        </w:rPr>
      </w:pPr>
    </w:p>
    <w:p>
      <w:pPr>
        <w:ind w:left="80" w:right="3319"/>
        <w:spacing w:after="0" w:line="263" w:lineRule="auto"/>
        <w:rPr>
          <w:sz w:val="20"/>
          <w:szCs w:val="20"/>
          <w:color w:val="auto"/>
        </w:rPr>
      </w:pPr>
      <w:r>
        <w:rPr>
          <w:rFonts w:ascii="Arial" w:cs="Arial" w:eastAsia="Arial" w:hAnsi="Arial"/>
          <w:sz w:val="13"/>
          <w:szCs w:val="13"/>
          <w:b w:val="1"/>
          <w:bCs w:val="1"/>
          <w:color w:val="auto"/>
        </w:rPr>
        <w:t>STANDARD COVENANTS . . . . . . . . . . . . . . . . . . . . . . . . . . . . . . . . . . . . . . . . . . . . . . . . . . . . . . . . . . . . . . . . . . . . . . .</w:t>
      </w:r>
      <w:r>
        <w:rPr>
          <w:sz w:val="20"/>
          <w:szCs w:val="20"/>
          <w:color w:val="auto"/>
        </w:rPr>
        <w:t xml:space="preserve"> </w:t>
      </w:r>
      <w:r>
        <w:rPr>
          <w:rFonts w:ascii="Arial" w:cs="Arial" w:eastAsia="Arial" w:hAnsi="Arial"/>
          <w:sz w:val="13"/>
          <w:szCs w:val="13"/>
          <w:b w:val="1"/>
          <w:bCs w:val="1"/>
          <w:color w:val="auto"/>
        </w:rPr>
        <w:t>9 1 INTERPRETATION . . . . . . . . . . . . . . . . . . . . . . . . . . . . . . . . . . . . . . . . . . . . . . . . . . . . . . . . . . . . . . . . . . . . . . . . . 9</w:t>
      </w:r>
    </w:p>
    <w:p>
      <w:pPr>
        <w:spacing w:after="0" w:line="170" w:lineRule="exact"/>
        <w:rPr>
          <w:sz w:val="20"/>
          <w:szCs w:val="20"/>
          <w:color w:val="auto"/>
        </w:rPr>
      </w:pPr>
    </w:p>
    <w:p>
      <w:pPr>
        <w:ind w:left="380"/>
        <w:spacing w:after="0"/>
        <w:tabs>
          <w:tab w:leader="none" w:pos="860" w:val="left"/>
          <w:tab w:leader="none" w:pos="674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 xml:space="preserve">Definitions </w:t>
      </w:r>
      <w:r>
        <w:rPr>
          <w:rFonts w:ascii="Arial" w:cs="Arial" w:eastAsia="Arial" w:hAnsi="Arial"/>
          <w:sz w:val="13"/>
          <w:szCs w:val="13"/>
          <w:b w:val="1"/>
          <w:bCs w:val="1"/>
          <w:color w:val="auto"/>
        </w:rPr>
        <w:t>. . . . . . . . . . . . . . . . . . . . . . . . . . . . . . . . . . . . . . . . . . . . . . . . . . . . . . . . . . . . . . . . . . . . . . . . .</w:t>
      </w:r>
      <w:r>
        <w:rPr>
          <w:rFonts w:ascii="Arial" w:cs="Arial" w:eastAsia="Arial" w:hAnsi="Arial"/>
          <w:sz w:val="13"/>
          <w:szCs w:val="13"/>
          <w:color w:val="auto"/>
        </w:rPr>
        <w:tab/>
        <w:t>9</w:t>
      </w:r>
    </w:p>
    <w:p>
      <w:pPr>
        <w:spacing w:after="0" w:line="20" w:lineRule="exact"/>
        <w:rPr>
          <w:sz w:val="20"/>
          <w:szCs w:val="20"/>
          <w:color w:val="auto"/>
        </w:rPr>
      </w:pPr>
    </w:p>
    <w:p>
      <w:pPr>
        <w:ind w:left="380"/>
        <w:spacing w:after="0"/>
        <w:tabs>
          <w:tab w:leader="none" w:pos="860" w:val="left"/>
          <w:tab w:leader="none" w:pos="670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color w:val="auto"/>
        </w:rPr>
        <w:t xml:space="preserve">General rules of interpretation </w:t>
      </w:r>
      <w:r>
        <w:rPr>
          <w:rFonts w:ascii="Arial" w:cs="Arial" w:eastAsia="Arial" w:hAnsi="Arial"/>
          <w:sz w:val="13"/>
          <w:szCs w:val="13"/>
          <w:b w:val="1"/>
          <w:bCs w:val="1"/>
          <w:color w:val="auto"/>
        </w:rPr>
        <w:t>. . . . . . . . . . . . . . . . . . . . . . . . . . . . . . . . . . . . . . . . . . . . . . . . . . . . . . . . .</w:t>
      </w:r>
      <w:r>
        <w:rPr>
          <w:sz w:val="20"/>
          <w:szCs w:val="20"/>
          <w:color w:val="auto"/>
        </w:rPr>
        <w:tab/>
      </w:r>
      <w:r>
        <w:rPr>
          <w:rFonts w:ascii="Arial" w:cs="Arial" w:eastAsia="Arial" w:hAnsi="Arial"/>
          <w:sz w:val="12"/>
          <w:szCs w:val="12"/>
          <w:color w:val="auto"/>
        </w:rPr>
        <w:t>12</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80" w:type="dxa"/>
            <w:vAlign w:val="bottom"/>
          </w:tcPr>
          <w:p>
            <w:pPr>
              <w:jc w:val="right"/>
              <w:ind w:right="42"/>
              <w:spacing w:after="0"/>
              <w:rPr>
                <w:sz w:val="20"/>
                <w:szCs w:val="20"/>
                <w:color w:val="auto"/>
              </w:rPr>
            </w:pPr>
            <w:r>
              <w:rPr>
                <w:rFonts w:ascii="Arial" w:cs="Arial" w:eastAsia="Arial" w:hAnsi="Arial"/>
                <w:sz w:val="13"/>
                <w:szCs w:val="13"/>
                <w:b w:val="1"/>
                <w:bCs w:val="1"/>
                <w:color w:val="auto"/>
                <w:w w:val="82"/>
              </w:rPr>
              <w:t>2</w:t>
            </w:r>
          </w:p>
        </w:tc>
        <w:tc>
          <w:tcPr>
            <w:tcW w:w="6380" w:type="dxa"/>
            <w:vAlign w:val="bottom"/>
            <w:gridSpan w:val="2"/>
          </w:tcPr>
          <w:p>
            <w:pPr>
              <w:ind w:left="120"/>
              <w:spacing w:after="0"/>
              <w:rPr>
                <w:sz w:val="20"/>
                <w:szCs w:val="20"/>
                <w:color w:val="auto"/>
              </w:rPr>
            </w:pPr>
            <w:r>
              <w:rPr>
                <w:rFonts w:ascii="Arial" w:cs="Arial" w:eastAsia="Arial" w:hAnsi="Arial"/>
                <w:sz w:val="13"/>
                <w:szCs w:val="13"/>
                <w:b w:val="1"/>
                <w:bCs w:val="1"/>
                <w:color w:val="auto"/>
                <w:w w:val="98"/>
              </w:rPr>
              <w:t>GRANT OF LEASE . . . . . . . . . . .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12</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2.1</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Lease </w:t>
            </w:r>
            <w:r>
              <w:rPr>
                <w:rFonts w:ascii="Arial" w:cs="Arial" w:eastAsia="Arial" w:hAnsi="Arial"/>
                <w:sz w:val="13"/>
                <w:szCs w:val="13"/>
                <w:b w:val="1"/>
                <w:bCs w:val="1"/>
                <w:color w:val="auto"/>
                <w:w w:val="98"/>
              </w:rPr>
              <w:t>. . . . . . . . . . . . . . .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2.2</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Permitted Use </w:t>
            </w:r>
            <w:r>
              <w:rPr>
                <w:rFonts w:ascii="Arial" w:cs="Arial" w:eastAsia="Arial" w:hAnsi="Arial"/>
                <w:sz w:val="13"/>
                <w:szCs w:val="13"/>
                <w:b w:val="1"/>
                <w:bCs w:val="1"/>
                <w:color w:val="auto"/>
                <w:w w:val="98"/>
              </w:rPr>
              <w:t>. . . . . . . .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13</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2.3</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Head Landlord’s and Authorities’ approvals.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2.4</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Compliance regulations </w:t>
            </w:r>
            <w:r>
              <w:rPr>
                <w:rFonts w:ascii="Arial" w:cs="Arial" w:eastAsia="Arial" w:hAnsi="Arial"/>
                <w:sz w:val="13"/>
                <w:szCs w:val="13"/>
                <w:b w:val="1"/>
                <w:bCs w:val="1"/>
                <w:color w:val="auto"/>
                <w:w w:val="98"/>
              </w:rPr>
              <w:t>.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2.5</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Rights and exceptions </w:t>
            </w:r>
            <w:r>
              <w:rPr>
                <w:rFonts w:ascii="Arial" w:cs="Arial" w:eastAsia="Arial" w:hAnsi="Arial"/>
                <w:sz w:val="13"/>
                <w:szCs w:val="13"/>
                <w:b w:val="1"/>
                <w:bCs w:val="1"/>
                <w:color w:val="auto"/>
                <w:w w:val="98"/>
              </w:rPr>
              <w:t>. .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349"/>
        </w:trPr>
        <w:tc>
          <w:tcPr>
            <w:tcW w:w="180" w:type="dxa"/>
            <w:vAlign w:val="bottom"/>
          </w:tcPr>
          <w:p>
            <w:pPr>
              <w:jc w:val="right"/>
              <w:ind w:right="42"/>
              <w:spacing w:after="0"/>
              <w:rPr>
                <w:sz w:val="20"/>
                <w:szCs w:val="20"/>
                <w:color w:val="auto"/>
              </w:rPr>
            </w:pPr>
            <w:r>
              <w:rPr>
                <w:rFonts w:ascii="Arial" w:cs="Arial" w:eastAsia="Arial" w:hAnsi="Arial"/>
                <w:sz w:val="13"/>
                <w:szCs w:val="13"/>
                <w:b w:val="1"/>
                <w:bCs w:val="1"/>
                <w:color w:val="auto"/>
                <w:w w:val="82"/>
              </w:rPr>
              <w:t>3</w:t>
            </w:r>
          </w:p>
        </w:tc>
        <w:tc>
          <w:tcPr>
            <w:tcW w:w="6380" w:type="dxa"/>
            <w:vAlign w:val="bottom"/>
            <w:gridSpan w:val="2"/>
          </w:tcPr>
          <w:p>
            <w:pPr>
              <w:ind w:left="120"/>
              <w:spacing w:after="0"/>
              <w:rPr>
                <w:sz w:val="20"/>
                <w:szCs w:val="20"/>
                <w:color w:val="auto"/>
              </w:rPr>
            </w:pPr>
            <w:r>
              <w:rPr>
                <w:rFonts w:ascii="Arial" w:cs="Arial" w:eastAsia="Arial" w:hAnsi="Arial"/>
                <w:sz w:val="13"/>
                <w:szCs w:val="13"/>
                <w:b w:val="1"/>
                <w:bCs w:val="1"/>
                <w:color w:val="auto"/>
                <w:w w:val="99"/>
              </w:rPr>
              <w:t>TAKING POSSESSION . . . . . . .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b w:val="1"/>
                <w:bCs w:val="1"/>
                <w:color w:val="auto"/>
              </w:rPr>
              <w:t>14</w:t>
            </w:r>
          </w:p>
        </w:tc>
      </w:tr>
      <w:tr>
        <w:trPr>
          <w:trHeight w:val="349"/>
        </w:trPr>
        <w:tc>
          <w:tcPr>
            <w:tcW w:w="180" w:type="dxa"/>
            <w:vAlign w:val="bottom"/>
          </w:tcPr>
          <w:p>
            <w:pPr>
              <w:jc w:val="right"/>
              <w:ind w:right="62"/>
              <w:spacing w:after="0"/>
              <w:rPr>
                <w:sz w:val="20"/>
                <w:szCs w:val="20"/>
                <w:color w:val="auto"/>
              </w:rPr>
            </w:pPr>
            <w:r>
              <w:rPr>
                <w:rFonts w:ascii="Arial" w:cs="Arial" w:eastAsia="Arial" w:hAnsi="Arial"/>
                <w:sz w:val="10"/>
                <w:szCs w:val="10"/>
                <w:b w:val="1"/>
                <w:bCs w:val="1"/>
                <w:color w:val="auto"/>
                <w:w w:val="71"/>
              </w:rPr>
              <w:t>4</w:t>
            </w:r>
          </w:p>
        </w:tc>
        <w:tc>
          <w:tcPr>
            <w:tcW w:w="6380" w:type="dxa"/>
            <w:vAlign w:val="bottom"/>
            <w:gridSpan w:val="2"/>
          </w:tcPr>
          <w:p>
            <w:pPr>
              <w:ind w:left="120"/>
              <w:spacing w:after="0"/>
              <w:rPr>
                <w:sz w:val="20"/>
                <w:szCs w:val="20"/>
                <w:color w:val="auto"/>
              </w:rPr>
            </w:pPr>
            <w:r>
              <w:rPr>
                <w:rFonts w:ascii="Arial" w:cs="Arial" w:eastAsia="Arial" w:hAnsi="Arial"/>
                <w:sz w:val="13"/>
                <w:szCs w:val="13"/>
                <w:b w:val="1"/>
                <w:bCs w:val="1"/>
                <w:color w:val="auto"/>
                <w:w w:val="98"/>
              </w:rPr>
              <w:t xml:space="preserve">YOUR OBLIGATIONS / INVOLVEMENT </w:t>
            </w:r>
            <w:r>
              <w:rPr>
                <w:rFonts w:ascii="Arial" w:cs="Arial" w:eastAsia="Arial" w:hAnsi="Arial"/>
                <w:sz w:val="13"/>
                <w:szCs w:val="13"/>
                <w:color w:val="auto"/>
                <w:w w:val="98"/>
              </w:rPr>
              <w:t>.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15</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w:t>
            </w:r>
          </w:p>
        </w:tc>
        <w:tc>
          <w:tcPr>
            <w:tcW w:w="5860" w:type="dxa"/>
            <w:vAlign w:val="bottom"/>
          </w:tcPr>
          <w:p>
            <w:pPr>
              <w:ind w:left="100"/>
              <w:spacing w:after="0"/>
              <w:rPr>
                <w:sz w:val="20"/>
                <w:szCs w:val="20"/>
                <w:color w:val="auto"/>
              </w:rPr>
            </w:pPr>
            <w:r>
              <w:rPr>
                <w:rFonts w:ascii="Arial" w:cs="Arial" w:eastAsia="Arial" w:hAnsi="Arial"/>
                <w:sz w:val="13"/>
                <w:szCs w:val="13"/>
                <w:b w:val="1"/>
                <w:bCs w:val="1"/>
                <w:color w:val="auto"/>
                <w:w w:val="98"/>
              </w:rPr>
              <w:t xml:space="preserve">General obligations relating to payments </w:t>
            </w:r>
            <w:r>
              <w:rPr>
                <w:rFonts w:ascii="Arial" w:cs="Arial" w:eastAsia="Arial" w:hAnsi="Arial"/>
                <w:sz w:val="13"/>
                <w:szCs w:val="13"/>
                <w:color w:val="auto"/>
                <w:w w:val="98"/>
              </w:rPr>
              <w:t>.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4.1.1</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Gross Rent and other payments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9"/>
        </w:trPr>
        <w:tc>
          <w:tcPr>
            <w:tcW w:w="18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4.1.2</w:t>
            </w:r>
          </w:p>
        </w:tc>
        <w:tc>
          <w:tcPr>
            <w:tcW w:w="5860" w:type="dxa"/>
            <w:vAlign w:val="bottom"/>
          </w:tcPr>
          <w:p>
            <w:pPr>
              <w:ind w:left="100"/>
              <w:spacing w:after="0"/>
              <w:rPr>
                <w:sz w:val="20"/>
                <w:szCs w:val="20"/>
                <w:color w:val="auto"/>
              </w:rPr>
            </w:pPr>
            <w:r>
              <w:rPr>
                <w:rFonts w:ascii="Arial" w:cs="Arial" w:eastAsia="Arial" w:hAnsi="Arial"/>
                <w:sz w:val="13"/>
                <w:szCs w:val="13"/>
                <w:color w:val="auto"/>
                <w:w w:val="99"/>
              </w:rPr>
              <w:t>Rent-free Period (if any)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80"/>
        </w:trPr>
        <w:tc>
          <w:tcPr>
            <w:tcW w:w="180" w:type="dxa"/>
            <w:vAlign w:val="bottom"/>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4.1.3</w:t>
            </w:r>
          </w:p>
        </w:tc>
        <w:tc>
          <w:tcPr>
            <w:tcW w:w="5860" w:type="dxa"/>
            <w:vAlign w:val="bottom"/>
          </w:tcPr>
          <w:p>
            <w:pPr>
              <w:ind w:left="100"/>
              <w:spacing w:after="0"/>
              <w:rPr>
                <w:sz w:val="20"/>
                <w:szCs w:val="20"/>
                <w:color w:val="auto"/>
              </w:rPr>
            </w:pPr>
            <w:r>
              <w:rPr>
                <w:rFonts w:ascii="Arial" w:cs="Arial" w:eastAsia="Arial" w:hAnsi="Arial"/>
                <w:sz w:val="13"/>
                <w:szCs w:val="13"/>
                <w:color w:val="auto"/>
                <w:w w:val="99"/>
              </w:rPr>
              <w:t xml:space="preserve">Interest </w:t>
            </w:r>
            <w:r>
              <w:rPr>
                <w:rFonts w:ascii="Arial" w:cs="Arial" w:eastAsia="Arial" w:hAnsi="Arial"/>
                <w:sz w:val="13"/>
                <w:szCs w:val="13"/>
                <w:b w:val="1"/>
                <w:bCs w:val="1"/>
                <w:color w:val="auto"/>
                <w:w w:val="99"/>
              </w:rPr>
              <w:t>. . . . . . . . . . . . .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15</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4.1.4</w:t>
            </w:r>
          </w:p>
        </w:tc>
        <w:tc>
          <w:tcPr>
            <w:tcW w:w="5860" w:type="dxa"/>
            <w:vAlign w:val="bottom"/>
          </w:tcPr>
          <w:p>
            <w:pPr>
              <w:ind w:left="100"/>
              <w:spacing w:after="0"/>
              <w:rPr>
                <w:sz w:val="20"/>
                <w:szCs w:val="20"/>
                <w:color w:val="auto"/>
              </w:rPr>
            </w:pPr>
            <w:r>
              <w:rPr>
                <w:rFonts w:ascii="Arial" w:cs="Arial" w:eastAsia="Arial" w:hAnsi="Arial"/>
                <w:sz w:val="13"/>
                <w:szCs w:val="13"/>
                <w:color w:val="auto"/>
                <w:w w:val="99"/>
              </w:rPr>
              <w:t xml:space="preserve">Utilities </w:t>
            </w:r>
            <w:r>
              <w:rPr>
                <w:rFonts w:ascii="Arial" w:cs="Arial" w:eastAsia="Arial" w:hAnsi="Arial"/>
                <w:sz w:val="13"/>
                <w:szCs w:val="13"/>
                <w:b w:val="1"/>
                <w:bCs w:val="1"/>
                <w:color w:val="auto"/>
                <w:w w:val="99"/>
              </w:rPr>
              <w:t>. . . . . . . . . . . . .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15</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4.1.5</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Electricity supply </w:t>
            </w:r>
            <w:r>
              <w:rPr>
                <w:rFonts w:ascii="Arial" w:cs="Arial" w:eastAsia="Arial" w:hAnsi="Arial"/>
                <w:sz w:val="13"/>
                <w:szCs w:val="13"/>
                <w:b w:val="1"/>
                <w:bCs w:val="1"/>
                <w:color w:val="auto"/>
                <w:w w:val="98"/>
              </w:rPr>
              <w:t>. . . . . .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15</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4.1.6</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Taxes </w:t>
            </w:r>
            <w:r>
              <w:rPr>
                <w:rFonts w:ascii="Arial" w:cs="Arial" w:eastAsia="Arial" w:hAnsi="Arial"/>
                <w:sz w:val="13"/>
                <w:szCs w:val="13"/>
                <w:b w:val="1"/>
                <w:bCs w:val="1"/>
                <w:color w:val="auto"/>
                <w:w w:val="98"/>
              </w:rPr>
              <w:t>. . . . . . . . . . . . . . .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4.1.7</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Additional Property Tax </w:t>
            </w:r>
            <w:r>
              <w:rPr>
                <w:rFonts w:ascii="Arial" w:cs="Arial" w:eastAsia="Arial" w:hAnsi="Arial"/>
                <w:sz w:val="13"/>
                <w:szCs w:val="13"/>
                <w:b w:val="1"/>
                <w:bCs w:val="1"/>
                <w:color w:val="auto"/>
                <w:w w:val="98"/>
              </w:rPr>
              <w:t>.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16</w:t>
            </w:r>
          </w:p>
        </w:tc>
      </w:tr>
      <w:tr>
        <w:trPr>
          <w:trHeight w:val="159"/>
        </w:trPr>
        <w:tc>
          <w:tcPr>
            <w:tcW w:w="180" w:type="dxa"/>
            <w:vAlign w:val="bottom"/>
          </w:tcPr>
          <w:p>
            <w:pPr>
              <w:spacing w:after="0"/>
              <w:rPr>
                <w:sz w:val="13"/>
                <w:szCs w:val="13"/>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4.1.8</w:t>
            </w:r>
          </w:p>
        </w:tc>
        <w:tc>
          <w:tcPr>
            <w:tcW w:w="5860" w:type="dxa"/>
            <w:vAlign w:val="bottom"/>
          </w:tcPr>
          <w:p>
            <w:pPr>
              <w:ind w:left="100"/>
              <w:spacing w:after="0"/>
              <w:rPr>
                <w:sz w:val="20"/>
                <w:szCs w:val="20"/>
                <w:color w:val="auto"/>
              </w:rPr>
            </w:pPr>
            <w:r>
              <w:rPr>
                <w:rFonts w:ascii="Arial" w:cs="Arial" w:eastAsia="Arial" w:hAnsi="Arial"/>
                <w:sz w:val="13"/>
                <w:szCs w:val="13"/>
                <w:color w:val="auto"/>
                <w:w w:val="99"/>
              </w:rPr>
              <w:t xml:space="preserve">Security Deposit </w:t>
            </w:r>
            <w:r>
              <w:rPr>
                <w:rFonts w:ascii="Arial" w:cs="Arial" w:eastAsia="Arial" w:hAnsi="Arial"/>
                <w:sz w:val="13"/>
                <w:szCs w:val="13"/>
                <w:b w:val="1"/>
                <w:bCs w:val="1"/>
                <w:color w:val="auto"/>
                <w:w w:val="99"/>
              </w:rPr>
              <w:t>. . . . . . . . . . . . . . . . . . . . . . . . . . . . . . . . . . . . . . . . . . . . . . . . . . . . . . . . . . . . . . . . . . .</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16</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4.1.9</w:t>
            </w:r>
          </w:p>
        </w:tc>
        <w:tc>
          <w:tcPr>
            <w:tcW w:w="5860" w:type="dxa"/>
            <w:vAlign w:val="bottom"/>
          </w:tcPr>
          <w:p>
            <w:pPr>
              <w:ind w:left="100"/>
              <w:spacing w:after="0"/>
              <w:rPr>
                <w:sz w:val="20"/>
                <w:szCs w:val="20"/>
                <w:color w:val="auto"/>
              </w:rPr>
            </w:pPr>
            <w:r>
              <w:rPr>
                <w:rFonts w:ascii="Arial" w:cs="Arial" w:eastAsia="Arial" w:hAnsi="Arial"/>
                <w:sz w:val="13"/>
                <w:szCs w:val="13"/>
                <w:color w:val="auto"/>
                <w:w w:val="99"/>
              </w:rPr>
              <w:t xml:space="preserve">Car-park passes </w:t>
            </w:r>
            <w:r>
              <w:rPr>
                <w:rFonts w:ascii="Arial" w:cs="Arial" w:eastAsia="Arial" w:hAnsi="Arial"/>
                <w:sz w:val="13"/>
                <w:szCs w:val="13"/>
                <w:b w:val="1"/>
                <w:bCs w:val="1"/>
                <w:color w:val="auto"/>
                <w:w w:val="99"/>
              </w:rPr>
              <w:t>. . . . . .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80"/>
        </w:trPr>
        <w:tc>
          <w:tcPr>
            <w:tcW w:w="180" w:type="dxa"/>
            <w:vAlign w:val="bottom"/>
          </w:tcPr>
          <w:p>
            <w:pPr>
              <w:spacing w:after="0"/>
              <w:rPr>
                <w:sz w:val="15"/>
                <w:szCs w:val="15"/>
                <w:color w:val="auto"/>
              </w:rPr>
            </w:pPr>
          </w:p>
        </w:tc>
        <w:tc>
          <w:tcPr>
            <w:tcW w:w="6380" w:type="dxa"/>
            <w:vAlign w:val="bottom"/>
            <w:gridSpan w:val="2"/>
          </w:tcPr>
          <w:p>
            <w:pPr>
              <w:ind w:left="120"/>
              <w:spacing w:after="0"/>
              <w:rPr>
                <w:sz w:val="20"/>
                <w:szCs w:val="20"/>
                <w:color w:val="auto"/>
              </w:rPr>
            </w:pPr>
            <w:r>
              <w:rPr>
                <w:rFonts w:ascii="Arial" w:cs="Arial" w:eastAsia="Arial" w:hAnsi="Arial"/>
                <w:sz w:val="13"/>
                <w:szCs w:val="13"/>
                <w:color w:val="auto"/>
                <w:w w:val="99"/>
              </w:rPr>
              <w:t xml:space="preserve">4.1.10  Insurance during the Lease </w:t>
            </w:r>
            <w:r>
              <w:rPr>
                <w:rFonts w:ascii="Arial" w:cs="Arial" w:eastAsia="Arial" w:hAnsi="Arial"/>
                <w:sz w:val="13"/>
                <w:szCs w:val="13"/>
                <w:b w:val="1"/>
                <w:bCs w:val="1"/>
                <w:color w:val="auto"/>
                <w:w w:val="99"/>
              </w:rPr>
              <w:t>.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69"/>
        </w:trPr>
        <w:tc>
          <w:tcPr>
            <w:tcW w:w="180" w:type="dxa"/>
            <w:vAlign w:val="bottom"/>
          </w:tcPr>
          <w:p>
            <w:pPr>
              <w:spacing w:after="0"/>
              <w:rPr>
                <w:sz w:val="14"/>
                <w:szCs w:val="14"/>
                <w:color w:val="auto"/>
              </w:rPr>
            </w:pPr>
          </w:p>
        </w:tc>
        <w:tc>
          <w:tcPr>
            <w:tcW w:w="6380" w:type="dxa"/>
            <w:vAlign w:val="bottom"/>
            <w:gridSpan w:val="2"/>
          </w:tcPr>
          <w:p>
            <w:pPr>
              <w:ind w:left="120"/>
              <w:spacing w:after="0"/>
              <w:rPr>
                <w:sz w:val="20"/>
                <w:szCs w:val="20"/>
                <w:color w:val="auto"/>
              </w:rPr>
            </w:pPr>
            <w:r>
              <w:rPr>
                <w:rFonts w:ascii="Arial" w:cs="Arial" w:eastAsia="Arial" w:hAnsi="Arial"/>
                <w:sz w:val="13"/>
                <w:szCs w:val="13"/>
                <w:color w:val="auto"/>
              </w:rPr>
              <w:t xml:space="preserve">4.1.11  Not to affect our insurance </w:t>
            </w:r>
            <w:r>
              <w:rPr>
                <w:rFonts w:ascii="Arial" w:cs="Arial" w:eastAsia="Arial" w:hAnsi="Arial"/>
                <w:sz w:val="13"/>
                <w:szCs w:val="13"/>
                <w:b w:val="1"/>
                <w:bCs w:val="1"/>
                <w:color w:val="auto"/>
              </w:rPr>
              <w:t>.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18</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4.2</w:t>
            </w:r>
          </w:p>
        </w:tc>
        <w:tc>
          <w:tcPr>
            <w:tcW w:w="5860" w:type="dxa"/>
            <w:vAlign w:val="bottom"/>
          </w:tcPr>
          <w:p>
            <w:pPr>
              <w:ind w:left="100"/>
              <w:spacing w:after="0"/>
              <w:rPr>
                <w:sz w:val="20"/>
                <w:szCs w:val="20"/>
                <w:color w:val="auto"/>
              </w:rPr>
            </w:pPr>
            <w:r>
              <w:rPr>
                <w:rFonts w:ascii="Arial" w:cs="Arial" w:eastAsia="Arial" w:hAnsi="Arial"/>
                <w:sz w:val="13"/>
                <w:szCs w:val="13"/>
                <w:b w:val="1"/>
                <w:bCs w:val="1"/>
                <w:color w:val="auto"/>
                <w:w w:val="98"/>
              </w:rPr>
              <w:t xml:space="preserve">General obligations during the Lease </w:t>
            </w:r>
            <w:r>
              <w:rPr>
                <w:rFonts w:ascii="Arial" w:cs="Arial" w:eastAsia="Arial" w:hAnsi="Arial"/>
                <w:sz w:val="13"/>
                <w:szCs w:val="13"/>
                <w:color w:val="auto"/>
                <w:w w:val="98"/>
              </w:rPr>
              <w:t>.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4.2.1</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Tenant’s Works </w:t>
            </w:r>
            <w:r>
              <w:rPr>
                <w:rFonts w:ascii="Arial" w:cs="Arial" w:eastAsia="Arial" w:hAnsi="Arial"/>
                <w:sz w:val="13"/>
                <w:szCs w:val="13"/>
                <w:b w:val="1"/>
                <w:bCs w:val="1"/>
                <w:color w:val="auto"/>
                <w:w w:val="98"/>
              </w:rPr>
              <w:t>. . . . . . . . . . . . . . . . . . . . . . . . . . . . . . . . . . . . . . . . . . . . . . . . . . . . . . . . . . . . . . . . . . . .</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18</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4.2.2</w:t>
            </w:r>
          </w:p>
        </w:tc>
        <w:tc>
          <w:tcPr>
            <w:tcW w:w="5860" w:type="dxa"/>
            <w:vAlign w:val="bottom"/>
          </w:tcPr>
          <w:p>
            <w:pPr>
              <w:ind w:left="100"/>
              <w:spacing w:after="0"/>
              <w:rPr>
                <w:sz w:val="20"/>
                <w:szCs w:val="20"/>
                <w:color w:val="auto"/>
              </w:rPr>
            </w:pPr>
            <w:r>
              <w:rPr>
                <w:rFonts w:ascii="Arial" w:cs="Arial" w:eastAsia="Arial" w:hAnsi="Arial"/>
                <w:sz w:val="13"/>
                <w:szCs w:val="13"/>
                <w:color w:val="auto"/>
                <w:w w:val="97"/>
              </w:rPr>
              <w:t xml:space="preserve">Tenant’s Works Deposit </w:t>
            </w:r>
            <w:r>
              <w:rPr>
                <w:rFonts w:ascii="Arial" w:cs="Arial" w:eastAsia="Arial" w:hAnsi="Arial"/>
                <w:sz w:val="13"/>
                <w:szCs w:val="13"/>
                <w:b w:val="1"/>
                <w:bCs w:val="1"/>
                <w:color w:val="auto"/>
                <w:w w:val="97"/>
              </w:rPr>
              <w:t>.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4.2.3</w:t>
            </w:r>
          </w:p>
        </w:tc>
        <w:tc>
          <w:tcPr>
            <w:tcW w:w="5860" w:type="dxa"/>
            <w:vAlign w:val="bottom"/>
          </w:tcPr>
          <w:p>
            <w:pPr>
              <w:ind w:left="100"/>
              <w:spacing w:after="0"/>
              <w:rPr>
                <w:sz w:val="20"/>
                <w:szCs w:val="20"/>
                <w:color w:val="auto"/>
              </w:rPr>
            </w:pPr>
            <w:r>
              <w:rPr>
                <w:rFonts w:ascii="Arial" w:cs="Arial" w:eastAsia="Arial" w:hAnsi="Arial"/>
                <w:sz w:val="13"/>
                <w:szCs w:val="13"/>
                <w:color w:val="auto"/>
                <w:w w:val="97"/>
              </w:rPr>
              <w:t>Insurance while carrying out Tenant’s Works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4.2.4</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Maintain and repair </w:t>
            </w:r>
            <w:r>
              <w:rPr>
                <w:rFonts w:ascii="Arial" w:cs="Arial" w:eastAsia="Arial" w:hAnsi="Arial"/>
                <w:sz w:val="13"/>
                <w:szCs w:val="13"/>
                <w:b w:val="1"/>
                <w:bCs w:val="1"/>
                <w:color w:val="auto"/>
                <w:w w:val="98"/>
              </w:rPr>
              <w:t>. . . .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19</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4.2.5</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Permitting us to inspect the Premises and carry out repairs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4.3</w:t>
            </w:r>
          </w:p>
        </w:tc>
        <w:tc>
          <w:tcPr>
            <w:tcW w:w="5860" w:type="dxa"/>
            <w:vAlign w:val="bottom"/>
          </w:tcPr>
          <w:p>
            <w:pPr>
              <w:ind w:left="100"/>
              <w:spacing w:after="0"/>
              <w:rPr>
                <w:sz w:val="20"/>
                <w:szCs w:val="20"/>
                <w:color w:val="auto"/>
              </w:rPr>
            </w:pPr>
            <w:r>
              <w:rPr>
                <w:rFonts w:ascii="Arial" w:cs="Arial" w:eastAsia="Arial" w:hAnsi="Arial"/>
                <w:sz w:val="13"/>
                <w:szCs w:val="13"/>
                <w:b w:val="1"/>
                <w:bCs w:val="1"/>
                <w:color w:val="auto"/>
                <w:w w:val="98"/>
              </w:rPr>
              <w:t xml:space="preserve">General Obligations Relating to Moving out of the Premises </w:t>
            </w:r>
            <w:r>
              <w:rPr>
                <w:rFonts w:ascii="Arial" w:cs="Arial" w:eastAsia="Arial" w:hAnsi="Arial"/>
                <w:sz w:val="13"/>
                <w:szCs w:val="13"/>
                <w:color w:val="auto"/>
                <w:w w:val="98"/>
              </w:rPr>
              <w:t>.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4.3.1</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Moving out of the Premises </w:t>
            </w:r>
            <w:r>
              <w:rPr>
                <w:rFonts w:ascii="Arial" w:cs="Arial" w:eastAsia="Arial" w:hAnsi="Arial"/>
                <w:sz w:val="13"/>
                <w:szCs w:val="13"/>
                <w:b w:val="1"/>
                <w:bCs w:val="1"/>
                <w:color w:val="auto"/>
                <w:w w:val="98"/>
              </w:rPr>
              <w:t>.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4.3.2</w:t>
            </w:r>
          </w:p>
        </w:tc>
        <w:tc>
          <w:tcPr>
            <w:tcW w:w="5860" w:type="dxa"/>
            <w:vAlign w:val="bottom"/>
          </w:tcPr>
          <w:p>
            <w:pPr>
              <w:ind w:left="100"/>
              <w:spacing w:after="0"/>
              <w:rPr>
                <w:sz w:val="20"/>
                <w:szCs w:val="20"/>
                <w:color w:val="auto"/>
              </w:rPr>
            </w:pPr>
            <w:r>
              <w:rPr>
                <w:rFonts w:ascii="Arial" w:cs="Arial" w:eastAsia="Arial" w:hAnsi="Arial"/>
                <w:sz w:val="13"/>
                <w:szCs w:val="13"/>
                <w:color w:val="auto"/>
                <w:w w:val="99"/>
              </w:rPr>
              <w:t xml:space="preserve">Holding over </w:t>
            </w:r>
            <w:r>
              <w:rPr>
                <w:rFonts w:ascii="Arial" w:cs="Arial" w:eastAsia="Arial" w:hAnsi="Arial"/>
                <w:sz w:val="13"/>
                <w:szCs w:val="13"/>
                <w:b w:val="1"/>
                <w:bCs w:val="1"/>
                <w:color w:val="auto"/>
                <w:w w:val="99"/>
              </w:rPr>
              <w:t>. . . . . . . . . . . . . . . . . . . . . . . . . . . . . . . . . . . . . . . . . . . . . . . . . . . . . . . . . . . . . . . . . . . . . .</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20</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4.3.3</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Viewing </w:t>
            </w:r>
            <w:r>
              <w:rPr>
                <w:rFonts w:ascii="Arial" w:cs="Arial" w:eastAsia="Arial" w:hAnsi="Arial"/>
                <w:sz w:val="13"/>
                <w:szCs w:val="13"/>
                <w:b w:val="1"/>
                <w:bCs w:val="1"/>
                <w:color w:val="auto"/>
                <w:w w:val="98"/>
              </w:rPr>
              <w:t>. . . . . . . . . . . . .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4.4</w:t>
            </w:r>
          </w:p>
        </w:tc>
        <w:tc>
          <w:tcPr>
            <w:tcW w:w="5860" w:type="dxa"/>
            <w:vAlign w:val="bottom"/>
          </w:tcPr>
          <w:p>
            <w:pPr>
              <w:ind w:left="100"/>
              <w:spacing w:after="0"/>
              <w:rPr>
                <w:sz w:val="20"/>
                <w:szCs w:val="20"/>
                <w:color w:val="auto"/>
              </w:rPr>
            </w:pPr>
            <w:r>
              <w:rPr>
                <w:rFonts w:ascii="Arial" w:cs="Arial" w:eastAsia="Arial" w:hAnsi="Arial"/>
                <w:sz w:val="13"/>
                <w:szCs w:val="13"/>
                <w:b w:val="1"/>
                <w:bCs w:val="1"/>
                <w:color w:val="auto"/>
                <w:w w:val="99"/>
              </w:rPr>
              <w:t>Other terms . . . . . . . . . . . . . . . . . . . . . . . . . . . . . . . . . . . . . . . . . . . . . . . . . . . . . . . . . . . . . . . . . . . . . .</w:t>
            </w:r>
          </w:p>
        </w:tc>
        <w:tc>
          <w:tcPr>
            <w:tcW w:w="280" w:type="dxa"/>
            <w:vAlign w:val="bottom"/>
          </w:tcPr>
          <w:p>
            <w:pPr>
              <w:jc w:val="right"/>
              <w:ind w:right="36"/>
              <w:spacing w:after="0"/>
              <w:rPr>
                <w:sz w:val="20"/>
                <w:szCs w:val="20"/>
                <w:color w:val="auto"/>
              </w:rPr>
            </w:pPr>
            <w:r>
              <w:rPr>
                <w:rFonts w:ascii="Arial" w:cs="Arial" w:eastAsia="Arial" w:hAnsi="Arial"/>
                <w:sz w:val="13"/>
                <w:szCs w:val="13"/>
                <w:color w:val="auto"/>
              </w:rPr>
              <w:t>21</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4.4.1</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Assigning and subletting </w:t>
            </w:r>
            <w:r>
              <w:rPr>
                <w:rFonts w:ascii="Arial" w:cs="Arial" w:eastAsia="Arial" w:hAnsi="Arial"/>
                <w:sz w:val="13"/>
                <w:szCs w:val="13"/>
                <w:b w:val="1"/>
                <w:bCs w:val="1"/>
                <w:color w:val="auto"/>
                <w:w w:val="98"/>
              </w:rPr>
              <w:t>.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21</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4.4.2</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No lodging of caveat, registering this Lease or subdividing the Building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4.4.3</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Keeping to the Law </w:t>
            </w:r>
            <w:r>
              <w:rPr>
                <w:rFonts w:ascii="Arial" w:cs="Arial" w:eastAsia="Arial" w:hAnsi="Arial"/>
                <w:sz w:val="13"/>
                <w:szCs w:val="13"/>
                <w:b w:val="1"/>
                <w:bCs w:val="1"/>
                <w:color w:val="auto"/>
                <w:w w:val="98"/>
              </w:rPr>
              <w:t>. . . .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21</w:t>
            </w:r>
          </w:p>
        </w:tc>
      </w:tr>
      <w:tr>
        <w:trPr>
          <w:trHeight w:val="170"/>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4.4.4</w:t>
            </w:r>
          </w:p>
        </w:tc>
        <w:tc>
          <w:tcPr>
            <w:tcW w:w="5860" w:type="dxa"/>
            <w:vAlign w:val="bottom"/>
          </w:tcPr>
          <w:p>
            <w:pPr>
              <w:ind w:left="100"/>
              <w:spacing w:after="0"/>
              <w:rPr>
                <w:sz w:val="20"/>
                <w:szCs w:val="20"/>
                <w:color w:val="auto"/>
              </w:rPr>
            </w:pPr>
            <w:r>
              <w:rPr>
                <w:rFonts w:ascii="Arial" w:cs="Arial" w:eastAsia="Arial" w:hAnsi="Arial"/>
                <w:sz w:val="13"/>
                <w:szCs w:val="13"/>
                <w:color w:val="auto"/>
                <w:w w:val="99"/>
              </w:rPr>
              <w:t xml:space="preserve">Head Lease </w:t>
            </w:r>
            <w:r>
              <w:rPr>
                <w:rFonts w:ascii="Arial" w:cs="Arial" w:eastAsia="Arial" w:hAnsi="Arial"/>
                <w:sz w:val="13"/>
                <w:szCs w:val="13"/>
                <w:b w:val="1"/>
                <w:bCs w:val="1"/>
                <w:color w:val="auto"/>
                <w:w w:val="99"/>
              </w:rPr>
              <w:t>. . . . . . . . . . . . . . . . . . . . . . . . . . . . . . . . . . . . . . . . . . . . . . . . . . . . . . . . . . . . . . . . . . . . . .</w:t>
            </w:r>
          </w:p>
        </w:tc>
        <w:tc>
          <w:tcPr>
            <w:tcW w:w="280" w:type="dxa"/>
            <w:vAlign w:val="bottom"/>
          </w:tcPr>
          <w:p>
            <w:pPr>
              <w:jc w:val="right"/>
              <w:ind w:right="56"/>
              <w:spacing w:after="0"/>
              <w:rPr>
                <w:sz w:val="20"/>
                <w:szCs w:val="20"/>
                <w:color w:val="auto"/>
              </w:rPr>
            </w:pPr>
            <w:r>
              <w:rPr>
                <w:rFonts w:ascii="Arial" w:cs="Arial" w:eastAsia="Arial" w:hAnsi="Arial"/>
                <w:sz w:val="13"/>
                <w:szCs w:val="13"/>
                <w:color w:val="auto"/>
                <w:w w:val="96"/>
              </w:rPr>
              <w:t>22</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4.4.5</w:t>
            </w:r>
          </w:p>
        </w:tc>
        <w:tc>
          <w:tcPr>
            <w:tcW w:w="5860" w:type="dxa"/>
            <w:vAlign w:val="bottom"/>
          </w:tcPr>
          <w:p>
            <w:pPr>
              <w:ind w:left="100"/>
              <w:spacing w:after="0"/>
              <w:rPr>
                <w:sz w:val="20"/>
                <w:szCs w:val="20"/>
                <w:color w:val="auto"/>
              </w:rPr>
            </w:pPr>
            <w:r>
              <w:rPr>
                <w:rFonts w:ascii="Arial" w:cs="Arial" w:eastAsia="Arial" w:hAnsi="Arial"/>
                <w:sz w:val="13"/>
                <w:szCs w:val="13"/>
                <w:color w:val="auto"/>
                <w:w w:val="99"/>
              </w:rPr>
              <w:t xml:space="preserve">Tenants’ Guide </w:t>
            </w:r>
            <w:r>
              <w:rPr>
                <w:rFonts w:ascii="Arial" w:cs="Arial" w:eastAsia="Arial" w:hAnsi="Arial"/>
                <w:sz w:val="13"/>
                <w:szCs w:val="13"/>
                <w:b w:val="1"/>
                <w:bCs w:val="1"/>
                <w:color w:val="auto"/>
                <w:w w:val="99"/>
              </w:rPr>
              <w:t>. . . . . . . . . . . . . . . . . . . . . . . . . . . . . . . . . . . . . . . . . . . . . . . . . . . . . . . . . . . . . . . . . . . .</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22</w:t>
            </w:r>
          </w:p>
        </w:tc>
      </w:tr>
      <w:tr>
        <w:trPr>
          <w:trHeight w:val="170"/>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4.4.6</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Confidentiality of information </w:t>
            </w:r>
            <w:r>
              <w:rPr>
                <w:rFonts w:ascii="Arial" w:cs="Arial" w:eastAsia="Arial" w:hAnsi="Arial"/>
                <w:sz w:val="13"/>
                <w:szCs w:val="13"/>
                <w:b w:val="1"/>
                <w:bCs w:val="1"/>
                <w:color w:val="auto"/>
                <w:w w:val="98"/>
              </w:rPr>
              <w:t>.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69"/>
        </w:trPr>
        <w:tc>
          <w:tcPr>
            <w:tcW w:w="18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4.4.7</w:t>
            </w:r>
          </w:p>
        </w:tc>
        <w:tc>
          <w:tcPr>
            <w:tcW w:w="5860" w:type="dxa"/>
            <w:vAlign w:val="bottom"/>
          </w:tcPr>
          <w:p>
            <w:pPr>
              <w:ind w:left="100"/>
              <w:spacing w:after="0"/>
              <w:rPr>
                <w:sz w:val="20"/>
                <w:szCs w:val="20"/>
                <w:color w:val="auto"/>
              </w:rPr>
            </w:pPr>
            <w:r>
              <w:rPr>
                <w:rFonts w:ascii="Arial" w:cs="Arial" w:eastAsia="Arial" w:hAnsi="Arial"/>
                <w:sz w:val="13"/>
                <w:szCs w:val="13"/>
                <w:color w:val="auto"/>
                <w:w w:val="98"/>
              </w:rPr>
              <w:t xml:space="preserve">Indemnity by you </w:t>
            </w:r>
            <w:r>
              <w:rPr>
                <w:rFonts w:ascii="Arial" w:cs="Arial" w:eastAsia="Arial" w:hAnsi="Arial"/>
                <w:sz w:val="13"/>
                <w:szCs w:val="13"/>
                <w:b w:val="1"/>
                <w:bCs w:val="1"/>
                <w:color w:val="auto"/>
                <w:w w:val="98"/>
              </w:rPr>
              <w:t>. . . . . . . . . . . . . . . . . . . . . . . . . . . . . . . . . . . . . . . . . . . . . . . . . . . . . . . . . . . . . . . . . . .</w:t>
            </w:r>
          </w:p>
        </w:tc>
        <w:tc>
          <w:tcPr>
            <w:tcW w:w="280" w:type="dxa"/>
            <w:vAlign w:val="bottom"/>
          </w:tcPr>
          <w:p>
            <w:pPr>
              <w:jc w:val="right"/>
              <w:spacing w:after="0"/>
              <w:rPr>
                <w:sz w:val="20"/>
                <w:szCs w:val="20"/>
                <w:color w:val="auto"/>
              </w:rPr>
            </w:pPr>
            <w:r>
              <w:rPr>
                <w:rFonts w:ascii="Arial" w:cs="Arial" w:eastAsia="Arial" w:hAnsi="Arial"/>
                <w:sz w:val="13"/>
                <w:szCs w:val="13"/>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0159"/>
          </w:cols>
          <w:pgMar w:left="300" w:top="1440" w:right="1440"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9">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33" w:lineRule="exact"/>
        <w:rPr>
          <w:sz w:val="20"/>
          <w:szCs w:val="20"/>
          <w:color w:val="auto"/>
        </w:rPr>
      </w:pPr>
    </w:p>
    <w:p>
      <w:pPr>
        <w:ind w:left="80"/>
        <w:spacing w:after="0"/>
        <w:tabs>
          <w:tab w:leader="none" w:pos="360" w:val="left"/>
          <w:tab w:leader="none" w:pos="6660" w:val="left"/>
        </w:tabs>
        <w:rPr>
          <w:sz w:val="20"/>
          <w:szCs w:val="20"/>
          <w:color w:val="auto"/>
        </w:rPr>
      </w:pPr>
      <w:r>
        <w:rPr>
          <w:rFonts w:ascii="Arial" w:cs="Arial" w:eastAsia="Arial" w:hAnsi="Arial"/>
          <w:sz w:val="13"/>
          <w:szCs w:val="13"/>
          <w:b w:val="1"/>
          <w:bCs w:val="1"/>
          <w:color w:val="auto"/>
        </w:rPr>
        <w:t>5</w:t>
      </w:r>
      <w:r>
        <w:rPr>
          <w:sz w:val="20"/>
          <w:szCs w:val="20"/>
          <w:color w:val="auto"/>
        </w:rPr>
        <w:tab/>
      </w:r>
      <w:r>
        <w:rPr>
          <w:rFonts w:ascii="Arial" w:cs="Arial" w:eastAsia="Arial" w:hAnsi="Arial"/>
          <w:sz w:val="13"/>
          <w:szCs w:val="13"/>
          <w:b w:val="1"/>
          <w:bCs w:val="1"/>
          <w:color w:val="auto"/>
        </w:rPr>
        <w:t xml:space="preserve">OUR OBLIGATIONS / INVOLVEMENT </w:t>
      </w:r>
      <w:r>
        <w:rPr>
          <w:rFonts w:ascii="Arial" w:cs="Arial" w:eastAsia="Arial" w:hAnsi="Arial"/>
          <w:sz w:val="13"/>
          <w:szCs w:val="13"/>
          <w:color w:val="auto"/>
        </w:rPr>
        <w:t>. . . . . . . . . . . . . . . . . . . . . . . . . . . . . . . . . . . . . . . . . . . . . . . . . . . . . . . .</w:t>
      </w:r>
      <w:r>
        <w:rPr>
          <w:sz w:val="20"/>
          <w:szCs w:val="20"/>
          <w:color w:val="auto"/>
        </w:rPr>
        <w:tab/>
      </w:r>
      <w:r>
        <w:rPr>
          <w:rFonts w:ascii="Arial" w:cs="Arial" w:eastAsia="Arial" w:hAnsi="Arial"/>
          <w:sz w:val="12"/>
          <w:szCs w:val="12"/>
          <w:b w:val="1"/>
          <w:bCs w:val="1"/>
          <w:color w:val="auto"/>
        </w:rPr>
        <w:t>22</w:t>
      </w:r>
    </w:p>
    <w:p>
      <w:pPr>
        <w:spacing w:after="0" w:line="20" w:lineRule="exact"/>
        <w:rPr>
          <w:sz w:val="20"/>
          <w:szCs w:val="20"/>
          <w:color w:val="auto"/>
        </w:rPr>
      </w:pPr>
    </w:p>
    <w:p>
      <w:pPr>
        <w:ind w:left="380"/>
        <w:spacing w:after="0"/>
        <w:tabs>
          <w:tab w:leader="none" w:pos="860" w:val="left"/>
          <w:tab w:leader="none" w:pos="66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 xml:space="preserve">Quiet enjoyment </w:t>
      </w:r>
      <w:r>
        <w:rPr>
          <w:rFonts w:ascii="Arial" w:cs="Arial" w:eastAsia="Arial" w:hAnsi="Arial"/>
          <w:sz w:val="13"/>
          <w:szCs w:val="13"/>
          <w:b w:val="1"/>
          <w:bCs w:val="1"/>
          <w:color w:val="auto"/>
        </w:rPr>
        <w:t>. . . . . . . . . . . . . . . . . . . . . . . . . . . . . . . . . . . . . . . . . . . . . . . . . . . . . . . . . . . . . . . . . . .</w:t>
      </w:r>
      <w:r>
        <w:rPr>
          <w:sz w:val="20"/>
          <w:szCs w:val="20"/>
          <w:color w:val="auto"/>
        </w:rPr>
        <w:tab/>
      </w:r>
      <w:r>
        <w:rPr>
          <w:rFonts w:ascii="Arial" w:cs="Arial" w:eastAsia="Arial" w:hAnsi="Arial"/>
          <w:sz w:val="12"/>
          <w:szCs w:val="12"/>
          <w:color w:val="auto"/>
        </w:rPr>
        <w:t>22</w:t>
      </w:r>
    </w:p>
    <w:p>
      <w:pPr>
        <w:spacing w:after="0" w:line="20" w:lineRule="exact"/>
        <w:rPr>
          <w:sz w:val="20"/>
          <w:szCs w:val="20"/>
          <w:color w:val="auto"/>
        </w:rPr>
      </w:pPr>
    </w:p>
    <w:p>
      <w:pPr>
        <w:ind w:left="380"/>
        <w:spacing w:after="0"/>
        <w:tabs>
          <w:tab w:leader="none" w:pos="860" w:val="left"/>
          <w:tab w:leader="none" w:pos="666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3"/>
          <w:szCs w:val="13"/>
          <w:color w:val="auto"/>
        </w:rPr>
        <w:t xml:space="preserve">Property Tax </w:t>
      </w:r>
      <w:r>
        <w:rPr>
          <w:rFonts w:ascii="Arial" w:cs="Arial" w:eastAsia="Arial" w:hAnsi="Arial"/>
          <w:sz w:val="13"/>
          <w:szCs w:val="13"/>
          <w:b w:val="1"/>
          <w:bCs w:val="1"/>
          <w:color w:val="auto"/>
        </w:rPr>
        <w:t>. . . . . . . . . . . . . . . . . . . . . . . . . . . . . . . . . . . . . . . . . . . . . . . . . . . . . . . . . . . . . . . . . . . . . .</w:t>
      </w:r>
      <w:r>
        <w:rPr>
          <w:sz w:val="20"/>
          <w:szCs w:val="20"/>
          <w:color w:val="auto"/>
        </w:rPr>
        <w:tab/>
      </w:r>
      <w:r>
        <w:rPr>
          <w:rFonts w:ascii="Arial" w:cs="Arial" w:eastAsia="Arial" w:hAnsi="Arial"/>
          <w:sz w:val="12"/>
          <w:szCs w:val="12"/>
          <w:color w:val="auto"/>
        </w:rPr>
        <w:t>23</w:t>
      </w:r>
    </w:p>
    <w:p>
      <w:pPr>
        <w:spacing w:after="0" w:line="20" w:lineRule="exact"/>
        <w:rPr>
          <w:sz w:val="20"/>
          <w:szCs w:val="20"/>
          <w:color w:val="auto"/>
        </w:rPr>
      </w:pPr>
    </w:p>
    <w:p>
      <w:pPr>
        <w:ind w:left="380"/>
        <w:spacing w:after="0"/>
        <w:tabs>
          <w:tab w:leader="none" w:pos="860" w:val="left"/>
          <w:tab w:leader="none" w:pos="6680"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3"/>
          <w:szCs w:val="13"/>
          <w:color w:val="auto"/>
        </w:rPr>
        <w:t xml:space="preserve">Managing the Building </w:t>
      </w:r>
      <w:r>
        <w:rPr>
          <w:rFonts w:ascii="Arial" w:cs="Arial" w:eastAsia="Arial" w:hAnsi="Arial"/>
          <w:sz w:val="13"/>
          <w:szCs w:val="13"/>
          <w:b w:val="1"/>
          <w:bCs w:val="1"/>
          <w:color w:val="auto"/>
        </w:rPr>
        <w:t>. . . . . . . . . . . . . . . . . . . . . . . . . . . . . . . . . . . . . . . . . . . . . . . . . . . . . . . . . . . . . .</w:t>
      </w:r>
      <w:r>
        <w:rPr>
          <w:sz w:val="20"/>
          <w:szCs w:val="20"/>
          <w:color w:val="auto"/>
        </w:rPr>
        <w:tab/>
      </w:r>
      <w:r>
        <w:rPr>
          <w:rFonts w:ascii="Arial" w:cs="Arial" w:eastAsia="Arial" w:hAnsi="Arial"/>
          <w:sz w:val="12"/>
          <w:szCs w:val="12"/>
          <w:color w:val="auto"/>
        </w:rPr>
        <w:t>23</w:t>
      </w:r>
    </w:p>
    <w:p>
      <w:pPr>
        <w:spacing w:after="0" w:line="20" w:lineRule="exact"/>
        <w:rPr>
          <w:sz w:val="20"/>
          <w:szCs w:val="20"/>
          <w:color w:val="auto"/>
        </w:rPr>
      </w:pPr>
    </w:p>
    <w:p>
      <w:pPr>
        <w:ind w:left="380"/>
        <w:spacing w:after="0"/>
        <w:tabs>
          <w:tab w:leader="none" w:pos="860" w:val="left"/>
          <w:tab w:leader="none" w:pos="662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3"/>
          <w:szCs w:val="13"/>
          <w:color w:val="auto"/>
        </w:rPr>
        <w:t xml:space="preserve">No claim against us </w:t>
      </w:r>
      <w:r>
        <w:rPr>
          <w:rFonts w:ascii="Arial" w:cs="Arial" w:eastAsia="Arial" w:hAnsi="Arial"/>
          <w:sz w:val="13"/>
          <w:szCs w:val="13"/>
          <w:b w:val="1"/>
          <w:bCs w:val="1"/>
          <w:color w:val="auto"/>
        </w:rPr>
        <w:t>. . . . . . . . . . . . . . . . . . . . . . . . . . . . . . . . . . . . . . . . . . . . . . . . . . . . . . . . . . . . . . . .</w:t>
      </w:r>
      <w:r>
        <w:rPr>
          <w:rFonts w:ascii="Arial" w:cs="Arial" w:eastAsia="Arial" w:hAnsi="Arial"/>
          <w:sz w:val="13"/>
          <w:szCs w:val="13"/>
          <w:color w:val="auto"/>
        </w:rPr>
        <w:tab/>
        <w:t>23</w:t>
      </w:r>
    </w:p>
    <w:p>
      <w:pPr>
        <w:spacing w:after="0" w:line="20" w:lineRule="exact"/>
        <w:rPr>
          <w:sz w:val="20"/>
          <w:szCs w:val="20"/>
          <w:color w:val="auto"/>
        </w:rPr>
      </w:pPr>
    </w:p>
    <w:p>
      <w:pPr>
        <w:ind w:left="380"/>
        <w:spacing w:after="0"/>
        <w:tabs>
          <w:tab w:leader="none" w:pos="860" w:val="left"/>
          <w:tab w:leader="none" w:pos="672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3"/>
          <w:szCs w:val="13"/>
          <w:color w:val="auto"/>
        </w:rPr>
        <w:t xml:space="preserve">Limits to trustee’s liability </w:t>
      </w:r>
      <w:r>
        <w:rPr>
          <w:rFonts w:ascii="Arial" w:cs="Arial" w:eastAsia="Arial" w:hAnsi="Arial"/>
          <w:sz w:val="13"/>
          <w:szCs w:val="13"/>
          <w:b w:val="1"/>
          <w:bCs w:val="1"/>
          <w:color w:val="auto"/>
        </w:rPr>
        <w:t>. . . . . . . . . . . . . . . . . . . . . . . . . . . . . . . . . . . . . . . . . . . . . . . . . . . . . . . . . . . . .</w:t>
      </w:r>
      <w:r>
        <w:rPr>
          <w:sz w:val="20"/>
          <w:szCs w:val="20"/>
          <w:color w:val="auto"/>
        </w:rPr>
        <w:tab/>
      </w:r>
      <w:r>
        <w:rPr>
          <w:rFonts w:ascii="Arial" w:cs="Arial" w:eastAsia="Arial" w:hAnsi="Arial"/>
          <w:sz w:val="12"/>
          <w:szCs w:val="12"/>
          <w:color w:val="auto"/>
        </w:rPr>
        <w:t>24</w:t>
      </w:r>
    </w:p>
    <w:p>
      <w:pPr>
        <w:spacing w:after="0" w:line="189" w:lineRule="exact"/>
        <w:rPr>
          <w:sz w:val="20"/>
          <w:szCs w:val="20"/>
          <w:color w:val="auto"/>
        </w:rPr>
      </w:pPr>
    </w:p>
    <w:p>
      <w:pPr>
        <w:ind w:left="80"/>
        <w:spacing w:after="0"/>
        <w:tabs>
          <w:tab w:leader="none" w:pos="360" w:val="left"/>
          <w:tab w:leader="none" w:pos="670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3"/>
          <w:szCs w:val="13"/>
          <w:b w:val="1"/>
          <w:bCs w:val="1"/>
          <w:color w:val="auto"/>
        </w:rPr>
        <w:t xml:space="preserve">OUR GENERAL RIGHTS AND REMEDIES </w:t>
      </w:r>
      <w:r>
        <w:rPr>
          <w:rFonts w:ascii="Arial" w:cs="Arial" w:eastAsia="Arial" w:hAnsi="Arial"/>
          <w:sz w:val="13"/>
          <w:szCs w:val="13"/>
          <w:color w:val="auto"/>
        </w:rPr>
        <w:t>. . . . . . . . . . . . . . . . . . . . . . . . . . . . . . . . . . . . . . . . . . . . . . . . . . . . .</w:t>
      </w:r>
      <w:r>
        <w:rPr>
          <w:sz w:val="20"/>
          <w:szCs w:val="20"/>
          <w:color w:val="auto"/>
        </w:rPr>
        <w:tab/>
      </w:r>
      <w:r>
        <w:rPr>
          <w:rFonts w:ascii="Arial" w:cs="Arial" w:eastAsia="Arial" w:hAnsi="Arial"/>
          <w:sz w:val="12"/>
          <w:szCs w:val="12"/>
          <w:b w:val="1"/>
          <w:bCs w:val="1"/>
          <w:color w:val="auto"/>
        </w:rPr>
        <w:t>24</w:t>
      </w:r>
    </w:p>
    <w:p>
      <w:pPr>
        <w:spacing w:after="0" w:line="20" w:lineRule="exact"/>
        <w:rPr>
          <w:sz w:val="20"/>
          <w:szCs w:val="20"/>
          <w:color w:val="auto"/>
        </w:rPr>
      </w:pPr>
    </w:p>
    <w:p>
      <w:pPr>
        <w:ind w:left="380"/>
        <w:spacing w:after="0"/>
        <w:tabs>
          <w:tab w:leader="none" w:pos="860" w:val="left"/>
          <w:tab w:leader="none" w:pos="668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3"/>
          <w:szCs w:val="13"/>
          <w:color w:val="auto"/>
        </w:rPr>
        <w:t xml:space="preserve">Cost and expenses </w:t>
      </w:r>
      <w:r>
        <w:rPr>
          <w:rFonts w:ascii="Arial" w:cs="Arial" w:eastAsia="Arial" w:hAnsi="Arial"/>
          <w:sz w:val="13"/>
          <w:szCs w:val="13"/>
          <w:b w:val="1"/>
          <w:bCs w:val="1"/>
          <w:color w:val="auto"/>
        </w:rPr>
        <w:t>. . . . . . . . . . . . . . . . . . . . . . . . . . . . . . . . . . . . . . . . . . . . . . . . . . . . . . . . . . . . . . . . .</w:t>
      </w:r>
      <w:r>
        <w:rPr>
          <w:sz w:val="20"/>
          <w:szCs w:val="20"/>
          <w:color w:val="auto"/>
        </w:rPr>
        <w:tab/>
      </w:r>
      <w:r>
        <w:rPr>
          <w:rFonts w:ascii="Arial" w:cs="Arial" w:eastAsia="Arial" w:hAnsi="Arial"/>
          <w:sz w:val="12"/>
          <w:szCs w:val="12"/>
          <w:color w:val="auto"/>
        </w:rPr>
        <w:t>24</w:t>
      </w:r>
    </w:p>
    <w:p>
      <w:pPr>
        <w:spacing w:after="0" w:line="36" w:lineRule="exact"/>
        <w:rPr>
          <w:sz w:val="20"/>
          <w:szCs w:val="20"/>
          <w:color w:val="auto"/>
        </w:rPr>
      </w:pPr>
    </w:p>
    <w:p>
      <w:pPr>
        <w:ind w:left="380"/>
        <w:spacing w:after="0"/>
        <w:tabs>
          <w:tab w:leader="none" w:pos="860" w:val="left"/>
          <w:tab w:leader="none" w:pos="670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3"/>
          <w:szCs w:val="13"/>
          <w:color w:val="auto"/>
        </w:rPr>
        <w:t>Set-off and forfeiture of deposits . . . . . . . . . . . . . . . . . . . . . . . . . . . . . . . . . . . . . . . . . . . . . . . . . . . . . . .</w:t>
      </w:r>
      <w:r>
        <w:rPr>
          <w:sz w:val="20"/>
          <w:szCs w:val="20"/>
          <w:color w:val="auto"/>
        </w:rPr>
        <w:tab/>
      </w:r>
      <w:r>
        <w:rPr>
          <w:rFonts w:ascii="Arial" w:cs="Arial" w:eastAsia="Arial" w:hAnsi="Arial"/>
          <w:sz w:val="12"/>
          <w:szCs w:val="12"/>
          <w:color w:val="auto"/>
        </w:rPr>
        <w:t>24</w:t>
      </w:r>
    </w:p>
    <w:p>
      <w:pPr>
        <w:spacing w:after="0" w:line="4" w:lineRule="exact"/>
        <w:rPr>
          <w:sz w:val="20"/>
          <w:szCs w:val="20"/>
          <w:color w:val="auto"/>
        </w:rPr>
      </w:pPr>
    </w:p>
    <w:p>
      <w:pPr>
        <w:ind w:left="380"/>
        <w:spacing w:after="0"/>
        <w:tabs>
          <w:tab w:leader="none" w:pos="860" w:val="left"/>
          <w:tab w:leader="none" w:pos="6660"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3"/>
          <w:szCs w:val="13"/>
          <w:color w:val="auto"/>
        </w:rPr>
        <w:t xml:space="preserve">Remedial measures </w:t>
      </w:r>
      <w:r>
        <w:rPr>
          <w:rFonts w:ascii="Arial" w:cs="Arial" w:eastAsia="Arial" w:hAnsi="Arial"/>
          <w:sz w:val="13"/>
          <w:szCs w:val="13"/>
          <w:b w:val="1"/>
          <w:bCs w:val="1"/>
          <w:color w:val="auto"/>
        </w:rPr>
        <w:t>. . . . . . . . . . . . . . . . . . . . . . . . . . . . . . . . . . . . . . . . . . . . . . . . . . . . . . . . . . . . . . . .</w:t>
      </w:r>
      <w:r>
        <w:rPr>
          <w:sz w:val="20"/>
          <w:szCs w:val="20"/>
          <w:color w:val="auto"/>
        </w:rPr>
        <w:tab/>
      </w:r>
      <w:r>
        <w:rPr>
          <w:rFonts w:ascii="Arial" w:cs="Arial" w:eastAsia="Arial" w:hAnsi="Arial"/>
          <w:sz w:val="12"/>
          <w:szCs w:val="12"/>
          <w:color w:val="auto"/>
        </w:rPr>
        <w:t>25</w:t>
      </w:r>
    </w:p>
    <w:p>
      <w:pPr>
        <w:spacing w:after="0" w:line="20" w:lineRule="exact"/>
        <w:rPr>
          <w:sz w:val="20"/>
          <w:szCs w:val="20"/>
          <w:color w:val="auto"/>
        </w:rPr>
      </w:pPr>
    </w:p>
    <w:p>
      <w:pPr>
        <w:ind w:left="380"/>
        <w:spacing w:after="0"/>
        <w:tabs>
          <w:tab w:leader="none" w:pos="860" w:val="left"/>
          <w:tab w:leader="none" w:pos="6640"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3"/>
          <w:szCs w:val="13"/>
          <w:color w:val="auto"/>
        </w:rPr>
        <w:t xml:space="preserve">Re-entry </w:t>
      </w:r>
      <w:r>
        <w:rPr>
          <w:rFonts w:ascii="Arial" w:cs="Arial" w:eastAsia="Arial" w:hAnsi="Arial"/>
          <w:sz w:val="13"/>
          <w:szCs w:val="13"/>
          <w:b w:val="1"/>
          <w:bCs w:val="1"/>
          <w:color w:val="auto"/>
        </w:rPr>
        <w:t>. . . . . . . . . . . . . . . . . . . . . . . . . . . . . . . . . . . . . . . . . . . . . . . . . . . . . . . . . . . . . . . . . . . . . . . . .</w:t>
      </w:r>
      <w:r>
        <w:rPr>
          <w:sz w:val="20"/>
          <w:szCs w:val="20"/>
          <w:color w:val="auto"/>
        </w:rPr>
        <w:tab/>
      </w:r>
      <w:r>
        <w:rPr>
          <w:rFonts w:ascii="Arial" w:cs="Arial" w:eastAsia="Arial" w:hAnsi="Arial"/>
          <w:sz w:val="12"/>
          <w:szCs w:val="12"/>
          <w:color w:val="auto"/>
        </w:rPr>
        <w:t>25</w:t>
      </w:r>
    </w:p>
    <w:p>
      <w:pPr>
        <w:spacing w:after="0" w:line="20" w:lineRule="exact"/>
        <w:rPr>
          <w:sz w:val="20"/>
          <w:szCs w:val="20"/>
          <w:color w:val="auto"/>
        </w:rPr>
      </w:pPr>
    </w:p>
    <w:p>
      <w:pPr>
        <w:ind w:left="380"/>
        <w:spacing w:after="0"/>
        <w:tabs>
          <w:tab w:leader="none" w:pos="860" w:val="left"/>
          <w:tab w:leader="none" w:pos="6700" w:val="left"/>
        </w:tabs>
        <w:rPr>
          <w:sz w:val="20"/>
          <w:szCs w:val="20"/>
          <w:color w:val="auto"/>
        </w:rPr>
      </w:pPr>
      <w:r>
        <w:rPr>
          <w:rFonts w:ascii="Arial" w:cs="Arial" w:eastAsia="Arial" w:hAnsi="Arial"/>
          <w:sz w:val="13"/>
          <w:szCs w:val="13"/>
          <w:color w:val="auto"/>
        </w:rPr>
        <w:t>6.5</w:t>
      </w:r>
      <w:r>
        <w:rPr>
          <w:sz w:val="20"/>
          <w:szCs w:val="20"/>
          <w:color w:val="auto"/>
        </w:rPr>
        <w:tab/>
      </w:r>
      <w:r>
        <w:rPr>
          <w:rFonts w:ascii="Arial" w:cs="Arial" w:eastAsia="Arial" w:hAnsi="Arial"/>
          <w:sz w:val="13"/>
          <w:szCs w:val="13"/>
          <w:color w:val="auto"/>
        </w:rPr>
        <w:t xml:space="preserve">Removing your property </w:t>
      </w:r>
      <w:r>
        <w:rPr>
          <w:rFonts w:ascii="Arial" w:cs="Arial" w:eastAsia="Arial" w:hAnsi="Arial"/>
          <w:sz w:val="13"/>
          <w:szCs w:val="13"/>
          <w:b w:val="1"/>
          <w:bCs w:val="1"/>
          <w:color w:val="auto"/>
        </w:rPr>
        <w:t>. . . . . . . . . . . . . . . . . . . . . . . . . . . . . . . . . . . . . . . . . . . . . . . . . . . . . . . . . . . . .</w:t>
      </w:r>
      <w:r>
        <w:rPr>
          <w:sz w:val="20"/>
          <w:szCs w:val="20"/>
          <w:color w:val="auto"/>
        </w:rPr>
        <w:tab/>
      </w:r>
      <w:r>
        <w:rPr>
          <w:rFonts w:ascii="Arial" w:cs="Arial" w:eastAsia="Arial" w:hAnsi="Arial"/>
          <w:sz w:val="12"/>
          <w:szCs w:val="12"/>
          <w:color w:val="auto"/>
        </w:rPr>
        <w:t>26</w:t>
      </w:r>
    </w:p>
    <w:p>
      <w:pPr>
        <w:spacing w:after="0" w:line="47" w:lineRule="exact"/>
        <w:rPr>
          <w:sz w:val="20"/>
          <w:szCs w:val="20"/>
          <w:color w:val="auto"/>
        </w:rPr>
      </w:pPr>
    </w:p>
    <w:p>
      <w:pPr>
        <w:ind w:left="380"/>
        <w:spacing w:after="0"/>
        <w:tabs>
          <w:tab w:leader="none" w:pos="860" w:val="left"/>
          <w:tab w:leader="none" w:pos="6700" w:val="left"/>
        </w:tabs>
        <w:rPr>
          <w:sz w:val="20"/>
          <w:szCs w:val="20"/>
          <w:color w:val="auto"/>
        </w:rPr>
      </w:pPr>
      <w:r>
        <w:rPr>
          <w:rFonts w:ascii="Arial" w:cs="Arial" w:eastAsia="Arial" w:hAnsi="Arial"/>
          <w:sz w:val="13"/>
          <w:szCs w:val="13"/>
          <w:color w:val="auto"/>
        </w:rPr>
        <w:t>6.6</w:t>
      </w:r>
      <w:r>
        <w:rPr>
          <w:sz w:val="20"/>
          <w:szCs w:val="20"/>
          <w:color w:val="auto"/>
        </w:rPr>
        <w:tab/>
      </w:r>
      <w:r>
        <w:rPr>
          <w:rFonts w:ascii="Arial" w:cs="Arial" w:eastAsia="Arial" w:hAnsi="Arial"/>
          <w:sz w:val="13"/>
          <w:szCs w:val="13"/>
          <w:color w:val="auto"/>
        </w:rPr>
        <w:t>Government takeover under the Land Acquisition Act (Chapter 152) . . . . . . . . . . . . . . . . . . . . . . . . . . .</w:t>
        <w:tab/>
        <w:t>26</w:t>
      </w:r>
    </w:p>
    <w:p>
      <w:pPr>
        <w:spacing w:after="0" w:line="4" w:lineRule="exact"/>
        <w:rPr>
          <w:sz w:val="20"/>
          <w:szCs w:val="20"/>
          <w:color w:val="auto"/>
        </w:rPr>
      </w:pPr>
    </w:p>
    <w:p>
      <w:pPr>
        <w:ind w:left="380"/>
        <w:spacing w:after="0"/>
        <w:tabs>
          <w:tab w:leader="none" w:pos="860" w:val="left"/>
          <w:tab w:leader="none" w:pos="6720" w:val="left"/>
        </w:tabs>
        <w:rPr>
          <w:sz w:val="20"/>
          <w:szCs w:val="20"/>
          <w:color w:val="auto"/>
        </w:rPr>
      </w:pPr>
      <w:r>
        <w:rPr>
          <w:rFonts w:ascii="Arial" w:cs="Arial" w:eastAsia="Arial" w:hAnsi="Arial"/>
          <w:sz w:val="13"/>
          <w:szCs w:val="13"/>
          <w:color w:val="auto"/>
        </w:rPr>
        <w:t>6.7</w:t>
      </w:r>
      <w:r>
        <w:rPr>
          <w:sz w:val="20"/>
          <w:szCs w:val="20"/>
          <w:color w:val="auto"/>
        </w:rPr>
        <w:tab/>
      </w:r>
      <w:r>
        <w:rPr>
          <w:rFonts w:ascii="Arial" w:cs="Arial" w:eastAsia="Arial" w:hAnsi="Arial"/>
          <w:sz w:val="13"/>
          <w:szCs w:val="13"/>
          <w:color w:val="auto"/>
        </w:rPr>
        <w:t xml:space="preserve">We may transfer this Lease </w:t>
      </w:r>
      <w:r>
        <w:rPr>
          <w:rFonts w:ascii="Arial" w:cs="Arial" w:eastAsia="Arial" w:hAnsi="Arial"/>
          <w:sz w:val="13"/>
          <w:szCs w:val="13"/>
          <w:b w:val="1"/>
          <w:bCs w:val="1"/>
          <w:color w:val="auto"/>
        </w:rPr>
        <w:t>. . . . . . . . . . . . . . . . . . . . . . . . . . . . . . . . . . . . . . . . . . . . . . . . . . . . . . . . . . .</w:t>
      </w:r>
      <w:r>
        <w:rPr>
          <w:sz w:val="20"/>
          <w:szCs w:val="20"/>
          <w:color w:val="auto"/>
        </w:rPr>
        <w:tab/>
      </w:r>
      <w:r>
        <w:rPr>
          <w:rFonts w:ascii="Arial" w:cs="Arial" w:eastAsia="Arial" w:hAnsi="Arial"/>
          <w:sz w:val="12"/>
          <w:szCs w:val="12"/>
          <w:color w:val="auto"/>
        </w:rPr>
        <w:t>26</w:t>
      </w:r>
    </w:p>
    <w:p>
      <w:pPr>
        <w:spacing w:after="0" w:line="190" w:lineRule="exact"/>
        <w:rPr>
          <w:sz w:val="20"/>
          <w:szCs w:val="20"/>
          <w:color w:val="auto"/>
        </w:rPr>
      </w:pPr>
    </w:p>
    <w:p>
      <w:pPr>
        <w:ind w:left="80"/>
        <w:spacing w:after="0"/>
        <w:tabs>
          <w:tab w:leader="none" w:pos="360" w:val="left"/>
          <w:tab w:leader="none" w:pos="6720" w:val="left"/>
        </w:tabs>
        <w:rPr>
          <w:sz w:val="20"/>
          <w:szCs w:val="20"/>
          <w:color w:val="auto"/>
        </w:rPr>
      </w:pPr>
      <w:r>
        <w:rPr>
          <w:rFonts w:ascii="Arial" w:cs="Arial" w:eastAsia="Arial" w:hAnsi="Arial"/>
          <w:sz w:val="13"/>
          <w:szCs w:val="13"/>
          <w:b w:val="1"/>
          <w:bCs w:val="1"/>
          <w:color w:val="auto"/>
        </w:rPr>
        <w:t>7</w:t>
      </w:r>
      <w:r>
        <w:rPr>
          <w:sz w:val="20"/>
          <w:szCs w:val="20"/>
          <w:color w:val="auto"/>
        </w:rPr>
        <w:tab/>
      </w:r>
      <w:r>
        <w:rPr>
          <w:rFonts w:ascii="Arial" w:cs="Arial" w:eastAsia="Arial" w:hAnsi="Arial"/>
          <w:sz w:val="13"/>
          <w:szCs w:val="13"/>
          <w:b w:val="1"/>
          <w:bCs w:val="1"/>
          <w:color w:val="auto"/>
        </w:rPr>
        <w:t xml:space="preserve">OTHER TERMS </w:t>
      </w:r>
      <w:r>
        <w:rPr>
          <w:rFonts w:ascii="Arial" w:cs="Arial" w:eastAsia="Arial" w:hAnsi="Arial"/>
          <w:sz w:val="13"/>
          <w:szCs w:val="13"/>
          <w:color w:val="auto"/>
        </w:rPr>
        <w:t>. . . . . . . . . . . . . . . . . . . . . . . . . . . . . . . . . . . . . . . . . . . . . . . . . . . . . . . . . . . . . . . . . . . . . . . . . . .</w:t>
      </w:r>
      <w:r>
        <w:rPr>
          <w:sz w:val="20"/>
          <w:szCs w:val="20"/>
          <w:color w:val="auto"/>
        </w:rPr>
        <w:tab/>
      </w:r>
      <w:r>
        <w:rPr>
          <w:rFonts w:ascii="Arial" w:cs="Arial" w:eastAsia="Arial" w:hAnsi="Arial"/>
          <w:sz w:val="12"/>
          <w:szCs w:val="12"/>
          <w:b w:val="1"/>
          <w:bCs w:val="1"/>
          <w:color w:val="auto"/>
        </w:rPr>
        <w:t>26</w:t>
      </w:r>
    </w:p>
    <w:p>
      <w:pPr>
        <w:spacing w:after="0" w:line="20" w:lineRule="exact"/>
        <w:rPr>
          <w:sz w:val="20"/>
          <w:szCs w:val="20"/>
          <w:color w:val="auto"/>
        </w:rPr>
      </w:pPr>
    </w:p>
    <w:p>
      <w:pPr>
        <w:ind w:left="380"/>
        <w:spacing w:after="0"/>
        <w:tabs>
          <w:tab w:leader="none" w:pos="860" w:val="left"/>
          <w:tab w:leader="none" w:pos="666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3"/>
          <w:szCs w:val="13"/>
          <w:color w:val="auto"/>
        </w:rPr>
        <w:t xml:space="preserve">Notices </w:t>
      </w:r>
      <w:r>
        <w:rPr>
          <w:rFonts w:ascii="Arial" w:cs="Arial" w:eastAsia="Arial" w:hAnsi="Arial"/>
          <w:sz w:val="13"/>
          <w:szCs w:val="13"/>
          <w:b w:val="1"/>
          <w:bCs w:val="1"/>
          <w:color w:val="auto"/>
        </w:rPr>
        <w:t>. . . . . . . . . . . . . . . . . . . . . . . . . . . . . . . . . . . . . . . . . . . . . . . . . . . . . . . . . . . . . . . . . . . . . . . . . .</w:t>
      </w:r>
      <w:r>
        <w:rPr>
          <w:sz w:val="20"/>
          <w:szCs w:val="20"/>
          <w:color w:val="auto"/>
        </w:rPr>
        <w:tab/>
      </w:r>
      <w:r>
        <w:rPr>
          <w:rFonts w:ascii="Arial" w:cs="Arial" w:eastAsia="Arial" w:hAnsi="Arial"/>
          <w:sz w:val="12"/>
          <w:szCs w:val="12"/>
          <w:color w:val="auto"/>
        </w:rPr>
        <w:t>26</w:t>
      </w:r>
    </w:p>
    <w:p>
      <w:pPr>
        <w:spacing w:after="0" w:line="36" w:lineRule="exact"/>
        <w:rPr>
          <w:sz w:val="20"/>
          <w:szCs w:val="20"/>
          <w:color w:val="auto"/>
        </w:rPr>
      </w:pPr>
    </w:p>
    <w:p>
      <w:pPr>
        <w:ind w:left="380"/>
        <w:spacing w:after="0"/>
        <w:tabs>
          <w:tab w:leader="none" w:pos="860" w:val="left"/>
          <w:tab w:leader="none" w:pos="670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3"/>
          <w:szCs w:val="13"/>
          <w:color w:val="auto"/>
        </w:rPr>
        <w:t>Process of serving documents in line with the Law . . . . . . . . . . . . . . . . . . . . . . . . . . . . . . . . . . . . . . . . .</w:t>
        <w:tab/>
        <w:t>27</w:t>
      </w:r>
    </w:p>
    <w:p>
      <w:pPr>
        <w:spacing w:after="0" w:line="4" w:lineRule="exact"/>
        <w:rPr>
          <w:sz w:val="20"/>
          <w:szCs w:val="20"/>
          <w:color w:val="auto"/>
        </w:rPr>
      </w:pPr>
    </w:p>
    <w:p>
      <w:pPr>
        <w:ind w:left="380"/>
        <w:spacing w:after="0"/>
        <w:tabs>
          <w:tab w:leader="none" w:pos="860" w:val="left"/>
          <w:tab w:leader="none" w:pos="666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3"/>
          <w:szCs w:val="13"/>
          <w:color w:val="auto"/>
        </w:rPr>
        <w:t xml:space="preserve">No waiver </w:t>
      </w:r>
      <w:r>
        <w:rPr>
          <w:rFonts w:ascii="Arial" w:cs="Arial" w:eastAsia="Arial" w:hAnsi="Arial"/>
          <w:sz w:val="13"/>
          <w:szCs w:val="13"/>
          <w:b w:val="1"/>
          <w:bCs w:val="1"/>
          <w:color w:val="auto"/>
        </w:rPr>
        <w:t>. . . . . . . . . . . . . . . . . . . . . . . . . . . . . . . . . . . . . . . . . . . . . . . . . . . . . . . . . . . . . . . . . . . . . . . .</w:t>
      </w:r>
      <w:r>
        <w:rPr>
          <w:sz w:val="20"/>
          <w:szCs w:val="20"/>
          <w:color w:val="auto"/>
        </w:rPr>
        <w:tab/>
      </w:r>
      <w:r>
        <w:rPr>
          <w:rFonts w:ascii="Arial" w:cs="Arial" w:eastAsia="Arial" w:hAnsi="Arial"/>
          <w:sz w:val="12"/>
          <w:szCs w:val="12"/>
          <w:color w:val="auto"/>
        </w:rPr>
        <w:t>27</w:t>
      </w:r>
    </w:p>
    <w:p>
      <w:pPr>
        <w:spacing w:after="0" w:line="20" w:lineRule="exact"/>
        <w:rPr>
          <w:sz w:val="20"/>
          <w:szCs w:val="20"/>
          <w:color w:val="auto"/>
        </w:rPr>
      </w:pPr>
    </w:p>
    <w:p>
      <w:pPr>
        <w:ind w:left="380"/>
        <w:spacing w:after="0"/>
        <w:tabs>
          <w:tab w:leader="none" w:pos="860" w:val="left"/>
          <w:tab w:leader="none" w:pos="666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3"/>
          <w:szCs w:val="13"/>
          <w:color w:val="auto"/>
        </w:rPr>
        <w:t xml:space="preserve">Entire Agreement </w:t>
      </w:r>
      <w:r>
        <w:rPr>
          <w:rFonts w:ascii="Arial" w:cs="Arial" w:eastAsia="Arial" w:hAnsi="Arial"/>
          <w:sz w:val="13"/>
          <w:szCs w:val="13"/>
          <w:b w:val="1"/>
          <w:bCs w:val="1"/>
          <w:color w:val="auto"/>
        </w:rPr>
        <w:t>. . . . . . . . . . . . . . . . . . . . . . . . . . . . . . . . . . . . . . . . . . . . . . . . . . . . . . . . . . . . . . . . . .</w:t>
      </w:r>
      <w:r>
        <w:rPr>
          <w:sz w:val="20"/>
          <w:szCs w:val="20"/>
          <w:color w:val="auto"/>
        </w:rPr>
        <w:tab/>
      </w:r>
      <w:r>
        <w:rPr>
          <w:rFonts w:ascii="Arial" w:cs="Arial" w:eastAsia="Arial" w:hAnsi="Arial"/>
          <w:sz w:val="12"/>
          <w:szCs w:val="12"/>
          <w:color w:val="auto"/>
        </w:rPr>
        <w:t>27</w:t>
      </w:r>
    </w:p>
    <w:p>
      <w:pPr>
        <w:spacing w:after="0" w:line="20" w:lineRule="exact"/>
        <w:rPr>
          <w:sz w:val="20"/>
          <w:szCs w:val="20"/>
          <w:color w:val="auto"/>
        </w:rPr>
      </w:pPr>
    </w:p>
    <w:p>
      <w:pPr>
        <w:ind w:left="380"/>
        <w:spacing w:after="0"/>
        <w:tabs>
          <w:tab w:leader="none" w:pos="860" w:val="left"/>
          <w:tab w:leader="none" w:pos="668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3"/>
          <w:szCs w:val="13"/>
          <w:color w:val="auto"/>
        </w:rPr>
        <w:t xml:space="preserve">Severability </w:t>
      </w:r>
      <w:r>
        <w:rPr>
          <w:rFonts w:ascii="Arial" w:cs="Arial" w:eastAsia="Arial" w:hAnsi="Arial"/>
          <w:sz w:val="13"/>
          <w:szCs w:val="13"/>
          <w:b w:val="1"/>
          <w:bCs w:val="1"/>
          <w:color w:val="auto"/>
        </w:rPr>
        <w:t>. . . . . . . . . . . . . . . . . . . . . . . . . . . . . . . . . . . . . . . . . . . . . . . . . . . . . . . . . . . . . . . . . . . . . . .</w:t>
      </w:r>
      <w:r>
        <w:rPr>
          <w:sz w:val="20"/>
          <w:szCs w:val="20"/>
          <w:color w:val="auto"/>
        </w:rPr>
        <w:tab/>
      </w:r>
      <w:r>
        <w:rPr>
          <w:rFonts w:ascii="Arial" w:cs="Arial" w:eastAsia="Arial" w:hAnsi="Arial"/>
          <w:sz w:val="12"/>
          <w:szCs w:val="12"/>
          <w:color w:val="auto"/>
        </w:rPr>
        <w:t>27</w:t>
      </w:r>
    </w:p>
    <w:p>
      <w:pPr>
        <w:spacing w:after="0" w:line="20" w:lineRule="exact"/>
        <w:rPr>
          <w:sz w:val="20"/>
          <w:szCs w:val="20"/>
          <w:color w:val="auto"/>
        </w:rPr>
      </w:pPr>
    </w:p>
    <w:p>
      <w:pPr>
        <w:ind w:left="380"/>
        <w:spacing w:after="0"/>
        <w:tabs>
          <w:tab w:leader="none" w:pos="860" w:val="left"/>
          <w:tab w:leader="none" w:pos="670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3"/>
          <w:szCs w:val="13"/>
          <w:color w:val="auto"/>
        </w:rPr>
        <w:t xml:space="preserve">Governing Law and jurisdiction </w:t>
      </w:r>
      <w:r>
        <w:rPr>
          <w:rFonts w:ascii="Arial" w:cs="Arial" w:eastAsia="Arial" w:hAnsi="Arial"/>
          <w:sz w:val="13"/>
          <w:szCs w:val="13"/>
          <w:b w:val="1"/>
          <w:bCs w:val="1"/>
          <w:color w:val="auto"/>
        </w:rPr>
        <w:t>. . . . . . . . . . . . . . . . . . . . . . . . . . . . . . . . . . . . . . . . . . . . . . . . . . . . . . . .</w:t>
      </w:r>
      <w:r>
        <w:rPr>
          <w:sz w:val="20"/>
          <w:szCs w:val="20"/>
          <w:color w:val="auto"/>
        </w:rPr>
        <w:tab/>
      </w:r>
      <w:r>
        <w:rPr>
          <w:rFonts w:ascii="Arial" w:cs="Arial" w:eastAsia="Arial" w:hAnsi="Arial"/>
          <w:sz w:val="12"/>
          <w:szCs w:val="12"/>
          <w:color w:val="auto"/>
        </w:rPr>
        <w:t>27</w:t>
      </w:r>
    </w:p>
    <w:p>
      <w:pPr>
        <w:spacing w:after="0" w:line="36" w:lineRule="exact"/>
        <w:rPr>
          <w:sz w:val="20"/>
          <w:szCs w:val="20"/>
          <w:color w:val="auto"/>
        </w:rPr>
      </w:pPr>
    </w:p>
    <w:p>
      <w:pPr>
        <w:ind w:left="380"/>
        <w:spacing w:after="0"/>
        <w:tabs>
          <w:tab w:leader="none" w:pos="860" w:val="left"/>
          <w:tab w:leader="none" w:pos="6760" w:val="left"/>
        </w:tabs>
        <w:rPr>
          <w:sz w:val="20"/>
          <w:szCs w:val="20"/>
          <w:color w:val="auto"/>
        </w:rPr>
      </w:pPr>
      <w:r>
        <w:rPr>
          <w:rFonts w:ascii="Arial" w:cs="Arial" w:eastAsia="Arial" w:hAnsi="Arial"/>
          <w:sz w:val="13"/>
          <w:szCs w:val="13"/>
          <w:color w:val="auto"/>
        </w:rPr>
        <w:t>7.7</w:t>
      </w:r>
      <w:r>
        <w:rPr>
          <w:sz w:val="20"/>
          <w:szCs w:val="20"/>
          <w:color w:val="auto"/>
        </w:rPr>
        <w:tab/>
      </w:r>
      <w:r>
        <w:rPr>
          <w:rFonts w:ascii="Arial" w:cs="Arial" w:eastAsia="Arial" w:hAnsi="Arial"/>
          <w:sz w:val="13"/>
          <w:szCs w:val="13"/>
          <w:color w:val="auto"/>
        </w:rPr>
        <w:t>Contracts (Rights of Third Parties) Act (Chapter 53B) . . . . . . . . . . . . . . . . . . . . . . . . . . . . . . . . . . . . . . .</w:t>
      </w:r>
      <w:r>
        <w:rPr>
          <w:sz w:val="20"/>
          <w:szCs w:val="20"/>
          <w:color w:val="auto"/>
        </w:rPr>
        <w:tab/>
      </w:r>
      <w:r>
        <w:rPr>
          <w:rFonts w:ascii="Arial" w:cs="Arial" w:eastAsia="Arial" w:hAnsi="Arial"/>
          <w:sz w:val="12"/>
          <w:szCs w:val="12"/>
          <w:color w:val="auto"/>
        </w:rPr>
        <w:t>28</w:t>
      </w:r>
    </w:p>
    <w:p>
      <w:pPr>
        <w:spacing w:after="0" w:line="4" w:lineRule="exact"/>
        <w:rPr>
          <w:sz w:val="20"/>
          <w:szCs w:val="20"/>
          <w:color w:val="auto"/>
        </w:rPr>
      </w:pPr>
    </w:p>
    <w:p>
      <w:pPr>
        <w:ind w:left="380"/>
        <w:spacing w:after="0"/>
        <w:tabs>
          <w:tab w:leader="none" w:pos="860" w:val="left"/>
          <w:tab w:leader="none" w:pos="6680" w:val="left"/>
        </w:tabs>
        <w:rPr>
          <w:sz w:val="20"/>
          <w:szCs w:val="20"/>
          <w:color w:val="auto"/>
        </w:rPr>
      </w:pPr>
      <w:r>
        <w:rPr>
          <w:rFonts w:ascii="Arial" w:cs="Arial" w:eastAsia="Arial" w:hAnsi="Arial"/>
          <w:sz w:val="13"/>
          <w:szCs w:val="13"/>
          <w:color w:val="auto"/>
        </w:rPr>
        <w:t>7.8</w:t>
      </w:r>
      <w:r>
        <w:rPr>
          <w:sz w:val="20"/>
          <w:szCs w:val="20"/>
          <w:color w:val="auto"/>
        </w:rPr>
        <w:tab/>
      </w:r>
      <w:r>
        <w:rPr>
          <w:rFonts w:ascii="Arial" w:cs="Arial" w:eastAsia="Arial" w:hAnsi="Arial"/>
          <w:sz w:val="13"/>
          <w:szCs w:val="13"/>
          <w:color w:val="auto"/>
        </w:rPr>
        <w:t xml:space="preserve">Electronic Signatures </w:t>
      </w:r>
      <w:r>
        <w:rPr>
          <w:rFonts w:ascii="Arial" w:cs="Arial" w:eastAsia="Arial" w:hAnsi="Arial"/>
          <w:sz w:val="13"/>
          <w:szCs w:val="13"/>
          <w:b w:val="1"/>
          <w:bCs w:val="1"/>
          <w:color w:val="auto"/>
        </w:rPr>
        <w:t>. . . . . . . . . . . . . . . . . . . . . . . . . . . . . . . . . . . . . . . . . . . . . . . . . . . . . . . . . . . . . . .</w:t>
      </w:r>
      <w:r>
        <w:rPr>
          <w:sz w:val="20"/>
          <w:szCs w:val="20"/>
          <w:color w:val="auto"/>
        </w:rPr>
        <w:tab/>
      </w:r>
      <w:r>
        <w:rPr>
          <w:rFonts w:ascii="Arial" w:cs="Arial" w:eastAsia="Arial" w:hAnsi="Arial"/>
          <w:sz w:val="12"/>
          <w:szCs w:val="12"/>
          <w:color w:val="auto"/>
        </w:rPr>
        <w:t>28</w:t>
      </w:r>
    </w:p>
    <w:p>
      <w:pPr>
        <w:spacing w:after="0" w:line="200" w:lineRule="exact"/>
        <w:rPr>
          <w:sz w:val="20"/>
          <w:szCs w:val="20"/>
          <w:color w:val="auto"/>
        </w:rPr>
      </w:pPr>
    </w:p>
    <w:p>
      <w:pPr>
        <w:ind w:left="80"/>
        <w:spacing w:after="0"/>
        <w:tabs>
          <w:tab w:leader="none" w:pos="360" w:val="left"/>
          <w:tab w:leader="none" w:pos="672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b w:val="1"/>
          <w:bCs w:val="1"/>
          <w:color w:val="auto"/>
        </w:rPr>
        <w:t xml:space="preserve">SUPPRESSION OF CORRUPT PRACTICE </w:t>
      </w:r>
      <w:r>
        <w:rPr>
          <w:rFonts w:ascii="Arial" w:cs="Arial" w:eastAsia="Arial" w:hAnsi="Arial"/>
          <w:sz w:val="13"/>
          <w:szCs w:val="13"/>
          <w:color w:val="auto"/>
        </w:rPr>
        <w:t>. . . . . . . . . . . . . . . . . . . . . . . . . . . . . . . . . . . . . . . . . . . . . . . . . . . . .</w:t>
      </w:r>
      <w:r>
        <w:rPr>
          <w:sz w:val="20"/>
          <w:szCs w:val="20"/>
          <w:color w:val="auto"/>
        </w:rPr>
        <w:tab/>
      </w:r>
      <w:r>
        <w:rPr>
          <w:rFonts w:ascii="Arial" w:cs="Arial" w:eastAsia="Arial" w:hAnsi="Arial"/>
          <w:sz w:val="12"/>
          <w:szCs w:val="12"/>
          <w:b w:val="1"/>
          <w:bCs w:val="1"/>
          <w:color w:val="auto"/>
        </w:rPr>
        <w:t>28</w:t>
      </w:r>
    </w:p>
    <w:p>
      <w:pPr>
        <w:spacing w:after="0" w:line="200" w:lineRule="exact"/>
        <w:rPr>
          <w:sz w:val="20"/>
          <w:szCs w:val="20"/>
          <w:color w:val="auto"/>
        </w:rPr>
      </w:pPr>
    </w:p>
    <w:p>
      <w:pPr>
        <w:ind w:left="80"/>
        <w:spacing w:after="0"/>
        <w:tabs>
          <w:tab w:leader="none" w:pos="6720" w:val="left"/>
        </w:tabs>
        <w:rPr>
          <w:sz w:val="20"/>
          <w:szCs w:val="20"/>
          <w:color w:val="auto"/>
        </w:rPr>
      </w:pPr>
      <w:r>
        <w:rPr>
          <w:rFonts w:ascii="Arial" w:cs="Arial" w:eastAsia="Arial" w:hAnsi="Arial"/>
          <w:sz w:val="13"/>
          <w:szCs w:val="13"/>
          <w:b w:val="1"/>
          <w:bCs w:val="1"/>
          <w:color w:val="auto"/>
        </w:rPr>
        <w:t xml:space="preserve">SCHEDULE 5 PLAN OF THE PREMISES </w:t>
      </w:r>
      <w:r>
        <w:rPr>
          <w:rFonts w:ascii="Arial" w:cs="Arial" w:eastAsia="Arial" w:hAnsi="Arial"/>
          <w:sz w:val="13"/>
          <w:szCs w:val="13"/>
          <w:color w:val="auto"/>
        </w:rPr>
        <w:t>. . . . . . . . . . . . . . . . . . . . . . . . . . . . . . . . . . . . . . . . . . . . . . . . . . . . . . . . . .</w:t>
      </w:r>
      <w:r>
        <w:rPr>
          <w:sz w:val="20"/>
          <w:szCs w:val="20"/>
          <w:color w:val="auto"/>
        </w:rPr>
        <w:tab/>
      </w:r>
      <w:r>
        <w:rPr>
          <w:rFonts w:ascii="Arial" w:cs="Arial" w:eastAsia="Arial" w:hAnsi="Arial"/>
          <w:sz w:val="12"/>
          <w:szCs w:val="12"/>
          <w:b w:val="1"/>
          <w:bCs w:val="1"/>
          <w:color w:val="auto"/>
        </w:rPr>
        <w:t>29</w:t>
      </w:r>
    </w:p>
    <w:p>
      <w:pPr>
        <w:spacing w:after="0" w:line="20" w:lineRule="exact"/>
        <w:rPr>
          <w:sz w:val="20"/>
          <w:szCs w:val="20"/>
          <w:color w:val="auto"/>
        </w:rPr>
      </w:pPr>
    </w:p>
    <w:p>
      <w:pPr>
        <w:ind w:left="80"/>
        <w:spacing w:after="0"/>
        <w:tabs>
          <w:tab w:leader="none" w:pos="6680" w:val="left"/>
        </w:tabs>
        <w:rPr>
          <w:sz w:val="20"/>
          <w:szCs w:val="20"/>
          <w:color w:val="auto"/>
        </w:rPr>
      </w:pPr>
      <w:r>
        <w:rPr>
          <w:rFonts w:ascii="Arial" w:cs="Arial" w:eastAsia="Arial" w:hAnsi="Arial"/>
          <w:sz w:val="13"/>
          <w:szCs w:val="13"/>
          <w:b w:val="1"/>
          <w:bCs w:val="1"/>
          <w:color w:val="auto"/>
        </w:rPr>
        <w:t xml:space="preserve">SCHEDULE 6 DECLARATION FORM </w:t>
      </w:r>
      <w:r>
        <w:rPr>
          <w:rFonts w:ascii="Arial" w:cs="Arial" w:eastAsia="Arial" w:hAnsi="Arial"/>
          <w:sz w:val="13"/>
          <w:szCs w:val="13"/>
          <w:color w:val="auto"/>
        </w:rPr>
        <w:t>. . . . . . . . . . . . . . . . . . . . . . . . . . . . . . . . . . . . . . . . . . . . . . . . . . . . . . . . . . . . .</w:t>
      </w:r>
      <w:r>
        <w:rPr>
          <w:sz w:val="20"/>
          <w:szCs w:val="20"/>
          <w:color w:val="auto"/>
        </w:rPr>
        <w:tab/>
      </w:r>
      <w:r>
        <w:rPr>
          <w:rFonts w:ascii="Arial" w:cs="Arial" w:eastAsia="Arial" w:hAnsi="Arial"/>
          <w:sz w:val="12"/>
          <w:szCs w:val="12"/>
          <w:b w:val="1"/>
          <w:bCs w:val="1"/>
          <w:color w:val="auto"/>
        </w:rPr>
        <w:t>31</w:t>
      </w:r>
    </w:p>
    <w:p>
      <w:pPr>
        <w:spacing w:after="0" w:line="20" w:lineRule="exact"/>
        <w:rPr>
          <w:sz w:val="20"/>
          <w:szCs w:val="20"/>
          <w:color w:val="auto"/>
        </w:rPr>
      </w:pPr>
    </w:p>
    <w:p>
      <w:pPr>
        <w:ind w:left="80"/>
        <w:spacing w:after="0"/>
        <w:tabs>
          <w:tab w:leader="none" w:pos="6740" w:val="left"/>
        </w:tabs>
        <w:rPr>
          <w:sz w:val="20"/>
          <w:szCs w:val="20"/>
          <w:color w:val="auto"/>
        </w:rPr>
      </w:pPr>
      <w:r>
        <w:rPr>
          <w:rFonts w:ascii="Arial" w:cs="Arial" w:eastAsia="Arial" w:hAnsi="Arial"/>
          <w:sz w:val="13"/>
          <w:szCs w:val="13"/>
          <w:b w:val="1"/>
          <w:bCs w:val="1"/>
          <w:color w:val="auto"/>
        </w:rPr>
        <w:t xml:space="preserve">SCHEDULE 7 JTC SUBLETTING APPLICATION DOCUMENTS </w:t>
      </w:r>
      <w:r>
        <w:rPr>
          <w:rFonts w:ascii="Arial" w:cs="Arial" w:eastAsia="Arial" w:hAnsi="Arial"/>
          <w:sz w:val="13"/>
          <w:szCs w:val="13"/>
          <w:color w:val="auto"/>
        </w:rPr>
        <w:t>. . . . . . . . . . . . . . . . . . . . . . . . . . . . . . . . . . . . . . . .</w:t>
      </w:r>
      <w:r>
        <w:rPr>
          <w:sz w:val="20"/>
          <w:szCs w:val="20"/>
          <w:color w:val="auto"/>
        </w:rPr>
        <w:tab/>
      </w:r>
      <w:r>
        <w:rPr>
          <w:rFonts w:ascii="Arial" w:cs="Arial" w:eastAsia="Arial" w:hAnsi="Arial"/>
          <w:sz w:val="12"/>
          <w:szCs w:val="12"/>
          <w:b w:val="1"/>
          <w:bCs w:val="1"/>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r>
    </w:tbl>
    <w:p>
      <w:pPr>
        <w:sectPr>
          <w:pgSz w:w="11900" w:h="16838" w:orient="portrait"/>
          <w:cols w:equalWidth="0" w:num="1">
            <w:col w:w="10159"/>
          </w:cols>
          <w:pgMar w:left="300" w:top="1440" w:right="1440"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0">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111111"/>
        </w:rPr>
        <w:t>STANDARD COVENANTS</w:t>
      </w:r>
    </w:p>
    <w:p>
      <w:pPr>
        <w:spacing w:after="0" w:line="268" w:lineRule="exact"/>
        <w:rPr>
          <w:sz w:val="20"/>
          <w:szCs w:val="20"/>
          <w:color w:val="auto"/>
        </w:rPr>
      </w:pPr>
    </w:p>
    <w:p>
      <w:pPr>
        <w:ind w:left="600" w:hanging="482"/>
        <w:spacing w:after="0"/>
        <w:tabs>
          <w:tab w:leader="none" w:pos="600" w:val="left"/>
        </w:tabs>
        <w:numPr>
          <w:ilvl w:val="0"/>
          <w:numId w:val="57"/>
        </w:numPr>
        <w:rPr>
          <w:rFonts w:ascii="Arial" w:cs="Arial" w:eastAsia="Arial" w:hAnsi="Arial"/>
          <w:sz w:val="11"/>
          <w:szCs w:val="11"/>
          <w:b w:val="1"/>
          <w:bCs w:val="1"/>
          <w:color w:val="111111"/>
        </w:rPr>
      </w:pPr>
      <w:r>
        <w:rPr>
          <w:rFonts w:ascii="Arial" w:cs="Arial" w:eastAsia="Arial" w:hAnsi="Arial"/>
          <w:sz w:val="11"/>
          <w:szCs w:val="11"/>
          <w:b w:val="1"/>
          <w:bCs w:val="1"/>
          <w:color w:val="111111"/>
        </w:rPr>
        <w:t>INTERPRETATION</w:t>
      </w:r>
    </w:p>
    <w:p>
      <w:pPr>
        <w:spacing w:after="0" w:line="199"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11111"/>
        </w:rPr>
        <w:t>1.1</w:t>
      </w:r>
      <w:r>
        <w:rPr>
          <w:sz w:val="20"/>
          <w:szCs w:val="20"/>
          <w:color w:val="auto"/>
        </w:rPr>
        <w:tab/>
      </w:r>
      <w:r>
        <w:rPr>
          <w:rFonts w:ascii="Arial" w:cs="Arial" w:eastAsia="Arial" w:hAnsi="Arial"/>
          <w:sz w:val="11"/>
          <w:szCs w:val="11"/>
          <w:u w:val="single" w:color="auto"/>
          <w:color w:val="111111"/>
        </w:rPr>
        <w:t>Defin</w:t>
      </w:r>
      <w:r>
        <w:rPr>
          <w:rFonts w:ascii="Arial" w:cs="Arial" w:eastAsia="Arial" w:hAnsi="Arial"/>
          <w:sz w:val="11"/>
          <w:szCs w:val="11"/>
          <w:u w:val="single" w:color="auto"/>
          <w:color w:val="2B2B2B"/>
        </w:rPr>
        <w:t>i</w:t>
      </w:r>
      <w:r>
        <w:rPr>
          <w:rFonts w:ascii="Arial" w:cs="Arial" w:eastAsia="Arial" w:hAnsi="Arial"/>
          <w:sz w:val="11"/>
          <w:szCs w:val="11"/>
          <w:u w:val="single" w:color="auto"/>
          <w:color w:val="111111"/>
        </w:rPr>
        <w:t>tions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2"/>
          <w:szCs w:val="12"/>
          <w:color w:val="111111"/>
        </w:rPr>
        <w:t>In this Lease</w:t>
      </w:r>
      <w:r>
        <w:rPr>
          <w:rFonts w:ascii="Arial" w:cs="Arial" w:eastAsia="Arial" w:hAnsi="Arial"/>
          <w:sz w:val="12"/>
          <w:szCs w:val="12"/>
          <w:color w:val="2B2B2B"/>
        </w:rPr>
        <w:t>,</w:t>
      </w:r>
      <w:r>
        <w:rPr>
          <w:rFonts w:ascii="Arial" w:cs="Arial" w:eastAsia="Arial" w:hAnsi="Arial"/>
          <w:sz w:val="12"/>
          <w:szCs w:val="12"/>
          <w:color w:val="111111"/>
        </w:rPr>
        <w:t xml:space="preserve"> the following terms have the meanings as set out below.</w:t>
      </w:r>
    </w:p>
    <w:p>
      <w:pPr>
        <w:spacing w:after="0" w:line="176"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11111"/>
        </w:rPr>
        <w:t>1.1.1</w:t>
      </w:r>
      <w:r>
        <w:rPr>
          <w:sz w:val="20"/>
          <w:szCs w:val="20"/>
          <w:color w:val="auto"/>
        </w:rPr>
        <w:tab/>
      </w:r>
      <w:r>
        <w:rPr>
          <w:rFonts w:ascii="Arial" w:cs="Arial" w:eastAsia="Arial" w:hAnsi="Arial"/>
          <w:sz w:val="11"/>
          <w:szCs w:val="11"/>
          <w:b w:val="1"/>
          <w:bCs w:val="1"/>
          <w:color w:val="111111"/>
        </w:rPr>
        <w:t xml:space="preserve">'Additional Property Tax' </w:t>
      </w:r>
      <w:r>
        <w:rPr>
          <w:rFonts w:ascii="Arial" w:cs="Arial" w:eastAsia="Arial" w:hAnsi="Arial"/>
          <w:sz w:val="11"/>
          <w:szCs w:val="11"/>
          <w:color w:val="111111"/>
        </w:rPr>
        <w:t>means the increase in property tax relating to the Premises for the Rent-free Period (if any) and the Term</w:t>
      </w:r>
      <w:r>
        <w:rPr>
          <w:rFonts w:ascii="Arial" w:cs="Arial" w:eastAsia="Arial" w:hAnsi="Arial"/>
          <w:sz w:val="11"/>
          <w:szCs w:val="11"/>
          <w:color w:val="2B2B2B"/>
        </w:rPr>
        <w:t>,</w:t>
      </w:r>
      <w:r>
        <w:rPr>
          <w:rFonts w:ascii="Arial" w:cs="Arial" w:eastAsia="Arial" w:hAnsi="Arial"/>
          <w:sz w:val="11"/>
          <w:szCs w:val="11"/>
          <w:b w:val="1"/>
          <w:bCs w:val="1"/>
          <w:color w:val="111111"/>
        </w:rPr>
        <w:t xml:space="preserve"> </w:t>
      </w:r>
      <w:r>
        <w:rPr>
          <w:rFonts w:ascii="Arial" w:cs="Arial" w:eastAsia="Arial" w:hAnsi="Arial"/>
          <w:sz w:val="11"/>
          <w:szCs w:val="11"/>
          <w:color w:val="111111"/>
        </w:rPr>
        <w:t>due to:</w:t>
      </w:r>
    </w:p>
    <w:p>
      <w:pPr>
        <w:spacing w:after="0" w:line="215" w:lineRule="exact"/>
        <w:rPr>
          <w:sz w:val="20"/>
          <w:szCs w:val="20"/>
          <w:color w:val="auto"/>
        </w:rPr>
      </w:pPr>
    </w:p>
    <w:p>
      <w:pPr>
        <w:ind w:left="820" w:hanging="227"/>
        <w:spacing w:after="0"/>
        <w:tabs>
          <w:tab w:leader="none" w:pos="820" w:val="left"/>
        </w:tabs>
        <w:numPr>
          <w:ilvl w:val="0"/>
          <w:numId w:val="58"/>
        </w:numPr>
        <w:rPr>
          <w:rFonts w:ascii="Arial" w:cs="Arial" w:eastAsia="Arial" w:hAnsi="Arial"/>
          <w:sz w:val="12"/>
          <w:szCs w:val="12"/>
          <w:color w:val="111111"/>
        </w:rPr>
      </w:pPr>
      <w:r>
        <w:rPr>
          <w:rFonts w:ascii="Arial" w:cs="Arial" w:eastAsia="Arial" w:hAnsi="Arial"/>
          <w:sz w:val="12"/>
          <w:szCs w:val="12"/>
          <w:color w:val="111111"/>
        </w:rPr>
        <w:t xml:space="preserve">an increase in the annual value (as defined in the Property Tax Act (Chapter 254)) in respect of the Premises which </w:t>
      </w:r>
      <w:r>
        <w:rPr>
          <w:rFonts w:ascii="Arial" w:cs="Arial" w:eastAsia="Arial" w:hAnsi="Arial"/>
          <w:sz w:val="12"/>
          <w:szCs w:val="12"/>
          <w:color w:val="2B2B2B"/>
        </w:rPr>
        <w:t>i</w:t>
      </w:r>
      <w:r>
        <w:rPr>
          <w:rFonts w:ascii="Arial" w:cs="Arial" w:eastAsia="Arial" w:hAnsi="Arial"/>
          <w:sz w:val="12"/>
          <w:szCs w:val="12"/>
          <w:color w:val="111111"/>
        </w:rPr>
        <w:t>s more than the yearly Net Rent</w:t>
      </w:r>
      <w:r>
        <w:rPr>
          <w:rFonts w:ascii="Arial" w:cs="Arial" w:eastAsia="Arial" w:hAnsi="Arial"/>
          <w:sz w:val="12"/>
          <w:szCs w:val="12"/>
          <w:color w:val="2B2B2B"/>
        </w:rPr>
        <w:t>;</w:t>
      </w:r>
      <w:r>
        <w:rPr>
          <w:rFonts w:ascii="Arial" w:cs="Arial" w:eastAsia="Arial" w:hAnsi="Arial"/>
          <w:sz w:val="12"/>
          <w:szCs w:val="12"/>
          <w:color w:val="111111"/>
        </w:rPr>
        <w:t xml:space="preserve"> or</w:t>
      </w:r>
    </w:p>
    <w:p>
      <w:pPr>
        <w:spacing w:after="0" w:line="190" w:lineRule="exact"/>
        <w:rPr>
          <w:rFonts w:ascii="Arial" w:cs="Arial" w:eastAsia="Arial" w:hAnsi="Arial"/>
          <w:sz w:val="12"/>
          <w:szCs w:val="12"/>
          <w:color w:val="111111"/>
        </w:rPr>
      </w:pPr>
    </w:p>
    <w:p>
      <w:pPr>
        <w:ind w:left="820" w:hanging="227"/>
        <w:spacing w:after="0"/>
        <w:tabs>
          <w:tab w:leader="none" w:pos="820" w:val="left"/>
        </w:tabs>
        <w:numPr>
          <w:ilvl w:val="0"/>
          <w:numId w:val="58"/>
        </w:numPr>
        <w:rPr>
          <w:rFonts w:ascii="Arial" w:cs="Arial" w:eastAsia="Arial" w:hAnsi="Arial"/>
          <w:sz w:val="12"/>
          <w:szCs w:val="12"/>
          <w:color w:val="111111"/>
        </w:rPr>
      </w:pPr>
      <w:r>
        <w:rPr>
          <w:rFonts w:ascii="Arial" w:cs="Arial" w:eastAsia="Arial" w:hAnsi="Arial"/>
          <w:sz w:val="12"/>
          <w:szCs w:val="12"/>
          <w:color w:val="111111"/>
        </w:rPr>
        <w:t>an increase in the rate of property tax in respect of the Premises which is more than the rate of property tax that applies on the Possession Date</w:t>
      </w:r>
      <w:r>
        <w:rPr>
          <w:rFonts w:ascii="Arial" w:cs="Arial" w:eastAsia="Arial" w:hAnsi="Arial"/>
          <w:sz w:val="12"/>
          <w:szCs w:val="12"/>
          <w:color w:val="424242"/>
        </w:rPr>
        <w:t>.</w:t>
      </w:r>
    </w:p>
    <w:p>
      <w:pPr>
        <w:spacing w:after="0" w:line="176"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11111"/>
        </w:rPr>
        <w:t>1.1.2</w:t>
      </w:r>
      <w:r>
        <w:rPr>
          <w:sz w:val="20"/>
          <w:szCs w:val="20"/>
          <w:color w:val="auto"/>
        </w:rPr>
        <w:tab/>
      </w:r>
      <w:r>
        <w:rPr>
          <w:rFonts w:ascii="Arial" w:cs="Arial" w:eastAsia="Arial" w:hAnsi="Arial"/>
          <w:sz w:val="11"/>
          <w:szCs w:val="11"/>
          <w:b w:val="1"/>
          <w:bCs w:val="1"/>
          <w:color w:val="111111"/>
        </w:rPr>
        <w:t xml:space="preserve">'Capitaland Business Park &amp; Industrial Tenant Portal' </w:t>
      </w:r>
      <w:r>
        <w:rPr>
          <w:rFonts w:ascii="Arial" w:cs="Arial" w:eastAsia="Arial" w:hAnsi="Arial"/>
          <w:sz w:val="11"/>
          <w:szCs w:val="11"/>
          <w:color w:val="111111"/>
        </w:rPr>
        <w:t>means the tenant serv</w:t>
      </w:r>
      <w:r>
        <w:rPr>
          <w:rFonts w:ascii="Arial" w:cs="Arial" w:eastAsia="Arial" w:hAnsi="Arial"/>
          <w:sz w:val="11"/>
          <w:szCs w:val="11"/>
          <w:color w:val="2B2B2B"/>
        </w:rPr>
        <w:t>i</w:t>
      </w:r>
      <w:r>
        <w:rPr>
          <w:rFonts w:ascii="Arial" w:cs="Arial" w:eastAsia="Arial" w:hAnsi="Arial"/>
          <w:sz w:val="11"/>
          <w:szCs w:val="11"/>
          <w:color w:val="111111"/>
        </w:rPr>
        <w:t>ce portal which you can access at</w:t>
      </w:r>
      <w:r>
        <w:rPr>
          <w:rFonts w:ascii="Arial" w:cs="Arial" w:eastAsia="Arial" w:hAnsi="Arial"/>
          <w:sz w:val="11"/>
          <w:szCs w:val="11"/>
          <w:b w:val="1"/>
          <w:bCs w:val="1"/>
          <w:color w:val="111111"/>
        </w:rPr>
        <w:t xml:space="preserve"> </w:t>
      </w:r>
      <w:r>
        <w:rPr>
          <w:rFonts w:ascii="Arial" w:cs="Arial" w:eastAsia="Arial" w:hAnsi="Arial"/>
          <w:sz w:val="11"/>
          <w:szCs w:val="11"/>
          <w:color w:val="2B2B2B"/>
        </w:rPr>
        <w:t>http://</w:t>
      </w:r>
      <w:r>
        <w:rPr>
          <w:rFonts w:ascii="Arial" w:cs="Arial" w:eastAsia="Arial" w:hAnsi="Arial"/>
          <w:sz w:val="11"/>
          <w:szCs w:val="11"/>
          <w:color w:val="111111"/>
        </w:rPr>
        <w:t>b</w:t>
      </w:r>
      <w:r>
        <w:rPr>
          <w:rFonts w:ascii="Arial" w:cs="Arial" w:eastAsia="Arial" w:hAnsi="Arial"/>
          <w:sz w:val="11"/>
          <w:szCs w:val="11"/>
          <w:color w:val="2B2B2B"/>
        </w:rPr>
        <w:t>pi-tenanLcapitaland</w:t>
      </w:r>
      <w:r>
        <w:rPr>
          <w:rFonts w:ascii="Arial" w:cs="Arial" w:eastAsia="Arial" w:hAnsi="Arial"/>
          <w:sz w:val="11"/>
          <w:szCs w:val="11"/>
          <w:color w:val="5D5D5D"/>
        </w:rPr>
        <w:t>.</w:t>
      </w:r>
      <w:r>
        <w:rPr>
          <w:rFonts w:ascii="Arial" w:cs="Arial" w:eastAsia="Arial" w:hAnsi="Arial"/>
          <w:sz w:val="11"/>
          <w:szCs w:val="11"/>
          <w:color w:val="2B2B2B"/>
        </w:rPr>
        <w:t>com</w:t>
      </w:r>
      <w:r>
        <w:rPr>
          <w:rFonts w:ascii="Arial" w:cs="Arial" w:eastAsia="Arial" w:hAnsi="Arial"/>
          <w:sz w:val="11"/>
          <w:szCs w:val="11"/>
          <w:b w:val="1"/>
          <w:bCs w:val="1"/>
          <w:color w:val="111111"/>
        </w:rPr>
        <w:t xml:space="preserve"> </w:t>
      </w:r>
      <w:r>
        <w:rPr>
          <w:rFonts w:ascii="Arial" w:cs="Arial" w:eastAsia="Arial" w:hAnsi="Arial"/>
          <w:sz w:val="11"/>
          <w:szCs w:val="11"/>
          <w:color w:val="111111"/>
        </w:rPr>
        <w:t>or such other website address we may give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5299075</wp:posOffset>
            </wp:positionH>
            <wp:positionV relativeFrom="paragraph">
              <wp:posOffset>-2540</wp:posOffset>
            </wp:positionV>
            <wp:extent cx="2095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1">
                      <a:extLst>
                        <a:ext uri="{28A0092B-C50C-407E-A947-70E740481C1C}"/>
                      </a:extLst>
                    </a:blip>
                    <a:srcRect/>
                    <a:stretch>
                      <a:fillRect/>
                    </a:stretch>
                  </pic:blipFill>
                  <pic:spPr bwMode="auto">
                    <a:xfrm>
                      <a:off x="0" y="0"/>
                      <a:ext cx="20955" cy="6985"/>
                    </a:xfrm>
                    <a:prstGeom prst="rect">
                      <a:avLst/>
                    </a:prstGeom>
                    <a:noFill/>
                  </pic:spPr>
                </pic:pic>
              </a:graphicData>
            </a:graphic>
          </wp:anchor>
        </w:drawing>
      </w:r>
    </w:p>
    <w:p>
      <w:pPr>
        <w:spacing w:after="0" w:line="181"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11111"/>
        </w:rPr>
        <w:t>1.1.3</w:t>
      </w:r>
      <w:r>
        <w:rPr>
          <w:sz w:val="20"/>
          <w:szCs w:val="20"/>
          <w:color w:val="auto"/>
        </w:rPr>
        <w:tab/>
      </w:r>
      <w:r>
        <w:rPr>
          <w:rFonts w:ascii="Arial" w:cs="Arial" w:eastAsia="Arial" w:hAnsi="Arial"/>
          <w:sz w:val="11"/>
          <w:szCs w:val="11"/>
          <w:b w:val="1"/>
          <w:bCs w:val="1"/>
          <w:color w:val="111111"/>
        </w:rPr>
        <w:t xml:space="preserve">'Authorities' </w:t>
      </w:r>
      <w:r>
        <w:rPr>
          <w:rFonts w:ascii="Arial" w:cs="Arial" w:eastAsia="Arial" w:hAnsi="Arial"/>
          <w:sz w:val="11"/>
          <w:szCs w:val="11"/>
          <w:color w:val="111111"/>
        </w:rPr>
        <w:t>means all relevant government bodies, statutory bodies and other author</w:t>
      </w:r>
      <w:r>
        <w:rPr>
          <w:rFonts w:ascii="Arial" w:cs="Arial" w:eastAsia="Arial" w:hAnsi="Arial"/>
          <w:sz w:val="11"/>
          <w:szCs w:val="11"/>
          <w:color w:val="2B2B2B"/>
        </w:rPr>
        <w:t>i</w:t>
      </w:r>
      <w:r>
        <w:rPr>
          <w:rFonts w:ascii="Arial" w:cs="Arial" w:eastAsia="Arial" w:hAnsi="Arial"/>
          <w:sz w:val="11"/>
          <w:szCs w:val="11"/>
          <w:color w:val="111111"/>
        </w:rPr>
        <w:t>ties.</w:t>
      </w:r>
    </w:p>
    <w:p>
      <w:pPr>
        <w:spacing w:after="0" w:line="190" w:lineRule="exact"/>
        <w:rPr>
          <w:sz w:val="20"/>
          <w:szCs w:val="20"/>
          <w:color w:val="auto"/>
        </w:rPr>
      </w:pPr>
    </w:p>
    <w:p>
      <w:pPr>
        <w:jc w:val="both"/>
        <w:ind w:left="580" w:hanging="484"/>
        <w:spacing w:after="0" w:line="275" w:lineRule="auto"/>
        <w:tabs>
          <w:tab w:leader="none" w:pos="560" w:val="left"/>
        </w:tabs>
        <w:rPr>
          <w:sz w:val="20"/>
          <w:szCs w:val="20"/>
          <w:color w:val="auto"/>
        </w:rPr>
      </w:pPr>
      <w:r>
        <w:rPr>
          <w:rFonts w:ascii="Arial" w:cs="Arial" w:eastAsia="Arial" w:hAnsi="Arial"/>
          <w:sz w:val="12"/>
          <w:szCs w:val="12"/>
          <w:color w:val="111111"/>
        </w:rPr>
        <w:t>1.1.4</w:t>
      </w:r>
      <w:r>
        <w:rPr>
          <w:sz w:val="20"/>
          <w:szCs w:val="20"/>
          <w:color w:val="auto"/>
        </w:rPr>
        <w:tab/>
      </w:r>
      <w:r>
        <w:rPr>
          <w:rFonts w:ascii="Arial" w:cs="Arial" w:eastAsia="Arial" w:hAnsi="Arial"/>
          <w:sz w:val="12"/>
          <w:szCs w:val="12"/>
          <w:b w:val="1"/>
          <w:bCs w:val="1"/>
          <w:color w:val="111111"/>
        </w:rPr>
        <w:t xml:space="preserve">'Building' </w:t>
      </w:r>
      <w:r>
        <w:rPr>
          <w:rFonts w:ascii="Arial" w:cs="Arial" w:eastAsia="Arial" w:hAnsi="Arial"/>
          <w:sz w:val="12"/>
          <w:szCs w:val="12"/>
          <w:color w:val="111111"/>
        </w:rPr>
        <w:t>means the land and the buildings which the Premises form part of (including car-parks, service, loading and any other areas for the use and enjoyment of the building, whether or not these</w:t>
      </w:r>
      <w:r>
        <w:rPr>
          <w:rFonts w:ascii="Arial" w:cs="Arial" w:eastAsia="Arial" w:hAnsi="Arial"/>
          <w:sz w:val="12"/>
          <w:szCs w:val="12"/>
          <w:b w:val="1"/>
          <w:bCs w:val="1"/>
          <w:color w:val="111111"/>
        </w:rPr>
        <w:t xml:space="preserve"> </w:t>
      </w:r>
      <w:r>
        <w:rPr>
          <w:rFonts w:ascii="Arial" w:cs="Arial" w:eastAsia="Arial" w:hAnsi="Arial"/>
          <w:sz w:val="12"/>
          <w:szCs w:val="12"/>
          <w:color w:val="111111"/>
        </w:rPr>
        <w:t>are within the structure of the building)</w:t>
      </w:r>
      <w:r>
        <w:rPr>
          <w:rFonts w:ascii="Arial" w:cs="Arial" w:eastAsia="Arial" w:hAnsi="Arial"/>
          <w:sz w:val="12"/>
          <w:szCs w:val="12"/>
          <w:color w:val="2B2B2B"/>
        </w:rPr>
        <w:t>.</w:t>
      </w:r>
    </w:p>
    <w:p>
      <w:pPr>
        <w:spacing w:after="0" w:line="16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11111"/>
        </w:rPr>
        <w:t>1.1.5</w:t>
      </w:r>
      <w:r>
        <w:rPr>
          <w:sz w:val="20"/>
          <w:szCs w:val="20"/>
          <w:color w:val="auto"/>
        </w:rPr>
        <w:tab/>
      </w:r>
      <w:r>
        <w:rPr>
          <w:rFonts w:ascii="Arial" w:cs="Arial" w:eastAsia="Arial" w:hAnsi="Arial"/>
          <w:sz w:val="11"/>
          <w:szCs w:val="11"/>
          <w:b w:val="1"/>
          <w:bCs w:val="1"/>
          <w:color w:val="2B2B2B"/>
        </w:rPr>
        <w:t>'</w:t>
      </w:r>
      <w:r>
        <w:rPr>
          <w:rFonts w:ascii="Arial" w:cs="Arial" w:eastAsia="Arial" w:hAnsi="Arial"/>
          <w:sz w:val="11"/>
          <w:szCs w:val="11"/>
          <w:b w:val="1"/>
          <w:bCs w:val="1"/>
          <w:color w:val="111111"/>
        </w:rPr>
        <w:t>Building Covenants'</w:t>
      </w:r>
      <w:r>
        <w:rPr>
          <w:rFonts w:ascii="Arial" w:cs="Arial" w:eastAsia="Arial" w:hAnsi="Arial"/>
          <w:sz w:val="11"/>
          <w:szCs w:val="11"/>
          <w:b w:val="1"/>
          <w:bCs w:val="1"/>
          <w:color w:val="2B2B2B"/>
        </w:rPr>
        <w:t xml:space="preserve"> </w:t>
      </w:r>
      <w:r>
        <w:rPr>
          <w:rFonts w:ascii="Arial" w:cs="Arial" w:eastAsia="Arial" w:hAnsi="Arial"/>
          <w:sz w:val="11"/>
          <w:szCs w:val="11"/>
          <w:color w:val="111111"/>
        </w:rPr>
        <w:t>means any terms, covenants and conditions as set out in schedule 3 which are specific to the Building</w:t>
      </w:r>
      <w:r>
        <w:rPr>
          <w:rFonts w:ascii="Arial" w:cs="Arial" w:eastAsia="Arial" w:hAnsi="Arial"/>
          <w:sz w:val="11"/>
          <w:szCs w:val="11"/>
          <w:color w:val="424242"/>
        </w:rPr>
        <w:t>.</w:t>
      </w:r>
    </w:p>
    <w:p>
      <w:pPr>
        <w:spacing w:after="0" w:line="19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2B2B2B"/>
        </w:rPr>
        <w:t>1.1.6</w:t>
      </w:r>
      <w:r>
        <w:rPr>
          <w:sz w:val="20"/>
          <w:szCs w:val="20"/>
          <w:color w:val="auto"/>
        </w:rPr>
        <w:tab/>
      </w:r>
      <w:r>
        <w:rPr>
          <w:rFonts w:ascii="Arial" w:cs="Arial" w:eastAsia="Arial" w:hAnsi="Arial"/>
          <w:sz w:val="11"/>
          <w:szCs w:val="11"/>
          <w:b w:val="1"/>
          <w:bCs w:val="1"/>
          <w:color w:val="2B2B2B"/>
        </w:rPr>
        <w:t>'</w:t>
      </w:r>
      <w:r>
        <w:rPr>
          <w:rFonts w:ascii="Arial" w:cs="Arial" w:eastAsia="Arial" w:hAnsi="Arial"/>
          <w:sz w:val="11"/>
          <w:szCs w:val="11"/>
          <w:b w:val="1"/>
          <w:bCs w:val="1"/>
          <w:color w:val="111111"/>
        </w:rPr>
        <w:t>Car-park Charges'</w:t>
      </w:r>
      <w:r>
        <w:rPr>
          <w:rFonts w:ascii="Arial" w:cs="Arial" w:eastAsia="Arial" w:hAnsi="Arial"/>
          <w:sz w:val="11"/>
          <w:szCs w:val="11"/>
          <w:b w:val="1"/>
          <w:bCs w:val="1"/>
          <w:color w:val="2B2B2B"/>
        </w:rPr>
        <w:t xml:space="preserve"> </w:t>
      </w:r>
      <w:r>
        <w:rPr>
          <w:rFonts w:ascii="Arial" w:cs="Arial" w:eastAsia="Arial" w:hAnsi="Arial"/>
          <w:sz w:val="11"/>
          <w:szCs w:val="11"/>
          <w:color w:val="111111"/>
        </w:rPr>
        <w:t>means the charges you must pay to use the car</w:t>
      </w:r>
      <w:r>
        <w:rPr>
          <w:rFonts w:ascii="Arial" w:cs="Arial" w:eastAsia="Arial" w:hAnsi="Arial"/>
          <w:sz w:val="11"/>
          <w:szCs w:val="11"/>
          <w:color w:val="2B2B2B"/>
        </w:rPr>
        <w:t>-</w:t>
      </w:r>
      <w:r>
        <w:rPr>
          <w:rFonts w:ascii="Arial" w:cs="Arial" w:eastAsia="Arial" w:hAnsi="Arial"/>
          <w:sz w:val="11"/>
          <w:szCs w:val="11"/>
          <w:color w:val="111111"/>
        </w:rPr>
        <w:t>parks at the Bu</w:t>
      </w:r>
      <w:r>
        <w:rPr>
          <w:rFonts w:ascii="Arial" w:cs="Arial" w:eastAsia="Arial" w:hAnsi="Arial"/>
          <w:sz w:val="11"/>
          <w:szCs w:val="11"/>
          <w:color w:val="2B2B2B"/>
        </w:rPr>
        <w:t>i</w:t>
      </w:r>
      <w:r>
        <w:rPr>
          <w:rFonts w:ascii="Arial" w:cs="Arial" w:eastAsia="Arial" w:hAnsi="Arial"/>
          <w:sz w:val="11"/>
          <w:szCs w:val="11"/>
          <w:color w:val="111111"/>
        </w:rPr>
        <w:t>ld</w:t>
      </w:r>
      <w:r>
        <w:rPr>
          <w:rFonts w:ascii="Arial" w:cs="Arial" w:eastAsia="Arial" w:hAnsi="Arial"/>
          <w:sz w:val="11"/>
          <w:szCs w:val="11"/>
          <w:color w:val="2B2B2B"/>
        </w:rPr>
        <w:t>i</w:t>
      </w:r>
      <w:r>
        <w:rPr>
          <w:rFonts w:ascii="Arial" w:cs="Arial" w:eastAsia="Arial" w:hAnsi="Arial"/>
          <w:sz w:val="11"/>
          <w:szCs w:val="11"/>
          <w:color w:val="111111"/>
        </w:rPr>
        <w:t>ng</w:t>
      </w:r>
      <w:r>
        <w:rPr>
          <w:rFonts w:ascii="Arial" w:cs="Arial" w:eastAsia="Arial" w:hAnsi="Arial"/>
          <w:sz w:val="11"/>
          <w:szCs w:val="11"/>
          <w:color w:val="424242"/>
        </w:rPr>
        <w:t>.</w:t>
      </w:r>
    </w:p>
    <w:p>
      <w:pPr>
        <w:spacing w:after="0" w:line="201" w:lineRule="exact"/>
        <w:rPr>
          <w:sz w:val="20"/>
          <w:szCs w:val="20"/>
          <w:color w:val="auto"/>
        </w:rPr>
      </w:pPr>
    </w:p>
    <w:p>
      <w:pPr>
        <w:jc w:val="both"/>
        <w:ind w:left="580" w:hanging="481"/>
        <w:spacing w:after="0" w:line="275" w:lineRule="auto"/>
        <w:tabs>
          <w:tab w:leader="none" w:pos="560" w:val="left"/>
        </w:tabs>
        <w:rPr>
          <w:sz w:val="20"/>
          <w:szCs w:val="20"/>
          <w:color w:val="auto"/>
        </w:rPr>
      </w:pPr>
      <w:r>
        <w:rPr>
          <w:rFonts w:ascii="Arial" w:cs="Arial" w:eastAsia="Arial" w:hAnsi="Arial"/>
          <w:sz w:val="12"/>
          <w:szCs w:val="12"/>
          <w:color w:val="2B2B2B"/>
        </w:rPr>
        <w:t>1.1.7</w:t>
      </w:r>
      <w:r>
        <w:rPr>
          <w:sz w:val="20"/>
          <w:szCs w:val="20"/>
          <w:color w:val="auto"/>
        </w:rPr>
        <w:tab/>
      </w:r>
      <w:r>
        <w:rPr>
          <w:rFonts w:ascii="Arial" w:cs="Arial" w:eastAsia="Arial" w:hAnsi="Arial"/>
          <w:sz w:val="12"/>
          <w:szCs w:val="12"/>
          <w:b w:val="1"/>
          <w:bCs w:val="1"/>
          <w:color w:val="2B2B2B"/>
        </w:rPr>
        <w:t>'</w:t>
      </w:r>
      <w:r>
        <w:rPr>
          <w:rFonts w:ascii="Arial" w:cs="Arial" w:eastAsia="Arial" w:hAnsi="Arial"/>
          <w:sz w:val="12"/>
          <w:szCs w:val="12"/>
          <w:b w:val="1"/>
          <w:bCs w:val="1"/>
          <w:color w:val="111111"/>
        </w:rPr>
        <w:t>Circumstances Beyond Our Control</w:t>
      </w:r>
      <w:r>
        <w:rPr>
          <w:rFonts w:ascii="Arial" w:cs="Arial" w:eastAsia="Arial" w:hAnsi="Arial"/>
          <w:sz w:val="12"/>
          <w:szCs w:val="12"/>
          <w:b w:val="1"/>
          <w:bCs w:val="1"/>
          <w:color w:val="2B2B2B"/>
        </w:rPr>
        <w:t xml:space="preserve">' </w:t>
      </w:r>
      <w:r>
        <w:rPr>
          <w:rFonts w:ascii="Arial" w:cs="Arial" w:eastAsia="Arial" w:hAnsi="Arial"/>
          <w:sz w:val="12"/>
          <w:szCs w:val="12"/>
          <w:color w:val="111111"/>
        </w:rPr>
        <w:t>means any circumstances we have no control over</w:t>
      </w:r>
      <w:r>
        <w:rPr>
          <w:rFonts w:ascii="Arial" w:cs="Arial" w:eastAsia="Arial" w:hAnsi="Arial"/>
          <w:sz w:val="12"/>
          <w:szCs w:val="12"/>
          <w:color w:val="2B2B2B"/>
        </w:rPr>
        <w:t>,</w:t>
      </w:r>
      <w:r>
        <w:rPr>
          <w:rFonts w:ascii="Arial" w:cs="Arial" w:eastAsia="Arial" w:hAnsi="Arial"/>
          <w:sz w:val="12"/>
          <w:szCs w:val="12"/>
          <w:b w:val="1"/>
          <w:bCs w:val="1"/>
          <w:color w:val="2B2B2B"/>
        </w:rPr>
        <w:t xml:space="preserve"> </w:t>
      </w:r>
      <w:r>
        <w:rPr>
          <w:rFonts w:ascii="Arial" w:cs="Arial" w:eastAsia="Arial" w:hAnsi="Arial"/>
          <w:sz w:val="12"/>
          <w:szCs w:val="12"/>
          <w:color w:val="111111"/>
        </w:rPr>
        <w:t>and which directly or indirectly prevent or delay us from carrying out our obligations under this Lease</w:t>
      </w:r>
      <w:r>
        <w:rPr>
          <w:rFonts w:ascii="Arial" w:cs="Arial" w:eastAsia="Arial" w:hAnsi="Arial"/>
          <w:sz w:val="12"/>
          <w:szCs w:val="12"/>
          <w:color w:val="2B2B2B"/>
        </w:rPr>
        <w:t>,</w:t>
      </w:r>
      <w:r>
        <w:rPr>
          <w:rFonts w:ascii="Arial" w:cs="Arial" w:eastAsia="Arial" w:hAnsi="Arial"/>
          <w:sz w:val="12"/>
          <w:szCs w:val="12"/>
          <w:b w:val="1"/>
          <w:bCs w:val="1"/>
          <w:color w:val="2B2B2B"/>
        </w:rPr>
        <w:t xml:space="preserve"> </w:t>
      </w:r>
      <w:r>
        <w:rPr>
          <w:rFonts w:ascii="Arial" w:cs="Arial" w:eastAsia="Arial" w:hAnsi="Arial"/>
          <w:sz w:val="12"/>
          <w:szCs w:val="12"/>
          <w:color w:val="111111"/>
        </w:rPr>
        <w:t>including natural disasters, flooding, haze, national emergency, war, insurgency</w:t>
      </w:r>
      <w:r>
        <w:rPr>
          <w:rFonts w:ascii="Arial" w:cs="Arial" w:eastAsia="Arial" w:hAnsi="Arial"/>
          <w:sz w:val="12"/>
          <w:szCs w:val="12"/>
          <w:color w:val="2B2B2B"/>
        </w:rPr>
        <w:t>,</w:t>
      </w:r>
      <w:r>
        <w:rPr>
          <w:rFonts w:ascii="Arial" w:cs="Arial" w:eastAsia="Arial" w:hAnsi="Arial"/>
          <w:sz w:val="12"/>
          <w:szCs w:val="12"/>
          <w:color w:val="111111"/>
        </w:rPr>
        <w:t xml:space="preserve"> labour disputes, civil commotion or riots.</w:t>
      </w:r>
    </w:p>
    <w:p>
      <w:pPr>
        <w:spacing w:after="0" w:line="150" w:lineRule="exact"/>
        <w:rPr>
          <w:sz w:val="20"/>
          <w:szCs w:val="20"/>
          <w:color w:val="auto"/>
        </w:rPr>
      </w:pPr>
    </w:p>
    <w:p>
      <w:pPr>
        <w:jc w:val="both"/>
        <w:ind w:left="580" w:hanging="482"/>
        <w:spacing w:after="0" w:line="257" w:lineRule="auto"/>
        <w:tabs>
          <w:tab w:leader="none" w:pos="560" w:val="left"/>
        </w:tabs>
        <w:rPr>
          <w:sz w:val="20"/>
          <w:szCs w:val="20"/>
          <w:color w:val="auto"/>
        </w:rPr>
      </w:pPr>
      <w:r>
        <w:rPr>
          <w:rFonts w:ascii="Arial" w:cs="Arial" w:eastAsia="Arial" w:hAnsi="Arial"/>
          <w:sz w:val="12"/>
          <w:szCs w:val="12"/>
          <w:color w:val="111111"/>
        </w:rPr>
        <w:t>1.1.8</w:t>
      </w:r>
      <w:r>
        <w:rPr>
          <w:sz w:val="20"/>
          <w:szCs w:val="20"/>
          <w:color w:val="auto"/>
        </w:rPr>
        <w:tab/>
      </w:r>
      <w:r>
        <w:rPr>
          <w:rFonts w:ascii="Arial" w:cs="Arial" w:eastAsia="Arial" w:hAnsi="Arial"/>
          <w:sz w:val="12"/>
          <w:szCs w:val="12"/>
          <w:b w:val="1"/>
          <w:bCs w:val="1"/>
          <w:color w:val="111111"/>
        </w:rPr>
        <w:t xml:space="preserve">'Common Area' </w:t>
      </w:r>
      <w:r>
        <w:rPr>
          <w:rFonts w:ascii="Arial" w:cs="Arial" w:eastAsia="Arial" w:hAnsi="Arial"/>
          <w:sz w:val="12"/>
          <w:szCs w:val="12"/>
          <w:color w:val="111111"/>
        </w:rPr>
        <w:t>means the parts of the Building (whether or not within the structure of the Building) which (a) are for shared use by us, you, other tenants and occupiers of the Building, and anyone</w:t>
      </w:r>
      <w:r>
        <w:rPr>
          <w:rFonts w:ascii="Arial" w:cs="Arial" w:eastAsia="Arial" w:hAnsi="Arial"/>
          <w:sz w:val="12"/>
          <w:szCs w:val="12"/>
          <w:b w:val="1"/>
          <w:bCs w:val="1"/>
          <w:color w:val="111111"/>
        </w:rPr>
        <w:t xml:space="preserve"> </w:t>
      </w:r>
      <w:r>
        <w:rPr>
          <w:rFonts w:ascii="Arial" w:cs="Arial" w:eastAsia="Arial" w:hAnsi="Arial"/>
          <w:sz w:val="12"/>
          <w:szCs w:val="12"/>
          <w:color w:val="111111"/>
        </w:rPr>
        <w:t xml:space="preserve">who is properly authorised to use those areas, and (b) would be considered as 'common areas' or </w:t>
      </w:r>
      <w:r>
        <w:rPr>
          <w:rFonts w:ascii="Arial" w:cs="Arial" w:eastAsia="Arial" w:hAnsi="Arial"/>
          <w:sz w:val="12"/>
          <w:szCs w:val="12"/>
          <w:color w:val="2B2B2B"/>
        </w:rPr>
        <w:t>'</w:t>
      </w:r>
      <w:r>
        <w:rPr>
          <w:rFonts w:ascii="Arial" w:cs="Arial" w:eastAsia="Arial" w:hAnsi="Arial"/>
          <w:sz w:val="12"/>
          <w:szCs w:val="12"/>
          <w:color w:val="111111"/>
        </w:rPr>
        <w:t>common parts' of the Building for shared use, enjoyment or benefit if the Building had been subdivided and registered under the Land Titles (Strata) Act (Chapter 158). Common Area does not include areas which are inside the Premises or which serve the Premises only</w:t>
      </w:r>
      <w:r>
        <w:rPr>
          <w:rFonts w:ascii="Arial" w:cs="Arial" w:eastAsia="Arial" w:hAnsi="Arial"/>
          <w:sz w:val="12"/>
          <w:szCs w:val="12"/>
          <w:color w:val="2B2B2B"/>
        </w:rPr>
        <w:t>.</w:t>
      </w:r>
    </w:p>
    <w:p>
      <w:pPr>
        <w:spacing w:after="0" w:line="160" w:lineRule="exact"/>
        <w:rPr>
          <w:sz w:val="20"/>
          <w:szCs w:val="20"/>
          <w:color w:val="auto"/>
        </w:rPr>
      </w:pPr>
    </w:p>
    <w:p>
      <w:pPr>
        <w:jc w:val="both"/>
        <w:ind w:left="560" w:right="20" w:hanging="480"/>
        <w:spacing w:after="0" w:line="275" w:lineRule="auto"/>
        <w:tabs>
          <w:tab w:leader="none" w:pos="540" w:val="left"/>
        </w:tabs>
        <w:rPr>
          <w:sz w:val="20"/>
          <w:szCs w:val="20"/>
          <w:color w:val="auto"/>
        </w:rPr>
      </w:pPr>
      <w:r>
        <w:rPr>
          <w:rFonts w:ascii="Arial" w:cs="Arial" w:eastAsia="Arial" w:hAnsi="Arial"/>
          <w:sz w:val="12"/>
          <w:szCs w:val="12"/>
          <w:color w:val="111111"/>
        </w:rPr>
        <w:t>1.1.9</w:t>
      </w:r>
      <w:r>
        <w:rPr>
          <w:sz w:val="20"/>
          <w:szCs w:val="20"/>
          <w:color w:val="auto"/>
        </w:rPr>
        <w:tab/>
      </w:r>
      <w:r>
        <w:rPr>
          <w:rFonts w:ascii="Arial" w:cs="Arial" w:eastAsia="Arial" w:hAnsi="Arial"/>
          <w:sz w:val="12"/>
          <w:szCs w:val="12"/>
          <w:b w:val="1"/>
          <w:bCs w:val="1"/>
          <w:color w:val="111111"/>
        </w:rPr>
        <w:t xml:space="preserve">'Conducting Media’ </w:t>
      </w:r>
      <w:r>
        <w:rPr>
          <w:rFonts w:ascii="Arial" w:cs="Arial" w:eastAsia="Arial" w:hAnsi="Arial"/>
          <w:sz w:val="12"/>
          <w:szCs w:val="12"/>
          <w:color w:val="111111"/>
        </w:rPr>
        <w:t>means any drains, sewers</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conduits</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flues</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risers, gutters</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gullies</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channels</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ducts, shafts</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watercourses, pipes</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cables, wires and mains in</w:t>
      </w:r>
      <w:r>
        <w:rPr>
          <w:rFonts w:ascii="Arial" w:cs="Arial" w:eastAsia="Arial" w:hAnsi="Arial"/>
          <w:sz w:val="12"/>
          <w:szCs w:val="12"/>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on or under the Building, including any</w:t>
      </w:r>
      <w:r>
        <w:rPr>
          <w:rFonts w:ascii="Arial" w:cs="Arial" w:eastAsia="Arial" w:hAnsi="Arial"/>
          <w:sz w:val="12"/>
          <w:szCs w:val="12"/>
          <w:b w:val="1"/>
          <w:bCs w:val="1"/>
          <w:color w:val="111111"/>
        </w:rPr>
        <w:t xml:space="preserve"> </w:t>
      </w:r>
      <w:r>
        <w:rPr>
          <w:rFonts w:ascii="Arial" w:cs="Arial" w:eastAsia="Arial" w:hAnsi="Arial"/>
          <w:sz w:val="12"/>
          <w:szCs w:val="12"/>
          <w:color w:val="111111"/>
        </w:rPr>
        <w:t>that are installed in the future.</w:t>
      </w:r>
    </w:p>
    <w:p>
      <w:pPr>
        <w:spacing w:after="0" w:line="15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1.1.10</w:t>
      </w:r>
      <w:r>
        <w:rPr>
          <w:sz w:val="20"/>
          <w:szCs w:val="20"/>
          <w:color w:val="auto"/>
        </w:rPr>
        <w:tab/>
      </w:r>
      <w:r>
        <w:rPr>
          <w:rFonts w:ascii="Arial" w:cs="Arial" w:eastAsia="Arial" w:hAnsi="Arial"/>
          <w:sz w:val="12"/>
          <w:szCs w:val="12"/>
          <w:b w:val="1"/>
          <w:bCs w:val="1"/>
          <w:color w:val="111111"/>
        </w:rPr>
        <w:t>'Electricity Charges</w:t>
      </w:r>
      <w:r>
        <w:rPr>
          <w:rFonts w:ascii="Arial" w:cs="Arial" w:eastAsia="Arial" w:hAnsi="Arial"/>
          <w:sz w:val="12"/>
          <w:szCs w:val="12"/>
          <w:b w:val="1"/>
          <w:bCs w:val="1"/>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means the charges for electricity as used at the Premises.</w:t>
      </w:r>
    </w:p>
    <w:p>
      <w:pPr>
        <w:spacing w:after="0" w:line="190" w:lineRule="exact"/>
        <w:rPr>
          <w:sz w:val="20"/>
          <w:szCs w:val="20"/>
          <w:color w:val="auto"/>
        </w:rPr>
      </w:pPr>
    </w:p>
    <w:p>
      <w:pPr>
        <w:jc w:val="both"/>
        <w:ind w:left="560" w:right="20" w:hanging="487"/>
        <w:spacing w:after="0" w:line="275" w:lineRule="auto"/>
        <w:tabs>
          <w:tab w:leader="none" w:pos="540" w:val="left"/>
        </w:tabs>
        <w:rPr>
          <w:sz w:val="20"/>
          <w:szCs w:val="20"/>
          <w:color w:val="auto"/>
        </w:rPr>
      </w:pPr>
      <w:r>
        <w:rPr>
          <w:rFonts w:ascii="Arial" w:cs="Arial" w:eastAsia="Arial" w:hAnsi="Arial"/>
          <w:sz w:val="12"/>
          <w:szCs w:val="12"/>
          <w:color w:val="111111"/>
        </w:rPr>
        <w:t>1.1.11</w:t>
      </w:r>
      <w:r>
        <w:rPr>
          <w:sz w:val="20"/>
          <w:szCs w:val="20"/>
          <w:color w:val="auto"/>
        </w:rPr>
        <w:tab/>
      </w:r>
      <w:r>
        <w:rPr>
          <w:rFonts w:ascii="Arial" w:cs="Arial" w:eastAsia="Arial" w:hAnsi="Arial"/>
          <w:sz w:val="12"/>
          <w:szCs w:val="12"/>
          <w:b w:val="1"/>
          <w:bCs w:val="1"/>
          <w:color w:val="111111"/>
        </w:rPr>
        <w:t xml:space="preserve">'Electricity Supply Deposit' </w:t>
      </w:r>
      <w:r>
        <w:rPr>
          <w:rFonts w:ascii="Arial" w:cs="Arial" w:eastAsia="Arial" w:hAnsi="Arial"/>
          <w:sz w:val="12"/>
          <w:szCs w:val="12"/>
          <w:color w:val="111111"/>
        </w:rPr>
        <w:t>means the electricity-supply deposit amount, being an amount equal to 1.5 times’ the expected monthly Electricity Charges, which we will estimate and notify you from</w:t>
      </w:r>
      <w:r>
        <w:rPr>
          <w:rFonts w:ascii="Arial" w:cs="Arial" w:eastAsia="Arial" w:hAnsi="Arial"/>
          <w:sz w:val="12"/>
          <w:szCs w:val="12"/>
          <w:b w:val="1"/>
          <w:bCs w:val="1"/>
          <w:color w:val="111111"/>
        </w:rPr>
        <w:t xml:space="preserve"> </w:t>
      </w:r>
      <w:r>
        <w:rPr>
          <w:rFonts w:ascii="Arial" w:cs="Arial" w:eastAsia="Arial" w:hAnsi="Arial"/>
          <w:sz w:val="12"/>
          <w:szCs w:val="12"/>
          <w:color w:val="111111"/>
        </w:rPr>
        <w:t>time to time. The initial amount of the Electric</w:t>
      </w:r>
      <w:r>
        <w:rPr>
          <w:rFonts w:ascii="Arial" w:cs="Arial" w:eastAsia="Arial" w:hAnsi="Arial"/>
          <w:sz w:val="12"/>
          <w:szCs w:val="12"/>
          <w:color w:val="2B2B2B"/>
        </w:rPr>
        <w:t>i</w:t>
      </w:r>
      <w:r>
        <w:rPr>
          <w:rFonts w:ascii="Arial" w:cs="Arial" w:eastAsia="Arial" w:hAnsi="Arial"/>
          <w:sz w:val="12"/>
          <w:szCs w:val="12"/>
          <w:color w:val="111111"/>
        </w:rPr>
        <w:t>ty Supply Deposit is set out in schedule 1.</w:t>
      </w:r>
    </w:p>
    <w:p>
      <w:pPr>
        <w:spacing w:after="0" w:line="150" w:lineRule="exact"/>
        <w:rPr>
          <w:sz w:val="20"/>
          <w:szCs w:val="20"/>
          <w:color w:val="auto"/>
        </w:rPr>
      </w:pPr>
    </w:p>
    <w:p>
      <w:pPr>
        <w:jc w:val="both"/>
        <w:ind w:left="560" w:right="20" w:hanging="483"/>
        <w:spacing w:after="0" w:line="275" w:lineRule="auto"/>
        <w:tabs>
          <w:tab w:leader="none" w:pos="540" w:val="left"/>
        </w:tabs>
        <w:rPr>
          <w:sz w:val="20"/>
          <w:szCs w:val="20"/>
          <w:color w:val="auto"/>
        </w:rPr>
      </w:pPr>
      <w:r>
        <w:rPr>
          <w:rFonts w:ascii="Arial" w:cs="Arial" w:eastAsia="Arial" w:hAnsi="Arial"/>
          <w:sz w:val="12"/>
          <w:szCs w:val="12"/>
          <w:color w:val="111111"/>
        </w:rPr>
        <w:t>1.1.12</w:t>
      </w:r>
      <w:r>
        <w:rPr>
          <w:sz w:val="20"/>
          <w:szCs w:val="20"/>
          <w:color w:val="auto"/>
        </w:rPr>
        <w:tab/>
      </w:r>
      <w:r>
        <w:rPr>
          <w:rFonts w:ascii="Arial" w:cs="Arial" w:eastAsia="Arial" w:hAnsi="Arial"/>
          <w:sz w:val="12"/>
          <w:szCs w:val="12"/>
          <w:b w:val="1"/>
          <w:bCs w:val="1"/>
          <w:color w:val="111111"/>
        </w:rPr>
        <w:t>'Fire-safety Approval</w:t>
      </w:r>
      <w:r>
        <w:rPr>
          <w:rFonts w:ascii="Arial" w:cs="Arial" w:eastAsia="Arial" w:hAnsi="Arial"/>
          <w:sz w:val="12"/>
          <w:szCs w:val="12"/>
          <w:b w:val="1"/>
          <w:bCs w:val="1"/>
          <w:color w:val="2B2B2B"/>
        </w:rPr>
        <w:t>'</w:t>
      </w:r>
      <w:r>
        <w:rPr>
          <w:rFonts w:ascii="Arial" w:cs="Arial" w:eastAsia="Arial" w:hAnsi="Arial"/>
          <w:sz w:val="12"/>
          <w:szCs w:val="12"/>
          <w:b w:val="1"/>
          <w:bCs w:val="1"/>
          <w:color w:val="111111"/>
        </w:rPr>
        <w:t xml:space="preserve"> </w:t>
      </w:r>
      <w:r>
        <w:rPr>
          <w:rFonts w:ascii="Arial" w:cs="Arial" w:eastAsia="Arial" w:hAnsi="Arial"/>
          <w:sz w:val="12"/>
          <w:szCs w:val="12"/>
          <w:color w:val="111111"/>
        </w:rPr>
        <w:t>means the approval (including fire-safety certificates or notices of approval) issued by the Singapore Civil Defence Force under the Fire Safety Act (Chapter 109A) o</w:t>
      </w:r>
      <w:r>
        <w:rPr>
          <w:rFonts w:ascii="Arial" w:cs="Arial" w:eastAsia="Arial" w:hAnsi="Arial"/>
          <w:sz w:val="12"/>
          <w:szCs w:val="12"/>
          <w:color w:val="2B2B2B"/>
        </w:rPr>
        <w:t>r</w:t>
      </w:r>
      <w:r>
        <w:rPr>
          <w:rFonts w:ascii="Arial" w:cs="Arial" w:eastAsia="Arial" w:hAnsi="Arial"/>
          <w:sz w:val="12"/>
          <w:szCs w:val="12"/>
          <w:b w:val="1"/>
          <w:bCs w:val="1"/>
          <w:color w:val="111111"/>
        </w:rPr>
        <w:t xml:space="preserve"> </w:t>
      </w:r>
      <w:r>
        <w:rPr>
          <w:rFonts w:ascii="Arial" w:cs="Arial" w:eastAsia="Arial" w:hAnsi="Arial"/>
          <w:sz w:val="12"/>
          <w:szCs w:val="12"/>
          <w:color w:val="111111"/>
        </w:rPr>
        <w:t>such other</w:t>
      </w:r>
      <w:r>
        <w:rPr>
          <w:rFonts w:ascii="Arial" w:cs="Arial" w:eastAsia="Arial" w:hAnsi="Arial"/>
          <w:sz w:val="12"/>
          <w:szCs w:val="12"/>
          <w:b w:val="1"/>
          <w:bCs w:val="1"/>
          <w:color w:val="111111"/>
        </w:rPr>
        <w:t xml:space="preserve"> </w:t>
      </w:r>
      <w:r>
        <w:rPr>
          <w:rFonts w:ascii="Arial" w:cs="Arial" w:eastAsia="Arial" w:hAnsi="Arial"/>
          <w:sz w:val="12"/>
          <w:szCs w:val="12"/>
          <w:color w:val="111111"/>
        </w:rPr>
        <w:t>authority</w:t>
      </w:r>
      <w:r>
        <w:rPr>
          <w:rFonts w:ascii="Arial" w:cs="Arial" w:eastAsia="Arial" w:hAnsi="Arial"/>
          <w:sz w:val="12"/>
          <w:szCs w:val="12"/>
          <w:color w:val="2B2B2B"/>
        </w:rPr>
        <w:t>.</w:t>
      </w:r>
    </w:p>
    <w:p>
      <w:pPr>
        <w:spacing w:after="0" w:line="16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1.1.13</w:t>
      </w:r>
      <w:r>
        <w:rPr>
          <w:sz w:val="20"/>
          <w:szCs w:val="20"/>
          <w:color w:val="auto"/>
        </w:rPr>
        <w:tab/>
      </w:r>
      <w:r>
        <w:rPr>
          <w:rFonts w:ascii="Arial" w:cs="Arial" w:eastAsia="Arial" w:hAnsi="Arial"/>
          <w:sz w:val="11"/>
          <w:szCs w:val="11"/>
          <w:b w:val="1"/>
          <w:bCs w:val="1"/>
          <w:color w:val="111111"/>
        </w:rPr>
        <w:t xml:space="preserve">'Fitting Out Rent-free Period' </w:t>
      </w:r>
      <w:r>
        <w:rPr>
          <w:rFonts w:ascii="Arial" w:cs="Arial" w:eastAsia="Arial" w:hAnsi="Arial"/>
          <w:sz w:val="11"/>
          <w:szCs w:val="11"/>
          <w:color w:val="111111"/>
        </w:rPr>
        <w:t>means the period where the Tenant's Works relating to the fitting out of the Premises are carried out as set out in schedule 1.</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1.1.14</w:t>
      </w:r>
      <w:r>
        <w:rPr>
          <w:sz w:val="20"/>
          <w:szCs w:val="20"/>
          <w:color w:val="auto"/>
        </w:rPr>
        <w:tab/>
      </w:r>
      <w:r>
        <w:rPr>
          <w:rFonts w:ascii="Arial" w:cs="Arial" w:eastAsia="Arial" w:hAnsi="Arial"/>
          <w:sz w:val="11"/>
          <w:szCs w:val="11"/>
          <w:b w:val="1"/>
          <w:bCs w:val="1"/>
          <w:color w:val="111111"/>
        </w:rPr>
        <w:t>'Floor Area</w:t>
      </w:r>
      <w:r>
        <w:rPr>
          <w:rFonts w:ascii="Arial" w:cs="Arial" w:eastAsia="Arial" w:hAnsi="Arial"/>
          <w:sz w:val="11"/>
          <w:szCs w:val="11"/>
          <w:b w:val="1"/>
          <w:bCs w:val="1"/>
          <w:color w:val="2B2B2B"/>
        </w:rPr>
        <w:t>'</w:t>
      </w:r>
      <w:r>
        <w:rPr>
          <w:rFonts w:ascii="Arial" w:cs="Arial" w:eastAsia="Arial" w:hAnsi="Arial"/>
          <w:sz w:val="11"/>
          <w:szCs w:val="11"/>
          <w:b w:val="1"/>
          <w:bCs w:val="1"/>
          <w:color w:val="111111"/>
        </w:rPr>
        <w:t xml:space="preserve"> </w:t>
      </w:r>
      <w:r>
        <w:rPr>
          <w:rFonts w:ascii="Arial" w:cs="Arial" w:eastAsia="Arial" w:hAnsi="Arial"/>
          <w:sz w:val="11"/>
          <w:szCs w:val="11"/>
          <w:color w:val="111111"/>
        </w:rPr>
        <w:t>means the floor area of the Premises set out in schedule 1</w:t>
      </w:r>
      <w:r>
        <w:rPr>
          <w:rFonts w:ascii="Arial" w:cs="Arial" w:eastAsia="Arial" w:hAnsi="Arial"/>
          <w:sz w:val="11"/>
          <w:szCs w:val="11"/>
          <w:color w:val="2B2B2B"/>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1">
            <w:col w:w="11200"/>
          </w:cols>
          <w:pgMar w:left="300" w:top="1440" w:right="39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2">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305"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1.1.15</w:t>
      </w:r>
      <w:r>
        <w:rPr>
          <w:sz w:val="20"/>
          <w:szCs w:val="20"/>
          <w:color w:val="auto"/>
        </w:rPr>
        <w:tab/>
      </w:r>
      <w:r>
        <w:rPr>
          <w:rFonts w:ascii="Arial" w:cs="Arial" w:eastAsia="Arial" w:hAnsi="Arial"/>
          <w:sz w:val="11"/>
          <w:szCs w:val="11"/>
          <w:b w:val="1"/>
          <w:bCs w:val="1"/>
          <w:color w:val="111111"/>
        </w:rPr>
        <w:t xml:space="preserve">'Gross Rent' </w:t>
      </w:r>
      <w:r>
        <w:rPr>
          <w:rFonts w:ascii="Arial" w:cs="Arial" w:eastAsia="Arial" w:hAnsi="Arial"/>
          <w:sz w:val="11"/>
          <w:szCs w:val="11"/>
          <w:color w:val="111111"/>
        </w:rPr>
        <w:t>means the Net Rent and the Service Charge as set out in schedule 1.</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1.1.16</w:t>
      </w:r>
      <w:r>
        <w:rPr>
          <w:sz w:val="20"/>
          <w:szCs w:val="20"/>
          <w:color w:val="auto"/>
        </w:rPr>
        <w:tab/>
      </w:r>
      <w:r>
        <w:rPr>
          <w:rFonts w:ascii="Arial" w:cs="Arial" w:eastAsia="Arial" w:hAnsi="Arial"/>
          <w:sz w:val="11"/>
          <w:szCs w:val="11"/>
          <w:b w:val="1"/>
          <w:bCs w:val="1"/>
          <w:color w:val="111111"/>
        </w:rPr>
        <w:t xml:space="preserve">'Gross Rent Rate' </w:t>
      </w:r>
      <w:r>
        <w:rPr>
          <w:rFonts w:ascii="Arial" w:cs="Arial" w:eastAsia="Arial" w:hAnsi="Arial"/>
          <w:sz w:val="11"/>
          <w:szCs w:val="11"/>
          <w:color w:val="111111"/>
        </w:rPr>
        <w:t>means the Gross Rent per square metre for each month under the Term as set out in schedule 1.</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1.1.17</w:t>
      </w:r>
      <w:r>
        <w:rPr>
          <w:sz w:val="20"/>
          <w:szCs w:val="20"/>
          <w:color w:val="auto"/>
        </w:rPr>
        <w:tab/>
      </w:r>
      <w:r>
        <w:rPr>
          <w:rFonts w:ascii="Arial" w:cs="Arial" w:eastAsia="Arial" w:hAnsi="Arial"/>
          <w:sz w:val="12"/>
          <w:szCs w:val="12"/>
          <w:b w:val="1"/>
          <w:bCs w:val="1"/>
          <w:color w:val="111111"/>
        </w:rPr>
        <w:t xml:space="preserve">'Head Landlord' </w:t>
      </w:r>
      <w:r>
        <w:rPr>
          <w:rFonts w:ascii="Arial" w:cs="Arial" w:eastAsia="Arial" w:hAnsi="Arial"/>
          <w:sz w:val="12"/>
          <w:szCs w:val="12"/>
          <w:color w:val="111111"/>
        </w:rPr>
        <w:t>means the landlord under the Head Lease (whether immediate or not).</w:t>
      </w:r>
    </w:p>
    <w:p>
      <w:pPr>
        <w:spacing w:after="0" w:line="201" w:lineRule="exact"/>
        <w:rPr>
          <w:sz w:val="20"/>
          <w:szCs w:val="20"/>
          <w:color w:val="auto"/>
        </w:rPr>
      </w:pPr>
    </w:p>
    <w:p>
      <w:pPr>
        <w:jc w:val="both"/>
        <w:ind w:left="560" w:right="20" w:hanging="482"/>
        <w:spacing w:after="0" w:line="275" w:lineRule="auto"/>
        <w:tabs>
          <w:tab w:leader="none" w:pos="540" w:val="left"/>
        </w:tabs>
        <w:rPr>
          <w:sz w:val="20"/>
          <w:szCs w:val="20"/>
          <w:color w:val="auto"/>
        </w:rPr>
      </w:pPr>
      <w:r>
        <w:rPr>
          <w:rFonts w:ascii="Arial" w:cs="Arial" w:eastAsia="Arial" w:hAnsi="Arial"/>
          <w:sz w:val="12"/>
          <w:szCs w:val="12"/>
          <w:color w:val="111111"/>
        </w:rPr>
        <w:t>1.1.18</w:t>
      </w:r>
      <w:r>
        <w:rPr>
          <w:sz w:val="20"/>
          <w:szCs w:val="20"/>
          <w:color w:val="auto"/>
        </w:rPr>
        <w:tab/>
      </w:r>
      <w:r>
        <w:rPr>
          <w:rFonts w:ascii="Arial" w:cs="Arial" w:eastAsia="Arial" w:hAnsi="Arial"/>
          <w:sz w:val="12"/>
          <w:szCs w:val="12"/>
          <w:b w:val="1"/>
          <w:bCs w:val="1"/>
          <w:color w:val="111111"/>
        </w:rPr>
        <w:t xml:space="preserve">'Head Lease' </w:t>
      </w:r>
      <w:r>
        <w:rPr>
          <w:rFonts w:ascii="Arial" w:cs="Arial" w:eastAsia="Arial" w:hAnsi="Arial"/>
          <w:sz w:val="12"/>
          <w:szCs w:val="12"/>
          <w:color w:val="111111"/>
        </w:rPr>
        <w:t>means the lease under which we hold our interest in the Building and includes any superior lease (that is, a lease under which our landlord or any other landlord above holds its interest in</w:t>
      </w:r>
      <w:r>
        <w:rPr>
          <w:rFonts w:ascii="Arial" w:cs="Arial" w:eastAsia="Arial" w:hAnsi="Arial"/>
          <w:sz w:val="12"/>
          <w:szCs w:val="12"/>
          <w:b w:val="1"/>
          <w:bCs w:val="1"/>
          <w:color w:val="111111"/>
        </w:rPr>
        <w:t xml:space="preserve"> </w:t>
      </w:r>
      <w:r>
        <w:rPr>
          <w:rFonts w:ascii="Arial" w:cs="Arial" w:eastAsia="Arial" w:hAnsi="Arial"/>
          <w:sz w:val="12"/>
          <w:szCs w:val="12"/>
          <w:color w:val="111111"/>
        </w:rPr>
        <w:t>the Building) and all documents that apply to it.</w:t>
      </w:r>
    </w:p>
    <w:p>
      <w:pPr>
        <w:spacing w:after="0" w:line="15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1.1.19</w:t>
      </w:r>
      <w:r>
        <w:rPr>
          <w:sz w:val="20"/>
          <w:szCs w:val="20"/>
          <w:color w:val="auto"/>
        </w:rPr>
        <w:tab/>
      </w:r>
      <w:r>
        <w:rPr>
          <w:rFonts w:ascii="Arial" w:cs="Arial" w:eastAsia="Arial" w:hAnsi="Arial"/>
          <w:sz w:val="12"/>
          <w:szCs w:val="12"/>
          <w:b w:val="1"/>
          <w:bCs w:val="1"/>
          <w:color w:val="111111"/>
        </w:rPr>
        <w:t xml:space="preserve">'Infectious Disease' </w:t>
      </w:r>
      <w:r>
        <w:rPr>
          <w:rFonts w:ascii="Arial" w:cs="Arial" w:eastAsia="Arial" w:hAnsi="Arial"/>
          <w:sz w:val="12"/>
          <w:szCs w:val="12"/>
          <w:color w:val="111111"/>
        </w:rPr>
        <w:t>means the diseases defined in the Infectious Diseases Act (Chapter 137).</w:t>
      </w:r>
    </w:p>
    <w:p>
      <w:pPr>
        <w:spacing w:after="0" w:line="201" w:lineRule="exact"/>
        <w:rPr>
          <w:sz w:val="20"/>
          <w:szCs w:val="20"/>
          <w:color w:val="auto"/>
        </w:rPr>
      </w:pPr>
    </w:p>
    <w:p>
      <w:pPr>
        <w:jc w:val="both"/>
        <w:ind w:left="560" w:right="20" w:hanging="485"/>
        <w:spacing w:after="0" w:line="275" w:lineRule="auto"/>
        <w:tabs>
          <w:tab w:leader="none" w:pos="540" w:val="left"/>
        </w:tabs>
        <w:rPr>
          <w:sz w:val="20"/>
          <w:szCs w:val="20"/>
          <w:color w:val="auto"/>
        </w:rPr>
      </w:pPr>
      <w:r>
        <w:rPr>
          <w:rFonts w:ascii="Arial" w:cs="Arial" w:eastAsia="Arial" w:hAnsi="Arial"/>
          <w:sz w:val="12"/>
          <w:szCs w:val="12"/>
          <w:color w:val="111111"/>
        </w:rPr>
        <w:t>1.1.20</w:t>
      </w:r>
      <w:r>
        <w:rPr>
          <w:sz w:val="20"/>
          <w:szCs w:val="20"/>
          <w:color w:val="auto"/>
        </w:rPr>
        <w:tab/>
      </w:r>
      <w:r>
        <w:rPr>
          <w:rFonts w:ascii="Arial" w:cs="Arial" w:eastAsia="Arial" w:hAnsi="Arial"/>
          <w:sz w:val="12"/>
          <w:szCs w:val="12"/>
          <w:b w:val="1"/>
          <w:bCs w:val="1"/>
          <w:color w:val="111111"/>
        </w:rPr>
        <w:t xml:space="preserve">'Interest' </w:t>
      </w:r>
      <w:r>
        <w:rPr>
          <w:rFonts w:ascii="Arial" w:cs="Arial" w:eastAsia="Arial" w:hAnsi="Arial"/>
          <w:sz w:val="12"/>
          <w:szCs w:val="12"/>
          <w:color w:val="111111"/>
        </w:rPr>
        <w:t>means interest at the rate of 10% per year calculated on a daily basis and based on the actual number of days in the year (both before and after any judgment), or any other rate as we may</w:t>
      </w:r>
      <w:r>
        <w:rPr>
          <w:rFonts w:ascii="Arial" w:cs="Arial" w:eastAsia="Arial" w:hAnsi="Arial"/>
          <w:sz w:val="12"/>
          <w:szCs w:val="12"/>
          <w:b w:val="1"/>
          <w:bCs w:val="1"/>
          <w:color w:val="111111"/>
        </w:rPr>
        <w:t xml:space="preserve"> </w:t>
      </w:r>
      <w:r>
        <w:rPr>
          <w:rFonts w:ascii="Arial" w:cs="Arial" w:eastAsia="Arial" w:hAnsi="Arial"/>
          <w:sz w:val="12"/>
          <w:szCs w:val="12"/>
          <w:color w:val="111111"/>
        </w:rPr>
        <w:t>notify from time to time.</w:t>
      </w:r>
    </w:p>
    <w:p>
      <w:pPr>
        <w:spacing w:after="0" w:line="15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1.1.21</w:t>
      </w:r>
      <w:r>
        <w:rPr>
          <w:sz w:val="20"/>
          <w:szCs w:val="20"/>
          <w:color w:val="auto"/>
        </w:rPr>
        <w:tab/>
      </w:r>
      <w:r>
        <w:rPr>
          <w:rFonts w:ascii="Arial" w:cs="Arial" w:eastAsia="Arial" w:hAnsi="Arial"/>
          <w:sz w:val="11"/>
          <w:szCs w:val="11"/>
          <w:b w:val="1"/>
          <w:bCs w:val="1"/>
          <w:color w:val="111111"/>
        </w:rPr>
        <w:t xml:space="preserve">'JTC' </w:t>
      </w:r>
      <w:r>
        <w:rPr>
          <w:rFonts w:ascii="Arial" w:cs="Arial" w:eastAsia="Arial" w:hAnsi="Arial"/>
          <w:sz w:val="11"/>
          <w:szCs w:val="11"/>
          <w:color w:val="111111"/>
        </w:rPr>
        <w:t>means the Jurong Town Corporation.</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1.1.22</w:t>
      </w:r>
      <w:r>
        <w:rPr>
          <w:sz w:val="20"/>
          <w:szCs w:val="20"/>
          <w:color w:val="auto"/>
        </w:rPr>
        <w:tab/>
      </w:r>
      <w:r>
        <w:rPr>
          <w:rFonts w:ascii="Arial" w:cs="Arial" w:eastAsia="Arial" w:hAnsi="Arial"/>
          <w:sz w:val="11"/>
          <w:szCs w:val="11"/>
          <w:b w:val="1"/>
          <w:bCs w:val="1"/>
          <w:color w:val="111111"/>
        </w:rPr>
        <w:t xml:space="preserve">'Law' </w:t>
      </w:r>
      <w:r>
        <w:rPr>
          <w:rFonts w:ascii="Arial" w:cs="Arial" w:eastAsia="Arial" w:hAnsi="Arial"/>
          <w:sz w:val="11"/>
          <w:szCs w:val="11"/>
          <w:color w:val="111111"/>
        </w:rPr>
        <w:t>includes any present or future laws (including regulations, codes and guidelines) by statute, common law and/or equity.</w:t>
      </w:r>
    </w:p>
    <w:p>
      <w:pPr>
        <w:spacing w:after="0" w:line="201" w:lineRule="exact"/>
        <w:rPr>
          <w:sz w:val="20"/>
          <w:szCs w:val="20"/>
          <w:color w:val="auto"/>
        </w:rPr>
      </w:pPr>
    </w:p>
    <w:p>
      <w:pPr>
        <w:jc w:val="both"/>
        <w:ind w:left="560" w:right="20" w:hanging="483"/>
        <w:spacing w:after="0" w:line="275" w:lineRule="auto"/>
        <w:tabs>
          <w:tab w:leader="none" w:pos="540" w:val="left"/>
        </w:tabs>
        <w:rPr>
          <w:sz w:val="20"/>
          <w:szCs w:val="20"/>
          <w:color w:val="auto"/>
        </w:rPr>
      </w:pPr>
      <w:r>
        <w:rPr>
          <w:rFonts w:ascii="Arial" w:cs="Arial" w:eastAsia="Arial" w:hAnsi="Arial"/>
          <w:sz w:val="12"/>
          <w:szCs w:val="12"/>
          <w:color w:val="111111"/>
        </w:rPr>
        <w:t>1.1.23</w:t>
      </w:r>
      <w:r>
        <w:rPr>
          <w:sz w:val="20"/>
          <w:szCs w:val="20"/>
          <w:color w:val="auto"/>
        </w:rPr>
        <w:tab/>
      </w:r>
      <w:r>
        <w:rPr>
          <w:rFonts w:ascii="Arial" w:cs="Arial" w:eastAsia="Arial" w:hAnsi="Arial"/>
          <w:sz w:val="12"/>
          <w:szCs w:val="12"/>
          <w:b w:val="1"/>
          <w:bCs w:val="1"/>
          <w:color w:val="111111"/>
        </w:rPr>
        <w:t xml:space="preserve">'Lease' </w:t>
      </w:r>
      <w:r>
        <w:rPr>
          <w:rFonts w:ascii="Arial" w:cs="Arial" w:eastAsia="Arial" w:hAnsi="Arial"/>
          <w:sz w:val="12"/>
          <w:szCs w:val="12"/>
          <w:color w:val="111111"/>
        </w:rPr>
        <w:t>means this lease of the Premises between you and us, made up of (i) the Standard Covenants, (ii) the Tenants' Guide, and (iii) all schedules (including the Special Covenants and Building</w:t>
      </w:r>
      <w:r>
        <w:rPr>
          <w:rFonts w:ascii="Arial" w:cs="Arial" w:eastAsia="Arial" w:hAnsi="Arial"/>
          <w:sz w:val="12"/>
          <w:szCs w:val="12"/>
          <w:b w:val="1"/>
          <w:bCs w:val="1"/>
          <w:color w:val="111111"/>
        </w:rPr>
        <w:t xml:space="preserve"> </w:t>
      </w:r>
      <w:r>
        <w:rPr>
          <w:rFonts w:ascii="Arial" w:cs="Arial" w:eastAsia="Arial" w:hAnsi="Arial"/>
          <w:sz w:val="12"/>
          <w:szCs w:val="12"/>
          <w:color w:val="111111"/>
        </w:rPr>
        <w:t>Covenants), attachments, appendices, annexes and side letters to each of such documents mentioned.</w:t>
      </w:r>
    </w:p>
    <w:p>
      <w:pPr>
        <w:spacing w:after="0" w:line="150" w:lineRule="exact"/>
        <w:rPr>
          <w:sz w:val="20"/>
          <w:szCs w:val="20"/>
          <w:color w:val="auto"/>
        </w:rPr>
      </w:pPr>
    </w:p>
    <w:p>
      <w:pPr>
        <w:jc w:val="both"/>
        <w:ind w:left="560" w:hanging="485"/>
        <w:spacing w:after="0" w:line="275" w:lineRule="auto"/>
        <w:tabs>
          <w:tab w:leader="none" w:pos="540" w:val="left"/>
        </w:tabs>
        <w:rPr>
          <w:sz w:val="20"/>
          <w:szCs w:val="20"/>
          <w:color w:val="auto"/>
        </w:rPr>
      </w:pPr>
      <w:r>
        <w:rPr>
          <w:rFonts w:ascii="Arial" w:cs="Arial" w:eastAsia="Arial" w:hAnsi="Arial"/>
          <w:sz w:val="12"/>
          <w:szCs w:val="12"/>
          <w:color w:val="111111"/>
        </w:rPr>
        <w:t>1.1.24</w:t>
      </w:r>
      <w:r>
        <w:rPr>
          <w:sz w:val="20"/>
          <w:szCs w:val="20"/>
          <w:color w:val="auto"/>
        </w:rPr>
        <w:tab/>
      </w:r>
      <w:r>
        <w:rPr>
          <w:rFonts w:ascii="Arial" w:cs="Arial" w:eastAsia="Arial" w:hAnsi="Arial"/>
          <w:sz w:val="12"/>
          <w:szCs w:val="12"/>
          <w:b w:val="1"/>
          <w:bCs w:val="1"/>
          <w:color w:val="111111"/>
        </w:rPr>
        <w:t xml:space="preserve">'Losses' </w:t>
      </w:r>
      <w:r>
        <w:rPr>
          <w:rFonts w:ascii="Arial" w:cs="Arial" w:eastAsia="Arial" w:hAnsi="Arial"/>
          <w:sz w:val="12"/>
          <w:szCs w:val="12"/>
          <w:color w:val="111111"/>
        </w:rPr>
        <w:t>means damages, compensation, losses, costs and expenses, claims, notices and proceedings, of any nature, including, where the context allows, any costs and expenses of making good</w:t>
      </w:r>
      <w:r>
        <w:rPr>
          <w:rFonts w:ascii="Arial" w:cs="Arial" w:eastAsia="Arial" w:hAnsi="Arial"/>
          <w:sz w:val="12"/>
          <w:szCs w:val="12"/>
          <w:b w:val="1"/>
          <w:bCs w:val="1"/>
          <w:color w:val="111111"/>
        </w:rPr>
        <w:t xml:space="preserve"> </w:t>
      </w:r>
      <w:r>
        <w:rPr>
          <w:rFonts w:ascii="Arial" w:cs="Arial" w:eastAsia="Arial" w:hAnsi="Arial"/>
          <w:sz w:val="12"/>
          <w:szCs w:val="12"/>
          <w:color w:val="111111"/>
        </w:rPr>
        <w:t>any losses or damage.</w:t>
      </w:r>
    </w:p>
    <w:p>
      <w:pPr>
        <w:spacing w:after="0" w:line="16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1.1.25</w:t>
      </w:r>
      <w:r>
        <w:rPr>
          <w:sz w:val="20"/>
          <w:szCs w:val="20"/>
          <w:color w:val="auto"/>
        </w:rPr>
        <w:tab/>
      </w:r>
      <w:r>
        <w:rPr>
          <w:rFonts w:ascii="Arial" w:cs="Arial" w:eastAsia="Arial" w:hAnsi="Arial"/>
          <w:sz w:val="11"/>
          <w:szCs w:val="11"/>
          <w:b w:val="1"/>
          <w:bCs w:val="1"/>
          <w:color w:val="111111"/>
        </w:rPr>
        <w:t xml:space="preserve">'Net Rent' </w:t>
      </w:r>
      <w:r>
        <w:rPr>
          <w:rFonts w:ascii="Arial" w:cs="Arial" w:eastAsia="Arial" w:hAnsi="Arial"/>
          <w:sz w:val="11"/>
          <w:szCs w:val="11"/>
          <w:color w:val="111111"/>
        </w:rPr>
        <w:t>means the rent (not including Service Charge and other amounts due) for each month of the Term calculated at the monthly Net Rent Rate on the Floor Area, as set out in schedule 1.</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1.1.26</w:t>
      </w:r>
      <w:r>
        <w:rPr>
          <w:sz w:val="20"/>
          <w:szCs w:val="20"/>
          <w:color w:val="auto"/>
        </w:rPr>
        <w:tab/>
      </w:r>
      <w:r>
        <w:rPr>
          <w:rFonts w:ascii="Arial" w:cs="Arial" w:eastAsia="Arial" w:hAnsi="Arial"/>
          <w:sz w:val="11"/>
          <w:szCs w:val="11"/>
          <w:b w:val="1"/>
          <w:bCs w:val="1"/>
          <w:color w:val="111111"/>
        </w:rPr>
        <w:t xml:space="preserve">'Net Rent Rate' </w:t>
      </w:r>
      <w:r>
        <w:rPr>
          <w:rFonts w:ascii="Arial" w:cs="Arial" w:eastAsia="Arial" w:hAnsi="Arial"/>
          <w:sz w:val="11"/>
          <w:szCs w:val="11"/>
          <w:color w:val="111111"/>
        </w:rPr>
        <w:t>means the Net Rent per square metre for each month of the Term as set out in schedule 1.</w:t>
      </w:r>
    </w:p>
    <w:p>
      <w:pPr>
        <w:spacing w:after="0" w:line="190" w:lineRule="exact"/>
        <w:rPr>
          <w:sz w:val="20"/>
          <w:szCs w:val="20"/>
          <w:color w:val="auto"/>
        </w:rPr>
      </w:pPr>
    </w:p>
    <w:p>
      <w:pPr>
        <w:jc w:val="both"/>
        <w:ind w:left="560" w:right="20" w:hanging="482"/>
        <w:spacing w:after="0" w:line="275" w:lineRule="auto"/>
        <w:tabs>
          <w:tab w:leader="none" w:pos="540" w:val="left"/>
        </w:tabs>
        <w:rPr>
          <w:sz w:val="20"/>
          <w:szCs w:val="20"/>
          <w:color w:val="auto"/>
        </w:rPr>
      </w:pPr>
      <w:r>
        <w:rPr>
          <w:rFonts w:ascii="Arial" w:cs="Arial" w:eastAsia="Arial" w:hAnsi="Arial"/>
          <w:sz w:val="12"/>
          <w:szCs w:val="12"/>
          <w:color w:val="111111"/>
        </w:rPr>
        <w:t>1.1.27</w:t>
      </w:r>
      <w:r>
        <w:rPr>
          <w:sz w:val="20"/>
          <w:szCs w:val="20"/>
          <w:color w:val="auto"/>
        </w:rPr>
        <w:tab/>
      </w:r>
      <w:r>
        <w:rPr>
          <w:rFonts w:ascii="Arial" w:cs="Arial" w:eastAsia="Arial" w:hAnsi="Arial"/>
          <w:sz w:val="12"/>
          <w:szCs w:val="12"/>
          <w:b w:val="1"/>
          <w:bCs w:val="1"/>
          <w:color w:val="111111"/>
        </w:rPr>
        <w:t xml:space="preserve">'Original Condition' </w:t>
      </w:r>
      <w:r>
        <w:rPr>
          <w:rFonts w:ascii="Arial" w:cs="Arial" w:eastAsia="Arial" w:hAnsi="Arial"/>
          <w:sz w:val="12"/>
          <w:szCs w:val="12"/>
          <w:color w:val="111111"/>
        </w:rPr>
        <w:t>means the original state and condition of the Premises on the date you first took possession of the Premises under this Lease as shown in the plans and drawings we have given</w:t>
      </w:r>
      <w:r>
        <w:rPr>
          <w:rFonts w:ascii="Arial" w:cs="Arial" w:eastAsia="Arial" w:hAnsi="Arial"/>
          <w:sz w:val="12"/>
          <w:szCs w:val="12"/>
          <w:b w:val="1"/>
          <w:bCs w:val="1"/>
          <w:color w:val="111111"/>
        </w:rPr>
        <w:t xml:space="preserve"> </w:t>
      </w:r>
      <w:r>
        <w:rPr>
          <w:rFonts w:ascii="Arial" w:cs="Arial" w:eastAsia="Arial" w:hAnsi="Arial"/>
          <w:sz w:val="12"/>
          <w:szCs w:val="12"/>
          <w:color w:val="111111"/>
        </w:rPr>
        <w:t>or will give you, but not including the Tenant's Works or any works that previous tenants have carried out.</w:t>
      </w:r>
    </w:p>
    <w:p>
      <w:pPr>
        <w:spacing w:after="0" w:line="150" w:lineRule="exact"/>
        <w:rPr>
          <w:sz w:val="20"/>
          <w:szCs w:val="20"/>
          <w:color w:val="auto"/>
        </w:rPr>
      </w:pPr>
    </w:p>
    <w:p>
      <w:pPr>
        <w:jc w:val="both"/>
        <w:ind w:left="560" w:hanging="485"/>
        <w:spacing w:after="0" w:line="275" w:lineRule="auto"/>
        <w:tabs>
          <w:tab w:leader="none" w:pos="540" w:val="left"/>
        </w:tabs>
        <w:rPr>
          <w:sz w:val="20"/>
          <w:szCs w:val="20"/>
          <w:color w:val="auto"/>
        </w:rPr>
      </w:pPr>
      <w:r>
        <w:rPr>
          <w:rFonts w:ascii="Arial" w:cs="Arial" w:eastAsia="Arial" w:hAnsi="Arial"/>
          <w:sz w:val="12"/>
          <w:szCs w:val="12"/>
          <w:color w:val="111111"/>
        </w:rPr>
        <w:t>1.1.28</w:t>
      </w:r>
      <w:r>
        <w:rPr>
          <w:sz w:val="20"/>
          <w:szCs w:val="20"/>
          <w:color w:val="auto"/>
        </w:rPr>
        <w:tab/>
      </w:r>
      <w:r>
        <w:rPr>
          <w:rFonts w:ascii="Arial" w:cs="Arial" w:eastAsia="Arial" w:hAnsi="Arial"/>
          <w:sz w:val="12"/>
          <w:szCs w:val="12"/>
          <w:b w:val="1"/>
          <w:bCs w:val="1"/>
          <w:color w:val="111111"/>
        </w:rPr>
        <w:t xml:space="preserve">'Our Authorised People' </w:t>
      </w:r>
      <w:r>
        <w:rPr>
          <w:rFonts w:ascii="Arial" w:cs="Arial" w:eastAsia="Arial" w:hAnsi="Arial"/>
          <w:sz w:val="12"/>
          <w:szCs w:val="12"/>
          <w:color w:val="111111"/>
        </w:rPr>
        <w:t>means our employees, agents, independent consultants or contractors, people we allow to be in the Building or Park, visitors, licensees and other people under our control, or</w:t>
      </w:r>
      <w:r>
        <w:rPr>
          <w:rFonts w:ascii="Arial" w:cs="Arial" w:eastAsia="Arial" w:hAnsi="Arial"/>
          <w:sz w:val="12"/>
          <w:szCs w:val="12"/>
          <w:b w:val="1"/>
          <w:bCs w:val="1"/>
          <w:color w:val="111111"/>
        </w:rPr>
        <w:t xml:space="preserve"> </w:t>
      </w:r>
      <w:r>
        <w:rPr>
          <w:rFonts w:ascii="Arial" w:cs="Arial" w:eastAsia="Arial" w:hAnsi="Arial"/>
          <w:sz w:val="12"/>
          <w:szCs w:val="12"/>
          <w:color w:val="111111"/>
        </w:rPr>
        <w:t>who we are responsible for or who claim rights under this Lease through, under or in trust for us.</w:t>
      </w:r>
    </w:p>
    <w:p>
      <w:pPr>
        <w:spacing w:after="0" w:line="15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1.1.29</w:t>
      </w:r>
      <w:r>
        <w:rPr>
          <w:sz w:val="20"/>
          <w:szCs w:val="20"/>
          <w:color w:val="auto"/>
        </w:rPr>
        <w:tab/>
      </w:r>
      <w:r>
        <w:rPr>
          <w:rFonts w:ascii="Arial" w:cs="Arial" w:eastAsia="Arial" w:hAnsi="Arial"/>
          <w:sz w:val="11"/>
          <w:szCs w:val="11"/>
          <w:b w:val="1"/>
          <w:bCs w:val="1"/>
          <w:color w:val="111111"/>
        </w:rPr>
        <w:t xml:space="preserve">'Park' </w:t>
      </w:r>
      <w:r>
        <w:rPr>
          <w:rFonts w:ascii="Arial" w:cs="Arial" w:eastAsia="Arial" w:hAnsi="Arial"/>
          <w:sz w:val="11"/>
          <w:szCs w:val="11"/>
          <w:color w:val="111111"/>
        </w:rPr>
        <w:t>means (where it applies), the science, business or industrial park or such wider area or vicinity where the Building is located.</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1.1.30</w:t>
      </w:r>
      <w:r>
        <w:rPr>
          <w:sz w:val="20"/>
          <w:szCs w:val="20"/>
          <w:color w:val="auto"/>
        </w:rPr>
        <w:tab/>
      </w:r>
      <w:r>
        <w:rPr>
          <w:rFonts w:ascii="Arial" w:cs="Arial" w:eastAsia="Arial" w:hAnsi="Arial"/>
          <w:sz w:val="12"/>
          <w:szCs w:val="12"/>
          <w:b w:val="1"/>
          <w:bCs w:val="1"/>
          <w:color w:val="111111"/>
        </w:rPr>
        <w:t xml:space="preserve">'Payment Date' </w:t>
      </w:r>
      <w:r>
        <w:rPr>
          <w:rFonts w:ascii="Arial" w:cs="Arial" w:eastAsia="Arial" w:hAnsi="Arial"/>
          <w:sz w:val="12"/>
          <w:szCs w:val="12"/>
          <w:color w:val="111111"/>
        </w:rPr>
        <w:t>means the first day of a month or such relevant date as we may notify you in our invoice to make any payment as required under this Lease.</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1.1.31</w:t>
      </w:r>
      <w:r>
        <w:rPr>
          <w:sz w:val="20"/>
          <w:szCs w:val="20"/>
          <w:color w:val="auto"/>
        </w:rPr>
        <w:tab/>
      </w:r>
      <w:r>
        <w:rPr>
          <w:rFonts w:ascii="Arial" w:cs="Arial" w:eastAsia="Arial" w:hAnsi="Arial"/>
          <w:sz w:val="11"/>
          <w:szCs w:val="11"/>
          <w:b w:val="1"/>
          <w:bCs w:val="1"/>
          <w:color w:val="111111"/>
        </w:rPr>
        <w:t xml:space="preserve">'Permitted Use' </w:t>
      </w:r>
      <w:r>
        <w:rPr>
          <w:rFonts w:ascii="Arial" w:cs="Arial" w:eastAsia="Arial" w:hAnsi="Arial"/>
          <w:sz w:val="11"/>
          <w:szCs w:val="11"/>
          <w:color w:val="111111"/>
        </w:rPr>
        <w:t>means the use allowed for the Premises as set out in schedule 1 and approved by the Head Landlord and the Authorities.</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1.1.32</w:t>
      </w:r>
      <w:r>
        <w:rPr>
          <w:sz w:val="20"/>
          <w:szCs w:val="20"/>
          <w:color w:val="auto"/>
        </w:rPr>
        <w:tab/>
      </w:r>
      <w:r>
        <w:rPr>
          <w:rFonts w:ascii="Arial" w:cs="Arial" w:eastAsia="Arial" w:hAnsi="Arial"/>
          <w:sz w:val="11"/>
          <w:szCs w:val="11"/>
          <w:b w:val="1"/>
          <w:bCs w:val="1"/>
          <w:color w:val="111111"/>
        </w:rPr>
        <w:t xml:space="preserve">'Possession Date' </w:t>
      </w:r>
      <w:r>
        <w:rPr>
          <w:rFonts w:ascii="Arial" w:cs="Arial" w:eastAsia="Arial" w:hAnsi="Arial"/>
          <w:sz w:val="11"/>
          <w:szCs w:val="11"/>
          <w:color w:val="111111"/>
        </w:rPr>
        <w:t>means the possession date (if this applies) as set out in schedule 1 or any other date we may notify you.</w:t>
      </w:r>
    </w:p>
    <w:p>
      <w:pPr>
        <w:spacing w:after="0" w:line="201" w:lineRule="exact"/>
        <w:rPr>
          <w:sz w:val="20"/>
          <w:szCs w:val="20"/>
          <w:color w:val="auto"/>
        </w:rPr>
      </w:pPr>
    </w:p>
    <w:p>
      <w:pPr>
        <w:jc w:val="both"/>
        <w:ind w:left="560" w:hanging="484"/>
        <w:spacing w:after="0" w:line="248" w:lineRule="auto"/>
        <w:tabs>
          <w:tab w:leader="none" w:pos="540" w:val="left"/>
        </w:tabs>
        <w:rPr>
          <w:sz w:val="20"/>
          <w:szCs w:val="20"/>
          <w:color w:val="auto"/>
        </w:rPr>
      </w:pPr>
      <w:r>
        <w:rPr>
          <w:rFonts w:ascii="Arial" w:cs="Arial" w:eastAsia="Arial" w:hAnsi="Arial"/>
          <w:sz w:val="12"/>
          <w:szCs w:val="12"/>
          <w:color w:val="111111"/>
        </w:rPr>
        <w:t>1.1.33</w:t>
      </w:r>
      <w:r>
        <w:rPr>
          <w:sz w:val="20"/>
          <w:szCs w:val="20"/>
          <w:color w:val="auto"/>
        </w:rPr>
        <w:tab/>
      </w:r>
      <w:r>
        <w:rPr>
          <w:rFonts w:ascii="Arial" w:cs="Arial" w:eastAsia="Arial" w:hAnsi="Arial"/>
          <w:sz w:val="12"/>
          <w:szCs w:val="12"/>
          <w:b w:val="1"/>
          <w:bCs w:val="1"/>
          <w:color w:val="111111"/>
        </w:rPr>
        <w:t xml:space="preserve">'Premises' </w:t>
      </w:r>
      <w:r>
        <w:rPr>
          <w:rFonts w:ascii="Arial" w:cs="Arial" w:eastAsia="Arial" w:hAnsi="Arial"/>
          <w:sz w:val="12"/>
          <w:szCs w:val="12"/>
          <w:color w:val="111111"/>
        </w:rPr>
        <w:t>means the part or parts of the Building which will be leased to you as set out in schedule 1, including improvements and additions made to the Premises, and the fixtures and fittings</w:t>
      </w:r>
      <w:r>
        <w:rPr>
          <w:rFonts w:ascii="Arial" w:cs="Arial" w:eastAsia="Arial" w:hAnsi="Arial"/>
          <w:sz w:val="12"/>
          <w:szCs w:val="12"/>
          <w:b w:val="1"/>
          <w:bCs w:val="1"/>
          <w:color w:val="111111"/>
        </w:rPr>
        <w:t xml:space="preserve"> </w:t>
      </w:r>
      <w:r>
        <w:rPr>
          <w:rFonts w:ascii="Arial" w:cs="Arial" w:eastAsia="Arial" w:hAnsi="Arial"/>
          <w:sz w:val="12"/>
          <w:szCs w:val="12"/>
          <w:color w:val="111111"/>
        </w:rPr>
        <w:t xml:space="preserve">(whether they belong to you or us) in the Premises, but not including (i) structural parts located outside the Premises, (ii) the loadbearing framework, (iii) the roof, (iv) foundations, (v) joists (that is, a long, thick piece of wood, metal, or concrete, used in buildings to support a floor or ceiling), (vi) Conducting Media which serve only spaces other than the Premises that you do not access, (vii) our machinery and plant which are in the Premises but which serve only other spaces besides the Premises that you do not access, (ix) the faces of boundary walls that are </w:t>
      </w:r>
      <w:r>
        <w:rPr>
          <w:rFonts w:ascii="Arial" w:cs="Arial" w:eastAsia="Arial" w:hAnsi="Arial"/>
          <w:sz w:val="12"/>
          <w:szCs w:val="12"/>
          <w:color w:val="131313"/>
        </w:rPr>
        <w:t>outside the Premises; and (x)</w:t>
      </w:r>
      <w:r>
        <w:rPr>
          <w:rFonts w:ascii="Arial" w:cs="Arial" w:eastAsia="Arial" w:hAnsi="Arial"/>
          <w:sz w:val="12"/>
          <w:szCs w:val="12"/>
          <w:color w:val="111111"/>
        </w:rPr>
        <w:t xml:space="preserve"> </w:t>
      </w:r>
      <w:r>
        <w:rPr>
          <w:rFonts w:ascii="Arial" w:cs="Arial" w:eastAsia="Arial" w:hAnsi="Arial"/>
          <w:sz w:val="12"/>
          <w:szCs w:val="12"/>
          <w:color w:val="131313"/>
        </w:rPr>
        <w:t>the faces of external walls outside the Premises (unless these are glass walls)</w:t>
      </w:r>
      <w:r>
        <w:rPr>
          <w:rFonts w:ascii="Arial" w:cs="Arial" w:eastAsia="Arial" w:hAnsi="Arial"/>
          <w:sz w:val="12"/>
          <w:szCs w:val="12"/>
          <w:color w:val="3D3D3D"/>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14</w:t>
            </w:r>
          </w:p>
        </w:tc>
      </w:tr>
    </w:tbl>
    <w:p>
      <w:pPr>
        <w:sectPr>
          <w:pgSz w:w="11900" w:h="16838" w:orient="portrait"/>
          <w:cols w:equalWidth="0" w:num="1">
            <w:col w:w="11200"/>
          </w:cols>
          <w:pgMar w:left="300" w:top="1440" w:right="39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3">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41" w:lineRule="exact"/>
        <w:rPr>
          <w:sz w:val="20"/>
          <w:szCs w:val="20"/>
          <w:color w:val="auto"/>
        </w:rPr>
      </w:pPr>
    </w:p>
    <w:p>
      <w:pPr>
        <w:ind w:left="600" w:hanging="480"/>
        <w:spacing w:after="0" w:line="275" w:lineRule="auto"/>
        <w:tabs>
          <w:tab w:leader="none" w:pos="580" w:val="left"/>
        </w:tabs>
        <w:rPr>
          <w:sz w:val="20"/>
          <w:szCs w:val="20"/>
          <w:color w:val="auto"/>
        </w:rPr>
      </w:pPr>
      <w:r>
        <w:rPr>
          <w:rFonts w:ascii="Arial" w:cs="Arial" w:eastAsia="Arial" w:hAnsi="Arial"/>
          <w:sz w:val="12"/>
          <w:szCs w:val="12"/>
          <w:color w:val="131313"/>
        </w:rPr>
        <w:t>1.1.34</w:t>
      </w:r>
      <w:r>
        <w:rPr>
          <w:sz w:val="20"/>
          <w:szCs w:val="20"/>
          <w:color w:val="auto"/>
        </w:rPr>
        <w:tab/>
      </w:r>
      <w:r>
        <w:rPr>
          <w:rFonts w:ascii="Arial" w:cs="Arial" w:eastAsia="Arial" w:hAnsi="Arial"/>
          <w:sz w:val="12"/>
          <w:szCs w:val="12"/>
          <w:b w:val="1"/>
          <w:bCs w:val="1"/>
          <w:color w:val="131313"/>
        </w:rPr>
        <w:t xml:space="preserve">'Reinstatement Works' </w:t>
      </w:r>
      <w:r>
        <w:rPr>
          <w:rFonts w:ascii="Arial" w:cs="Arial" w:eastAsia="Arial" w:hAnsi="Arial"/>
          <w:sz w:val="12"/>
          <w:szCs w:val="12"/>
          <w:color w:val="131313"/>
        </w:rPr>
        <w:t>means the reinstatement works to restore the Premises to their Original Condition (except for fair wear and tear) in line with the Tenants' Guide, Law and any other</w:t>
      </w:r>
      <w:r>
        <w:rPr>
          <w:rFonts w:ascii="Arial" w:cs="Arial" w:eastAsia="Arial" w:hAnsi="Arial"/>
          <w:sz w:val="12"/>
          <w:szCs w:val="12"/>
          <w:b w:val="1"/>
          <w:bCs w:val="1"/>
          <w:color w:val="131313"/>
        </w:rPr>
        <w:t xml:space="preserve"> </w:t>
      </w:r>
      <w:r>
        <w:rPr>
          <w:rFonts w:ascii="Arial" w:cs="Arial" w:eastAsia="Arial" w:hAnsi="Arial"/>
          <w:sz w:val="12"/>
          <w:szCs w:val="12"/>
          <w:color w:val="131313"/>
        </w:rPr>
        <w:t>requirements that we may have.</w:t>
      </w:r>
    </w:p>
    <w:p>
      <w:pPr>
        <w:spacing w:after="0" w:line="150"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2"/>
          <w:szCs w:val="12"/>
          <w:color w:val="131313"/>
        </w:rPr>
        <w:t>1.1.35</w:t>
      </w:r>
      <w:r>
        <w:rPr>
          <w:sz w:val="20"/>
          <w:szCs w:val="20"/>
          <w:color w:val="auto"/>
        </w:rPr>
        <w:tab/>
      </w:r>
      <w:r>
        <w:rPr>
          <w:rFonts w:ascii="Arial" w:cs="Arial" w:eastAsia="Arial" w:hAnsi="Arial"/>
          <w:sz w:val="11"/>
          <w:szCs w:val="11"/>
          <w:b w:val="1"/>
          <w:bCs w:val="1"/>
          <w:color w:val="131313"/>
        </w:rPr>
        <w:t xml:space="preserve">'Rent-free Period' </w:t>
      </w:r>
      <w:r>
        <w:rPr>
          <w:rFonts w:ascii="Arial" w:cs="Arial" w:eastAsia="Arial" w:hAnsi="Arial"/>
          <w:sz w:val="11"/>
          <w:szCs w:val="11"/>
          <w:color w:val="131313"/>
        </w:rPr>
        <w:t>means the Fitting Out Rent</w:t>
      </w:r>
      <w:r>
        <w:rPr>
          <w:rFonts w:ascii="Arial" w:cs="Arial" w:eastAsia="Arial" w:hAnsi="Arial"/>
          <w:sz w:val="11"/>
          <w:szCs w:val="11"/>
          <w:color w:val="3D3D3D"/>
        </w:rPr>
        <w:t>-</w:t>
      </w:r>
      <w:r>
        <w:rPr>
          <w:rFonts w:ascii="Arial" w:cs="Arial" w:eastAsia="Arial" w:hAnsi="Arial"/>
          <w:sz w:val="11"/>
          <w:szCs w:val="11"/>
          <w:color w:val="131313"/>
        </w:rPr>
        <w:t>free Period and the Term Rent-free Period.</w:t>
      </w:r>
    </w:p>
    <w:p>
      <w:pPr>
        <w:spacing w:after="0" w:line="190"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1.1.36</w:t>
      </w:r>
      <w:r>
        <w:rPr>
          <w:sz w:val="20"/>
          <w:szCs w:val="20"/>
          <w:color w:val="auto"/>
        </w:rPr>
        <w:tab/>
      </w:r>
      <w:r>
        <w:rPr>
          <w:rFonts w:ascii="Arial" w:cs="Arial" w:eastAsia="Arial" w:hAnsi="Arial"/>
          <w:sz w:val="12"/>
          <w:szCs w:val="12"/>
          <w:b w:val="1"/>
          <w:bCs w:val="1"/>
          <w:color w:val="3D3D3D"/>
        </w:rPr>
        <w:t>'</w:t>
      </w:r>
      <w:r>
        <w:rPr>
          <w:rFonts w:ascii="Arial" w:cs="Arial" w:eastAsia="Arial" w:hAnsi="Arial"/>
          <w:sz w:val="12"/>
          <w:szCs w:val="12"/>
          <w:b w:val="1"/>
          <w:bCs w:val="1"/>
          <w:color w:val="131313"/>
        </w:rPr>
        <w:t>Security Deposit'</w:t>
      </w:r>
      <w:r>
        <w:rPr>
          <w:rFonts w:ascii="Arial" w:cs="Arial" w:eastAsia="Arial" w:hAnsi="Arial"/>
          <w:sz w:val="12"/>
          <w:szCs w:val="12"/>
          <w:b w:val="1"/>
          <w:bCs w:val="1"/>
          <w:color w:val="3D3D3D"/>
        </w:rPr>
        <w:t xml:space="preserve"> </w:t>
      </w:r>
      <w:r>
        <w:rPr>
          <w:rFonts w:ascii="Arial" w:cs="Arial" w:eastAsia="Arial" w:hAnsi="Arial"/>
          <w:sz w:val="12"/>
          <w:szCs w:val="12"/>
          <w:color w:val="131313"/>
        </w:rPr>
        <w:t>means the security deposit amount as set out in schedule 1.</w:t>
      </w:r>
    </w:p>
    <w:p>
      <w:pPr>
        <w:spacing w:after="0" w:line="190"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1.1.37</w:t>
      </w:r>
      <w:r>
        <w:rPr>
          <w:sz w:val="20"/>
          <w:szCs w:val="20"/>
          <w:color w:val="auto"/>
        </w:rPr>
        <w:tab/>
      </w:r>
      <w:r>
        <w:rPr>
          <w:rFonts w:ascii="Arial" w:cs="Arial" w:eastAsia="Arial" w:hAnsi="Arial"/>
          <w:sz w:val="11"/>
          <w:szCs w:val="11"/>
          <w:b w:val="1"/>
          <w:bCs w:val="1"/>
          <w:color w:val="131313"/>
        </w:rPr>
        <w:t xml:space="preserve">'Service Charge' </w:t>
      </w:r>
      <w:r>
        <w:rPr>
          <w:rFonts w:ascii="Arial" w:cs="Arial" w:eastAsia="Arial" w:hAnsi="Arial"/>
          <w:sz w:val="11"/>
          <w:szCs w:val="11"/>
          <w:color w:val="131313"/>
        </w:rPr>
        <w:t>means the charge for your share of the Total Outgoings as we may decide for each month calculated at the Service Charge Rate on the Floor Area as set out in schedule 1.</w:t>
      </w:r>
    </w:p>
    <w:p>
      <w:pPr>
        <w:spacing w:after="0" w:line="20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1.1.38</w:t>
      </w:r>
      <w:r>
        <w:rPr>
          <w:sz w:val="20"/>
          <w:szCs w:val="20"/>
          <w:color w:val="auto"/>
        </w:rPr>
        <w:tab/>
      </w:r>
      <w:r>
        <w:rPr>
          <w:rFonts w:ascii="Arial" w:cs="Arial" w:eastAsia="Arial" w:hAnsi="Arial"/>
          <w:sz w:val="11"/>
          <w:szCs w:val="11"/>
          <w:b w:val="1"/>
          <w:bCs w:val="1"/>
          <w:color w:val="3D3D3D"/>
        </w:rPr>
        <w:t>'</w:t>
      </w:r>
      <w:r>
        <w:rPr>
          <w:rFonts w:ascii="Arial" w:cs="Arial" w:eastAsia="Arial" w:hAnsi="Arial"/>
          <w:sz w:val="11"/>
          <w:szCs w:val="11"/>
          <w:b w:val="1"/>
          <w:bCs w:val="1"/>
          <w:color w:val="131313"/>
        </w:rPr>
        <w:t>Service Charge Rate'</w:t>
      </w:r>
      <w:r>
        <w:rPr>
          <w:rFonts w:ascii="Arial" w:cs="Arial" w:eastAsia="Arial" w:hAnsi="Arial"/>
          <w:sz w:val="11"/>
          <w:szCs w:val="11"/>
          <w:b w:val="1"/>
          <w:bCs w:val="1"/>
          <w:color w:val="3D3D3D"/>
        </w:rPr>
        <w:t xml:space="preserve"> </w:t>
      </w:r>
      <w:r>
        <w:rPr>
          <w:rFonts w:ascii="Arial" w:cs="Arial" w:eastAsia="Arial" w:hAnsi="Arial"/>
          <w:sz w:val="11"/>
          <w:szCs w:val="11"/>
          <w:color w:val="131313"/>
        </w:rPr>
        <w:t>means the Service Charge per square metre for each month as set out in schedule 1</w:t>
      </w:r>
      <w:r>
        <w:rPr>
          <w:rFonts w:ascii="Arial" w:cs="Arial" w:eastAsia="Arial" w:hAnsi="Arial"/>
          <w:sz w:val="11"/>
          <w:szCs w:val="11"/>
          <w:color w:val="3D3D3D"/>
        </w:rPr>
        <w:t>.</w:t>
      </w:r>
    </w:p>
    <w:p>
      <w:pPr>
        <w:spacing w:after="0" w:line="190"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1.1.39</w:t>
      </w:r>
      <w:r>
        <w:rPr>
          <w:sz w:val="20"/>
          <w:szCs w:val="20"/>
          <w:color w:val="auto"/>
        </w:rPr>
        <w:tab/>
      </w:r>
      <w:r>
        <w:rPr>
          <w:rFonts w:ascii="Arial" w:cs="Arial" w:eastAsia="Arial" w:hAnsi="Arial"/>
          <w:sz w:val="12"/>
          <w:szCs w:val="12"/>
          <w:b w:val="1"/>
          <w:bCs w:val="1"/>
          <w:color w:val="131313"/>
        </w:rPr>
        <w:t xml:space="preserve">'Side Letters' </w:t>
      </w:r>
      <w:r>
        <w:rPr>
          <w:rFonts w:ascii="Arial" w:cs="Arial" w:eastAsia="Arial" w:hAnsi="Arial"/>
          <w:sz w:val="12"/>
          <w:szCs w:val="12"/>
          <w:color w:val="131313"/>
        </w:rPr>
        <w:t>means further terms, covenants and conditions to this Lease made between you and us at any time to add to, amend or vary this Lease.</w:t>
      </w:r>
    </w:p>
    <w:p>
      <w:pPr>
        <w:spacing w:after="0" w:line="190"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1.1.40</w:t>
      </w:r>
      <w:r>
        <w:rPr>
          <w:sz w:val="20"/>
          <w:szCs w:val="20"/>
          <w:color w:val="auto"/>
        </w:rPr>
        <w:tab/>
      </w:r>
      <w:r>
        <w:rPr>
          <w:rFonts w:ascii="Arial" w:cs="Arial" w:eastAsia="Arial" w:hAnsi="Arial"/>
          <w:sz w:val="11"/>
          <w:szCs w:val="11"/>
          <w:b w:val="1"/>
          <w:bCs w:val="1"/>
          <w:color w:val="131313"/>
        </w:rPr>
        <w:t xml:space="preserve">'Special Covenants' </w:t>
      </w:r>
      <w:r>
        <w:rPr>
          <w:rFonts w:ascii="Arial" w:cs="Arial" w:eastAsia="Arial" w:hAnsi="Arial"/>
          <w:sz w:val="11"/>
          <w:szCs w:val="11"/>
          <w:color w:val="131313"/>
        </w:rPr>
        <w:t>means such further terms, covenants and conditions as set out in schedule 2 as commercially agreed to vary or add to the Lease</w:t>
      </w:r>
      <w:r>
        <w:rPr>
          <w:rFonts w:ascii="Arial" w:cs="Arial" w:eastAsia="Arial" w:hAnsi="Arial"/>
          <w:sz w:val="11"/>
          <w:szCs w:val="11"/>
          <w:color w:val="3D3D3D"/>
        </w:rPr>
        <w:t>.</w:t>
      </w:r>
    </w:p>
    <w:p>
      <w:pPr>
        <w:spacing w:after="0" w:line="190"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1.1.41</w:t>
      </w:r>
      <w:r>
        <w:rPr>
          <w:sz w:val="20"/>
          <w:szCs w:val="20"/>
          <w:color w:val="auto"/>
        </w:rPr>
        <w:tab/>
      </w:r>
      <w:r>
        <w:rPr>
          <w:rFonts w:ascii="Arial" w:cs="Arial" w:eastAsia="Arial" w:hAnsi="Arial"/>
          <w:sz w:val="11"/>
          <w:szCs w:val="11"/>
          <w:b w:val="1"/>
          <w:bCs w:val="1"/>
          <w:color w:val="131313"/>
        </w:rPr>
        <w:t>'Standard Covenants</w:t>
      </w:r>
      <w:r>
        <w:rPr>
          <w:rFonts w:ascii="Arial" w:cs="Arial" w:eastAsia="Arial" w:hAnsi="Arial"/>
          <w:sz w:val="11"/>
          <w:szCs w:val="11"/>
          <w:b w:val="1"/>
          <w:bCs w:val="1"/>
          <w:color w:val="3D3D3D"/>
        </w:rPr>
        <w:t>'</w:t>
      </w:r>
      <w:r>
        <w:rPr>
          <w:rFonts w:ascii="Arial" w:cs="Arial" w:eastAsia="Arial" w:hAnsi="Arial"/>
          <w:sz w:val="11"/>
          <w:szCs w:val="11"/>
          <w:b w:val="1"/>
          <w:bCs w:val="1"/>
          <w:color w:val="131313"/>
        </w:rPr>
        <w:t xml:space="preserve"> </w:t>
      </w:r>
      <w:r>
        <w:rPr>
          <w:rFonts w:ascii="Arial" w:cs="Arial" w:eastAsia="Arial" w:hAnsi="Arial"/>
          <w:sz w:val="11"/>
          <w:szCs w:val="11"/>
          <w:color w:val="131313"/>
        </w:rPr>
        <w:t>means these standard terms, covenants and conditions</w:t>
      </w:r>
      <w:r>
        <w:rPr>
          <w:rFonts w:ascii="Arial" w:cs="Arial" w:eastAsia="Arial" w:hAnsi="Arial"/>
          <w:sz w:val="11"/>
          <w:szCs w:val="11"/>
          <w:color w:val="3D3D3D"/>
        </w:rPr>
        <w:t>.</w:t>
      </w:r>
    </w:p>
    <w:p>
      <w:pPr>
        <w:spacing w:after="0" w:line="190"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1.1.42</w:t>
      </w:r>
      <w:r>
        <w:rPr>
          <w:sz w:val="20"/>
          <w:szCs w:val="20"/>
          <w:color w:val="auto"/>
        </w:rPr>
        <w:tab/>
      </w:r>
      <w:r>
        <w:rPr>
          <w:rFonts w:ascii="Arial" w:cs="Arial" w:eastAsia="Arial" w:hAnsi="Arial"/>
          <w:sz w:val="11"/>
          <w:szCs w:val="11"/>
          <w:b w:val="1"/>
          <w:bCs w:val="1"/>
          <w:color w:val="131313"/>
        </w:rPr>
        <w:t xml:space="preserve">'Start Date' </w:t>
      </w:r>
      <w:r>
        <w:rPr>
          <w:rFonts w:ascii="Arial" w:cs="Arial" w:eastAsia="Arial" w:hAnsi="Arial"/>
          <w:sz w:val="11"/>
          <w:szCs w:val="11"/>
          <w:color w:val="131313"/>
        </w:rPr>
        <w:t>means the date on which the Term begins as set out in schedule 1</w:t>
      </w:r>
      <w:r>
        <w:rPr>
          <w:rFonts w:ascii="Arial" w:cs="Arial" w:eastAsia="Arial" w:hAnsi="Arial"/>
          <w:sz w:val="11"/>
          <w:szCs w:val="11"/>
          <w:color w:val="3D3D3D"/>
        </w:rPr>
        <w:t>.</w:t>
      </w:r>
    </w:p>
    <w:p>
      <w:pPr>
        <w:spacing w:after="0" w:line="20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1.1.43</w:t>
      </w:r>
      <w:r>
        <w:rPr>
          <w:sz w:val="20"/>
          <w:szCs w:val="20"/>
          <w:color w:val="auto"/>
        </w:rPr>
        <w:tab/>
      </w:r>
      <w:r>
        <w:rPr>
          <w:rFonts w:ascii="Arial" w:cs="Arial" w:eastAsia="Arial" w:hAnsi="Arial"/>
          <w:sz w:val="11"/>
          <w:szCs w:val="11"/>
          <w:b w:val="1"/>
          <w:bCs w:val="1"/>
          <w:color w:val="131313"/>
        </w:rPr>
        <w:t xml:space="preserve">'Taxes' </w:t>
      </w:r>
      <w:r>
        <w:rPr>
          <w:rFonts w:ascii="Arial" w:cs="Arial" w:eastAsia="Arial" w:hAnsi="Arial"/>
          <w:sz w:val="11"/>
          <w:szCs w:val="11"/>
          <w:color w:val="131313"/>
        </w:rPr>
        <w:t>means any goods and services tax, duty or charge which may be imposed at any time by the Authorities</w:t>
      </w:r>
      <w:r>
        <w:rPr>
          <w:rFonts w:ascii="Arial" w:cs="Arial" w:eastAsia="Arial" w:hAnsi="Arial"/>
          <w:sz w:val="11"/>
          <w:szCs w:val="11"/>
          <w:color w:val="3D3D3D"/>
        </w:rPr>
        <w:t>.</w:t>
      </w:r>
    </w:p>
    <w:p>
      <w:pPr>
        <w:spacing w:after="0" w:line="180" w:lineRule="exact"/>
        <w:rPr>
          <w:sz w:val="20"/>
          <w:szCs w:val="20"/>
          <w:color w:val="auto"/>
        </w:rPr>
      </w:pPr>
    </w:p>
    <w:p>
      <w:pPr>
        <w:ind w:left="600" w:right="20" w:hanging="482"/>
        <w:spacing w:after="0" w:line="275" w:lineRule="auto"/>
        <w:tabs>
          <w:tab w:leader="none" w:pos="580" w:val="left"/>
        </w:tabs>
        <w:rPr>
          <w:sz w:val="20"/>
          <w:szCs w:val="20"/>
          <w:color w:val="auto"/>
        </w:rPr>
      </w:pPr>
      <w:r>
        <w:rPr>
          <w:rFonts w:ascii="Arial" w:cs="Arial" w:eastAsia="Arial" w:hAnsi="Arial"/>
          <w:sz w:val="12"/>
          <w:szCs w:val="12"/>
          <w:color w:val="131313"/>
        </w:rPr>
        <w:t>1.1.44</w:t>
      </w:r>
      <w:r>
        <w:rPr>
          <w:sz w:val="20"/>
          <w:szCs w:val="20"/>
          <w:color w:val="auto"/>
        </w:rPr>
        <w:tab/>
      </w:r>
      <w:r>
        <w:rPr>
          <w:rFonts w:ascii="Arial" w:cs="Arial" w:eastAsia="Arial" w:hAnsi="Arial"/>
          <w:sz w:val="12"/>
          <w:szCs w:val="12"/>
          <w:b w:val="1"/>
          <w:bCs w:val="1"/>
          <w:color w:val="131313"/>
        </w:rPr>
        <w:t>'Tenants' Guide</w:t>
      </w:r>
      <w:r>
        <w:rPr>
          <w:rFonts w:ascii="Arial" w:cs="Arial" w:eastAsia="Arial" w:hAnsi="Arial"/>
          <w:sz w:val="12"/>
          <w:szCs w:val="12"/>
          <w:b w:val="1"/>
          <w:bCs w:val="1"/>
          <w:color w:val="3D3D3D"/>
        </w:rPr>
        <w:t>'</w:t>
      </w:r>
      <w:r>
        <w:rPr>
          <w:rFonts w:ascii="Arial" w:cs="Arial" w:eastAsia="Arial" w:hAnsi="Arial"/>
          <w:sz w:val="12"/>
          <w:szCs w:val="12"/>
          <w:b w:val="1"/>
          <w:bCs w:val="1"/>
          <w:color w:val="131313"/>
        </w:rPr>
        <w:t xml:space="preserve"> </w:t>
      </w:r>
      <w:r>
        <w:rPr>
          <w:rFonts w:ascii="Arial" w:cs="Arial" w:eastAsia="Arial" w:hAnsi="Arial"/>
          <w:sz w:val="12"/>
          <w:szCs w:val="12"/>
          <w:color w:val="131313"/>
        </w:rPr>
        <w:t>means the further standard terms, covenants and conditions relating to safety or actions in the Building or Premises, or the use, maintenance, renovation or management of the</w:t>
      </w:r>
      <w:r>
        <w:rPr>
          <w:rFonts w:ascii="Arial" w:cs="Arial" w:eastAsia="Arial" w:hAnsi="Arial"/>
          <w:sz w:val="12"/>
          <w:szCs w:val="12"/>
          <w:b w:val="1"/>
          <w:bCs w:val="1"/>
          <w:color w:val="131313"/>
        </w:rPr>
        <w:t xml:space="preserve"> </w:t>
      </w:r>
      <w:r>
        <w:rPr>
          <w:rFonts w:ascii="Arial" w:cs="Arial" w:eastAsia="Arial" w:hAnsi="Arial"/>
          <w:sz w:val="12"/>
          <w:szCs w:val="12"/>
          <w:color w:val="131313"/>
        </w:rPr>
        <w:t>Building or Premises.</w:t>
      </w:r>
    </w:p>
    <w:p>
      <w:pPr>
        <w:spacing w:after="0" w:line="160" w:lineRule="exact"/>
        <w:rPr>
          <w:sz w:val="20"/>
          <w:szCs w:val="20"/>
          <w:color w:val="auto"/>
        </w:rPr>
      </w:pPr>
    </w:p>
    <w:p>
      <w:pPr>
        <w:ind w:left="580" w:right="20" w:hanging="478"/>
        <w:spacing w:after="0" w:line="256" w:lineRule="auto"/>
        <w:tabs>
          <w:tab w:leader="none" w:pos="560" w:val="left"/>
        </w:tabs>
        <w:rPr>
          <w:sz w:val="20"/>
          <w:szCs w:val="20"/>
          <w:color w:val="auto"/>
        </w:rPr>
      </w:pPr>
      <w:r>
        <w:rPr>
          <w:rFonts w:ascii="Arial" w:cs="Arial" w:eastAsia="Arial" w:hAnsi="Arial"/>
          <w:sz w:val="12"/>
          <w:szCs w:val="12"/>
          <w:color w:val="131313"/>
        </w:rPr>
        <w:t>1.1.45</w:t>
      </w:r>
      <w:r>
        <w:rPr>
          <w:sz w:val="20"/>
          <w:szCs w:val="20"/>
          <w:color w:val="auto"/>
        </w:rPr>
        <w:tab/>
      </w:r>
      <w:r>
        <w:rPr>
          <w:rFonts w:ascii="Arial" w:cs="Arial" w:eastAsia="Arial" w:hAnsi="Arial"/>
          <w:sz w:val="12"/>
          <w:szCs w:val="12"/>
          <w:b w:val="1"/>
          <w:bCs w:val="1"/>
          <w:color w:val="3D3D3D"/>
        </w:rPr>
        <w:t>'</w:t>
      </w:r>
      <w:r>
        <w:rPr>
          <w:rFonts w:ascii="Arial" w:cs="Arial" w:eastAsia="Arial" w:hAnsi="Arial"/>
          <w:sz w:val="12"/>
          <w:szCs w:val="12"/>
          <w:b w:val="1"/>
          <w:bCs w:val="1"/>
          <w:color w:val="131313"/>
        </w:rPr>
        <w:t>Tenant's Works'</w:t>
      </w:r>
      <w:r>
        <w:rPr>
          <w:rFonts w:ascii="Arial" w:cs="Arial" w:eastAsia="Arial" w:hAnsi="Arial"/>
          <w:sz w:val="12"/>
          <w:szCs w:val="12"/>
          <w:b w:val="1"/>
          <w:bCs w:val="1"/>
          <w:color w:val="3D3D3D"/>
        </w:rPr>
        <w:t xml:space="preserve"> </w:t>
      </w:r>
      <w:r>
        <w:rPr>
          <w:rFonts w:ascii="Arial" w:cs="Arial" w:eastAsia="Arial" w:hAnsi="Arial"/>
          <w:sz w:val="12"/>
          <w:szCs w:val="12"/>
          <w:color w:val="131313"/>
        </w:rPr>
        <w:t>means any fitting-out work or any other renovation, alterations, additions, interior layout work</w:t>
      </w:r>
      <w:r>
        <w:rPr>
          <w:rFonts w:ascii="Arial" w:cs="Arial" w:eastAsia="Arial" w:hAnsi="Arial"/>
          <w:sz w:val="12"/>
          <w:szCs w:val="12"/>
          <w:color w:val="3D3D3D"/>
        </w:rPr>
        <w:t>,</w:t>
      </w:r>
      <w:r>
        <w:rPr>
          <w:rFonts w:ascii="Arial" w:cs="Arial" w:eastAsia="Arial" w:hAnsi="Arial"/>
          <w:sz w:val="12"/>
          <w:szCs w:val="12"/>
          <w:b w:val="1"/>
          <w:bCs w:val="1"/>
          <w:color w:val="3D3D3D"/>
        </w:rPr>
        <w:t xml:space="preserve"> </w:t>
      </w:r>
      <w:r>
        <w:rPr>
          <w:rFonts w:ascii="Arial" w:cs="Arial" w:eastAsia="Arial" w:hAnsi="Arial"/>
          <w:sz w:val="12"/>
          <w:szCs w:val="12"/>
          <w:color w:val="131313"/>
        </w:rPr>
        <w:t>interior design</w:t>
      </w:r>
      <w:r>
        <w:rPr>
          <w:rFonts w:ascii="Arial" w:cs="Arial" w:eastAsia="Arial" w:hAnsi="Arial"/>
          <w:sz w:val="12"/>
          <w:szCs w:val="12"/>
          <w:color w:val="3D3D3D"/>
        </w:rPr>
        <w:t>,</w:t>
      </w:r>
      <w:r>
        <w:rPr>
          <w:rFonts w:ascii="Arial" w:cs="Arial" w:eastAsia="Arial" w:hAnsi="Arial"/>
          <w:sz w:val="12"/>
          <w:szCs w:val="12"/>
          <w:b w:val="1"/>
          <w:bCs w:val="1"/>
          <w:color w:val="3D3D3D"/>
        </w:rPr>
        <w:t xml:space="preserve"> </w:t>
      </w:r>
      <w:r>
        <w:rPr>
          <w:rFonts w:ascii="Arial" w:cs="Arial" w:eastAsia="Arial" w:hAnsi="Arial"/>
          <w:sz w:val="12"/>
          <w:szCs w:val="12"/>
          <w:color w:val="131313"/>
        </w:rPr>
        <w:t>installations, internal fittings, wiring, plumbing</w:t>
      </w:r>
      <w:r>
        <w:rPr>
          <w:rFonts w:ascii="Arial" w:cs="Arial" w:eastAsia="Arial" w:hAnsi="Arial"/>
          <w:sz w:val="12"/>
          <w:szCs w:val="12"/>
          <w:color w:val="3D3D3D"/>
        </w:rPr>
        <w:t>,</w:t>
      </w:r>
      <w:r>
        <w:rPr>
          <w:rFonts w:ascii="Arial" w:cs="Arial" w:eastAsia="Arial" w:hAnsi="Arial"/>
          <w:sz w:val="12"/>
          <w:szCs w:val="12"/>
          <w:b w:val="1"/>
          <w:bCs w:val="1"/>
          <w:color w:val="3D3D3D"/>
        </w:rPr>
        <w:t xml:space="preserve"> </w:t>
      </w:r>
      <w:r>
        <w:rPr>
          <w:rFonts w:ascii="Arial" w:cs="Arial" w:eastAsia="Arial" w:hAnsi="Arial"/>
          <w:sz w:val="12"/>
          <w:szCs w:val="12"/>
          <w:color w:val="131313"/>
        </w:rPr>
        <w:t>reinstatement or other</w:t>
      </w:r>
      <w:r>
        <w:rPr>
          <w:rFonts w:ascii="Arial" w:cs="Arial" w:eastAsia="Arial" w:hAnsi="Arial"/>
          <w:sz w:val="12"/>
          <w:szCs w:val="12"/>
          <w:b w:val="1"/>
          <w:bCs w:val="1"/>
          <w:color w:val="3D3D3D"/>
        </w:rPr>
        <w:t xml:space="preserve"> </w:t>
      </w:r>
      <w:r>
        <w:rPr>
          <w:rFonts w:ascii="Arial" w:cs="Arial" w:eastAsia="Arial" w:hAnsi="Arial"/>
          <w:sz w:val="12"/>
          <w:szCs w:val="12"/>
          <w:color w:val="131313"/>
        </w:rPr>
        <w:t xml:space="preserve">work you carry out to the </w:t>
      </w:r>
      <w:r>
        <w:rPr>
          <w:rFonts w:ascii="Arial" w:cs="Arial" w:eastAsia="Arial" w:hAnsi="Arial"/>
          <w:sz w:val="12"/>
          <w:szCs w:val="12"/>
          <w:b w:val="1"/>
          <w:bCs w:val="1"/>
          <w:color w:val="131313"/>
        </w:rPr>
        <w:t>Premises</w:t>
      </w:r>
      <w:r>
        <w:rPr>
          <w:rFonts w:ascii="Arial" w:cs="Arial" w:eastAsia="Arial" w:hAnsi="Arial"/>
          <w:sz w:val="12"/>
          <w:szCs w:val="12"/>
          <w:b w:val="1"/>
          <w:bCs w:val="1"/>
          <w:color w:val="3D3D3D"/>
        </w:rPr>
        <w:t>.</w:t>
      </w:r>
    </w:p>
    <w:p>
      <w:pPr>
        <w:spacing w:after="0" w:line="150" w:lineRule="exact"/>
        <w:rPr>
          <w:sz w:val="20"/>
          <w:szCs w:val="20"/>
          <w:color w:val="auto"/>
        </w:rPr>
      </w:pPr>
    </w:p>
    <w:p>
      <w:pPr>
        <w:ind w:left="580" w:right="40" w:hanging="478"/>
        <w:spacing w:after="0" w:line="275" w:lineRule="auto"/>
        <w:tabs>
          <w:tab w:leader="none" w:pos="560" w:val="left"/>
        </w:tabs>
        <w:rPr>
          <w:sz w:val="20"/>
          <w:szCs w:val="20"/>
          <w:color w:val="auto"/>
        </w:rPr>
      </w:pPr>
      <w:r>
        <w:rPr>
          <w:rFonts w:ascii="Arial" w:cs="Arial" w:eastAsia="Arial" w:hAnsi="Arial"/>
          <w:sz w:val="12"/>
          <w:szCs w:val="12"/>
          <w:color w:val="131313"/>
        </w:rPr>
        <w:t>1.1.46</w:t>
      </w:r>
      <w:r>
        <w:rPr>
          <w:sz w:val="20"/>
          <w:szCs w:val="20"/>
          <w:color w:val="auto"/>
        </w:rPr>
        <w:tab/>
      </w:r>
      <w:r>
        <w:rPr>
          <w:rFonts w:ascii="Arial" w:cs="Arial" w:eastAsia="Arial" w:hAnsi="Arial"/>
          <w:sz w:val="12"/>
          <w:szCs w:val="12"/>
          <w:b w:val="1"/>
          <w:bCs w:val="1"/>
          <w:color w:val="131313"/>
        </w:rPr>
        <w:t xml:space="preserve">'Tenant's Works Deposit' </w:t>
      </w:r>
      <w:r>
        <w:rPr>
          <w:rFonts w:ascii="Arial" w:cs="Arial" w:eastAsia="Arial" w:hAnsi="Arial"/>
          <w:sz w:val="12"/>
          <w:szCs w:val="12"/>
          <w:color w:val="131313"/>
        </w:rPr>
        <w:t>means the deposit you must pay for the Tenant's Works (if any) as required under this Lease, and which we may collect from you from time to time to cover any Tenant's</w:t>
      </w:r>
      <w:r>
        <w:rPr>
          <w:rFonts w:ascii="Arial" w:cs="Arial" w:eastAsia="Arial" w:hAnsi="Arial"/>
          <w:sz w:val="12"/>
          <w:szCs w:val="12"/>
          <w:b w:val="1"/>
          <w:bCs w:val="1"/>
          <w:color w:val="131313"/>
        </w:rPr>
        <w:t xml:space="preserve"> </w:t>
      </w:r>
      <w:r>
        <w:rPr>
          <w:rFonts w:ascii="Arial" w:cs="Arial" w:eastAsia="Arial" w:hAnsi="Arial"/>
          <w:sz w:val="12"/>
          <w:szCs w:val="12"/>
          <w:color w:val="131313"/>
        </w:rPr>
        <w:t>Works. The initial amount of the Tenant's Works Deposit is set out in schedule 1.</w:t>
      </w:r>
    </w:p>
    <w:p>
      <w:pPr>
        <w:spacing w:after="0" w:line="15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1.1.47</w:t>
      </w:r>
      <w:r>
        <w:rPr>
          <w:sz w:val="20"/>
          <w:szCs w:val="20"/>
          <w:color w:val="auto"/>
        </w:rPr>
        <w:tab/>
      </w:r>
      <w:r>
        <w:rPr>
          <w:rFonts w:ascii="Arial" w:cs="Arial" w:eastAsia="Arial" w:hAnsi="Arial"/>
          <w:sz w:val="11"/>
          <w:szCs w:val="11"/>
          <w:b w:val="1"/>
          <w:bCs w:val="1"/>
          <w:color w:val="131313"/>
        </w:rPr>
        <w:t>'Term</w:t>
      </w:r>
      <w:r>
        <w:rPr>
          <w:rFonts w:ascii="Arial" w:cs="Arial" w:eastAsia="Arial" w:hAnsi="Arial"/>
          <w:sz w:val="11"/>
          <w:szCs w:val="11"/>
          <w:b w:val="1"/>
          <w:bCs w:val="1"/>
          <w:color w:val="3D3D3D"/>
        </w:rPr>
        <w:t>'</w:t>
      </w:r>
      <w:r>
        <w:rPr>
          <w:rFonts w:ascii="Arial" w:cs="Arial" w:eastAsia="Arial" w:hAnsi="Arial"/>
          <w:sz w:val="11"/>
          <w:szCs w:val="11"/>
          <w:b w:val="1"/>
          <w:bCs w:val="1"/>
          <w:color w:val="131313"/>
        </w:rPr>
        <w:t xml:space="preserve"> </w:t>
      </w:r>
      <w:r>
        <w:rPr>
          <w:rFonts w:ascii="Arial" w:cs="Arial" w:eastAsia="Arial" w:hAnsi="Arial"/>
          <w:sz w:val="11"/>
          <w:szCs w:val="11"/>
          <w:color w:val="131313"/>
        </w:rPr>
        <w:t>means the term of this Lease as set out in schedule 1</w:t>
      </w:r>
      <w:r>
        <w:rPr>
          <w:rFonts w:ascii="Arial" w:cs="Arial" w:eastAsia="Arial" w:hAnsi="Arial"/>
          <w:sz w:val="11"/>
          <w:szCs w:val="11"/>
          <w:color w:val="626262"/>
        </w:rPr>
        <w:t>.</w:t>
      </w:r>
    </w:p>
    <w:p>
      <w:pPr>
        <w:spacing w:after="0" w:line="201"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1.1.48</w:t>
      </w:r>
      <w:r>
        <w:rPr>
          <w:sz w:val="20"/>
          <w:szCs w:val="20"/>
          <w:color w:val="auto"/>
        </w:rPr>
        <w:tab/>
      </w:r>
      <w:r>
        <w:rPr>
          <w:rFonts w:ascii="Arial" w:cs="Arial" w:eastAsia="Arial" w:hAnsi="Arial"/>
          <w:sz w:val="11"/>
          <w:szCs w:val="11"/>
          <w:b w:val="1"/>
          <w:bCs w:val="1"/>
          <w:color w:val="131313"/>
        </w:rPr>
        <w:t xml:space="preserve">'Term Rent-free Period' </w:t>
      </w:r>
      <w:r>
        <w:rPr>
          <w:rFonts w:ascii="Arial" w:cs="Arial" w:eastAsia="Arial" w:hAnsi="Arial"/>
          <w:sz w:val="11"/>
          <w:szCs w:val="11"/>
          <w:color w:val="131313"/>
        </w:rPr>
        <w:t>means the rent-free period during the Term (if any) as set out in schedule 1.</w:t>
      </w:r>
    </w:p>
    <w:p>
      <w:pPr>
        <w:spacing w:after="0" w:line="190" w:lineRule="exact"/>
        <w:rPr>
          <w:sz w:val="20"/>
          <w:szCs w:val="20"/>
          <w:color w:val="auto"/>
        </w:rPr>
      </w:pPr>
    </w:p>
    <w:p>
      <w:pPr>
        <w:ind w:left="560" w:right="20" w:hanging="479"/>
        <w:spacing w:after="0" w:line="275" w:lineRule="auto"/>
        <w:tabs>
          <w:tab w:leader="none" w:pos="540" w:val="left"/>
        </w:tabs>
        <w:rPr>
          <w:sz w:val="20"/>
          <w:szCs w:val="20"/>
          <w:color w:val="auto"/>
        </w:rPr>
      </w:pPr>
      <w:r>
        <w:rPr>
          <w:rFonts w:ascii="Arial" w:cs="Arial" w:eastAsia="Arial" w:hAnsi="Arial"/>
          <w:sz w:val="12"/>
          <w:szCs w:val="12"/>
          <w:color w:val="131313"/>
        </w:rPr>
        <w:t>1.1.49</w:t>
      </w:r>
      <w:r>
        <w:rPr>
          <w:sz w:val="20"/>
          <w:szCs w:val="20"/>
          <w:color w:val="auto"/>
        </w:rPr>
        <w:tab/>
      </w:r>
      <w:r>
        <w:rPr>
          <w:rFonts w:ascii="Arial" w:cs="Arial" w:eastAsia="Arial" w:hAnsi="Arial"/>
          <w:sz w:val="12"/>
          <w:szCs w:val="12"/>
          <w:b w:val="1"/>
          <w:bCs w:val="1"/>
          <w:color w:val="131313"/>
        </w:rPr>
        <w:t xml:space="preserve">'Total Outgoings' </w:t>
      </w:r>
      <w:r>
        <w:rPr>
          <w:rFonts w:ascii="Arial" w:cs="Arial" w:eastAsia="Arial" w:hAnsi="Arial"/>
          <w:sz w:val="12"/>
          <w:szCs w:val="12"/>
          <w:color w:val="131313"/>
        </w:rPr>
        <w:t>means all outgoings, costs and expenses (including capital expenditure and loss in value over time) wh</w:t>
      </w:r>
      <w:r>
        <w:rPr>
          <w:rFonts w:ascii="Arial" w:cs="Arial" w:eastAsia="Arial" w:hAnsi="Arial"/>
          <w:sz w:val="12"/>
          <w:szCs w:val="12"/>
          <w:color w:val="3D3D3D"/>
        </w:rPr>
        <w:t>i</w:t>
      </w:r>
      <w:r>
        <w:rPr>
          <w:rFonts w:ascii="Arial" w:cs="Arial" w:eastAsia="Arial" w:hAnsi="Arial"/>
          <w:sz w:val="12"/>
          <w:szCs w:val="12"/>
          <w:color w:val="131313"/>
        </w:rPr>
        <w:t>ch we have to pay for providing, controlling, managing, maintaining and</w:t>
      </w:r>
      <w:r>
        <w:rPr>
          <w:rFonts w:ascii="Arial" w:cs="Arial" w:eastAsia="Arial" w:hAnsi="Arial"/>
          <w:sz w:val="12"/>
          <w:szCs w:val="12"/>
          <w:b w:val="1"/>
          <w:bCs w:val="1"/>
          <w:color w:val="131313"/>
        </w:rPr>
        <w:t xml:space="preserve"> </w:t>
      </w:r>
      <w:r>
        <w:rPr>
          <w:rFonts w:ascii="Arial" w:cs="Arial" w:eastAsia="Arial" w:hAnsi="Arial"/>
          <w:sz w:val="12"/>
          <w:szCs w:val="12"/>
          <w:color w:val="131313"/>
        </w:rPr>
        <w:t xml:space="preserve">replacing any services or parts of the </w:t>
      </w:r>
      <w:r>
        <w:rPr>
          <w:rFonts w:ascii="Arial" w:cs="Arial" w:eastAsia="Arial" w:hAnsi="Arial"/>
          <w:sz w:val="12"/>
          <w:szCs w:val="12"/>
          <w:b w:val="1"/>
          <w:bCs w:val="1"/>
          <w:color w:val="131313"/>
        </w:rPr>
        <w:t>Building</w:t>
      </w:r>
      <w:r>
        <w:rPr>
          <w:rFonts w:ascii="Arial" w:cs="Arial" w:eastAsia="Arial" w:hAnsi="Arial"/>
          <w:sz w:val="12"/>
          <w:szCs w:val="12"/>
          <w:color w:val="131313"/>
        </w:rPr>
        <w:t xml:space="preserve"> (including fixtures and fittings)</w:t>
      </w:r>
      <w:r>
        <w:rPr>
          <w:rFonts w:ascii="Arial" w:cs="Arial" w:eastAsia="Arial" w:hAnsi="Arial"/>
          <w:sz w:val="12"/>
          <w:szCs w:val="12"/>
          <w:color w:val="3D3D3D"/>
        </w:rPr>
        <w:t>.</w:t>
      </w:r>
    </w:p>
    <w:p>
      <w:pPr>
        <w:spacing w:after="0" w:line="15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1.1.50</w:t>
      </w:r>
      <w:r>
        <w:rPr>
          <w:sz w:val="20"/>
          <w:szCs w:val="20"/>
          <w:color w:val="auto"/>
        </w:rPr>
        <w:tab/>
      </w:r>
      <w:r>
        <w:rPr>
          <w:rFonts w:ascii="Arial" w:cs="Arial" w:eastAsia="Arial" w:hAnsi="Arial"/>
          <w:sz w:val="11"/>
          <w:szCs w:val="11"/>
          <w:b w:val="1"/>
          <w:bCs w:val="1"/>
          <w:color w:val="131313"/>
        </w:rPr>
        <w:t>'Utilities</w:t>
      </w:r>
      <w:r>
        <w:rPr>
          <w:rFonts w:ascii="Arial" w:cs="Arial" w:eastAsia="Arial" w:hAnsi="Arial"/>
          <w:sz w:val="11"/>
          <w:szCs w:val="11"/>
          <w:b w:val="1"/>
          <w:bCs w:val="1"/>
          <w:color w:val="3D3D3D"/>
        </w:rPr>
        <w:t>'</w:t>
      </w:r>
      <w:r>
        <w:rPr>
          <w:rFonts w:ascii="Arial" w:cs="Arial" w:eastAsia="Arial" w:hAnsi="Arial"/>
          <w:sz w:val="11"/>
          <w:szCs w:val="11"/>
          <w:b w:val="1"/>
          <w:bCs w:val="1"/>
          <w:color w:val="131313"/>
        </w:rPr>
        <w:t xml:space="preserve"> </w:t>
      </w:r>
      <w:r>
        <w:rPr>
          <w:rFonts w:ascii="Arial" w:cs="Arial" w:eastAsia="Arial" w:hAnsi="Arial"/>
          <w:sz w:val="11"/>
          <w:szCs w:val="11"/>
          <w:color w:val="131313"/>
        </w:rPr>
        <w:t>means electricity, water, sewerage, tele-communications and, if it applies, gas, air conditioning and chilled water.</w:t>
      </w:r>
    </w:p>
    <w:p>
      <w:pPr>
        <w:spacing w:after="0" w:line="19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1.1.51</w:t>
      </w:r>
      <w:r>
        <w:rPr>
          <w:sz w:val="20"/>
          <w:szCs w:val="20"/>
          <w:color w:val="auto"/>
        </w:rPr>
        <w:tab/>
      </w:r>
      <w:r>
        <w:rPr>
          <w:rFonts w:ascii="Arial" w:cs="Arial" w:eastAsia="Arial" w:hAnsi="Arial"/>
          <w:sz w:val="11"/>
          <w:szCs w:val="11"/>
          <w:b w:val="1"/>
          <w:bCs w:val="1"/>
          <w:color w:val="3D3D3D"/>
        </w:rPr>
        <w:t>'</w:t>
      </w:r>
      <w:r>
        <w:rPr>
          <w:rFonts w:ascii="Arial" w:cs="Arial" w:eastAsia="Arial" w:hAnsi="Arial"/>
          <w:sz w:val="11"/>
          <w:szCs w:val="11"/>
          <w:b w:val="1"/>
          <w:bCs w:val="1"/>
          <w:color w:val="131313"/>
        </w:rPr>
        <w:t>Utilities Charges'</w:t>
      </w:r>
      <w:r>
        <w:rPr>
          <w:rFonts w:ascii="Arial" w:cs="Arial" w:eastAsia="Arial" w:hAnsi="Arial"/>
          <w:sz w:val="11"/>
          <w:szCs w:val="11"/>
          <w:b w:val="1"/>
          <w:bCs w:val="1"/>
          <w:color w:val="3D3D3D"/>
        </w:rPr>
        <w:t xml:space="preserve"> </w:t>
      </w:r>
      <w:r>
        <w:rPr>
          <w:rFonts w:ascii="Arial" w:cs="Arial" w:eastAsia="Arial" w:hAnsi="Arial"/>
          <w:sz w:val="11"/>
          <w:szCs w:val="11"/>
          <w:color w:val="131313"/>
        </w:rPr>
        <w:t>means the charges for the Utilities as used at the Premises</w:t>
      </w:r>
      <w:r>
        <w:rPr>
          <w:rFonts w:ascii="Arial" w:cs="Arial" w:eastAsia="Arial" w:hAnsi="Arial"/>
          <w:sz w:val="11"/>
          <w:szCs w:val="11"/>
          <w:color w:val="3D3D3D"/>
        </w:rPr>
        <w:t>.</w:t>
      </w:r>
    </w:p>
    <w:p>
      <w:pPr>
        <w:spacing w:after="0" w:line="201" w:lineRule="exact"/>
        <w:rPr>
          <w:sz w:val="20"/>
          <w:szCs w:val="20"/>
          <w:color w:val="auto"/>
        </w:rPr>
      </w:pPr>
    </w:p>
    <w:p>
      <w:pPr>
        <w:ind w:left="560" w:right="40" w:hanging="480"/>
        <w:spacing w:after="0" w:line="275" w:lineRule="auto"/>
        <w:tabs>
          <w:tab w:leader="none" w:pos="540" w:val="left"/>
        </w:tabs>
        <w:rPr>
          <w:sz w:val="20"/>
          <w:szCs w:val="20"/>
          <w:color w:val="auto"/>
        </w:rPr>
      </w:pPr>
      <w:r>
        <w:rPr>
          <w:rFonts w:ascii="Arial" w:cs="Arial" w:eastAsia="Arial" w:hAnsi="Arial"/>
          <w:sz w:val="12"/>
          <w:szCs w:val="12"/>
          <w:color w:val="131313"/>
        </w:rPr>
        <w:t>1.1.52</w:t>
      </w:r>
      <w:r>
        <w:rPr>
          <w:sz w:val="20"/>
          <w:szCs w:val="20"/>
          <w:color w:val="auto"/>
        </w:rPr>
        <w:tab/>
      </w:r>
      <w:r>
        <w:rPr>
          <w:rFonts w:ascii="Arial" w:cs="Arial" w:eastAsia="Arial" w:hAnsi="Arial"/>
          <w:sz w:val="12"/>
          <w:szCs w:val="12"/>
          <w:b w:val="1"/>
          <w:bCs w:val="1"/>
          <w:color w:val="3D3D3D"/>
        </w:rPr>
        <w:t>'</w:t>
      </w:r>
      <w:r>
        <w:rPr>
          <w:rFonts w:ascii="Arial" w:cs="Arial" w:eastAsia="Arial" w:hAnsi="Arial"/>
          <w:sz w:val="12"/>
          <w:szCs w:val="12"/>
          <w:b w:val="1"/>
          <w:bCs w:val="1"/>
          <w:color w:val="131313"/>
        </w:rPr>
        <w:t>We</w:t>
      </w:r>
      <w:r>
        <w:rPr>
          <w:rFonts w:ascii="Arial" w:cs="Arial" w:eastAsia="Arial" w:hAnsi="Arial"/>
          <w:sz w:val="12"/>
          <w:szCs w:val="12"/>
          <w:b w:val="1"/>
          <w:bCs w:val="1"/>
          <w:color w:val="3D3D3D"/>
        </w:rPr>
        <w:t>'</w:t>
      </w:r>
      <w:r>
        <w:rPr>
          <w:rFonts w:ascii="Arial" w:cs="Arial" w:eastAsia="Arial" w:hAnsi="Arial"/>
          <w:sz w:val="12"/>
          <w:szCs w:val="12"/>
          <w:b w:val="1"/>
          <w:bCs w:val="1"/>
          <w:color w:val="131313"/>
        </w:rPr>
        <w:t>, 'us</w:t>
      </w:r>
      <w:r>
        <w:rPr>
          <w:rFonts w:ascii="Arial" w:cs="Arial" w:eastAsia="Arial" w:hAnsi="Arial"/>
          <w:sz w:val="12"/>
          <w:szCs w:val="12"/>
          <w:b w:val="1"/>
          <w:bCs w:val="1"/>
          <w:color w:val="3D3D3D"/>
        </w:rPr>
        <w:t>'</w:t>
      </w:r>
      <w:r>
        <w:rPr>
          <w:rFonts w:ascii="Arial" w:cs="Arial" w:eastAsia="Arial" w:hAnsi="Arial"/>
          <w:sz w:val="12"/>
          <w:szCs w:val="12"/>
          <w:b w:val="1"/>
          <w:bCs w:val="1"/>
          <w:color w:val="131313"/>
        </w:rPr>
        <w:t>, or 'our'</w:t>
      </w:r>
      <w:r>
        <w:rPr>
          <w:rFonts w:ascii="Arial" w:cs="Arial" w:eastAsia="Arial" w:hAnsi="Arial"/>
          <w:sz w:val="12"/>
          <w:szCs w:val="12"/>
          <w:b w:val="1"/>
          <w:bCs w:val="1"/>
          <w:color w:val="3D3D3D"/>
        </w:rPr>
        <w:t xml:space="preserve"> </w:t>
      </w:r>
      <w:r>
        <w:rPr>
          <w:rFonts w:ascii="Arial" w:cs="Arial" w:eastAsia="Arial" w:hAnsi="Arial"/>
          <w:sz w:val="12"/>
          <w:szCs w:val="12"/>
          <w:color w:val="131313"/>
        </w:rPr>
        <w:t>(whether capitalised or not) means us as the landlord as set out in schedule 1 and includes our successors (a person who takes over our rights and obligations) and assigns (a</w:t>
      </w:r>
      <w:r>
        <w:rPr>
          <w:rFonts w:ascii="Arial" w:cs="Arial" w:eastAsia="Arial" w:hAnsi="Arial"/>
          <w:sz w:val="12"/>
          <w:szCs w:val="12"/>
          <w:b w:val="1"/>
          <w:bCs w:val="1"/>
          <w:color w:val="3D3D3D"/>
        </w:rPr>
        <w:t xml:space="preserve"> </w:t>
      </w:r>
      <w:r>
        <w:rPr>
          <w:rFonts w:ascii="Arial" w:cs="Arial" w:eastAsia="Arial" w:hAnsi="Arial"/>
          <w:sz w:val="12"/>
          <w:szCs w:val="12"/>
          <w:color w:val="131313"/>
        </w:rPr>
        <w:t>person who takes over our rights).</w:t>
      </w:r>
    </w:p>
    <w:p>
      <w:pPr>
        <w:spacing w:after="0" w:line="150" w:lineRule="exact"/>
        <w:rPr>
          <w:sz w:val="20"/>
          <w:szCs w:val="20"/>
          <w:color w:val="auto"/>
        </w:rPr>
      </w:pPr>
    </w:p>
    <w:p>
      <w:pPr>
        <w:ind w:left="560" w:right="40" w:hanging="476"/>
        <w:spacing w:after="0" w:line="275" w:lineRule="auto"/>
        <w:tabs>
          <w:tab w:leader="none" w:pos="540" w:val="left"/>
        </w:tabs>
        <w:rPr>
          <w:sz w:val="20"/>
          <w:szCs w:val="20"/>
          <w:color w:val="auto"/>
        </w:rPr>
      </w:pPr>
      <w:r>
        <w:rPr>
          <w:rFonts w:ascii="Arial" w:cs="Arial" w:eastAsia="Arial" w:hAnsi="Arial"/>
          <w:sz w:val="12"/>
          <w:szCs w:val="12"/>
          <w:color w:val="131313"/>
        </w:rPr>
        <w:t>1.1.53</w:t>
      </w:r>
      <w:r>
        <w:rPr>
          <w:sz w:val="20"/>
          <w:szCs w:val="20"/>
          <w:color w:val="auto"/>
        </w:rPr>
        <w:tab/>
      </w:r>
      <w:r>
        <w:rPr>
          <w:rFonts w:ascii="Arial" w:cs="Arial" w:eastAsia="Arial" w:hAnsi="Arial"/>
          <w:sz w:val="12"/>
          <w:szCs w:val="12"/>
          <w:b w:val="1"/>
          <w:bCs w:val="1"/>
          <w:color w:val="131313"/>
        </w:rPr>
        <w:t xml:space="preserve">'You', or 'your' </w:t>
      </w:r>
      <w:r>
        <w:rPr>
          <w:rFonts w:ascii="Arial" w:cs="Arial" w:eastAsia="Arial" w:hAnsi="Arial"/>
          <w:sz w:val="12"/>
          <w:szCs w:val="12"/>
          <w:color w:val="131313"/>
        </w:rPr>
        <w:t>(whether capitalised or not) means you as the tenant as set out in schedule 1 and includes your successors (a person who takes over your rights and obligations) and assigns (a</w:t>
      </w:r>
      <w:r>
        <w:rPr>
          <w:rFonts w:ascii="Arial" w:cs="Arial" w:eastAsia="Arial" w:hAnsi="Arial"/>
          <w:sz w:val="12"/>
          <w:szCs w:val="12"/>
          <w:b w:val="1"/>
          <w:bCs w:val="1"/>
          <w:color w:val="131313"/>
        </w:rPr>
        <w:t xml:space="preserve"> </w:t>
      </w:r>
      <w:r>
        <w:rPr>
          <w:rFonts w:ascii="Arial" w:cs="Arial" w:eastAsia="Arial" w:hAnsi="Arial"/>
          <w:sz w:val="12"/>
          <w:szCs w:val="12"/>
          <w:color w:val="131313"/>
        </w:rPr>
        <w:t>person who takes over your rights, only after we have approved the transfer).</w:t>
      </w:r>
    </w:p>
    <w:p>
      <w:pPr>
        <w:spacing w:after="0" w:line="150" w:lineRule="exact"/>
        <w:rPr>
          <w:sz w:val="20"/>
          <w:szCs w:val="20"/>
          <w:color w:val="auto"/>
        </w:rPr>
      </w:pPr>
    </w:p>
    <w:p>
      <w:pPr>
        <w:ind w:left="560" w:right="40" w:hanging="476"/>
        <w:spacing w:after="0" w:line="275" w:lineRule="auto"/>
        <w:tabs>
          <w:tab w:leader="none" w:pos="540" w:val="left"/>
        </w:tabs>
        <w:rPr>
          <w:sz w:val="20"/>
          <w:szCs w:val="20"/>
          <w:color w:val="auto"/>
        </w:rPr>
      </w:pPr>
      <w:r>
        <w:rPr>
          <w:rFonts w:ascii="Arial" w:cs="Arial" w:eastAsia="Arial" w:hAnsi="Arial"/>
          <w:sz w:val="12"/>
          <w:szCs w:val="12"/>
          <w:color w:val="111111"/>
        </w:rPr>
        <w:t>1.1.54</w:t>
      </w:r>
      <w:r>
        <w:rPr>
          <w:sz w:val="20"/>
          <w:szCs w:val="20"/>
          <w:color w:val="auto"/>
        </w:rPr>
        <w:tab/>
      </w:r>
      <w:r>
        <w:rPr>
          <w:rFonts w:ascii="Arial" w:cs="Arial" w:eastAsia="Arial" w:hAnsi="Arial"/>
          <w:sz w:val="12"/>
          <w:szCs w:val="12"/>
          <w:b w:val="1"/>
          <w:bCs w:val="1"/>
          <w:color w:val="111111"/>
        </w:rPr>
        <w:t xml:space="preserve">'Your Authorised People' </w:t>
      </w:r>
      <w:r>
        <w:rPr>
          <w:rFonts w:ascii="Arial" w:cs="Arial" w:eastAsia="Arial" w:hAnsi="Arial"/>
          <w:sz w:val="12"/>
          <w:szCs w:val="12"/>
          <w:color w:val="111111"/>
        </w:rPr>
        <w:t>means your employees, agents, independent contractors, people you allow to be in the Premises, visitors, licensees, anyone under your control, and anyone you are</w:t>
      </w:r>
      <w:r>
        <w:rPr>
          <w:rFonts w:ascii="Arial" w:cs="Arial" w:eastAsia="Arial" w:hAnsi="Arial"/>
          <w:sz w:val="12"/>
          <w:szCs w:val="12"/>
          <w:b w:val="1"/>
          <w:bCs w:val="1"/>
          <w:color w:val="111111"/>
        </w:rPr>
        <w:t xml:space="preserve"> </w:t>
      </w:r>
      <w:r>
        <w:rPr>
          <w:rFonts w:ascii="Arial" w:cs="Arial" w:eastAsia="Arial" w:hAnsi="Arial"/>
          <w:sz w:val="12"/>
          <w:szCs w:val="12"/>
          <w:color w:val="111111"/>
        </w:rPr>
        <w:t>responsible for or who claims rights under this Lease through, under or in trust for you.</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200"/>
          </w:cols>
          <w:pgMar w:left="300" w:top="1440" w:right="39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4">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w:t>
      </w:r>
      <w:r>
        <w:rPr>
          <w:sz w:val="20"/>
          <w:szCs w:val="20"/>
          <w:color w:val="auto"/>
        </w:rPr>
        <w:tab/>
      </w:r>
      <w:r>
        <w:rPr>
          <w:rFonts w:ascii="Arial" w:cs="Arial" w:eastAsia="Arial" w:hAnsi="Arial"/>
          <w:sz w:val="11"/>
          <w:szCs w:val="11"/>
          <w:u w:val="single" w:color="auto"/>
          <w:color w:val="232323"/>
        </w:rPr>
        <w:t xml:space="preserve">General </w:t>
      </w:r>
      <w:r>
        <w:rPr>
          <w:rFonts w:ascii="Arial" w:cs="Arial" w:eastAsia="Arial" w:hAnsi="Arial"/>
          <w:sz w:val="11"/>
          <w:szCs w:val="11"/>
          <w:u w:val="single" w:color="auto"/>
          <w:color w:val="333333"/>
        </w:rPr>
        <w:t>rules of</w:t>
      </w:r>
      <w:r>
        <w:rPr>
          <w:rFonts w:ascii="Arial" w:cs="Arial" w:eastAsia="Arial" w:hAnsi="Arial"/>
          <w:sz w:val="11"/>
          <w:szCs w:val="11"/>
          <w:u w:val="single" w:color="auto"/>
          <w:color w:val="232323"/>
        </w:rPr>
        <w:t xml:space="preserve"> interpretation</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2"/>
          <w:szCs w:val="12"/>
          <w:color w:val="111111"/>
        </w:rPr>
        <w:t>The following rules apply when interpreting this Lease, unless the context requires otherwise.</w:t>
      </w:r>
    </w:p>
    <w:p>
      <w:pPr>
        <w:spacing w:after="0" w:line="190" w:lineRule="exact"/>
        <w:rPr>
          <w:sz w:val="20"/>
          <w:szCs w:val="20"/>
          <w:color w:val="auto"/>
        </w:rPr>
      </w:pPr>
    </w:p>
    <w:p>
      <w:pPr>
        <w:jc w:val="both"/>
        <w:ind w:left="560" w:right="20" w:hanging="476"/>
        <w:spacing w:after="0" w:line="250" w:lineRule="auto"/>
        <w:tabs>
          <w:tab w:leader="none" w:pos="540" w:val="left"/>
        </w:tabs>
        <w:rPr>
          <w:sz w:val="20"/>
          <w:szCs w:val="20"/>
          <w:color w:val="auto"/>
        </w:rPr>
      </w:pPr>
      <w:r>
        <w:rPr>
          <w:rFonts w:ascii="Arial" w:cs="Arial" w:eastAsia="Arial" w:hAnsi="Arial"/>
          <w:sz w:val="12"/>
          <w:szCs w:val="12"/>
          <w:color w:val="111111"/>
        </w:rPr>
        <w:t>1.2.1</w:t>
      </w:r>
      <w:r>
        <w:rPr>
          <w:sz w:val="20"/>
          <w:szCs w:val="20"/>
          <w:color w:val="auto"/>
        </w:rPr>
        <w:tab/>
      </w:r>
      <w:r>
        <w:rPr>
          <w:rFonts w:ascii="Arial" w:cs="Arial" w:eastAsia="Arial" w:hAnsi="Arial"/>
          <w:sz w:val="12"/>
          <w:szCs w:val="12"/>
          <w:color w:val="111111"/>
        </w:rPr>
        <w:t>While we have made efforts to express this Lease in plain English, any wording used may not be completely sufficient to describe its meaning, and you must read all words in line with their usual legal meaning.</w:t>
      </w:r>
    </w:p>
    <w:p>
      <w:pPr>
        <w:spacing w:after="0" w:line="17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1.2.2</w:t>
      </w:r>
      <w:r>
        <w:rPr>
          <w:sz w:val="20"/>
          <w:szCs w:val="20"/>
          <w:color w:val="auto"/>
        </w:rPr>
        <w:tab/>
      </w:r>
      <w:r>
        <w:rPr>
          <w:rFonts w:ascii="Arial" w:cs="Arial" w:eastAsia="Arial" w:hAnsi="Arial"/>
          <w:sz w:val="11"/>
          <w:szCs w:val="11"/>
          <w:color w:val="111111"/>
        </w:rPr>
        <w:t>Headings are for convenience only and must not be used to limit or interpret any covenant, condition or clause.</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1.2.3</w:t>
      </w:r>
      <w:r>
        <w:rPr>
          <w:sz w:val="20"/>
          <w:szCs w:val="20"/>
          <w:color w:val="auto"/>
        </w:rPr>
        <w:tab/>
      </w:r>
      <w:r>
        <w:rPr>
          <w:rFonts w:ascii="Arial" w:cs="Arial" w:eastAsia="Arial" w:hAnsi="Arial"/>
          <w:sz w:val="12"/>
          <w:szCs w:val="12"/>
          <w:color w:val="111111"/>
        </w:rPr>
        <w:t>Any reference to the singular includes the plural, and vice versa.</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1.2.4</w:t>
      </w:r>
      <w:r>
        <w:rPr>
          <w:sz w:val="20"/>
          <w:szCs w:val="20"/>
          <w:color w:val="auto"/>
        </w:rPr>
        <w:tab/>
      </w:r>
      <w:r>
        <w:rPr>
          <w:rFonts w:ascii="Arial" w:cs="Arial" w:eastAsia="Arial" w:hAnsi="Arial"/>
          <w:sz w:val="11"/>
          <w:szCs w:val="11"/>
          <w:color w:val="111111"/>
        </w:rPr>
        <w:t>Any reference to a person or people includes any individual or any corporate entity.</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1.2.5</w:t>
      </w:r>
      <w:r>
        <w:rPr>
          <w:sz w:val="20"/>
          <w:szCs w:val="20"/>
          <w:color w:val="auto"/>
        </w:rPr>
        <w:tab/>
      </w:r>
      <w:r>
        <w:rPr>
          <w:rFonts w:ascii="Arial" w:cs="Arial" w:eastAsia="Arial" w:hAnsi="Arial"/>
          <w:sz w:val="11"/>
          <w:szCs w:val="11"/>
          <w:color w:val="111111"/>
        </w:rPr>
        <w:t>Any reference to the whole includes all or any part of the same.</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1.2.6</w:t>
      </w:r>
      <w:r>
        <w:rPr>
          <w:sz w:val="20"/>
          <w:szCs w:val="20"/>
          <w:color w:val="auto"/>
        </w:rPr>
        <w:tab/>
      </w:r>
      <w:r>
        <w:rPr>
          <w:rFonts w:ascii="Arial" w:cs="Arial" w:eastAsia="Arial" w:hAnsi="Arial"/>
          <w:sz w:val="11"/>
          <w:szCs w:val="11"/>
          <w:color w:val="111111"/>
        </w:rPr>
        <w:t>Each word or term does not limit the effect of another word or term.</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1.2.7</w:t>
      </w:r>
      <w:r>
        <w:rPr>
          <w:sz w:val="20"/>
          <w:szCs w:val="20"/>
          <w:color w:val="auto"/>
        </w:rPr>
        <w:tab/>
      </w:r>
      <w:r>
        <w:rPr>
          <w:rFonts w:ascii="Arial" w:cs="Arial" w:eastAsia="Arial" w:hAnsi="Arial"/>
          <w:sz w:val="11"/>
          <w:szCs w:val="11"/>
          <w:color w:val="111111"/>
        </w:rPr>
        <w:t>Any reference to 'including', 'include' or 'includes' means including without limitation or affecting the generality of any description, definition, term or phrase coming before that word.</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1.2.8</w:t>
      </w:r>
      <w:r>
        <w:rPr>
          <w:sz w:val="20"/>
          <w:szCs w:val="20"/>
          <w:color w:val="auto"/>
        </w:rPr>
        <w:tab/>
      </w:r>
      <w:r>
        <w:rPr>
          <w:rFonts w:ascii="Arial" w:cs="Arial" w:eastAsia="Arial" w:hAnsi="Arial"/>
          <w:sz w:val="11"/>
          <w:szCs w:val="11"/>
          <w:color w:val="111111"/>
        </w:rPr>
        <w:t>Any reference to 'responsible' means, where the context allows, being liable for any Losses</w:t>
      </w:r>
      <w:r>
        <w:rPr>
          <w:rFonts w:ascii="Arial" w:cs="Arial" w:eastAsia="Arial" w:hAnsi="Arial"/>
          <w:sz w:val="11"/>
          <w:szCs w:val="11"/>
          <w:color w:val="777777"/>
        </w:rPr>
        <w:t>.</w:t>
      </w:r>
    </w:p>
    <w:p>
      <w:pPr>
        <w:spacing w:after="0" w:line="201" w:lineRule="exact"/>
        <w:rPr>
          <w:sz w:val="20"/>
          <w:szCs w:val="20"/>
          <w:color w:val="auto"/>
        </w:rPr>
      </w:pPr>
    </w:p>
    <w:p>
      <w:pPr>
        <w:jc w:val="both"/>
        <w:ind w:left="560" w:hanging="475"/>
        <w:spacing w:after="0" w:line="245" w:lineRule="auto"/>
        <w:tabs>
          <w:tab w:leader="none" w:pos="540" w:val="left"/>
        </w:tabs>
        <w:rPr>
          <w:sz w:val="20"/>
          <w:szCs w:val="20"/>
          <w:color w:val="auto"/>
        </w:rPr>
      </w:pPr>
      <w:r>
        <w:rPr>
          <w:rFonts w:ascii="Arial" w:cs="Arial" w:eastAsia="Arial" w:hAnsi="Arial"/>
          <w:sz w:val="12"/>
          <w:szCs w:val="12"/>
          <w:color w:val="111111"/>
        </w:rPr>
        <w:t>1.2.9</w:t>
      </w:r>
      <w:r>
        <w:rPr>
          <w:sz w:val="20"/>
          <w:szCs w:val="20"/>
          <w:color w:val="auto"/>
        </w:rPr>
        <w:tab/>
      </w:r>
      <w:r>
        <w:rPr>
          <w:rFonts w:ascii="Arial" w:cs="Arial" w:eastAsia="Arial" w:hAnsi="Arial"/>
          <w:sz w:val="12"/>
          <w:szCs w:val="12"/>
          <w:color w:val="111111"/>
        </w:rPr>
        <w:t>You must, unless set out otherwise, pay all fees, charges, costs and expenses arising out of or relating to any obligations you have under this Lease, including if it applies, Interest, on any outstanding payments you owe and any fees or expenses due to the relevant Authorities. We can claim these payments as if they are rent arrears and may deduct such payments from any deposits you have paid under this Lease. You may not withhold or delay any payment, and you must pay all amounts you owe under this Lease even if this Lease has come to an end.</w:t>
      </w:r>
    </w:p>
    <w:p>
      <w:pPr>
        <w:spacing w:after="0" w:line="181" w:lineRule="exact"/>
        <w:rPr>
          <w:sz w:val="20"/>
          <w:szCs w:val="20"/>
          <w:color w:val="auto"/>
        </w:rPr>
      </w:pPr>
    </w:p>
    <w:p>
      <w:pPr>
        <w:jc w:val="both"/>
        <w:ind w:left="560" w:hanging="474"/>
        <w:spacing w:after="0" w:line="250" w:lineRule="auto"/>
        <w:tabs>
          <w:tab w:leader="none" w:pos="540" w:val="left"/>
        </w:tabs>
        <w:rPr>
          <w:sz w:val="20"/>
          <w:szCs w:val="20"/>
          <w:color w:val="auto"/>
        </w:rPr>
      </w:pPr>
      <w:r>
        <w:rPr>
          <w:rFonts w:ascii="Arial" w:cs="Arial" w:eastAsia="Arial" w:hAnsi="Arial"/>
          <w:sz w:val="12"/>
          <w:szCs w:val="12"/>
          <w:color w:val="111111"/>
        </w:rPr>
        <w:t>1.2.10</w:t>
        <w:tab/>
        <w:t>You must, at your own cost and expense, keep to (and make sure that each of Your Authorised People keep to) every obligation you have and restriction that applies under this Lease. If this Lease states that you will not have any claim against us for any Losses, Your Authorised People will also not have any claim against us for such Losses.</w:t>
      </w:r>
    </w:p>
    <w:p>
      <w:pPr>
        <w:spacing w:after="0" w:line="178" w:lineRule="exact"/>
        <w:rPr>
          <w:sz w:val="20"/>
          <w:szCs w:val="20"/>
          <w:color w:val="auto"/>
        </w:rPr>
      </w:pPr>
    </w:p>
    <w:p>
      <w:pPr>
        <w:jc w:val="both"/>
        <w:ind w:left="560" w:hanging="478"/>
        <w:spacing w:after="0" w:line="243" w:lineRule="auto"/>
        <w:tabs>
          <w:tab w:leader="none" w:pos="540" w:val="left"/>
        </w:tabs>
        <w:rPr>
          <w:sz w:val="20"/>
          <w:szCs w:val="20"/>
          <w:color w:val="auto"/>
        </w:rPr>
      </w:pPr>
      <w:r>
        <w:rPr>
          <w:rFonts w:ascii="Arial" w:cs="Arial" w:eastAsia="Arial" w:hAnsi="Arial"/>
          <w:sz w:val="12"/>
          <w:szCs w:val="12"/>
          <w:color w:val="111111"/>
        </w:rPr>
        <w:t>1.2.11</w:t>
        <w:tab/>
        <w:t>If, under this Lease, you need our permission or approval for any action, you must get this in writing from us before taking that action. We will decide if, and on what terms, to give or withhold permission or approval. Even if we give our permission or approval, you will remain responsible for these permitted or approved matters or actions. This clause 1.2.11 also applies if the Head Landlord or any of the Authorities require any permission or approval. In addition, any right given to us under this Lease is also given to the Head Landlord and any Authorities and any person authorised by us, the Head Landlord and the Authorities.</w:t>
      </w:r>
    </w:p>
    <w:p>
      <w:pPr>
        <w:spacing w:after="0" w:line="193"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1.2.12</w:t>
      </w:r>
      <w:r>
        <w:rPr>
          <w:sz w:val="20"/>
          <w:szCs w:val="20"/>
          <w:color w:val="auto"/>
        </w:rPr>
        <w:tab/>
      </w:r>
      <w:r>
        <w:rPr>
          <w:rFonts w:ascii="Arial" w:cs="Arial" w:eastAsia="Arial" w:hAnsi="Arial"/>
          <w:sz w:val="11"/>
          <w:szCs w:val="11"/>
          <w:color w:val="111111"/>
        </w:rPr>
        <w:t>If we carry out any action or exercise any right or remedy under any clause in this Lease, this will not affect our other rights or remedies under that clause or the rest of this Lease.</w:t>
      </w:r>
    </w:p>
    <w:p>
      <w:pPr>
        <w:spacing w:after="0" w:line="190" w:lineRule="exact"/>
        <w:rPr>
          <w:sz w:val="20"/>
          <w:szCs w:val="20"/>
          <w:color w:val="auto"/>
        </w:rPr>
      </w:pPr>
    </w:p>
    <w:p>
      <w:pPr>
        <w:jc w:val="both"/>
        <w:ind w:left="560" w:hanging="477"/>
        <w:spacing w:after="0" w:line="250" w:lineRule="auto"/>
        <w:tabs>
          <w:tab w:leader="none" w:pos="540" w:val="left"/>
        </w:tabs>
        <w:rPr>
          <w:sz w:val="20"/>
          <w:szCs w:val="20"/>
          <w:color w:val="auto"/>
        </w:rPr>
      </w:pPr>
      <w:r>
        <w:rPr>
          <w:rFonts w:ascii="Arial" w:cs="Arial" w:eastAsia="Arial" w:hAnsi="Arial"/>
          <w:sz w:val="12"/>
          <w:szCs w:val="12"/>
          <w:color w:val="111111"/>
        </w:rPr>
        <w:t>1.2.13</w:t>
        <w:tab/>
        <w:t>Each schedule of, attachment, appendix and annexure to this Lease forms part of this Lease. If there are any inconsistencies between the different parts of this Lease, priority will be given in the following order from first to last: (1) Side Letters (if any), (2) Special Covenants, (3) Building Covenants, (4) Standard Covenants, and (5) Tenants' Guide.</w:t>
      </w:r>
    </w:p>
    <w:p>
      <w:pPr>
        <w:spacing w:after="0" w:line="164" w:lineRule="exact"/>
        <w:rPr>
          <w:sz w:val="20"/>
          <w:szCs w:val="20"/>
          <w:color w:val="auto"/>
        </w:rPr>
      </w:pPr>
    </w:p>
    <w:p>
      <w:pPr>
        <w:ind w:left="560" w:hanging="477"/>
        <w:spacing w:after="0"/>
        <w:tabs>
          <w:tab w:leader="none" w:pos="560" w:val="left"/>
        </w:tabs>
        <w:numPr>
          <w:ilvl w:val="0"/>
          <w:numId w:val="59"/>
        </w:numPr>
        <w:rPr>
          <w:rFonts w:ascii="Arial" w:cs="Arial" w:eastAsia="Arial" w:hAnsi="Arial"/>
          <w:sz w:val="12"/>
          <w:szCs w:val="12"/>
          <w:b w:val="1"/>
          <w:bCs w:val="1"/>
          <w:color w:val="111111"/>
        </w:rPr>
      </w:pPr>
      <w:r>
        <w:rPr>
          <w:rFonts w:ascii="Arial" w:cs="Arial" w:eastAsia="Arial" w:hAnsi="Arial"/>
          <w:sz w:val="12"/>
          <w:szCs w:val="12"/>
          <w:b w:val="1"/>
          <w:bCs w:val="1"/>
          <w:color w:val="111111"/>
        </w:rPr>
        <w:t>GRANT OF LEASE</w:t>
      </w:r>
    </w:p>
    <w:p>
      <w:pPr>
        <w:spacing w:after="0" w:line="215"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2.1</w:t>
      </w:r>
      <w:r>
        <w:rPr>
          <w:sz w:val="20"/>
          <w:szCs w:val="20"/>
          <w:color w:val="auto"/>
        </w:rPr>
        <w:tab/>
      </w:r>
      <w:r>
        <w:rPr>
          <w:rFonts w:ascii="Arial" w:cs="Arial" w:eastAsia="Arial" w:hAnsi="Arial"/>
          <w:sz w:val="11"/>
          <w:szCs w:val="11"/>
          <w:u w:val="single" w:color="auto"/>
          <w:color w:val="111111"/>
        </w:rPr>
        <w:t>Lease</w:t>
      </w:r>
    </w:p>
    <w:p>
      <w:pPr>
        <w:spacing w:after="0" w:line="190" w:lineRule="exact"/>
        <w:rPr>
          <w:sz w:val="20"/>
          <w:szCs w:val="20"/>
          <w:color w:val="auto"/>
        </w:rPr>
      </w:pPr>
    </w:p>
    <w:p>
      <w:pPr>
        <w:ind w:left="560"/>
        <w:spacing w:after="0" w:line="250" w:lineRule="auto"/>
        <w:rPr>
          <w:sz w:val="20"/>
          <w:szCs w:val="20"/>
          <w:color w:val="auto"/>
        </w:rPr>
      </w:pPr>
      <w:r>
        <w:rPr>
          <w:rFonts w:ascii="Arial" w:cs="Arial" w:eastAsia="Arial" w:hAnsi="Arial"/>
          <w:sz w:val="12"/>
          <w:szCs w:val="12"/>
          <w:color w:val="111111"/>
        </w:rPr>
        <w:t>We agree to lease the Premises to you for the Term in return for you paying the Gross Rent and keeping to the terms, covenants and conditions as set out in this Lease (including the Special Covenants, Building Covenants and the Tenants' Guide).</w:t>
      </w:r>
    </w:p>
    <w:p>
      <w:pPr>
        <w:spacing w:after="0" w:line="17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2.2.</w:t>
      </w:r>
      <w:r>
        <w:rPr>
          <w:sz w:val="20"/>
          <w:szCs w:val="20"/>
          <w:color w:val="auto"/>
        </w:rPr>
        <w:tab/>
      </w:r>
      <w:r>
        <w:rPr>
          <w:rFonts w:ascii="Arial" w:cs="Arial" w:eastAsia="Arial" w:hAnsi="Arial"/>
          <w:sz w:val="11"/>
          <w:szCs w:val="11"/>
          <w:u w:val="single" w:color="auto"/>
          <w:color w:val="131313"/>
        </w:rPr>
        <w:t>Permitted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r>
    </w:tbl>
    <w:p>
      <w:pPr>
        <w:sectPr>
          <w:pgSz w:w="11900" w:h="16838" w:orient="portrait"/>
          <w:cols w:equalWidth="0" w:num="1">
            <w:col w:w="11200"/>
          </w:cols>
          <w:pgMar w:left="300" w:top="1440" w:right="399" w:bottom="1440" w:gutter="0" w:footer="0" w:header="0"/>
        </w:sectPr>
      </w:pPr>
    </w:p>
    <w:bookmarkStart w:id="138" w:name="page139"/>
    <w:bookmarkEnd w:id="138"/>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5">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jc w:val="both"/>
        <w:ind w:left="560" w:right="20" w:hanging="476"/>
        <w:spacing w:after="0" w:line="245" w:lineRule="auto"/>
        <w:tabs>
          <w:tab w:leader="none" w:pos="540" w:val="left"/>
        </w:tabs>
        <w:rPr>
          <w:sz w:val="20"/>
          <w:szCs w:val="20"/>
          <w:color w:val="auto"/>
        </w:rPr>
      </w:pPr>
      <w:r>
        <w:rPr>
          <w:rFonts w:ascii="Arial" w:cs="Arial" w:eastAsia="Arial" w:hAnsi="Arial"/>
          <w:sz w:val="12"/>
          <w:szCs w:val="12"/>
          <w:color w:val="111111"/>
        </w:rPr>
        <w:t>2.2.1</w:t>
      </w:r>
      <w:r>
        <w:rPr>
          <w:sz w:val="20"/>
          <w:szCs w:val="20"/>
          <w:color w:val="auto"/>
        </w:rPr>
        <w:tab/>
      </w:r>
      <w:r>
        <w:rPr>
          <w:rFonts w:ascii="Arial" w:cs="Arial" w:eastAsia="Arial" w:hAnsi="Arial"/>
          <w:sz w:val="12"/>
          <w:szCs w:val="12"/>
          <w:color w:val="131313"/>
        </w:rPr>
        <w:t>You must use the Premises only for the Permitted Use. If you want to change the Permitted Use, you must first get approval from us and the Authorities</w:t>
      </w:r>
      <w:r>
        <w:rPr>
          <w:rFonts w:ascii="Arial" w:cs="Arial" w:eastAsia="Arial" w:hAnsi="Arial"/>
          <w:sz w:val="12"/>
          <w:szCs w:val="12"/>
          <w:color w:val="3D3D3D"/>
        </w:rPr>
        <w:t>.</w:t>
      </w:r>
      <w:r>
        <w:rPr>
          <w:rFonts w:ascii="Arial" w:cs="Arial" w:eastAsia="Arial" w:hAnsi="Arial"/>
          <w:sz w:val="12"/>
          <w:szCs w:val="12"/>
          <w:color w:val="131313"/>
        </w:rPr>
        <w:t xml:space="preserve"> You must also get, maintain and keep to all necessary approvals which you need by Law to carry out your business at the Premises. To avoid any doubt, you must also carry out your own checks on the Premises as we will not be responsible for making sure the Premises are suitable for the Permitted Use.</w:t>
      </w:r>
    </w:p>
    <w:p>
      <w:pPr>
        <w:spacing w:after="0" w:line="192" w:lineRule="exact"/>
        <w:rPr>
          <w:sz w:val="20"/>
          <w:szCs w:val="20"/>
          <w:color w:val="auto"/>
        </w:rPr>
      </w:pPr>
    </w:p>
    <w:p>
      <w:pPr>
        <w:jc w:val="both"/>
        <w:ind w:left="560" w:right="20" w:hanging="476"/>
        <w:spacing w:after="0" w:line="241" w:lineRule="auto"/>
        <w:tabs>
          <w:tab w:leader="none" w:pos="540" w:val="left"/>
        </w:tabs>
        <w:rPr>
          <w:sz w:val="20"/>
          <w:szCs w:val="20"/>
          <w:color w:val="auto"/>
        </w:rPr>
      </w:pPr>
      <w:r>
        <w:rPr>
          <w:rFonts w:ascii="Arial" w:cs="Arial" w:eastAsia="Arial" w:hAnsi="Arial"/>
          <w:sz w:val="12"/>
          <w:szCs w:val="12"/>
          <w:color w:val="111111"/>
        </w:rPr>
        <w:t>2.2.2</w:t>
      </w:r>
      <w:r>
        <w:rPr>
          <w:sz w:val="20"/>
          <w:szCs w:val="20"/>
          <w:color w:val="auto"/>
        </w:rPr>
        <w:tab/>
      </w:r>
      <w:r>
        <w:rPr>
          <w:rFonts w:ascii="Arial" w:cs="Arial" w:eastAsia="Arial" w:hAnsi="Arial"/>
          <w:sz w:val="12"/>
          <w:szCs w:val="12"/>
          <w:color w:val="131313"/>
        </w:rPr>
        <w:t>If the Premises are a property where the Urban Redevelopment Authority's 60:40 rules apply</w:t>
      </w:r>
      <w:r>
        <w:rPr>
          <w:rFonts w:ascii="Arial" w:cs="Arial" w:eastAsia="Arial" w:hAnsi="Arial"/>
          <w:sz w:val="12"/>
          <w:szCs w:val="12"/>
          <w:color w:val="2D2D2D"/>
        </w:rPr>
        <w:t>,</w:t>
      </w:r>
      <w:r>
        <w:rPr>
          <w:rFonts w:ascii="Arial" w:cs="Arial" w:eastAsia="Arial" w:hAnsi="Arial"/>
          <w:sz w:val="12"/>
          <w:szCs w:val="12"/>
          <w:color w:val="131313"/>
        </w:rPr>
        <w:t xml:space="preserve"> you must make sure that at least 60% of the Floor Area is used for industrial activity, and no more than 40% of the Floor Area is used for such ancillary (that is, supporting) purposes to the Permitted Use as we, the Urban Redevelopment Authority or any other relevant Authority may approve. You must also provide us with the filled-in and signed declaration form as set out in schedule 6 upon signing this Lease. If you fail to do so, we may give you two weeks' notice to submit such form</w:t>
      </w:r>
      <w:r>
        <w:rPr>
          <w:rFonts w:ascii="Arial" w:cs="Arial" w:eastAsia="Arial" w:hAnsi="Arial"/>
          <w:sz w:val="12"/>
          <w:szCs w:val="12"/>
          <w:color w:val="3D3D3D"/>
        </w:rPr>
        <w:t>.</w:t>
      </w:r>
      <w:r>
        <w:rPr>
          <w:rFonts w:ascii="Arial" w:cs="Arial" w:eastAsia="Arial" w:hAnsi="Arial"/>
          <w:sz w:val="12"/>
          <w:szCs w:val="12"/>
          <w:color w:val="131313"/>
        </w:rPr>
        <w:t xml:space="preserve"> If you have still not provided the filled-in and signed declaration form by the end of the two weeks</w:t>
      </w:r>
      <w:r>
        <w:rPr>
          <w:rFonts w:ascii="Arial" w:cs="Arial" w:eastAsia="Arial" w:hAnsi="Arial"/>
          <w:sz w:val="12"/>
          <w:szCs w:val="12"/>
          <w:color w:val="3D3D3D"/>
        </w:rPr>
        <w:t>'</w:t>
      </w:r>
      <w:r>
        <w:rPr>
          <w:rFonts w:ascii="Arial" w:cs="Arial" w:eastAsia="Arial" w:hAnsi="Arial"/>
          <w:sz w:val="12"/>
          <w:szCs w:val="12"/>
          <w:color w:val="131313"/>
        </w:rPr>
        <w:t xml:space="preserve"> notice, we may immediately end this Lease and, if you have taken possession of the Premises</w:t>
      </w:r>
      <w:r>
        <w:rPr>
          <w:rFonts w:ascii="Arial" w:cs="Arial" w:eastAsia="Arial" w:hAnsi="Arial"/>
          <w:sz w:val="12"/>
          <w:szCs w:val="12"/>
          <w:color w:val="2D2D2D"/>
        </w:rPr>
        <w:t>,</w:t>
      </w:r>
      <w:r>
        <w:rPr>
          <w:rFonts w:ascii="Arial" w:cs="Arial" w:eastAsia="Arial" w:hAnsi="Arial"/>
          <w:sz w:val="12"/>
          <w:szCs w:val="12"/>
          <w:color w:val="131313"/>
        </w:rPr>
        <w:t xml:space="preserve"> you must carry out the Reinstatement Works to keep to clause 4</w:t>
      </w:r>
      <w:r>
        <w:rPr>
          <w:rFonts w:ascii="Arial" w:cs="Arial" w:eastAsia="Arial" w:hAnsi="Arial"/>
          <w:sz w:val="12"/>
          <w:szCs w:val="12"/>
          <w:color w:val="3D3D3D"/>
        </w:rPr>
        <w:t>.</w:t>
      </w:r>
      <w:r>
        <w:rPr>
          <w:rFonts w:ascii="Arial" w:cs="Arial" w:eastAsia="Arial" w:hAnsi="Arial"/>
          <w:sz w:val="12"/>
          <w:szCs w:val="12"/>
          <w:color w:val="131313"/>
        </w:rPr>
        <w:t>3</w:t>
      </w:r>
      <w:r>
        <w:rPr>
          <w:rFonts w:ascii="Arial" w:cs="Arial" w:eastAsia="Arial" w:hAnsi="Arial"/>
          <w:sz w:val="12"/>
          <w:szCs w:val="12"/>
          <w:color w:val="3D3D3D"/>
        </w:rPr>
        <w:t>.</w:t>
      </w:r>
      <w:r>
        <w:rPr>
          <w:rFonts w:ascii="Arial" w:cs="Arial" w:eastAsia="Arial" w:hAnsi="Arial"/>
          <w:sz w:val="12"/>
          <w:szCs w:val="12"/>
          <w:color w:val="131313"/>
        </w:rPr>
        <w:t>1. You will forfeit (that is, give up the right to claim) any money or deposits you have paid to us under this Lease, you must pay us any costs and expenses we have to pay, and you will not have any claim against us for any Losses which you may suffer due to us ending this Lease.</w:t>
      </w:r>
    </w:p>
    <w:p>
      <w:pPr>
        <w:spacing w:after="0" w:line="185"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2.3</w:t>
      </w:r>
      <w:r>
        <w:rPr>
          <w:sz w:val="20"/>
          <w:szCs w:val="20"/>
          <w:color w:val="auto"/>
        </w:rPr>
        <w:tab/>
      </w:r>
      <w:r>
        <w:rPr>
          <w:rFonts w:ascii="Arial" w:cs="Arial" w:eastAsia="Arial" w:hAnsi="Arial"/>
          <w:sz w:val="11"/>
          <w:szCs w:val="11"/>
          <w:u w:val="single" w:color="auto"/>
          <w:color w:val="2D2D2D"/>
        </w:rPr>
        <w:t>Head Lan</w:t>
      </w:r>
      <w:r>
        <w:rPr>
          <w:rFonts w:ascii="Arial" w:cs="Arial" w:eastAsia="Arial" w:hAnsi="Arial"/>
          <w:sz w:val="11"/>
          <w:szCs w:val="11"/>
          <w:u w:val="single" w:color="auto"/>
          <w:color w:val="131313"/>
        </w:rPr>
        <w:t>dlo</w:t>
      </w:r>
      <w:r>
        <w:rPr>
          <w:rFonts w:ascii="Arial" w:cs="Arial" w:eastAsia="Arial" w:hAnsi="Arial"/>
          <w:sz w:val="11"/>
          <w:szCs w:val="11"/>
          <w:u w:val="single" w:color="auto"/>
          <w:color w:val="3D3D3D"/>
        </w:rPr>
        <w:t>rd</w:t>
      </w:r>
      <w:r>
        <w:rPr>
          <w:rFonts w:ascii="Arial" w:cs="Arial" w:eastAsia="Arial" w:hAnsi="Arial"/>
          <w:sz w:val="11"/>
          <w:szCs w:val="11"/>
          <w:u w:val="single" w:color="auto"/>
          <w:color w:val="666666"/>
        </w:rPr>
        <w:t>'</w:t>
      </w:r>
      <w:r>
        <w:rPr>
          <w:rFonts w:ascii="Arial" w:cs="Arial" w:eastAsia="Arial" w:hAnsi="Arial"/>
          <w:sz w:val="11"/>
          <w:szCs w:val="11"/>
          <w:u w:val="single" w:color="auto"/>
          <w:color w:val="2D2D2D"/>
        </w:rPr>
        <w:t>s a</w:t>
      </w:r>
      <w:r>
        <w:rPr>
          <w:rFonts w:ascii="Arial" w:cs="Arial" w:eastAsia="Arial" w:hAnsi="Arial"/>
          <w:sz w:val="11"/>
          <w:szCs w:val="11"/>
          <w:u w:val="single" w:color="auto"/>
          <w:color w:val="131313"/>
        </w:rPr>
        <w:t>n</w:t>
      </w:r>
      <w:r>
        <w:rPr>
          <w:rFonts w:ascii="Arial" w:cs="Arial" w:eastAsia="Arial" w:hAnsi="Arial"/>
          <w:sz w:val="11"/>
          <w:szCs w:val="11"/>
          <w:u w:val="single" w:color="auto"/>
          <w:color w:val="2D2D2D"/>
        </w:rPr>
        <w:t xml:space="preserve">d </w:t>
      </w:r>
      <w:r>
        <w:rPr>
          <w:rFonts w:ascii="Arial" w:cs="Arial" w:eastAsia="Arial" w:hAnsi="Arial"/>
          <w:sz w:val="11"/>
          <w:szCs w:val="11"/>
          <w:u w:val="single" w:color="auto"/>
          <w:color w:val="131313"/>
        </w:rPr>
        <w:t>Au</w:t>
      </w:r>
      <w:r>
        <w:rPr>
          <w:rFonts w:ascii="Arial" w:cs="Arial" w:eastAsia="Arial" w:hAnsi="Arial"/>
          <w:sz w:val="11"/>
          <w:szCs w:val="11"/>
          <w:u w:val="single" w:color="auto"/>
          <w:color w:val="2D2D2D"/>
        </w:rPr>
        <w:t>th</w:t>
      </w:r>
      <w:r>
        <w:rPr>
          <w:rFonts w:ascii="Arial" w:cs="Arial" w:eastAsia="Arial" w:hAnsi="Arial"/>
          <w:sz w:val="11"/>
          <w:szCs w:val="11"/>
          <w:u w:val="single" w:color="auto"/>
          <w:color w:val="131313"/>
        </w:rPr>
        <w:t>o</w:t>
      </w:r>
      <w:r>
        <w:rPr>
          <w:rFonts w:ascii="Arial" w:cs="Arial" w:eastAsia="Arial" w:hAnsi="Arial"/>
          <w:sz w:val="11"/>
          <w:szCs w:val="11"/>
          <w:u w:val="single" w:color="auto"/>
          <w:color w:val="3D3D3D"/>
        </w:rPr>
        <w:t>rities</w:t>
      </w:r>
      <w:r>
        <w:rPr>
          <w:rFonts w:ascii="Arial" w:cs="Arial" w:eastAsia="Arial" w:hAnsi="Arial"/>
          <w:sz w:val="11"/>
          <w:szCs w:val="11"/>
          <w:u w:val="single" w:color="auto"/>
          <w:color w:val="7B7B7B"/>
        </w:rPr>
        <w:t>'</w:t>
      </w:r>
      <w:r>
        <w:rPr>
          <w:rFonts w:ascii="Arial" w:cs="Arial" w:eastAsia="Arial" w:hAnsi="Arial"/>
          <w:sz w:val="11"/>
          <w:szCs w:val="11"/>
          <w:u w:val="single" w:color="auto"/>
          <w:color w:val="2D2D2D"/>
        </w:rPr>
        <w:t xml:space="preserve"> </w:t>
      </w:r>
      <w:r>
        <w:rPr>
          <w:rFonts w:ascii="Arial" w:cs="Arial" w:eastAsia="Arial" w:hAnsi="Arial"/>
          <w:sz w:val="11"/>
          <w:szCs w:val="11"/>
          <w:u w:val="single" w:color="auto"/>
          <w:color w:val="3D3D3D"/>
        </w:rPr>
        <w:t>approvals</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2.3.1</w:t>
      </w:r>
      <w:r>
        <w:rPr>
          <w:sz w:val="20"/>
          <w:szCs w:val="20"/>
          <w:color w:val="auto"/>
        </w:rPr>
        <w:tab/>
      </w:r>
      <w:r>
        <w:rPr>
          <w:rFonts w:ascii="Arial" w:cs="Arial" w:eastAsia="Arial" w:hAnsi="Arial"/>
          <w:sz w:val="11"/>
          <w:szCs w:val="11"/>
          <w:color w:val="131313"/>
        </w:rPr>
        <w:t>If the Premises are a property under the control of JTC, you must:</w:t>
      </w:r>
    </w:p>
    <w:p>
      <w:pPr>
        <w:spacing w:after="0" w:line="190" w:lineRule="exact"/>
        <w:rPr>
          <w:sz w:val="20"/>
          <w:szCs w:val="20"/>
          <w:color w:val="auto"/>
        </w:rPr>
      </w:pPr>
    </w:p>
    <w:p>
      <w:pPr>
        <w:ind w:left="820" w:hanging="307"/>
        <w:spacing w:after="0"/>
        <w:tabs>
          <w:tab w:leader="none" w:pos="820" w:val="left"/>
        </w:tabs>
        <w:numPr>
          <w:ilvl w:val="0"/>
          <w:numId w:val="60"/>
        </w:numPr>
        <w:rPr>
          <w:rFonts w:ascii="Arial" w:cs="Arial" w:eastAsia="Arial" w:hAnsi="Arial"/>
          <w:sz w:val="12"/>
          <w:szCs w:val="12"/>
          <w:color w:val="131313"/>
        </w:rPr>
      </w:pPr>
      <w:r>
        <w:rPr>
          <w:rFonts w:ascii="Arial" w:cs="Arial" w:eastAsia="Arial" w:hAnsi="Arial"/>
          <w:sz w:val="12"/>
          <w:szCs w:val="12"/>
          <w:color w:val="131313"/>
        </w:rPr>
        <w:t>first get the relevant approvals (including any anchor tenant approval) from JTC and the Authorities to use the Premises before we give the lease of the Premises to you; and</w:t>
      </w:r>
    </w:p>
    <w:p>
      <w:pPr>
        <w:spacing w:after="0" w:line="190" w:lineRule="exact"/>
        <w:rPr>
          <w:rFonts w:ascii="Arial" w:cs="Arial" w:eastAsia="Arial" w:hAnsi="Arial"/>
          <w:sz w:val="12"/>
          <w:szCs w:val="12"/>
          <w:color w:val="131313"/>
        </w:rPr>
      </w:pPr>
    </w:p>
    <w:p>
      <w:pPr>
        <w:jc w:val="both"/>
        <w:ind w:left="840" w:hanging="327"/>
        <w:spacing w:after="0" w:line="245" w:lineRule="auto"/>
        <w:tabs>
          <w:tab w:leader="none" w:pos="838" w:val="left"/>
        </w:tabs>
        <w:numPr>
          <w:ilvl w:val="0"/>
          <w:numId w:val="60"/>
        </w:numPr>
        <w:rPr>
          <w:rFonts w:ascii="Arial" w:cs="Arial" w:eastAsia="Arial" w:hAnsi="Arial"/>
          <w:sz w:val="12"/>
          <w:szCs w:val="12"/>
          <w:color w:val="131313"/>
        </w:rPr>
      </w:pPr>
      <w:r>
        <w:rPr>
          <w:rFonts w:ascii="Arial" w:cs="Arial" w:eastAsia="Arial" w:hAnsi="Arial"/>
          <w:sz w:val="12"/>
          <w:szCs w:val="12"/>
          <w:color w:val="131313"/>
        </w:rPr>
        <w:t>give us any relevant information and documents we ask for, including the items set out in schedule 7, at least 14 days before the Possession Date or Start Date, whichever is earlier. To avoid any doubt, you must pay any costs that apply, including any subletting fees or other fees we must pay or have paid to the Head Landlord or Authorities. You must also pay any fees and other charges charged by the Head Landlord or Authorities for not meeting this condition due to your delay or failure to give us any relevant information or documents</w:t>
      </w:r>
      <w:r>
        <w:rPr>
          <w:rFonts w:ascii="Arial" w:cs="Arial" w:eastAsia="Arial" w:hAnsi="Arial"/>
          <w:sz w:val="12"/>
          <w:szCs w:val="12"/>
          <w:color w:val="2D2D2D"/>
        </w:rPr>
        <w:t>.</w:t>
      </w:r>
    </w:p>
    <w:p>
      <w:pPr>
        <w:spacing w:after="0" w:line="192" w:lineRule="exact"/>
        <w:rPr>
          <w:sz w:val="20"/>
          <w:szCs w:val="20"/>
          <w:color w:val="auto"/>
        </w:rPr>
      </w:pPr>
    </w:p>
    <w:p>
      <w:pPr>
        <w:jc w:val="both"/>
        <w:ind w:left="560" w:right="20" w:hanging="476"/>
        <w:spacing w:after="0" w:line="243" w:lineRule="auto"/>
        <w:tabs>
          <w:tab w:leader="none" w:pos="540" w:val="left"/>
        </w:tabs>
        <w:rPr>
          <w:sz w:val="20"/>
          <w:szCs w:val="20"/>
          <w:color w:val="auto"/>
        </w:rPr>
      </w:pPr>
      <w:r>
        <w:rPr>
          <w:rFonts w:ascii="Arial" w:cs="Arial" w:eastAsia="Arial" w:hAnsi="Arial"/>
          <w:sz w:val="12"/>
          <w:szCs w:val="12"/>
          <w:color w:val="111111"/>
        </w:rPr>
        <w:t>2.3.2</w:t>
      </w:r>
      <w:r>
        <w:rPr>
          <w:sz w:val="20"/>
          <w:szCs w:val="20"/>
          <w:color w:val="auto"/>
        </w:rPr>
        <w:tab/>
      </w:r>
      <w:r>
        <w:rPr>
          <w:rFonts w:ascii="Arial" w:cs="Arial" w:eastAsia="Arial" w:hAnsi="Arial"/>
          <w:sz w:val="12"/>
          <w:szCs w:val="12"/>
          <w:color w:val="131313"/>
        </w:rPr>
        <w:t>If you do not have all the approvals as required under clause 2.3.1, we may give you notice that this Lease w</w:t>
      </w:r>
      <w:r>
        <w:rPr>
          <w:rFonts w:ascii="Arial" w:cs="Arial" w:eastAsia="Arial" w:hAnsi="Arial"/>
          <w:sz w:val="12"/>
          <w:szCs w:val="12"/>
          <w:color w:val="2D2D2D"/>
        </w:rPr>
        <w:t>i</w:t>
      </w:r>
      <w:r>
        <w:rPr>
          <w:rFonts w:ascii="Arial" w:cs="Arial" w:eastAsia="Arial" w:hAnsi="Arial"/>
          <w:sz w:val="12"/>
          <w:szCs w:val="12"/>
          <w:color w:val="131313"/>
        </w:rPr>
        <w:t>ll be considered as null and void (that is, in a state as if this Lease never existed), except that you must reinstate the Premises in line with this Lease and you must pay all Gross Rent, Utilities Charges and other charges due from the Possession Date or Start Date, wh</w:t>
      </w:r>
      <w:r>
        <w:rPr>
          <w:rFonts w:ascii="Arial" w:cs="Arial" w:eastAsia="Arial" w:hAnsi="Arial"/>
          <w:sz w:val="12"/>
          <w:szCs w:val="12"/>
          <w:color w:val="2D2D2D"/>
        </w:rPr>
        <w:t>i</w:t>
      </w:r>
      <w:r>
        <w:rPr>
          <w:rFonts w:ascii="Arial" w:cs="Arial" w:eastAsia="Arial" w:hAnsi="Arial"/>
          <w:sz w:val="12"/>
          <w:szCs w:val="12"/>
          <w:color w:val="131313"/>
        </w:rPr>
        <w:t>cheveris earlier, until the day you return the Premises to us (both dates included)</w:t>
      </w:r>
      <w:r>
        <w:rPr>
          <w:rFonts w:ascii="Arial" w:cs="Arial" w:eastAsia="Arial" w:hAnsi="Arial"/>
          <w:sz w:val="12"/>
          <w:szCs w:val="12"/>
          <w:color w:val="4D4D4D"/>
        </w:rPr>
        <w:t>.</w:t>
      </w:r>
      <w:r>
        <w:rPr>
          <w:rFonts w:ascii="Arial" w:cs="Arial" w:eastAsia="Arial" w:hAnsi="Arial"/>
          <w:sz w:val="12"/>
          <w:szCs w:val="12"/>
          <w:color w:val="131313"/>
        </w:rPr>
        <w:t xml:space="preserve"> You will not have any cla</w:t>
      </w:r>
      <w:r>
        <w:rPr>
          <w:rFonts w:ascii="Arial" w:cs="Arial" w:eastAsia="Arial" w:hAnsi="Arial"/>
          <w:sz w:val="12"/>
          <w:szCs w:val="12"/>
          <w:color w:val="2D2D2D"/>
        </w:rPr>
        <w:t>i</w:t>
      </w:r>
      <w:r>
        <w:rPr>
          <w:rFonts w:ascii="Arial" w:cs="Arial" w:eastAsia="Arial" w:hAnsi="Arial"/>
          <w:sz w:val="12"/>
          <w:szCs w:val="12"/>
          <w:color w:val="131313"/>
        </w:rPr>
        <w:t>m against us for any losses you suffer due to this Lease being considered as null and void</w:t>
      </w:r>
      <w:r>
        <w:rPr>
          <w:rFonts w:ascii="Arial" w:cs="Arial" w:eastAsia="Arial" w:hAnsi="Arial"/>
          <w:sz w:val="12"/>
          <w:szCs w:val="12"/>
          <w:color w:val="3D3D3D"/>
        </w:rPr>
        <w:t>.</w:t>
      </w:r>
      <w:r>
        <w:rPr>
          <w:rFonts w:ascii="Arial" w:cs="Arial" w:eastAsia="Arial" w:hAnsi="Arial"/>
          <w:sz w:val="12"/>
          <w:szCs w:val="12"/>
          <w:color w:val="131313"/>
        </w:rPr>
        <w:t xml:space="preserve"> Within 30 days after we have confirmed that there are no outstanding obligations under this Lease, and as long as you did not cause such failure to get such approvals, we will refund:</w:t>
      </w:r>
    </w:p>
    <w:p>
      <w:pPr>
        <w:spacing w:after="0" w:line="182" w:lineRule="exact"/>
        <w:rPr>
          <w:sz w:val="20"/>
          <w:szCs w:val="20"/>
          <w:color w:val="auto"/>
        </w:rPr>
      </w:pPr>
    </w:p>
    <w:p>
      <w:pPr>
        <w:ind w:left="840" w:right="20" w:hanging="327"/>
        <w:spacing w:after="0" w:line="250" w:lineRule="auto"/>
        <w:tabs>
          <w:tab w:leader="none" w:pos="838" w:val="left"/>
        </w:tabs>
        <w:numPr>
          <w:ilvl w:val="0"/>
          <w:numId w:val="61"/>
        </w:numPr>
        <w:rPr>
          <w:rFonts w:ascii="Arial" w:cs="Arial" w:eastAsia="Arial" w:hAnsi="Arial"/>
          <w:sz w:val="12"/>
          <w:szCs w:val="12"/>
          <w:color w:val="131313"/>
        </w:rPr>
      </w:pPr>
      <w:r>
        <w:rPr>
          <w:rFonts w:ascii="Arial" w:cs="Arial" w:eastAsia="Arial" w:hAnsi="Arial"/>
          <w:sz w:val="12"/>
          <w:szCs w:val="12"/>
          <w:color w:val="131313"/>
        </w:rPr>
        <w:t>all deposits you have paid (without Interest and after deducting necessary amounts if you have not kept to any other terms of this Lease or for damage you have caused to the Premises or the Building); and</w:t>
      </w:r>
    </w:p>
    <w:p>
      <w:pPr>
        <w:spacing w:after="0" w:line="178" w:lineRule="exact"/>
        <w:rPr>
          <w:rFonts w:ascii="Arial" w:cs="Arial" w:eastAsia="Arial" w:hAnsi="Arial"/>
          <w:sz w:val="12"/>
          <w:szCs w:val="12"/>
          <w:color w:val="131313"/>
        </w:rPr>
      </w:pPr>
    </w:p>
    <w:p>
      <w:pPr>
        <w:ind w:left="820" w:hanging="307"/>
        <w:spacing w:after="0"/>
        <w:tabs>
          <w:tab w:leader="none" w:pos="820" w:val="left"/>
        </w:tabs>
        <w:numPr>
          <w:ilvl w:val="0"/>
          <w:numId w:val="61"/>
        </w:numPr>
        <w:rPr>
          <w:rFonts w:ascii="Arial" w:cs="Arial" w:eastAsia="Arial" w:hAnsi="Arial"/>
          <w:sz w:val="12"/>
          <w:szCs w:val="12"/>
          <w:color w:val="131313"/>
        </w:rPr>
      </w:pPr>
      <w:r>
        <w:rPr>
          <w:rFonts w:ascii="Arial" w:cs="Arial" w:eastAsia="Arial" w:hAnsi="Arial"/>
          <w:sz w:val="12"/>
          <w:szCs w:val="12"/>
          <w:color w:val="131313"/>
        </w:rPr>
        <w:t>all legal fees and stamp duties you have paid if they have not been charged by our lawyers or the Authorities.</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2.4</w:t>
      </w:r>
      <w:r>
        <w:rPr>
          <w:sz w:val="20"/>
          <w:szCs w:val="20"/>
          <w:color w:val="auto"/>
        </w:rPr>
        <w:tab/>
      </w:r>
      <w:r>
        <w:rPr>
          <w:rFonts w:ascii="Arial" w:cs="Arial" w:eastAsia="Arial" w:hAnsi="Arial"/>
          <w:sz w:val="12"/>
          <w:szCs w:val="12"/>
          <w:u w:val="single" w:color="auto"/>
          <w:color w:val="2D2D2D"/>
        </w:rPr>
        <w:t>Compliance regulati</w:t>
      </w:r>
      <w:r>
        <w:rPr>
          <w:rFonts w:ascii="Arial" w:cs="Arial" w:eastAsia="Arial" w:hAnsi="Arial"/>
          <w:sz w:val="12"/>
          <w:szCs w:val="12"/>
          <w:u w:val="single" w:color="auto"/>
          <w:color w:val="131313"/>
        </w:rPr>
        <w:t>o</w:t>
      </w:r>
      <w:r>
        <w:rPr>
          <w:rFonts w:ascii="Arial" w:cs="Arial" w:eastAsia="Arial" w:hAnsi="Arial"/>
          <w:sz w:val="12"/>
          <w:szCs w:val="12"/>
          <w:u w:val="single" w:color="auto"/>
          <w:color w:val="2D2D2D"/>
        </w:rPr>
        <w:t>ns</w:t>
      </w:r>
    </w:p>
    <w:p>
      <w:pPr>
        <w:spacing w:after="0" w:line="190" w:lineRule="exact"/>
        <w:rPr>
          <w:sz w:val="20"/>
          <w:szCs w:val="20"/>
          <w:color w:val="auto"/>
        </w:rPr>
      </w:pPr>
    </w:p>
    <w:p>
      <w:pPr>
        <w:jc w:val="both"/>
        <w:ind w:left="560" w:right="20"/>
        <w:spacing w:after="0" w:line="241" w:lineRule="auto"/>
        <w:rPr>
          <w:sz w:val="20"/>
          <w:szCs w:val="20"/>
          <w:color w:val="auto"/>
        </w:rPr>
      </w:pPr>
      <w:r>
        <w:rPr>
          <w:rFonts w:ascii="Arial" w:cs="Arial" w:eastAsia="Arial" w:hAnsi="Arial"/>
          <w:sz w:val="12"/>
          <w:szCs w:val="12"/>
          <w:color w:val="111111"/>
        </w:rPr>
        <w:t xml:space="preserve">You </w:t>
      </w:r>
      <w:r>
        <w:rPr>
          <w:rFonts w:ascii="Arial" w:cs="Arial" w:eastAsia="Arial" w:hAnsi="Arial"/>
          <w:sz w:val="12"/>
          <w:szCs w:val="12"/>
          <w:color w:val="131313"/>
        </w:rPr>
        <w:t>must keep to, and make sure that each of Your Authorised People keep to, the relevant anti-money- laundering</w:t>
      </w:r>
      <w:r>
        <w:rPr>
          <w:rFonts w:ascii="Arial" w:cs="Arial" w:eastAsia="Arial" w:hAnsi="Arial"/>
          <w:sz w:val="12"/>
          <w:szCs w:val="12"/>
          <w:color w:val="3D3D3D"/>
        </w:rPr>
        <w:t>,</w:t>
      </w:r>
      <w:r>
        <w:rPr>
          <w:rFonts w:ascii="Arial" w:cs="Arial" w:eastAsia="Arial" w:hAnsi="Arial"/>
          <w:sz w:val="12"/>
          <w:szCs w:val="12"/>
          <w:color w:val="111111"/>
        </w:rPr>
        <w:t xml:space="preserve"> </w:t>
      </w:r>
      <w:r>
        <w:rPr>
          <w:rFonts w:ascii="Arial" w:cs="Arial" w:eastAsia="Arial" w:hAnsi="Arial"/>
          <w:sz w:val="12"/>
          <w:szCs w:val="12"/>
          <w:color w:val="131313"/>
        </w:rPr>
        <w:t>anti</w:t>
      </w:r>
      <w:r>
        <w:rPr>
          <w:rFonts w:ascii="Arial" w:cs="Arial" w:eastAsia="Arial" w:hAnsi="Arial"/>
          <w:sz w:val="12"/>
          <w:szCs w:val="12"/>
          <w:color w:val="2D2D2D"/>
        </w:rPr>
        <w:t>-</w:t>
      </w:r>
      <w:r>
        <w:rPr>
          <w:rFonts w:ascii="Arial" w:cs="Arial" w:eastAsia="Arial" w:hAnsi="Arial"/>
          <w:sz w:val="12"/>
          <w:szCs w:val="12"/>
          <w:color w:val="131313"/>
        </w:rPr>
        <w:t>bribery, anti-corruption, and anti-financing of terrorism Laws and/or our policies</w:t>
      </w:r>
      <w:r>
        <w:rPr>
          <w:rFonts w:ascii="Arial" w:cs="Arial" w:eastAsia="Arial" w:hAnsi="Arial"/>
          <w:sz w:val="12"/>
          <w:szCs w:val="12"/>
          <w:color w:val="3D3D3D"/>
        </w:rPr>
        <w:t>.</w:t>
      </w:r>
      <w:r>
        <w:rPr>
          <w:rFonts w:ascii="Arial" w:cs="Arial" w:eastAsia="Arial" w:hAnsi="Arial"/>
          <w:sz w:val="12"/>
          <w:szCs w:val="12"/>
          <w:color w:val="111111"/>
        </w:rPr>
        <w:t xml:space="preserve"> </w:t>
      </w:r>
      <w:r>
        <w:rPr>
          <w:rFonts w:ascii="Arial" w:cs="Arial" w:eastAsia="Arial" w:hAnsi="Arial"/>
          <w:sz w:val="12"/>
          <w:szCs w:val="12"/>
          <w:color w:val="131313"/>
        </w:rPr>
        <w:t>If you fail to do so, we may give you notice upon which this Lease will be considered as null and void (that is, as if this Lease had never existed), except that you must st</w:t>
      </w:r>
      <w:r>
        <w:rPr>
          <w:rFonts w:ascii="Arial" w:cs="Arial" w:eastAsia="Arial" w:hAnsi="Arial"/>
          <w:sz w:val="12"/>
          <w:szCs w:val="12"/>
          <w:color w:val="2D2D2D"/>
        </w:rPr>
        <w:t>i</w:t>
      </w:r>
      <w:r>
        <w:rPr>
          <w:rFonts w:ascii="Arial" w:cs="Arial" w:eastAsia="Arial" w:hAnsi="Arial"/>
          <w:sz w:val="12"/>
          <w:szCs w:val="12"/>
          <w:color w:val="131313"/>
        </w:rPr>
        <w:t>ll (i) reinstate the Premises in line with this Lease, (ii) pay all Gross Rent, Utilities and other charges due from the Possession Date or Start Date, whichever is earlier, until the day you return the Premises to us (both dates included), and all other Losses which we may suffer arising out of or relating to you not keeping to this clause 2</w:t>
      </w:r>
      <w:r>
        <w:rPr>
          <w:rFonts w:ascii="Arial" w:cs="Arial" w:eastAsia="Arial" w:hAnsi="Arial"/>
          <w:sz w:val="12"/>
          <w:szCs w:val="12"/>
          <w:color w:val="3D3D3D"/>
        </w:rPr>
        <w:t>.</w:t>
      </w:r>
      <w:r>
        <w:rPr>
          <w:rFonts w:ascii="Arial" w:cs="Arial" w:eastAsia="Arial" w:hAnsi="Arial"/>
          <w:sz w:val="12"/>
          <w:szCs w:val="12"/>
          <w:color w:val="131313"/>
        </w:rPr>
        <w:t>4</w:t>
      </w:r>
      <w:r>
        <w:rPr>
          <w:rFonts w:ascii="Arial" w:cs="Arial" w:eastAsia="Arial" w:hAnsi="Arial"/>
          <w:sz w:val="12"/>
          <w:szCs w:val="12"/>
          <w:color w:val="3D3D3D"/>
        </w:rPr>
        <w:t>,</w:t>
      </w:r>
      <w:r>
        <w:rPr>
          <w:rFonts w:ascii="Arial" w:cs="Arial" w:eastAsia="Arial" w:hAnsi="Arial"/>
          <w:sz w:val="12"/>
          <w:szCs w:val="12"/>
          <w:color w:val="131313"/>
        </w:rPr>
        <w:t xml:space="preserve"> including the loss of Gross Rent which we could have collected for the Term and the Rent-free Period (if any)</w:t>
      </w:r>
      <w:r>
        <w:rPr>
          <w:rFonts w:ascii="Arial" w:cs="Arial" w:eastAsia="Arial" w:hAnsi="Arial"/>
          <w:sz w:val="12"/>
          <w:szCs w:val="12"/>
          <w:color w:val="2D2D2D"/>
        </w:rPr>
        <w:t>,</w:t>
      </w:r>
      <w:r>
        <w:rPr>
          <w:rFonts w:ascii="Arial" w:cs="Arial" w:eastAsia="Arial" w:hAnsi="Arial"/>
          <w:sz w:val="12"/>
          <w:szCs w:val="12"/>
          <w:color w:val="131313"/>
        </w:rPr>
        <w:t xml:space="preserve"> and any costs and expenses of re-letting or trying to re-let the Premises. We will also not refund any deposits or money you have paid to us</w:t>
      </w:r>
      <w:r>
        <w:rPr>
          <w:rFonts w:ascii="Arial" w:cs="Arial" w:eastAsia="Arial" w:hAnsi="Arial"/>
          <w:sz w:val="12"/>
          <w:szCs w:val="12"/>
          <w:color w:val="2D2D2D"/>
        </w:rPr>
        <w:t>,</w:t>
      </w:r>
      <w:r>
        <w:rPr>
          <w:rFonts w:ascii="Arial" w:cs="Arial" w:eastAsia="Arial" w:hAnsi="Arial"/>
          <w:sz w:val="12"/>
          <w:szCs w:val="12"/>
          <w:color w:val="131313"/>
        </w:rPr>
        <w:t xml:space="preserve"> and you will not have any claim against us for any Losses which you may suffer due to this Lease being considered as null and void (that is</w:t>
      </w:r>
      <w:r>
        <w:rPr>
          <w:rFonts w:ascii="Arial" w:cs="Arial" w:eastAsia="Arial" w:hAnsi="Arial"/>
          <w:sz w:val="12"/>
          <w:szCs w:val="12"/>
          <w:color w:val="2D2D2D"/>
        </w:rPr>
        <w:t>,</w:t>
      </w:r>
      <w:r>
        <w:rPr>
          <w:rFonts w:ascii="Arial" w:cs="Arial" w:eastAsia="Arial" w:hAnsi="Arial"/>
          <w:sz w:val="12"/>
          <w:szCs w:val="12"/>
          <w:color w:val="131313"/>
        </w:rPr>
        <w:t xml:space="preserve"> as </w:t>
      </w:r>
      <w:r>
        <w:rPr>
          <w:rFonts w:ascii="Arial" w:cs="Arial" w:eastAsia="Arial" w:hAnsi="Arial"/>
          <w:sz w:val="12"/>
          <w:szCs w:val="12"/>
          <w:color w:val="151515"/>
        </w:rPr>
        <w:t>if this Lease had never existed).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17</w:t>
            </w:r>
          </w:p>
        </w:tc>
      </w:tr>
    </w:tbl>
    <w:p>
      <w:pPr>
        <w:sectPr>
          <w:pgSz w:w="11900" w:h="16838" w:orient="portrait"/>
          <w:cols w:equalWidth="0" w:num="1">
            <w:col w:w="11200"/>
          </w:cols>
          <w:pgMar w:left="300" w:top="1440" w:right="399" w:bottom="1440" w:gutter="0" w:footer="0" w:header="0"/>
        </w:sectPr>
      </w:pPr>
    </w:p>
    <w:bookmarkStart w:id="139" w:name="page140"/>
    <w:bookmarkEnd w:id="139"/>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6">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ind w:left="100"/>
        <w:spacing w:after="0"/>
        <w:tabs>
          <w:tab w:leader="none" w:pos="540" w:val="left"/>
        </w:tabs>
        <w:rPr>
          <w:sz w:val="20"/>
          <w:szCs w:val="20"/>
          <w:color w:val="auto"/>
        </w:rPr>
      </w:pPr>
      <w:r>
        <w:rPr>
          <w:rFonts w:ascii="Arial" w:cs="Arial" w:eastAsia="Arial" w:hAnsi="Arial"/>
          <w:sz w:val="12"/>
          <w:szCs w:val="12"/>
          <w:color w:val="151515"/>
        </w:rPr>
        <w:t>2.5</w:t>
      </w:r>
      <w:r>
        <w:rPr>
          <w:sz w:val="20"/>
          <w:szCs w:val="20"/>
          <w:color w:val="auto"/>
        </w:rPr>
        <w:tab/>
      </w:r>
      <w:r>
        <w:rPr>
          <w:rFonts w:ascii="Arial" w:cs="Arial" w:eastAsia="Arial" w:hAnsi="Arial"/>
          <w:sz w:val="11"/>
          <w:szCs w:val="11"/>
          <w:u w:val="single" w:color="auto"/>
          <w:color w:val="151515"/>
        </w:rPr>
        <w:t>R</w:t>
      </w:r>
      <w:r>
        <w:rPr>
          <w:rFonts w:ascii="Arial" w:cs="Arial" w:eastAsia="Arial" w:hAnsi="Arial"/>
          <w:sz w:val="11"/>
          <w:szCs w:val="11"/>
          <w:u w:val="single" w:color="auto"/>
          <w:color w:val="3B3B3B"/>
        </w:rPr>
        <w:t>i</w:t>
      </w:r>
      <w:r>
        <w:rPr>
          <w:rFonts w:ascii="Arial" w:cs="Arial" w:eastAsia="Arial" w:hAnsi="Arial"/>
          <w:sz w:val="11"/>
          <w:szCs w:val="11"/>
          <w:u w:val="single" w:color="auto"/>
          <w:color w:val="151515"/>
        </w:rPr>
        <w:t>g</w:t>
      </w:r>
      <w:r>
        <w:rPr>
          <w:rFonts w:ascii="Arial" w:cs="Arial" w:eastAsia="Arial" w:hAnsi="Arial"/>
          <w:sz w:val="11"/>
          <w:szCs w:val="11"/>
          <w:u w:val="single" w:color="auto"/>
          <w:color w:val="3B3B3B"/>
        </w:rPr>
        <w:t>h</w:t>
      </w:r>
      <w:r>
        <w:rPr>
          <w:rFonts w:ascii="Arial" w:cs="Arial" w:eastAsia="Arial" w:hAnsi="Arial"/>
          <w:sz w:val="11"/>
          <w:szCs w:val="11"/>
          <w:u w:val="single" w:color="auto"/>
          <w:color w:val="151515"/>
        </w:rPr>
        <w:t>t</w:t>
      </w:r>
      <w:r>
        <w:rPr>
          <w:rFonts w:ascii="Arial" w:cs="Arial" w:eastAsia="Arial" w:hAnsi="Arial"/>
          <w:sz w:val="11"/>
          <w:szCs w:val="11"/>
          <w:u w:val="single" w:color="auto"/>
          <w:color w:val="3B3B3B"/>
        </w:rPr>
        <w:t>s</w:t>
      </w:r>
      <w:r>
        <w:rPr>
          <w:rFonts w:ascii="Arial" w:cs="Arial" w:eastAsia="Arial" w:hAnsi="Arial"/>
          <w:sz w:val="11"/>
          <w:szCs w:val="11"/>
          <w:u w:val="single" w:color="auto"/>
          <w:color w:val="151515"/>
        </w:rPr>
        <w:t xml:space="preserve"> and </w:t>
      </w:r>
      <w:r>
        <w:rPr>
          <w:rFonts w:ascii="Arial" w:cs="Arial" w:eastAsia="Arial" w:hAnsi="Arial"/>
          <w:sz w:val="11"/>
          <w:szCs w:val="11"/>
          <w:u w:val="single" w:color="auto"/>
          <w:color w:val="3B3B3B"/>
        </w:rPr>
        <w:t>e</w:t>
      </w:r>
      <w:r>
        <w:rPr>
          <w:rFonts w:ascii="Arial" w:cs="Arial" w:eastAsia="Arial" w:hAnsi="Arial"/>
          <w:sz w:val="11"/>
          <w:szCs w:val="11"/>
          <w:u w:val="single" w:color="auto"/>
          <w:color w:val="151515"/>
        </w:rPr>
        <w:t>x</w:t>
      </w:r>
      <w:r>
        <w:rPr>
          <w:rFonts w:ascii="Arial" w:cs="Arial" w:eastAsia="Arial" w:hAnsi="Arial"/>
          <w:sz w:val="11"/>
          <w:szCs w:val="11"/>
          <w:u w:val="single" w:color="auto"/>
          <w:color w:val="3B3B3B"/>
        </w:rPr>
        <w:t>c</w:t>
      </w:r>
      <w:r>
        <w:rPr>
          <w:rFonts w:ascii="Arial" w:cs="Arial" w:eastAsia="Arial" w:hAnsi="Arial"/>
          <w:sz w:val="11"/>
          <w:szCs w:val="11"/>
          <w:u w:val="single" w:color="auto"/>
          <w:color w:val="151515"/>
        </w:rPr>
        <w:t>ep</w:t>
      </w:r>
      <w:r>
        <w:rPr>
          <w:rFonts w:ascii="Arial" w:cs="Arial" w:eastAsia="Arial" w:hAnsi="Arial"/>
          <w:sz w:val="11"/>
          <w:szCs w:val="11"/>
          <w:u w:val="single" w:color="auto"/>
          <w:color w:val="3B3B3B"/>
        </w:rPr>
        <w:t>ti</w:t>
      </w:r>
      <w:r>
        <w:rPr>
          <w:rFonts w:ascii="Arial" w:cs="Arial" w:eastAsia="Arial" w:hAnsi="Arial"/>
          <w:sz w:val="11"/>
          <w:szCs w:val="11"/>
          <w:u w:val="single" w:color="auto"/>
          <w:color w:val="151515"/>
        </w:rPr>
        <w:t>o</w:t>
      </w:r>
      <w:r>
        <w:rPr>
          <w:rFonts w:ascii="Arial" w:cs="Arial" w:eastAsia="Arial" w:hAnsi="Arial"/>
          <w:sz w:val="11"/>
          <w:szCs w:val="11"/>
          <w:u w:val="single" w:color="auto"/>
          <w:color w:val="3B3B3B"/>
        </w:rPr>
        <w:t>n</w:t>
      </w:r>
      <w:r>
        <w:rPr>
          <w:rFonts w:ascii="Arial" w:cs="Arial" w:eastAsia="Arial" w:hAnsi="Arial"/>
          <w:sz w:val="11"/>
          <w:szCs w:val="11"/>
          <w:u w:val="single" w:color="auto"/>
          <w:color w:val="151515"/>
        </w:rPr>
        <w:t>s</w:t>
      </w:r>
    </w:p>
    <w:p>
      <w:pPr>
        <w:spacing w:after="0" w:line="190"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51515"/>
        </w:rPr>
        <w:t>2.5.1</w:t>
      </w:r>
      <w:r>
        <w:rPr>
          <w:sz w:val="20"/>
          <w:szCs w:val="20"/>
          <w:color w:val="auto"/>
        </w:rPr>
        <w:tab/>
      </w:r>
      <w:r>
        <w:rPr>
          <w:rFonts w:ascii="Arial" w:cs="Arial" w:eastAsia="Arial" w:hAnsi="Arial"/>
          <w:sz w:val="12"/>
          <w:szCs w:val="12"/>
          <w:color w:val="151515"/>
        </w:rPr>
        <w:t>The Premises are leased to you with</w:t>
      </w:r>
      <w:r>
        <w:rPr>
          <w:rFonts w:ascii="Arial" w:cs="Arial" w:eastAsia="Arial" w:hAnsi="Arial"/>
          <w:sz w:val="12"/>
          <w:szCs w:val="12"/>
          <w:color w:val="3B3B3B"/>
        </w:rPr>
        <w:t>:</w:t>
      </w:r>
    </w:p>
    <w:p>
      <w:pPr>
        <w:spacing w:after="0" w:line="190" w:lineRule="exact"/>
        <w:rPr>
          <w:sz w:val="20"/>
          <w:szCs w:val="20"/>
          <w:color w:val="auto"/>
        </w:rPr>
      </w:pPr>
    </w:p>
    <w:p>
      <w:pPr>
        <w:ind w:left="840" w:hanging="277"/>
        <w:spacing w:after="0"/>
        <w:tabs>
          <w:tab w:leader="none" w:pos="840" w:val="left"/>
        </w:tabs>
        <w:numPr>
          <w:ilvl w:val="0"/>
          <w:numId w:val="62"/>
        </w:numPr>
        <w:rPr>
          <w:rFonts w:ascii="Arial" w:cs="Arial" w:eastAsia="Arial" w:hAnsi="Arial"/>
          <w:sz w:val="12"/>
          <w:szCs w:val="12"/>
          <w:color w:val="151515"/>
        </w:rPr>
      </w:pPr>
      <w:r>
        <w:rPr>
          <w:rFonts w:ascii="Arial" w:cs="Arial" w:eastAsia="Arial" w:hAnsi="Arial"/>
          <w:sz w:val="12"/>
          <w:szCs w:val="12"/>
          <w:color w:val="151515"/>
        </w:rPr>
        <w:t>the right to use the Common Area to pass to and from the Premises; and</w:t>
      </w:r>
    </w:p>
    <w:p>
      <w:pPr>
        <w:spacing w:after="0" w:line="200" w:lineRule="exact"/>
        <w:rPr>
          <w:rFonts w:ascii="Arial" w:cs="Arial" w:eastAsia="Arial" w:hAnsi="Arial"/>
          <w:sz w:val="12"/>
          <w:szCs w:val="12"/>
          <w:color w:val="151515"/>
        </w:rPr>
      </w:pPr>
    </w:p>
    <w:p>
      <w:pPr>
        <w:ind w:left="840" w:hanging="270"/>
        <w:spacing w:after="0"/>
        <w:tabs>
          <w:tab w:leader="none" w:pos="840" w:val="left"/>
        </w:tabs>
        <w:numPr>
          <w:ilvl w:val="0"/>
          <w:numId w:val="62"/>
        </w:numPr>
        <w:rPr>
          <w:rFonts w:ascii="Arial" w:cs="Arial" w:eastAsia="Arial" w:hAnsi="Arial"/>
          <w:sz w:val="12"/>
          <w:szCs w:val="12"/>
          <w:color w:val="151515"/>
        </w:rPr>
      </w:pPr>
      <w:r>
        <w:rPr>
          <w:rFonts w:ascii="Arial" w:cs="Arial" w:eastAsia="Arial" w:hAnsi="Arial"/>
          <w:sz w:val="12"/>
          <w:szCs w:val="12"/>
          <w:color w:val="151515"/>
        </w:rPr>
        <w:t>the right to use the designated toilet facilities, lifts, staircases and driveways in the Common Area.</w:t>
      </w:r>
    </w:p>
    <w:p>
      <w:pPr>
        <w:spacing w:after="0" w:line="190" w:lineRule="exact"/>
        <w:rPr>
          <w:rFonts w:ascii="Arial" w:cs="Arial" w:eastAsia="Arial" w:hAnsi="Arial"/>
          <w:sz w:val="12"/>
          <w:szCs w:val="12"/>
          <w:color w:val="151515"/>
        </w:rPr>
      </w:pPr>
    </w:p>
    <w:p>
      <w:pPr>
        <w:ind w:left="100"/>
        <w:spacing w:after="0"/>
        <w:rPr>
          <w:rFonts w:ascii="Arial" w:cs="Arial" w:eastAsia="Arial" w:hAnsi="Arial"/>
          <w:sz w:val="12"/>
          <w:szCs w:val="12"/>
          <w:color w:val="151515"/>
        </w:rPr>
      </w:pPr>
      <w:r>
        <w:rPr>
          <w:rFonts w:ascii="Arial" w:cs="Arial" w:eastAsia="Arial" w:hAnsi="Arial"/>
          <w:sz w:val="12"/>
          <w:szCs w:val="12"/>
          <w:color w:val="151515"/>
        </w:rPr>
        <w:t>2.5.2    Under this Lease, we have</w:t>
      </w:r>
      <w:r>
        <w:rPr>
          <w:rFonts w:ascii="Arial" w:cs="Arial" w:eastAsia="Arial" w:hAnsi="Arial"/>
          <w:sz w:val="12"/>
          <w:szCs w:val="12"/>
          <w:color w:val="3B3B3B"/>
        </w:rPr>
        <w:t>:</w:t>
      </w:r>
    </w:p>
    <w:p>
      <w:pPr>
        <w:spacing w:after="0" w:line="190" w:lineRule="exact"/>
        <w:rPr>
          <w:rFonts w:ascii="Arial" w:cs="Arial" w:eastAsia="Arial" w:hAnsi="Arial"/>
          <w:sz w:val="12"/>
          <w:szCs w:val="12"/>
          <w:color w:val="151515"/>
        </w:rPr>
      </w:pPr>
    </w:p>
    <w:p>
      <w:pPr>
        <w:ind w:left="840" w:hanging="270"/>
        <w:spacing w:after="0"/>
        <w:tabs>
          <w:tab w:leader="none" w:pos="840" w:val="left"/>
        </w:tabs>
        <w:numPr>
          <w:ilvl w:val="0"/>
          <w:numId w:val="63"/>
        </w:numPr>
        <w:rPr>
          <w:rFonts w:ascii="Arial" w:cs="Arial" w:eastAsia="Arial" w:hAnsi="Arial"/>
          <w:sz w:val="12"/>
          <w:szCs w:val="12"/>
          <w:color w:val="151515"/>
        </w:rPr>
      </w:pPr>
      <w:r>
        <w:rPr>
          <w:rFonts w:ascii="Arial" w:cs="Arial" w:eastAsia="Arial" w:hAnsi="Arial"/>
          <w:sz w:val="12"/>
          <w:szCs w:val="12"/>
          <w:color w:val="151515"/>
        </w:rPr>
        <w:t>the right to free and uninterrupted passage and running of Utilities and other services through the Conducting Media in the Premises;</w:t>
      </w:r>
    </w:p>
    <w:p>
      <w:pPr>
        <w:spacing w:after="0" w:line="190" w:lineRule="exact"/>
        <w:rPr>
          <w:rFonts w:ascii="Arial" w:cs="Arial" w:eastAsia="Arial" w:hAnsi="Arial"/>
          <w:sz w:val="12"/>
          <w:szCs w:val="12"/>
          <w:color w:val="151515"/>
        </w:rPr>
      </w:pPr>
    </w:p>
    <w:p>
      <w:pPr>
        <w:ind w:left="800" w:hanging="234"/>
        <w:spacing w:after="0"/>
        <w:tabs>
          <w:tab w:leader="none" w:pos="800" w:val="left"/>
        </w:tabs>
        <w:numPr>
          <w:ilvl w:val="0"/>
          <w:numId w:val="63"/>
        </w:numPr>
        <w:rPr>
          <w:rFonts w:ascii="Arial" w:cs="Arial" w:eastAsia="Arial" w:hAnsi="Arial"/>
          <w:sz w:val="12"/>
          <w:szCs w:val="12"/>
          <w:color w:val="151515"/>
        </w:rPr>
      </w:pPr>
      <w:r>
        <w:rPr>
          <w:rFonts w:ascii="Arial" w:cs="Arial" w:eastAsia="Arial" w:hAnsi="Arial"/>
          <w:sz w:val="12"/>
          <w:szCs w:val="12"/>
          <w:color w:val="151515"/>
        </w:rPr>
        <w:t>the right to enter the Premises as allowed under this Lease, except that we will use reasonable efforts to minimise any disturbance to you</w:t>
      </w:r>
      <w:r>
        <w:rPr>
          <w:rFonts w:ascii="Arial" w:cs="Arial" w:eastAsia="Arial" w:hAnsi="Arial"/>
          <w:sz w:val="12"/>
          <w:szCs w:val="12"/>
          <w:color w:val="5D5D5D"/>
        </w:rPr>
        <w:t>;</w:t>
      </w:r>
    </w:p>
    <w:p>
      <w:pPr>
        <w:spacing w:after="0" w:line="200" w:lineRule="exact"/>
        <w:rPr>
          <w:rFonts w:ascii="Arial" w:cs="Arial" w:eastAsia="Arial" w:hAnsi="Arial"/>
          <w:sz w:val="12"/>
          <w:szCs w:val="12"/>
          <w:color w:val="151515"/>
        </w:rPr>
      </w:pPr>
    </w:p>
    <w:p>
      <w:pPr>
        <w:ind w:left="800" w:right="20" w:hanging="231"/>
        <w:spacing w:after="0" w:line="250" w:lineRule="auto"/>
        <w:tabs>
          <w:tab w:leader="none" w:pos="799" w:val="left"/>
        </w:tabs>
        <w:numPr>
          <w:ilvl w:val="0"/>
          <w:numId w:val="63"/>
        </w:numPr>
        <w:rPr>
          <w:rFonts w:ascii="Arial" w:cs="Arial" w:eastAsia="Arial" w:hAnsi="Arial"/>
          <w:sz w:val="12"/>
          <w:szCs w:val="12"/>
          <w:color w:val="151515"/>
        </w:rPr>
      </w:pPr>
      <w:r>
        <w:rPr>
          <w:rFonts w:ascii="Arial" w:cs="Arial" w:eastAsia="Arial" w:hAnsi="Arial"/>
          <w:sz w:val="12"/>
          <w:szCs w:val="12"/>
          <w:color w:val="151515"/>
        </w:rPr>
        <w:t>the right of light, air, support, shelter, easements (that is, a right enjoyed by one person over another's land for a specific purpose such as a right of way) and all other rights belonging to or enjoyed by other parts of the Building;</w:t>
      </w:r>
    </w:p>
    <w:p>
      <w:pPr>
        <w:spacing w:after="0" w:line="178" w:lineRule="exact"/>
        <w:rPr>
          <w:rFonts w:ascii="Arial" w:cs="Arial" w:eastAsia="Arial" w:hAnsi="Arial"/>
          <w:sz w:val="12"/>
          <w:szCs w:val="12"/>
          <w:color w:val="151515"/>
        </w:rPr>
      </w:pPr>
    </w:p>
    <w:p>
      <w:pPr>
        <w:jc w:val="both"/>
        <w:ind w:left="800" w:hanging="231"/>
        <w:spacing w:after="0" w:line="245" w:lineRule="auto"/>
        <w:tabs>
          <w:tab w:leader="none" w:pos="796" w:val="left"/>
        </w:tabs>
        <w:numPr>
          <w:ilvl w:val="0"/>
          <w:numId w:val="63"/>
        </w:numPr>
        <w:rPr>
          <w:rFonts w:ascii="Arial" w:cs="Arial" w:eastAsia="Arial" w:hAnsi="Arial"/>
          <w:sz w:val="12"/>
          <w:szCs w:val="12"/>
          <w:color w:val="151515"/>
        </w:rPr>
      </w:pPr>
      <w:r>
        <w:rPr>
          <w:rFonts w:ascii="Arial" w:cs="Arial" w:eastAsia="Arial" w:hAnsi="Arial"/>
          <w:sz w:val="12"/>
          <w:szCs w:val="12"/>
          <w:color w:val="151515"/>
        </w:rPr>
        <w:t xml:space="preserve">the right to put up scaffolding for carrying out repairs, renovations, alterations, additions, cleaning, painting or other work to the Building, and to build on, alter, rebuild, develop or use the land next to the Building or in the Park, even if (i) access to, use or enjoyment of the Premises may be temporarily restricted, (ii) any light and air coming into the Premises is affected or (iii) any nuisance, damage, or </w:t>
      </w:r>
      <w:r>
        <w:rPr>
          <w:rFonts w:ascii="Arial" w:cs="Arial" w:eastAsia="Arial" w:hAnsi="Arial"/>
          <w:sz w:val="12"/>
          <w:szCs w:val="12"/>
          <w:color w:val="3B3B3B"/>
        </w:rPr>
        <w:t>i</w:t>
      </w:r>
      <w:r>
        <w:rPr>
          <w:rFonts w:ascii="Arial" w:cs="Arial" w:eastAsia="Arial" w:hAnsi="Arial"/>
          <w:sz w:val="12"/>
          <w:szCs w:val="12"/>
          <w:color w:val="151515"/>
        </w:rPr>
        <w:t>nconvenience is caused to you or any of your occupiers, except that we will use reasonable efforts to minimise any disturbance to you;and</w:t>
      </w:r>
    </w:p>
    <w:p>
      <w:pPr>
        <w:spacing w:after="0" w:line="191" w:lineRule="exact"/>
        <w:rPr>
          <w:rFonts w:ascii="Arial" w:cs="Arial" w:eastAsia="Arial" w:hAnsi="Arial"/>
          <w:sz w:val="12"/>
          <w:szCs w:val="12"/>
          <w:color w:val="151515"/>
        </w:rPr>
      </w:pPr>
    </w:p>
    <w:p>
      <w:pPr>
        <w:ind w:left="800" w:hanging="234"/>
        <w:spacing w:after="0" w:line="250" w:lineRule="auto"/>
        <w:tabs>
          <w:tab w:leader="none" w:pos="791" w:val="left"/>
        </w:tabs>
        <w:numPr>
          <w:ilvl w:val="0"/>
          <w:numId w:val="63"/>
        </w:numPr>
        <w:rPr>
          <w:rFonts w:ascii="Arial" w:cs="Arial" w:eastAsia="Arial" w:hAnsi="Arial"/>
          <w:sz w:val="12"/>
          <w:szCs w:val="12"/>
          <w:color w:val="151515"/>
        </w:rPr>
      </w:pPr>
      <w:r>
        <w:rPr>
          <w:rFonts w:ascii="Arial" w:cs="Arial" w:eastAsia="Arial" w:hAnsi="Arial"/>
          <w:sz w:val="12"/>
          <w:szCs w:val="12"/>
          <w:color w:val="151515"/>
        </w:rPr>
        <w:t>the right to carry out any power shutdown in the Building as may be required by us or the Authorities, by providing notice to you (except in cases of emergency), and without us having to provide any emergency power or back-up supply of electricity, except that we will use reasonable efforts to minimise any disturbance to you</w:t>
      </w:r>
      <w:r>
        <w:rPr>
          <w:rFonts w:ascii="Arial" w:cs="Arial" w:eastAsia="Arial" w:hAnsi="Arial"/>
          <w:sz w:val="12"/>
          <w:szCs w:val="12"/>
          <w:color w:val="3B3B3B"/>
        </w:rPr>
        <w:t>.</w:t>
      </w:r>
    </w:p>
    <w:p>
      <w:pPr>
        <w:spacing w:after="0" w:line="178" w:lineRule="exact"/>
        <w:rPr>
          <w:sz w:val="20"/>
          <w:szCs w:val="20"/>
          <w:color w:val="auto"/>
        </w:rPr>
      </w:pPr>
    </w:p>
    <w:p>
      <w:pPr>
        <w:ind w:left="560" w:hanging="485"/>
        <w:spacing w:after="0" w:line="250" w:lineRule="auto"/>
        <w:tabs>
          <w:tab w:leader="none" w:pos="540" w:val="left"/>
        </w:tabs>
        <w:rPr>
          <w:sz w:val="20"/>
          <w:szCs w:val="20"/>
          <w:color w:val="auto"/>
        </w:rPr>
      </w:pPr>
      <w:r>
        <w:rPr>
          <w:rFonts w:ascii="Arial" w:cs="Arial" w:eastAsia="Arial" w:hAnsi="Arial"/>
          <w:sz w:val="12"/>
          <w:szCs w:val="12"/>
          <w:color w:val="151515"/>
        </w:rPr>
        <w:t>2.5.3</w:t>
      </w:r>
      <w:r>
        <w:rPr>
          <w:sz w:val="20"/>
          <w:szCs w:val="20"/>
          <w:color w:val="auto"/>
        </w:rPr>
        <w:tab/>
      </w:r>
      <w:r>
        <w:rPr>
          <w:rFonts w:ascii="Arial" w:cs="Arial" w:eastAsia="Arial" w:hAnsi="Arial"/>
          <w:sz w:val="12"/>
          <w:szCs w:val="12"/>
          <w:color w:val="151515"/>
        </w:rPr>
        <w:t>Any person you authorise to use or enjoy the Premises in line with this Lease will also have the rights under clause 2.5.1, and (i) we, (ii) the Head Landlord, and (iii) any person authorised by us or the Head Landlord will also have the rights under clause 2.5.2.</w:t>
      </w:r>
    </w:p>
    <w:p>
      <w:pPr>
        <w:spacing w:after="0" w:line="175" w:lineRule="exact"/>
        <w:rPr>
          <w:sz w:val="20"/>
          <w:szCs w:val="20"/>
          <w:color w:val="auto"/>
        </w:rPr>
      </w:pPr>
    </w:p>
    <w:p>
      <w:pPr>
        <w:ind w:left="560" w:hanging="474"/>
        <w:spacing w:after="0"/>
        <w:tabs>
          <w:tab w:leader="none" w:pos="560" w:val="left"/>
        </w:tabs>
        <w:numPr>
          <w:ilvl w:val="0"/>
          <w:numId w:val="64"/>
        </w:numPr>
        <w:rPr>
          <w:rFonts w:ascii="Arial" w:cs="Arial" w:eastAsia="Arial" w:hAnsi="Arial"/>
          <w:sz w:val="12"/>
          <w:szCs w:val="12"/>
          <w:b w:val="1"/>
          <w:bCs w:val="1"/>
          <w:color w:val="151515"/>
        </w:rPr>
      </w:pPr>
      <w:r>
        <w:rPr>
          <w:rFonts w:ascii="Arial" w:cs="Arial" w:eastAsia="Arial" w:hAnsi="Arial"/>
          <w:sz w:val="12"/>
          <w:szCs w:val="12"/>
          <w:b w:val="1"/>
          <w:bCs w:val="1"/>
          <w:color w:val="151515"/>
        </w:rPr>
        <w:t>TAKING POSSESSION</w:t>
      </w:r>
    </w:p>
    <w:p>
      <w:pPr>
        <w:spacing w:after="0" w:line="204"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3.1</w:t>
      </w:r>
      <w:r>
        <w:rPr>
          <w:sz w:val="20"/>
          <w:szCs w:val="20"/>
          <w:color w:val="auto"/>
        </w:rPr>
        <w:tab/>
      </w:r>
      <w:r>
        <w:rPr>
          <w:rFonts w:ascii="Arial" w:cs="Arial" w:eastAsia="Arial" w:hAnsi="Arial"/>
          <w:sz w:val="11"/>
          <w:szCs w:val="11"/>
          <w:color w:val="151515"/>
        </w:rPr>
        <w:t>You will take possession of the Premises on the Possession Date</w:t>
      </w:r>
      <w:r>
        <w:rPr>
          <w:rFonts w:ascii="Arial" w:cs="Arial" w:eastAsia="Arial" w:hAnsi="Arial"/>
          <w:sz w:val="11"/>
          <w:szCs w:val="11"/>
          <w:color w:val="3B3B3B"/>
        </w:rPr>
        <w:t>.</w:t>
      </w:r>
      <w:r>
        <w:rPr>
          <w:rFonts w:ascii="Arial" w:cs="Arial" w:eastAsia="Arial" w:hAnsi="Arial"/>
          <w:sz w:val="11"/>
          <w:szCs w:val="11"/>
          <w:color w:val="151515"/>
        </w:rPr>
        <w:t xml:space="preserve"> If you delay taking possession of the Premises, we will not postpone the Fitting Out Works Rent-free Period (if any) and/or the Term.</w:t>
      </w:r>
    </w:p>
    <w:p>
      <w:pPr>
        <w:spacing w:after="0" w:line="190" w:lineRule="exact"/>
        <w:rPr>
          <w:sz w:val="20"/>
          <w:szCs w:val="20"/>
          <w:color w:val="auto"/>
        </w:rPr>
      </w:pPr>
    </w:p>
    <w:p>
      <w:pPr>
        <w:jc w:val="both"/>
        <w:ind w:left="560" w:hanging="481"/>
        <w:spacing w:after="0" w:line="250" w:lineRule="auto"/>
        <w:tabs>
          <w:tab w:leader="none" w:pos="540" w:val="left"/>
        </w:tabs>
        <w:rPr>
          <w:sz w:val="20"/>
          <w:szCs w:val="20"/>
          <w:color w:val="auto"/>
        </w:rPr>
      </w:pPr>
      <w:r>
        <w:rPr>
          <w:rFonts w:ascii="Arial" w:cs="Arial" w:eastAsia="Arial" w:hAnsi="Arial"/>
          <w:sz w:val="12"/>
          <w:szCs w:val="12"/>
          <w:color w:val="151515"/>
        </w:rPr>
        <w:t>3.2</w:t>
      </w:r>
      <w:r>
        <w:rPr>
          <w:sz w:val="20"/>
          <w:szCs w:val="20"/>
          <w:color w:val="auto"/>
        </w:rPr>
        <w:tab/>
      </w:r>
      <w:r>
        <w:rPr>
          <w:rFonts w:ascii="Arial" w:cs="Arial" w:eastAsia="Arial" w:hAnsi="Arial"/>
          <w:sz w:val="12"/>
          <w:szCs w:val="12"/>
          <w:color w:val="151515"/>
        </w:rPr>
        <w:t xml:space="preserve">You agree to take the Premises on an </w:t>
      </w:r>
      <w:r>
        <w:rPr>
          <w:rFonts w:ascii="Arial" w:cs="Arial" w:eastAsia="Arial" w:hAnsi="Arial"/>
          <w:sz w:val="12"/>
          <w:szCs w:val="12"/>
          <w:color w:val="3B3B3B"/>
        </w:rPr>
        <w:t>'</w:t>
      </w:r>
      <w:r>
        <w:rPr>
          <w:rFonts w:ascii="Arial" w:cs="Arial" w:eastAsia="Arial" w:hAnsi="Arial"/>
          <w:sz w:val="12"/>
          <w:szCs w:val="12"/>
          <w:color w:val="151515"/>
        </w:rPr>
        <w:t>as is, where is' basis and not to object to the state and condition of the Premises (including the structural, mechanical and electrical specifications) on the date you first take possession of the Premises.</w:t>
      </w:r>
    </w:p>
    <w:p>
      <w:pPr>
        <w:spacing w:after="0" w:line="178" w:lineRule="exact"/>
        <w:rPr>
          <w:sz w:val="20"/>
          <w:szCs w:val="20"/>
          <w:color w:val="auto"/>
        </w:rPr>
      </w:pPr>
    </w:p>
    <w:p>
      <w:pPr>
        <w:jc w:val="both"/>
        <w:ind w:left="560" w:hanging="480"/>
        <w:spacing w:after="0" w:line="245" w:lineRule="auto"/>
        <w:tabs>
          <w:tab w:leader="none" w:pos="540" w:val="left"/>
        </w:tabs>
        <w:rPr>
          <w:sz w:val="20"/>
          <w:szCs w:val="20"/>
          <w:color w:val="auto"/>
        </w:rPr>
      </w:pPr>
      <w:r>
        <w:rPr>
          <w:rFonts w:ascii="Arial" w:cs="Arial" w:eastAsia="Arial" w:hAnsi="Arial"/>
          <w:sz w:val="12"/>
          <w:szCs w:val="12"/>
          <w:color w:val="151515"/>
        </w:rPr>
        <w:t>3.3</w:t>
      </w:r>
      <w:r>
        <w:rPr>
          <w:sz w:val="20"/>
          <w:szCs w:val="20"/>
          <w:color w:val="auto"/>
        </w:rPr>
        <w:tab/>
      </w:r>
      <w:r>
        <w:rPr>
          <w:rFonts w:ascii="Arial" w:cs="Arial" w:eastAsia="Arial" w:hAnsi="Arial"/>
          <w:sz w:val="12"/>
          <w:szCs w:val="12"/>
          <w:color w:val="151515"/>
        </w:rPr>
        <w:t>You agree that the Floor Area of the Premises are as set out in schedule 1. If we appoint a surveyor registered under the Land Surveyors Act (Chapter 156) to survey the Floor Area, the surveyor's findings will be final and binding (unless there is a clear and obvious mistake), and the Gross Rent, Service Charge and other payments due under this Lease (including the Security Deposit) will be adjusted as a result of any difference in floor area of more than 3%.</w:t>
      </w:r>
    </w:p>
    <w:p>
      <w:pPr>
        <w:spacing w:after="0" w:line="18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3.4</w:t>
      </w:r>
      <w:r>
        <w:rPr>
          <w:sz w:val="20"/>
          <w:szCs w:val="20"/>
          <w:color w:val="auto"/>
        </w:rPr>
        <w:tab/>
      </w:r>
      <w:r>
        <w:rPr>
          <w:rFonts w:ascii="Arial" w:cs="Arial" w:eastAsia="Arial" w:hAnsi="Arial"/>
          <w:sz w:val="11"/>
          <w:szCs w:val="11"/>
          <w:color w:val="151515"/>
        </w:rPr>
        <w:t>You must not load any part of the floors of the Building with more than the weight set out in schedule 1 or such other weight limit as we may notify</w:t>
      </w:r>
      <w:r>
        <w:rPr>
          <w:rFonts w:ascii="Arial" w:cs="Arial" w:eastAsia="Arial" w:hAnsi="Arial"/>
          <w:sz w:val="11"/>
          <w:szCs w:val="11"/>
          <w:color w:val="3B3B3B"/>
        </w:rPr>
        <w:t>.</w:t>
      </w:r>
    </w:p>
    <w:p>
      <w:pPr>
        <w:spacing w:after="0" w:line="176" w:lineRule="exact"/>
        <w:rPr>
          <w:sz w:val="20"/>
          <w:szCs w:val="20"/>
          <w:color w:val="auto"/>
        </w:rPr>
      </w:pPr>
    </w:p>
    <w:p>
      <w:pPr>
        <w:ind w:left="320" w:hanging="194"/>
        <w:spacing w:after="0"/>
        <w:tabs>
          <w:tab w:leader="none" w:pos="320" w:val="left"/>
        </w:tabs>
        <w:numPr>
          <w:ilvl w:val="0"/>
          <w:numId w:val="65"/>
        </w:numPr>
        <w:rPr>
          <w:rFonts w:ascii="Arial" w:cs="Arial" w:eastAsia="Arial" w:hAnsi="Arial"/>
          <w:sz w:val="12"/>
          <w:szCs w:val="12"/>
          <w:b w:val="1"/>
          <w:bCs w:val="1"/>
          <w:color w:val="auto"/>
        </w:rPr>
      </w:pPr>
      <w:r>
        <w:rPr>
          <w:rFonts w:ascii="Arial" w:cs="Arial" w:eastAsia="Arial" w:hAnsi="Arial"/>
          <w:sz w:val="12"/>
          <w:szCs w:val="12"/>
          <w:b w:val="1"/>
          <w:bCs w:val="1"/>
          <w:color w:val="auto"/>
        </w:rPr>
        <w:t>YOUR OBLIGATIONS/ INVOLVEMENT</w:t>
      </w:r>
    </w:p>
    <w:p>
      <w:pPr>
        <w:spacing w:after="0" w:line="190" w:lineRule="exact"/>
        <w:rPr>
          <w:sz w:val="20"/>
          <w:szCs w:val="20"/>
          <w:color w:val="auto"/>
        </w:rPr>
      </w:pPr>
    </w:p>
    <w:p>
      <w:pPr>
        <w:ind w:left="100"/>
        <w:spacing w:after="0"/>
        <w:tabs>
          <w:tab w:leader="none" w:pos="380"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2"/>
          <w:szCs w:val="12"/>
          <w:b w:val="1"/>
          <w:bCs w:val="1"/>
          <w:color w:val="auto"/>
        </w:rPr>
        <w:t>General obligations relating to payments</w:t>
      </w:r>
    </w:p>
    <w:p>
      <w:pPr>
        <w:spacing w:after="0" w:line="215" w:lineRule="exact"/>
        <w:rPr>
          <w:sz w:val="20"/>
          <w:szCs w:val="20"/>
          <w:color w:val="auto"/>
        </w:rPr>
      </w:pPr>
    </w:p>
    <w:p>
      <w:pPr>
        <w:ind w:left="100"/>
        <w:spacing w:after="0"/>
        <w:tabs>
          <w:tab w:leader="none" w:pos="480" w:val="left"/>
        </w:tabs>
        <w:rPr>
          <w:sz w:val="20"/>
          <w:szCs w:val="20"/>
          <w:color w:val="auto"/>
        </w:rPr>
      </w:pPr>
      <w:r>
        <w:rPr>
          <w:rFonts w:ascii="Arial" w:cs="Arial" w:eastAsia="Arial" w:hAnsi="Arial"/>
          <w:sz w:val="12"/>
          <w:szCs w:val="12"/>
          <w:color w:val="auto"/>
        </w:rPr>
        <w:t>4.1.1</w:t>
      </w:r>
      <w:r>
        <w:rPr>
          <w:sz w:val="20"/>
          <w:szCs w:val="20"/>
          <w:color w:val="auto"/>
        </w:rPr>
        <w:tab/>
      </w:r>
      <w:r>
        <w:rPr>
          <w:rFonts w:ascii="Arial" w:cs="Arial" w:eastAsia="Arial" w:hAnsi="Arial"/>
          <w:sz w:val="11"/>
          <w:szCs w:val="11"/>
          <w:u w:val="single" w:color="auto"/>
          <w:color w:val="auto"/>
        </w:rPr>
        <w:t>Gross Rent and other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18</w:t>
            </w:r>
          </w:p>
        </w:tc>
      </w:tr>
    </w:tbl>
    <w:p>
      <w:pPr>
        <w:sectPr>
          <w:pgSz w:w="11900" w:h="16838" w:orient="portrait"/>
          <w:cols w:equalWidth="0" w:num="1">
            <w:col w:w="11200"/>
          </w:cols>
          <w:pgMar w:left="300" w:top="1440" w:right="39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7">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0" w:hanging="478"/>
        <w:spacing w:after="0" w:line="269" w:lineRule="auto"/>
        <w:tabs>
          <w:tab w:leader="none" w:pos="560" w:val="left"/>
        </w:tabs>
        <w:rPr>
          <w:sz w:val="20"/>
          <w:szCs w:val="20"/>
          <w:color w:val="auto"/>
        </w:rPr>
      </w:pPr>
      <w:r>
        <w:rPr>
          <w:rFonts w:ascii="Arial" w:cs="Arial" w:eastAsia="Arial" w:hAnsi="Arial"/>
          <w:sz w:val="12"/>
          <w:szCs w:val="12"/>
          <w:color w:val="111111"/>
        </w:rPr>
        <w:t>4.1.1.1</w:t>
        <w:tab/>
        <w:t>Upon signing this Lease, you must pay the Gross Rent for the period of one month from the Start Date</w:t>
      </w:r>
      <w:r>
        <w:rPr>
          <w:rFonts w:ascii="Arial" w:cs="Arial" w:eastAsia="Arial" w:hAnsi="Arial"/>
          <w:sz w:val="12"/>
          <w:szCs w:val="12"/>
          <w:color w:val="363636"/>
        </w:rPr>
        <w:t>.</w:t>
      </w:r>
      <w:r>
        <w:rPr>
          <w:rFonts w:ascii="Arial" w:cs="Arial" w:eastAsia="Arial" w:hAnsi="Arial"/>
          <w:sz w:val="12"/>
          <w:szCs w:val="12"/>
          <w:color w:val="111111"/>
        </w:rPr>
        <w:t xml:space="preserve"> The Gross Rent for any period less than one month will be pro-rated (based on the actual number of days in that month). You must then pay us monthly in advance on each Payment Date the:</w:t>
      </w:r>
    </w:p>
    <w:p>
      <w:pPr>
        <w:spacing w:after="0" w:line="167" w:lineRule="exact"/>
        <w:rPr>
          <w:sz w:val="20"/>
          <w:szCs w:val="20"/>
          <w:color w:val="auto"/>
        </w:rPr>
      </w:pPr>
    </w:p>
    <w:p>
      <w:pPr>
        <w:ind w:left="840" w:hanging="244"/>
        <w:spacing w:after="0"/>
        <w:tabs>
          <w:tab w:leader="none" w:pos="840" w:val="left"/>
        </w:tabs>
        <w:numPr>
          <w:ilvl w:val="0"/>
          <w:numId w:val="66"/>
        </w:numPr>
        <w:rPr>
          <w:rFonts w:ascii="Arial" w:cs="Arial" w:eastAsia="Arial" w:hAnsi="Arial"/>
          <w:sz w:val="12"/>
          <w:szCs w:val="12"/>
          <w:color w:val="111111"/>
        </w:rPr>
      </w:pPr>
      <w:r>
        <w:rPr>
          <w:rFonts w:ascii="Arial" w:cs="Arial" w:eastAsia="Arial" w:hAnsi="Arial"/>
          <w:sz w:val="12"/>
          <w:szCs w:val="12"/>
          <w:color w:val="111111"/>
        </w:rPr>
        <w:t>Net Rent, calculated at the Net Rent Rate on the Floor Area; and</w:t>
      </w:r>
    </w:p>
    <w:p>
      <w:pPr>
        <w:spacing w:after="0" w:line="190" w:lineRule="exact"/>
        <w:rPr>
          <w:rFonts w:ascii="Arial" w:cs="Arial" w:eastAsia="Arial" w:hAnsi="Arial"/>
          <w:sz w:val="12"/>
          <w:szCs w:val="12"/>
          <w:color w:val="111111"/>
        </w:rPr>
      </w:pPr>
    </w:p>
    <w:p>
      <w:pPr>
        <w:ind w:left="840" w:hanging="244"/>
        <w:spacing w:after="0"/>
        <w:tabs>
          <w:tab w:leader="none" w:pos="840" w:val="left"/>
        </w:tabs>
        <w:numPr>
          <w:ilvl w:val="0"/>
          <w:numId w:val="66"/>
        </w:numPr>
        <w:rPr>
          <w:rFonts w:ascii="Arial" w:cs="Arial" w:eastAsia="Arial" w:hAnsi="Arial"/>
          <w:sz w:val="12"/>
          <w:szCs w:val="12"/>
          <w:color w:val="111111"/>
        </w:rPr>
      </w:pPr>
      <w:r>
        <w:rPr>
          <w:rFonts w:ascii="Arial" w:cs="Arial" w:eastAsia="Arial" w:hAnsi="Arial"/>
          <w:sz w:val="12"/>
          <w:szCs w:val="12"/>
          <w:color w:val="111111"/>
        </w:rPr>
        <w:t>Service Charge, calculated at the Service Charge Rate on the Floor Area</w:t>
      </w:r>
      <w:r>
        <w:rPr>
          <w:rFonts w:ascii="Arial" w:cs="Arial" w:eastAsia="Arial" w:hAnsi="Arial"/>
          <w:sz w:val="12"/>
          <w:szCs w:val="12"/>
          <w:color w:val="363636"/>
        </w:rPr>
        <w:t>.</w:t>
      </w:r>
    </w:p>
    <w:p>
      <w:pPr>
        <w:spacing w:after="0" w:line="190" w:lineRule="exact"/>
        <w:rPr>
          <w:sz w:val="20"/>
          <w:szCs w:val="20"/>
          <w:color w:val="auto"/>
        </w:rPr>
      </w:pPr>
    </w:p>
    <w:p>
      <w:pPr>
        <w:jc w:val="both"/>
        <w:ind w:left="580" w:hanging="477"/>
        <w:spacing w:after="0" w:line="250" w:lineRule="auto"/>
        <w:tabs>
          <w:tab w:leader="none" w:pos="560" w:val="left"/>
        </w:tabs>
        <w:rPr>
          <w:sz w:val="20"/>
          <w:szCs w:val="20"/>
          <w:color w:val="auto"/>
        </w:rPr>
      </w:pPr>
      <w:r>
        <w:rPr>
          <w:rFonts w:ascii="Arial" w:cs="Arial" w:eastAsia="Arial" w:hAnsi="Arial"/>
          <w:sz w:val="12"/>
          <w:szCs w:val="12"/>
          <w:color w:val="111111"/>
        </w:rPr>
        <w:t>4.1.1.2</w:t>
        <w:tab/>
        <w:t>You must pay us all amounts due under this Lease promptly when they are due on the Payment Date (except that you must pay the amounts in the statement of accounts set out in schedule 4 upon signing this Lease), without us having to ask or remind you, and without making any withholding, deduction, set-off or counterclaim</w:t>
      </w:r>
      <w:r>
        <w:rPr>
          <w:rFonts w:ascii="Arial" w:cs="Arial" w:eastAsia="Arial" w:hAnsi="Arial"/>
          <w:sz w:val="12"/>
          <w:szCs w:val="12"/>
          <w:color w:val="363636"/>
        </w:rPr>
        <w:t>.</w:t>
      </w:r>
    </w:p>
    <w:p>
      <w:pPr>
        <w:spacing w:after="0" w:line="189"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2"/>
          <w:szCs w:val="12"/>
          <w:color w:val="111111"/>
        </w:rPr>
        <w:t>4.1.1.3</w:t>
        <w:tab/>
        <w:t>Other than the first initial payment as set out under schedule 4, you must make all payments by standing order automated electronic payment (GIRO) to our account or in any other way we notify you</w:t>
      </w:r>
      <w:r>
        <w:rPr>
          <w:rFonts w:ascii="Arial" w:cs="Arial" w:eastAsia="Arial" w:hAnsi="Arial"/>
          <w:sz w:val="12"/>
          <w:szCs w:val="12"/>
          <w:color w:val="575757"/>
        </w:rPr>
        <w:t>.</w:t>
      </w:r>
    </w:p>
    <w:p>
      <w:pPr>
        <w:spacing w:after="0" w:line="201" w:lineRule="exact"/>
        <w:rPr>
          <w:sz w:val="20"/>
          <w:szCs w:val="20"/>
          <w:color w:val="auto"/>
        </w:rPr>
      </w:pPr>
    </w:p>
    <w:p>
      <w:pPr>
        <w:jc w:val="both"/>
        <w:ind w:left="580" w:hanging="475"/>
        <w:spacing w:after="0" w:line="263" w:lineRule="auto"/>
        <w:tabs>
          <w:tab w:leader="none" w:pos="560" w:val="left"/>
        </w:tabs>
        <w:rPr>
          <w:sz w:val="20"/>
          <w:szCs w:val="20"/>
          <w:color w:val="auto"/>
        </w:rPr>
      </w:pPr>
      <w:r>
        <w:rPr>
          <w:rFonts w:ascii="Arial" w:cs="Arial" w:eastAsia="Arial" w:hAnsi="Arial"/>
          <w:sz w:val="12"/>
          <w:szCs w:val="12"/>
          <w:color w:val="111111"/>
        </w:rPr>
        <w:t>4.1.1.4</w:t>
        <w:tab/>
        <w:t>We may increase the Service Charge if there is any increase in the Total Outgoings. If we do so, we will notify you of the amount and effective date of increase in the Service Charge (per square metre). Such notice will be final and binding (unless there is a clear and obvious mistake) and you must pay the increased Service Charge from the date of the increase as set out in our notice until the end of the Term.</w:t>
      </w:r>
    </w:p>
    <w:p>
      <w:pPr>
        <w:spacing w:after="0" w:line="182" w:lineRule="exact"/>
        <w:rPr>
          <w:sz w:val="20"/>
          <w:szCs w:val="20"/>
          <w:color w:val="auto"/>
        </w:rPr>
      </w:pPr>
    </w:p>
    <w:p>
      <w:pPr>
        <w:jc w:val="both"/>
        <w:ind w:left="580" w:hanging="478"/>
        <w:spacing w:after="0" w:line="250" w:lineRule="auto"/>
        <w:tabs>
          <w:tab w:leader="none" w:pos="560" w:val="left"/>
        </w:tabs>
        <w:rPr>
          <w:sz w:val="20"/>
          <w:szCs w:val="20"/>
          <w:color w:val="auto"/>
        </w:rPr>
      </w:pPr>
      <w:r>
        <w:rPr>
          <w:rFonts w:ascii="Arial" w:cs="Arial" w:eastAsia="Arial" w:hAnsi="Arial"/>
          <w:sz w:val="12"/>
          <w:szCs w:val="12"/>
          <w:color w:val="111111"/>
        </w:rPr>
        <w:t>4.1.1.5</w:t>
        <w:tab/>
        <w:t>You must not use the Common Area or any space outside the Premises in connection with your Permitted Use</w:t>
      </w:r>
      <w:r>
        <w:rPr>
          <w:rFonts w:ascii="Arial" w:cs="Arial" w:eastAsia="Arial" w:hAnsi="Arial"/>
          <w:sz w:val="12"/>
          <w:szCs w:val="12"/>
          <w:color w:val="363636"/>
        </w:rPr>
        <w:t>.</w:t>
      </w:r>
      <w:r>
        <w:rPr>
          <w:rFonts w:ascii="Arial" w:cs="Arial" w:eastAsia="Arial" w:hAnsi="Arial"/>
          <w:sz w:val="12"/>
          <w:szCs w:val="12"/>
          <w:color w:val="111111"/>
        </w:rPr>
        <w:t xml:space="preserve"> If we agree to your use of any part of the Common Area or any space outside the Premises in connection with your Permitted Use, we may set charges and terms for this, and may ask you to sign a separate agreement relating to that space.</w:t>
      </w:r>
    </w:p>
    <w:p>
      <w:pPr>
        <w:spacing w:after="0" w:line="178"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11111"/>
        </w:rPr>
        <w:t>4.1.2</w:t>
      </w:r>
      <w:r>
        <w:rPr>
          <w:sz w:val="20"/>
          <w:szCs w:val="20"/>
          <w:color w:val="auto"/>
        </w:rPr>
        <w:tab/>
      </w:r>
      <w:r>
        <w:rPr>
          <w:rFonts w:ascii="Arial" w:cs="Arial" w:eastAsia="Arial" w:hAnsi="Arial"/>
          <w:sz w:val="11"/>
          <w:szCs w:val="11"/>
          <w:u w:val="single" w:color="auto"/>
          <w:color w:val="111111"/>
        </w:rPr>
        <w:t>Re</w:t>
      </w:r>
      <w:r>
        <w:rPr>
          <w:rFonts w:ascii="Arial" w:cs="Arial" w:eastAsia="Arial" w:hAnsi="Arial"/>
          <w:sz w:val="11"/>
          <w:szCs w:val="11"/>
          <w:u w:val="single" w:color="auto"/>
          <w:color w:val="363636"/>
        </w:rPr>
        <w:t>nt-</w:t>
      </w:r>
      <w:r>
        <w:rPr>
          <w:rFonts w:ascii="Arial" w:cs="Arial" w:eastAsia="Arial" w:hAnsi="Arial"/>
          <w:sz w:val="11"/>
          <w:szCs w:val="11"/>
          <w:u w:val="single" w:color="auto"/>
          <w:color w:val="111111"/>
        </w:rPr>
        <w:t>free Pe</w:t>
      </w:r>
      <w:r>
        <w:rPr>
          <w:rFonts w:ascii="Arial" w:cs="Arial" w:eastAsia="Arial" w:hAnsi="Arial"/>
          <w:sz w:val="11"/>
          <w:szCs w:val="11"/>
          <w:u w:val="single" w:color="auto"/>
          <w:color w:val="363636"/>
        </w:rPr>
        <w:t>ri</w:t>
      </w:r>
      <w:r>
        <w:rPr>
          <w:rFonts w:ascii="Arial" w:cs="Arial" w:eastAsia="Arial" w:hAnsi="Arial"/>
          <w:sz w:val="11"/>
          <w:szCs w:val="11"/>
          <w:u w:val="single" w:color="auto"/>
          <w:color w:val="111111"/>
        </w:rPr>
        <w:t>od (I</w:t>
      </w:r>
      <w:r>
        <w:rPr>
          <w:rFonts w:ascii="Arial" w:cs="Arial" w:eastAsia="Arial" w:hAnsi="Arial"/>
          <w:sz w:val="11"/>
          <w:szCs w:val="11"/>
          <w:u w:val="single" w:color="auto"/>
          <w:color w:val="363636"/>
        </w:rPr>
        <w:t>f a</w:t>
      </w:r>
      <w:r>
        <w:rPr>
          <w:rFonts w:ascii="Arial" w:cs="Arial" w:eastAsia="Arial" w:hAnsi="Arial"/>
          <w:sz w:val="11"/>
          <w:szCs w:val="11"/>
          <w:u w:val="single" w:color="auto"/>
          <w:color w:val="111111"/>
        </w:rPr>
        <w:t>ny)</w:t>
      </w:r>
    </w:p>
    <w:p>
      <w:pPr>
        <w:spacing w:after="0" w:line="201" w:lineRule="exact"/>
        <w:rPr>
          <w:sz w:val="20"/>
          <w:szCs w:val="20"/>
          <w:color w:val="auto"/>
        </w:rPr>
      </w:pPr>
    </w:p>
    <w:p>
      <w:pPr>
        <w:jc w:val="both"/>
        <w:ind w:left="580" w:firstLine="4"/>
        <w:spacing w:after="0" w:line="245" w:lineRule="auto"/>
        <w:rPr>
          <w:sz w:val="20"/>
          <w:szCs w:val="20"/>
          <w:color w:val="auto"/>
        </w:rPr>
      </w:pPr>
      <w:r>
        <w:rPr>
          <w:rFonts w:ascii="Arial" w:cs="Arial" w:eastAsia="Arial" w:hAnsi="Arial"/>
          <w:sz w:val="12"/>
          <w:szCs w:val="12"/>
          <w:color w:val="111111"/>
        </w:rPr>
        <w:t>As a show of goodwill, we will grant you the Rent-free Period (if any). During any Rent-free Period, you do not have to pay the Gross Rent but you must continue to comply with all other terms of the Lease. However, if you carry out your business during any Rent-free Period, we may collect Service Charge from you from the date your business is started. In addition, if this Lease is brought to an end early</w:t>
      </w:r>
      <w:r>
        <w:rPr>
          <w:rFonts w:ascii="Arial" w:cs="Arial" w:eastAsia="Arial" w:hAnsi="Arial"/>
          <w:sz w:val="12"/>
          <w:szCs w:val="12"/>
          <w:color w:val="363636"/>
        </w:rPr>
        <w:t>,</w:t>
      </w:r>
      <w:r>
        <w:rPr>
          <w:rFonts w:ascii="Arial" w:cs="Arial" w:eastAsia="Arial" w:hAnsi="Arial"/>
          <w:sz w:val="12"/>
          <w:szCs w:val="12"/>
          <w:color w:val="111111"/>
        </w:rPr>
        <w:t xml:space="preserve"> you must pay us the Gross Rent for the entire Rent-free Period immediately when we notify you.</w:t>
      </w:r>
    </w:p>
    <w:p>
      <w:pPr>
        <w:spacing w:after="0" w:line="181" w:lineRule="exact"/>
        <w:rPr>
          <w:sz w:val="20"/>
          <w:szCs w:val="20"/>
          <w:color w:val="auto"/>
        </w:rPr>
      </w:pPr>
    </w:p>
    <w:p>
      <w:pPr>
        <w:ind w:left="100"/>
        <w:spacing w:after="0"/>
        <w:tabs>
          <w:tab w:leader="none" w:pos="480" w:val="left"/>
        </w:tabs>
        <w:rPr>
          <w:sz w:val="20"/>
          <w:szCs w:val="20"/>
          <w:color w:val="auto"/>
        </w:rPr>
      </w:pPr>
      <w:r>
        <w:rPr>
          <w:rFonts w:ascii="Arial" w:cs="Arial" w:eastAsia="Arial" w:hAnsi="Arial"/>
          <w:sz w:val="12"/>
          <w:szCs w:val="12"/>
          <w:color w:val="111111"/>
        </w:rPr>
        <w:t>4.1.3</w:t>
      </w:r>
      <w:r>
        <w:rPr>
          <w:sz w:val="20"/>
          <w:szCs w:val="20"/>
          <w:color w:val="auto"/>
        </w:rPr>
        <w:tab/>
      </w:r>
      <w:r>
        <w:rPr>
          <w:rFonts w:ascii="Arial" w:cs="Arial" w:eastAsia="Arial" w:hAnsi="Arial"/>
          <w:sz w:val="11"/>
          <w:szCs w:val="11"/>
          <w:u w:val="single" w:color="auto"/>
          <w:color w:val="111111"/>
        </w:rPr>
        <w:t>Interest</w:t>
      </w:r>
    </w:p>
    <w:p>
      <w:pPr>
        <w:spacing w:after="0" w:line="190" w:lineRule="exact"/>
        <w:rPr>
          <w:sz w:val="20"/>
          <w:szCs w:val="20"/>
          <w:color w:val="auto"/>
        </w:rPr>
      </w:pPr>
    </w:p>
    <w:p>
      <w:pPr>
        <w:jc w:val="both"/>
        <w:ind w:left="580" w:firstLine="4"/>
        <w:spacing w:after="0" w:line="245" w:lineRule="auto"/>
        <w:rPr>
          <w:sz w:val="20"/>
          <w:szCs w:val="20"/>
          <w:color w:val="auto"/>
        </w:rPr>
      </w:pPr>
      <w:r>
        <w:rPr>
          <w:rFonts w:ascii="Arial" w:cs="Arial" w:eastAsia="Arial" w:hAnsi="Arial"/>
          <w:sz w:val="12"/>
          <w:szCs w:val="12"/>
          <w:color w:val="111111"/>
        </w:rPr>
        <w:t>If you fail to pay the Gross Rent or any other amounts due to us under this Lease on the due date (for any reason, and whether or not we send you a formal notice), you must pay us when we notify you Interest on the amount you owe from the date the amount is due (or if we have to pay costs for any work or measures we have carried out on your behalf, from the date we pay for those costs) until the date you pay the amount that is due</w:t>
      </w:r>
      <w:r>
        <w:rPr>
          <w:rFonts w:ascii="Arial" w:cs="Arial" w:eastAsia="Arial" w:hAnsi="Arial"/>
          <w:sz w:val="12"/>
          <w:szCs w:val="12"/>
          <w:color w:val="363636"/>
        </w:rPr>
        <w:t>.</w:t>
      </w:r>
    </w:p>
    <w:p>
      <w:pPr>
        <w:spacing w:after="0" w:line="181"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11111"/>
        </w:rPr>
        <w:t>4.1.4</w:t>
      </w:r>
      <w:r>
        <w:rPr>
          <w:sz w:val="20"/>
          <w:szCs w:val="20"/>
          <w:color w:val="auto"/>
        </w:rPr>
        <w:tab/>
      </w:r>
      <w:r>
        <w:rPr>
          <w:rFonts w:ascii="Arial" w:cs="Arial" w:eastAsia="Arial" w:hAnsi="Arial"/>
          <w:sz w:val="12"/>
          <w:szCs w:val="12"/>
          <w:u w:val="single" w:color="auto"/>
          <w:color w:val="111111"/>
        </w:rPr>
        <w:t>Utilities</w:t>
      </w:r>
    </w:p>
    <w:p>
      <w:pPr>
        <w:spacing w:after="0" w:line="190" w:lineRule="exact"/>
        <w:rPr>
          <w:sz w:val="20"/>
          <w:szCs w:val="20"/>
          <w:color w:val="auto"/>
        </w:rPr>
      </w:pPr>
    </w:p>
    <w:p>
      <w:pPr>
        <w:jc w:val="both"/>
        <w:ind w:left="580" w:firstLine="5"/>
        <w:spacing w:after="0" w:line="245" w:lineRule="auto"/>
        <w:rPr>
          <w:sz w:val="20"/>
          <w:szCs w:val="20"/>
          <w:color w:val="auto"/>
        </w:rPr>
      </w:pPr>
      <w:r>
        <w:rPr>
          <w:rFonts w:ascii="Arial" w:cs="Arial" w:eastAsia="Arial" w:hAnsi="Arial"/>
          <w:sz w:val="12"/>
          <w:szCs w:val="12"/>
          <w:color w:val="111111"/>
        </w:rPr>
        <w:t>You must pay us (or the relevant supplier if this applies) the Utilities Charges for the Utilities supplied to the Premises during the Rent-free Period (if any) and the Term of this Lease</w:t>
      </w:r>
      <w:r>
        <w:rPr>
          <w:rFonts w:ascii="Arial" w:cs="Arial" w:eastAsia="Arial" w:hAnsi="Arial"/>
          <w:sz w:val="12"/>
          <w:szCs w:val="12"/>
          <w:color w:val="363636"/>
        </w:rPr>
        <w:t>.</w:t>
      </w:r>
      <w:r>
        <w:rPr>
          <w:rFonts w:ascii="Arial" w:cs="Arial" w:eastAsia="Arial" w:hAnsi="Arial"/>
          <w:sz w:val="12"/>
          <w:szCs w:val="12"/>
          <w:color w:val="111111"/>
        </w:rPr>
        <w:t xml:space="preserve"> The Utilities Charges will be calculated at the rate we notify you in our invoice and you must pay us such Utilities Charges on the Payment Date. The amount as set out in our invoice will be final and binding (unless there is a clear and obvious mistake).</w:t>
      </w:r>
    </w:p>
    <w:p>
      <w:pPr>
        <w:spacing w:after="0" w:line="181"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11111"/>
        </w:rPr>
        <w:t>4.1.5</w:t>
      </w:r>
      <w:r>
        <w:rPr>
          <w:sz w:val="20"/>
          <w:szCs w:val="20"/>
          <w:color w:val="auto"/>
        </w:rPr>
        <w:tab/>
      </w:r>
      <w:r>
        <w:rPr>
          <w:rFonts w:ascii="Arial" w:cs="Arial" w:eastAsia="Arial" w:hAnsi="Arial"/>
          <w:sz w:val="12"/>
          <w:szCs w:val="12"/>
          <w:u w:val="single" w:color="auto"/>
          <w:color w:val="111111"/>
        </w:rPr>
        <w:t>Ele</w:t>
      </w:r>
      <w:r>
        <w:rPr>
          <w:rFonts w:ascii="Arial" w:cs="Arial" w:eastAsia="Arial" w:hAnsi="Arial"/>
          <w:sz w:val="12"/>
          <w:szCs w:val="12"/>
          <w:u w:val="single" w:color="auto"/>
          <w:color w:val="363636"/>
        </w:rPr>
        <w:t>c</w:t>
      </w:r>
      <w:r>
        <w:rPr>
          <w:rFonts w:ascii="Arial" w:cs="Arial" w:eastAsia="Arial" w:hAnsi="Arial"/>
          <w:sz w:val="12"/>
          <w:szCs w:val="12"/>
          <w:u w:val="single" w:color="auto"/>
          <w:color w:val="111111"/>
        </w:rPr>
        <w:t>tr</w:t>
      </w:r>
      <w:r>
        <w:rPr>
          <w:rFonts w:ascii="Arial" w:cs="Arial" w:eastAsia="Arial" w:hAnsi="Arial"/>
          <w:sz w:val="12"/>
          <w:szCs w:val="12"/>
          <w:u w:val="single" w:color="auto"/>
          <w:color w:val="363636"/>
        </w:rPr>
        <w:t>i</w:t>
      </w:r>
      <w:r>
        <w:rPr>
          <w:rFonts w:ascii="Arial" w:cs="Arial" w:eastAsia="Arial" w:hAnsi="Arial"/>
          <w:sz w:val="12"/>
          <w:szCs w:val="12"/>
          <w:u w:val="single" w:color="auto"/>
          <w:color w:val="111111"/>
        </w:rPr>
        <w:t>ci</w:t>
      </w:r>
      <w:r>
        <w:rPr>
          <w:rFonts w:ascii="Arial" w:cs="Arial" w:eastAsia="Arial" w:hAnsi="Arial"/>
          <w:sz w:val="12"/>
          <w:szCs w:val="12"/>
          <w:u w:val="single" w:color="auto"/>
          <w:color w:val="363636"/>
        </w:rPr>
        <w:t>t</w:t>
      </w:r>
      <w:r>
        <w:rPr>
          <w:rFonts w:ascii="Arial" w:cs="Arial" w:eastAsia="Arial" w:hAnsi="Arial"/>
          <w:sz w:val="12"/>
          <w:szCs w:val="12"/>
          <w:u w:val="single" w:color="auto"/>
          <w:color w:val="111111"/>
        </w:rPr>
        <w:t>y supply</w:t>
      </w:r>
    </w:p>
    <w:p>
      <w:pPr>
        <w:spacing w:after="0" w:line="201"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11111"/>
        </w:rPr>
        <w:t>4.1.5.1</w:t>
      </w:r>
      <w:r>
        <w:rPr>
          <w:sz w:val="20"/>
          <w:szCs w:val="20"/>
          <w:color w:val="auto"/>
        </w:rPr>
        <w:tab/>
      </w:r>
      <w:r>
        <w:rPr>
          <w:rFonts w:ascii="Arial" w:cs="Arial" w:eastAsia="Arial" w:hAnsi="Arial"/>
          <w:sz w:val="11"/>
          <w:szCs w:val="11"/>
          <w:color w:val="111111"/>
        </w:rPr>
        <w:t>If we do not arrange for the supply of electricity to the Premises, you must make arrangements with a supplier or retailer, as the case may be</w:t>
      </w:r>
      <w:r>
        <w:rPr>
          <w:rFonts w:ascii="Arial" w:cs="Arial" w:eastAsia="Arial" w:hAnsi="Arial"/>
          <w:sz w:val="11"/>
          <w:szCs w:val="11"/>
          <w:color w:val="363636"/>
        </w:rPr>
        <w:t>,</w:t>
      </w:r>
      <w:r>
        <w:rPr>
          <w:rFonts w:ascii="Arial" w:cs="Arial" w:eastAsia="Arial" w:hAnsi="Arial"/>
          <w:sz w:val="11"/>
          <w:szCs w:val="11"/>
          <w:color w:val="111111"/>
        </w:rPr>
        <w:t xml:space="preserve"> for supplying electricity to the Premises</w:t>
      </w:r>
      <w:r>
        <w:rPr>
          <w:rFonts w:ascii="Arial" w:cs="Arial" w:eastAsia="Arial" w:hAnsi="Arial"/>
          <w:sz w:val="11"/>
          <w:szCs w:val="11"/>
          <w:color w:val="363636"/>
        </w:rPr>
        <w:t>.</w:t>
      </w:r>
      <w:r>
        <w:rPr>
          <w:rFonts w:ascii="Arial" w:cs="Arial" w:eastAsia="Arial" w:hAnsi="Arial"/>
          <w:sz w:val="11"/>
          <w:szCs w:val="11"/>
          <w:color w:val="111111"/>
        </w:rPr>
        <w:t xml:space="preserve"> You must also</w:t>
      </w:r>
      <w:r>
        <w:rPr>
          <w:rFonts w:ascii="Arial" w:cs="Arial" w:eastAsia="Arial" w:hAnsi="Arial"/>
          <w:sz w:val="11"/>
          <w:szCs w:val="11"/>
          <w:color w:val="363636"/>
        </w:rPr>
        <w:t>:</w:t>
      </w:r>
    </w:p>
    <w:p>
      <w:pPr>
        <w:spacing w:after="0" w:line="190" w:lineRule="exact"/>
        <w:rPr>
          <w:sz w:val="20"/>
          <w:szCs w:val="20"/>
          <w:color w:val="auto"/>
        </w:rPr>
      </w:pPr>
    </w:p>
    <w:p>
      <w:pPr>
        <w:ind w:left="800" w:hanging="238"/>
        <w:spacing w:after="0"/>
        <w:tabs>
          <w:tab w:leader="none" w:pos="800" w:val="left"/>
        </w:tabs>
        <w:numPr>
          <w:ilvl w:val="0"/>
          <w:numId w:val="67"/>
        </w:numPr>
        <w:rPr>
          <w:rFonts w:ascii="Arial" w:cs="Arial" w:eastAsia="Arial" w:hAnsi="Arial"/>
          <w:sz w:val="12"/>
          <w:szCs w:val="12"/>
          <w:color w:val="111111"/>
        </w:rPr>
      </w:pPr>
      <w:r>
        <w:rPr>
          <w:rFonts w:ascii="Arial" w:cs="Arial" w:eastAsia="Arial" w:hAnsi="Arial"/>
          <w:sz w:val="12"/>
          <w:szCs w:val="12"/>
          <w:color w:val="111111"/>
        </w:rPr>
        <w:t>first get our approval of the supplier or retailer before you arrange for them to supply electricity to the Premises; and</w:t>
      </w:r>
    </w:p>
    <w:p>
      <w:pPr>
        <w:spacing w:after="0" w:line="190" w:lineRule="exact"/>
        <w:rPr>
          <w:rFonts w:ascii="Arial" w:cs="Arial" w:eastAsia="Arial" w:hAnsi="Arial"/>
          <w:sz w:val="12"/>
          <w:szCs w:val="12"/>
          <w:color w:val="111111"/>
        </w:rPr>
      </w:pPr>
    </w:p>
    <w:p>
      <w:pPr>
        <w:ind w:left="740" w:hanging="185"/>
        <w:spacing w:after="0"/>
        <w:tabs>
          <w:tab w:leader="none" w:pos="740" w:val="left"/>
        </w:tabs>
        <w:numPr>
          <w:ilvl w:val="0"/>
          <w:numId w:val="67"/>
        </w:numPr>
        <w:rPr>
          <w:rFonts w:ascii="Arial" w:cs="Arial" w:eastAsia="Arial" w:hAnsi="Arial"/>
          <w:sz w:val="12"/>
          <w:szCs w:val="12"/>
          <w:color w:val="131313"/>
        </w:rPr>
      </w:pPr>
      <w:r>
        <w:rPr>
          <w:rFonts w:ascii="Arial" w:cs="Arial" w:eastAsia="Arial" w:hAnsi="Arial"/>
          <w:sz w:val="12"/>
          <w:szCs w:val="12"/>
          <w:color w:val="131313"/>
        </w:rPr>
        <w:t>pay all charges directly to the supplier or retailer (including any connection charges or deposit) for supplying electricity to the Premises</w:t>
      </w:r>
      <w:r>
        <w:rPr>
          <w:rFonts w:ascii="Arial" w:cs="Arial" w:eastAsia="Arial" w:hAnsi="Arial"/>
          <w:sz w:val="12"/>
          <w:szCs w:val="12"/>
          <w:color w:val="363636"/>
        </w:rPr>
        <w:t>.</w:t>
      </w:r>
    </w:p>
    <w:p>
      <w:pPr>
        <w:spacing w:after="0" w:line="190" w:lineRule="exact"/>
        <w:rPr>
          <w:rFonts w:ascii="Arial" w:cs="Arial" w:eastAsia="Arial" w:hAnsi="Arial"/>
          <w:sz w:val="12"/>
          <w:szCs w:val="12"/>
          <w:color w:val="131313"/>
        </w:rPr>
      </w:pPr>
    </w:p>
    <w:p>
      <w:pPr>
        <w:ind w:left="80"/>
        <w:spacing w:after="0"/>
        <w:rPr>
          <w:rFonts w:ascii="Arial" w:cs="Arial" w:eastAsia="Arial" w:hAnsi="Arial"/>
          <w:sz w:val="12"/>
          <w:szCs w:val="12"/>
          <w:color w:val="131313"/>
        </w:rPr>
      </w:pPr>
      <w:r>
        <w:rPr>
          <w:rFonts w:ascii="Arial" w:cs="Arial" w:eastAsia="Arial" w:hAnsi="Arial"/>
          <w:sz w:val="12"/>
          <w:szCs w:val="12"/>
          <w:color w:val="131313"/>
        </w:rPr>
        <w:t>4.1.5.2  If we arrange for the supply of electricity to the Prem</w:t>
      </w:r>
      <w:r>
        <w:rPr>
          <w:rFonts w:ascii="Arial" w:cs="Arial" w:eastAsia="Arial" w:hAnsi="Arial"/>
          <w:sz w:val="12"/>
          <w:szCs w:val="12"/>
          <w:color w:val="363636"/>
        </w:rPr>
        <w:t>i</w:t>
      </w:r>
      <w:r>
        <w:rPr>
          <w:rFonts w:ascii="Arial" w:cs="Arial" w:eastAsia="Arial" w:hAnsi="Arial"/>
          <w:sz w:val="12"/>
          <w:szCs w:val="12"/>
          <w:color w:val="131313"/>
        </w:rPr>
        <w:t>ses by bulk or block purchase or otherwise, you must pay us: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19</w:t>
            </w:r>
          </w:p>
        </w:tc>
      </w:tr>
    </w:tbl>
    <w:p>
      <w:pPr>
        <w:sectPr>
          <w:pgSz w:w="11900" w:h="16838" w:orient="portrait"/>
          <w:cols w:equalWidth="0" w:num="1">
            <w:col w:w="11180"/>
          </w:cols>
          <w:pgMar w:left="300" w:top="1440" w:right="41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8">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00" w:hanging="245"/>
        <w:spacing w:after="0"/>
        <w:tabs>
          <w:tab w:leader="none" w:pos="800" w:val="left"/>
        </w:tabs>
        <w:numPr>
          <w:ilvl w:val="0"/>
          <w:numId w:val="68"/>
        </w:numPr>
        <w:rPr>
          <w:rFonts w:ascii="Arial" w:cs="Arial" w:eastAsia="Arial" w:hAnsi="Arial"/>
          <w:sz w:val="12"/>
          <w:szCs w:val="12"/>
          <w:color w:val="131313"/>
        </w:rPr>
      </w:pPr>
      <w:r>
        <w:rPr>
          <w:rFonts w:ascii="Arial" w:cs="Arial" w:eastAsia="Arial" w:hAnsi="Arial"/>
          <w:sz w:val="12"/>
          <w:szCs w:val="12"/>
          <w:color w:val="131313"/>
        </w:rPr>
        <w:t>Electricity Charges for electricity supplied to the Premises each month</w:t>
      </w:r>
      <w:r>
        <w:rPr>
          <w:rFonts w:ascii="Arial" w:cs="Arial" w:eastAsia="Arial" w:hAnsi="Arial"/>
          <w:sz w:val="12"/>
          <w:szCs w:val="12"/>
          <w:color w:val="363636"/>
        </w:rPr>
        <w:t>.</w:t>
      </w:r>
      <w:r>
        <w:rPr>
          <w:rFonts w:ascii="Arial" w:cs="Arial" w:eastAsia="Arial" w:hAnsi="Arial"/>
          <w:sz w:val="12"/>
          <w:szCs w:val="12"/>
          <w:color w:val="131313"/>
        </w:rPr>
        <w:t xml:space="preserve"> The Electricity Charges will be calculated at the rate we notify you in an invoice</w:t>
      </w:r>
      <w:r>
        <w:rPr>
          <w:rFonts w:ascii="Arial" w:cs="Arial" w:eastAsia="Arial" w:hAnsi="Arial"/>
          <w:sz w:val="12"/>
          <w:szCs w:val="12"/>
          <w:color w:val="363636"/>
        </w:rPr>
        <w:t>;</w:t>
      </w:r>
    </w:p>
    <w:p>
      <w:pPr>
        <w:spacing w:after="0" w:line="190" w:lineRule="exact"/>
        <w:rPr>
          <w:rFonts w:ascii="Arial" w:cs="Arial" w:eastAsia="Arial" w:hAnsi="Arial"/>
          <w:sz w:val="12"/>
          <w:szCs w:val="12"/>
          <w:color w:val="131313"/>
        </w:rPr>
      </w:pPr>
    </w:p>
    <w:p>
      <w:pPr>
        <w:ind w:left="800" w:hanging="245"/>
        <w:spacing w:after="0"/>
        <w:tabs>
          <w:tab w:leader="none" w:pos="800" w:val="left"/>
        </w:tabs>
        <w:numPr>
          <w:ilvl w:val="0"/>
          <w:numId w:val="68"/>
        </w:numPr>
        <w:rPr>
          <w:rFonts w:ascii="Arial" w:cs="Arial" w:eastAsia="Arial" w:hAnsi="Arial"/>
          <w:sz w:val="12"/>
          <w:szCs w:val="12"/>
          <w:color w:val="131313"/>
        </w:rPr>
      </w:pPr>
      <w:r>
        <w:rPr>
          <w:rFonts w:ascii="Arial" w:cs="Arial" w:eastAsia="Arial" w:hAnsi="Arial"/>
          <w:sz w:val="12"/>
          <w:szCs w:val="12"/>
          <w:color w:val="131313"/>
        </w:rPr>
        <w:t>all other charges relating to supplying electricity to the Premises (including connection and administrative charges) as we notify you in an invoice; and</w:t>
      </w:r>
    </w:p>
    <w:p>
      <w:pPr>
        <w:spacing w:after="0" w:line="200" w:lineRule="exact"/>
        <w:rPr>
          <w:rFonts w:ascii="Arial" w:cs="Arial" w:eastAsia="Arial" w:hAnsi="Arial"/>
          <w:sz w:val="12"/>
          <w:szCs w:val="12"/>
          <w:color w:val="131313"/>
        </w:rPr>
      </w:pPr>
    </w:p>
    <w:p>
      <w:pPr>
        <w:jc w:val="both"/>
        <w:ind w:left="800" w:hanging="248"/>
        <w:spacing w:after="0" w:line="241" w:lineRule="auto"/>
        <w:tabs>
          <w:tab w:leader="none" w:pos="793" w:val="left"/>
        </w:tabs>
        <w:numPr>
          <w:ilvl w:val="0"/>
          <w:numId w:val="68"/>
        </w:numPr>
        <w:rPr>
          <w:rFonts w:ascii="Arial" w:cs="Arial" w:eastAsia="Arial" w:hAnsi="Arial"/>
          <w:sz w:val="12"/>
          <w:szCs w:val="12"/>
          <w:color w:val="131313"/>
        </w:rPr>
      </w:pPr>
      <w:r>
        <w:rPr>
          <w:rFonts w:ascii="Arial" w:cs="Arial" w:eastAsia="Arial" w:hAnsi="Arial"/>
          <w:sz w:val="12"/>
          <w:szCs w:val="12"/>
          <w:color w:val="131313"/>
        </w:rPr>
        <w:t>the Electricity Supply Deposit. We will notify you of the amount of the Electricity Supply Deposit that you must pay from time to time during the Term. If the Electricity Supply Deposit you have paid to us is less than the amount we have told you to pay, you must pay the difference to us. We will keep the Electricity Supply Deposit for the whole of the Term and we may use all or part of it to indemnify us (that is, to pay all our losses in full without dispute or claim that we should have minimised such losses) against you failing to keep to clauses 4.1.5</w:t>
      </w:r>
      <w:r>
        <w:rPr>
          <w:rFonts w:ascii="Arial" w:cs="Arial" w:eastAsia="Arial" w:hAnsi="Arial"/>
          <w:sz w:val="12"/>
          <w:szCs w:val="12"/>
          <w:color w:val="363636"/>
        </w:rPr>
        <w:t>.</w:t>
      </w:r>
      <w:r>
        <w:rPr>
          <w:rFonts w:ascii="Arial" w:cs="Arial" w:eastAsia="Arial" w:hAnsi="Arial"/>
          <w:sz w:val="12"/>
          <w:szCs w:val="12"/>
          <w:color w:val="131313"/>
        </w:rPr>
        <w:t>2(a) and 4</w:t>
      </w:r>
      <w:r>
        <w:rPr>
          <w:rFonts w:ascii="Arial" w:cs="Arial" w:eastAsia="Arial" w:hAnsi="Arial"/>
          <w:sz w:val="12"/>
          <w:szCs w:val="12"/>
          <w:color w:val="363636"/>
        </w:rPr>
        <w:t>.</w:t>
      </w:r>
      <w:r>
        <w:rPr>
          <w:rFonts w:ascii="Arial" w:cs="Arial" w:eastAsia="Arial" w:hAnsi="Arial"/>
          <w:sz w:val="12"/>
          <w:szCs w:val="12"/>
          <w:color w:val="131313"/>
        </w:rPr>
        <w:t>1</w:t>
      </w:r>
      <w:r>
        <w:rPr>
          <w:rFonts w:ascii="Arial" w:cs="Arial" w:eastAsia="Arial" w:hAnsi="Arial"/>
          <w:sz w:val="12"/>
          <w:szCs w:val="12"/>
          <w:color w:val="363636"/>
        </w:rPr>
        <w:t>.</w:t>
      </w:r>
      <w:r>
        <w:rPr>
          <w:rFonts w:ascii="Arial" w:cs="Arial" w:eastAsia="Arial" w:hAnsi="Arial"/>
          <w:sz w:val="12"/>
          <w:szCs w:val="12"/>
          <w:color w:val="131313"/>
        </w:rPr>
        <w:t>5</w:t>
      </w:r>
      <w:r>
        <w:rPr>
          <w:rFonts w:ascii="Arial" w:cs="Arial" w:eastAsia="Arial" w:hAnsi="Arial"/>
          <w:sz w:val="12"/>
          <w:szCs w:val="12"/>
          <w:color w:val="363636"/>
        </w:rPr>
        <w:t>.</w:t>
      </w:r>
      <w:r>
        <w:rPr>
          <w:rFonts w:ascii="Arial" w:cs="Arial" w:eastAsia="Arial" w:hAnsi="Arial"/>
          <w:sz w:val="12"/>
          <w:szCs w:val="12"/>
          <w:color w:val="131313"/>
        </w:rPr>
        <w:t>2(b) above. We will refund the Electricity Supply Deposit without interest and after making any deductions that are allowed under this Lease, within 30 days after we have confirmed that there are no outstanding obligations under this Lease, including that you have paid all amounts that you owe us. To avoid any doubt, such refund will not affect any other rights we may have if we find you still owe us money or have not kept to the terms of this Lease after we return the Electricity Supply Deposit to you.</w:t>
      </w:r>
    </w:p>
    <w:p>
      <w:pPr>
        <w:spacing w:after="0" w:line="185" w:lineRule="exact"/>
        <w:rPr>
          <w:sz w:val="20"/>
          <w:szCs w:val="20"/>
          <w:color w:val="auto"/>
        </w:rPr>
      </w:pPr>
    </w:p>
    <w:p>
      <w:pPr>
        <w:jc w:val="both"/>
        <w:ind w:left="540" w:right="20" w:hanging="470"/>
        <w:spacing w:after="0" w:line="245" w:lineRule="auto"/>
        <w:tabs>
          <w:tab w:leader="none" w:pos="520" w:val="left"/>
        </w:tabs>
        <w:rPr>
          <w:sz w:val="20"/>
          <w:szCs w:val="20"/>
          <w:color w:val="auto"/>
        </w:rPr>
      </w:pPr>
      <w:r>
        <w:rPr>
          <w:rFonts w:ascii="Arial" w:cs="Arial" w:eastAsia="Arial" w:hAnsi="Arial"/>
          <w:sz w:val="12"/>
          <w:szCs w:val="12"/>
          <w:color w:val="131313"/>
        </w:rPr>
        <w:t>4.1.5.3</w:t>
        <w:tab/>
        <w:t>The amount as set out in our invoices in clause 4.1</w:t>
      </w:r>
      <w:r>
        <w:rPr>
          <w:rFonts w:ascii="Arial" w:cs="Arial" w:eastAsia="Arial" w:hAnsi="Arial"/>
          <w:sz w:val="12"/>
          <w:szCs w:val="12"/>
          <w:color w:val="363636"/>
        </w:rPr>
        <w:t>.</w:t>
      </w:r>
      <w:r>
        <w:rPr>
          <w:rFonts w:ascii="Arial" w:cs="Arial" w:eastAsia="Arial" w:hAnsi="Arial"/>
          <w:sz w:val="12"/>
          <w:szCs w:val="12"/>
          <w:color w:val="131313"/>
        </w:rPr>
        <w:t>5</w:t>
      </w:r>
      <w:r>
        <w:rPr>
          <w:rFonts w:ascii="Arial" w:cs="Arial" w:eastAsia="Arial" w:hAnsi="Arial"/>
          <w:sz w:val="12"/>
          <w:szCs w:val="12"/>
          <w:color w:val="5D5D5D"/>
        </w:rPr>
        <w:t>.</w:t>
      </w:r>
      <w:r>
        <w:rPr>
          <w:rFonts w:ascii="Arial" w:cs="Arial" w:eastAsia="Arial" w:hAnsi="Arial"/>
          <w:sz w:val="12"/>
          <w:szCs w:val="12"/>
          <w:color w:val="131313"/>
        </w:rPr>
        <w:t>2 above will be final and binding (unless there is a clear and obvious mistake) and you must pay such amounts to us on the Payment Date</w:t>
      </w:r>
      <w:r>
        <w:rPr>
          <w:rFonts w:ascii="Arial" w:cs="Arial" w:eastAsia="Arial" w:hAnsi="Arial"/>
          <w:sz w:val="12"/>
          <w:szCs w:val="12"/>
          <w:color w:val="494949"/>
        </w:rPr>
        <w:t>.</w:t>
      </w:r>
      <w:r>
        <w:rPr>
          <w:rFonts w:ascii="Arial" w:cs="Arial" w:eastAsia="Arial" w:hAnsi="Arial"/>
          <w:sz w:val="12"/>
          <w:szCs w:val="12"/>
          <w:color w:val="131313"/>
        </w:rPr>
        <w:t xml:space="preserve"> If there are any clear and obvious mistakes in the amounts as set out in our invoices, we will notify you and you must pay the difference on the Payment Date from the date of such notice</w:t>
      </w:r>
      <w:r>
        <w:rPr>
          <w:rFonts w:ascii="Arial" w:cs="Arial" w:eastAsia="Arial" w:hAnsi="Arial"/>
          <w:sz w:val="12"/>
          <w:szCs w:val="12"/>
          <w:color w:val="494949"/>
        </w:rPr>
        <w:t>.</w:t>
      </w:r>
      <w:r>
        <w:rPr>
          <w:rFonts w:ascii="Arial" w:cs="Arial" w:eastAsia="Arial" w:hAnsi="Arial"/>
          <w:sz w:val="12"/>
          <w:szCs w:val="12"/>
          <w:color w:val="131313"/>
        </w:rPr>
        <w:t xml:space="preserve"> Any retailer or supplier we appoint to provide electricity to the Premises will also have the same rights as us under this clause 4</w:t>
      </w:r>
      <w:r>
        <w:rPr>
          <w:rFonts w:ascii="Arial" w:cs="Arial" w:eastAsia="Arial" w:hAnsi="Arial"/>
          <w:sz w:val="12"/>
          <w:szCs w:val="12"/>
          <w:color w:val="494949"/>
        </w:rPr>
        <w:t>.</w:t>
      </w:r>
      <w:r>
        <w:rPr>
          <w:rFonts w:ascii="Arial" w:cs="Arial" w:eastAsia="Arial" w:hAnsi="Arial"/>
          <w:sz w:val="12"/>
          <w:szCs w:val="12"/>
          <w:color w:val="131313"/>
        </w:rPr>
        <w:t>1</w:t>
      </w:r>
      <w:r>
        <w:rPr>
          <w:rFonts w:ascii="Arial" w:cs="Arial" w:eastAsia="Arial" w:hAnsi="Arial"/>
          <w:sz w:val="12"/>
          <w:szCs w:val="12"/>
          <w:color w:val="363636"/>
        </w:rPr>
        <w:t>.</w:t>
      </w:r>
      <w:r>
        <w:rPr>
          <w:rFonts w:ascii="Arial" w:cs="Arial" w:eastAsia="Arial" w:hAnsi="Arial"/>
          <w:sz w:val="12"/>
          <w:szCs w:val="12"/>
          <w:color w:val="131313"/>
        </w:rPr>
        <w:t>5</w:t>
      </w:r>
      <w:r>
        <w:rPr>
          <w:rFonts w:ascii="Arial" w:cs="Arial" w:eastAsia="Arial" w:hAnsi="Arial"/>
          <w:sz w:val="12"/>
          <w:szCs w:val="12"/>
          <w:color w:val="494949"/>
        </w:rPr>
        <w:t>.</w:t>
      </w:r>
    </w:p>
    <w:p>
      <w:pPr>
        <w:spacing w:after="0" w:line="181" w:lineRule="exact"/>
        <w:rPr>
          <w:sz w:val="20"/>
          <w:szCs w:val="20"/>
          <w:color w:val="auto"/>
        </w:rPr>
      </w:pPr>
    </w:p>
    <w:p>
      <w:pPr>
        <w:jc w:val="both"/>
        <w:ind w:left="560" w:right="20" w:hanging="470"/>
        <w:spacing w:after="0" w:line="245" w:lineRule="auto"/>
        <w:tabs>
          <w:tab w:leader="none" w:pos="540" w:val="left"/>
        </w:tabs>
        <w:rPr>
          <w:sz w:val="20"/>
          <w:szCs w:val="20"/>
          <w:color w:val="auto"/>
        </w:rPr>
      </w:pPr>
      <w:r>
        <w:rPr>
          <w:rFonts w:ascii="Arial" w:cs="Arial" w:eastAsia="Arial" w:hAnsi="Arial"/>
          <w:sz w:val="12"/>
          <w:szCs w:val="12"/>
          <w:color w:val="131313"/>
        </w:rPr>
        <w:t>4.1.5.4</w:t>
        <w:tab/>
        <w:t>If we make or intend to make a bulk or block purchase to supply electricity to the whole Building or the Park, you will be considered to have given your permission for the purchase. You must also, if we ask you to, sign an authorisation in such format as we may inform. If we decide to change the retailer or supplier during the Term, we may transfer the Electricity Supply Deposit at any time to any supplier or retailer</w:t>
      </w:r>
      <w:r>
        <w:rPr>
          <w:rFonts w:ascii="Arial" w:cs="Arial" w:eastAsia="Arial" w:hAnsi="Arial"/>
          <w:sz w:val="12"/>
          <w:szCs w:val="12"/>
          <w:color w:val="363636"/>
        </w:rPr>
        <w:t>.</w:t>
      </w:r>
    </w:p>
    <w:p>
      <w:pPr>
        <w:spacing w:after="0" w:line="192"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4.1.6</w:t>
      </w:r>
      <w:r>
        <w:rPr>
          <w:sz w:val="20"/>
          <w:szCs w:val="20"/>
          <w:color w:val="auto"/>
        </w:rPr>
        <w:tab/>
      </w:r>
      <w:r>
        <w:rPr>
          <w:rFonts w:ascii="Arial" w:cs="Arial" w:eastAsia="Arial" w:hAnsi="Arial"/>
          <w:sz w:val="11"/>
          <w:szCs w:val="11"/>
          <w:u w:val="single" w:color="auto"/>
          <w:color w:val="131313"/>
        </w:rPr>
        <w:t>Taxes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2"/>
          <w:szCs w:val="12"/>
          <w:color w:val="131313"/>
        </w:rPr>
        <w:t>Without affecting our obligations under clause 5.2, you must pay us immediately when we notify you any Taxes charged on the amounts you must pay under this Lease</w:t>
      </w:r>
      <w:r>
        <w:rPr>
          <w:rFonts w:ascii="Arial" w:cs="Arial" w:eastAsia="Arial" w:hAnsi="Arial"/>
          <w:sz w:val="12"/>
          <w:szCs w:val="12"/>
          <w:color w:val="363636"/>
        </w:rPr>
        <w:t>.</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4.1.7</w:t>
      </w:r>
      <w:r>
        <w:rPr>
          <w:sz w:val="20"/>
          <w:szCs w:val="20"/>
          <w:color w:val="auto"/>
        </w:rPr>
        <w:tab/>
      </w:r>
      <w:r>
        <w:rPr>
          <w:rFonts w:ascii="Arial" w:cs="Arial" w:eastAsia="Arial" w:hAnsi="Arial"/>
          <w:sz w:val="11"/>
          <w:szCs w:val="11"/>
          <w:u w:val="single" w:color="auto"/>
          <w:color w:val="131313"/>
        </w:rPr>
        <w:t>A</w:t>
      </w:r>
      <w:r>
        <w:rPr>
          <w:rFonts w:ascii="Arial" w:cs="Arial" w:eastAsia="Arial" w:hAnsi="Arial"/>
          <w:sz w:val="11"/>
          <w:szCs w:val="11"/>
          <w:u w:val="single" w:color="auto"/>
          <w:color w:val="363636"/>
        </w:rPr>
        <w:t>dditi</w:t>
      </w:r>
      <w:r>
        <w:rPr>
          <w:rFonts w:ascii="Arial" w:cs="Arial" w:eastAsia="Arial" w:hAnsi="Arial"/>
          <w:sz w:val="11"/>
          <w:szCs w:val="11"/>
          <w:u w:val="single" w:color="auto"/>
          <w:color w:val="131313"/>
        </w:rPr>
        <w:t>o</w:t>
      </w:r>
      <w:r>
        <w:rPr>
          <w:rFonts w:ascii="Arial" w:cs="Arial" w:eastAsia="Arial" w:hAnsi="Arial"/>
          <w:sz w:val="11"/>
          <w:szCs w:val="11"/>
          <w:u w:val="single" w:color="auto"/>
          <w:color w:val="363636"/>
        </w:rPr>
        <w:t>na</w:t>
      </w:r>
      <w:r>
        <w:rPr>
          <w:rFonts w:ascii="Arial" w:cs="Arial" w:eastAsia="Arial" w:hAnsi="Arial"/>
          <w:sz w:val="11"/>
          <w:szCs w:val="11"/>
          <w:u w:val="single" w:color="auto"/>
          <w:color w:val="131313"/>
        </w:rPr>
        <w:t>l P</w:t>
      </w:r>
      <w:r>
        <w:rPr>
          <w:rFonts w:ascii="Arial" w:cs="Arial" w:eastAsia="Arial" w:hAnsi="Arial"/>
          <w:sz w:val="11"/>
          <w:szCs w:val="11"/>
          <w:u w:val="single" w:color="auto"/>
          <w:color w:val="363636"/>
        </w:rPr>
        <w:t>r</w:t>
      </w:r>
      <w:r>
        <w:rPr>
          <w:rFonts w:ascii="Arial" w:cs="Arial" w:eastAsia="Arial" w:hAnsi="Arial"/>
          <w:sz w:val="11"/>
          <w:szCs w:val="11"/>
          <w:u w:val="single" w:color="auto"/>
          <w:color w:val="131313"/>
        </w:rPr>
        <w:t>o</w:t>
      </w:r>
      <w:r>
        <w:rPr>
          <w:rFonts w:ascii="Arial" w:cs="Arial" w:eastAsia="Arial" w:hAnsi="Arial"/>
          <w:sz w:val="11"/>
          <w:szCs w:val="11"/>
          <w:u w:val="single" w:color="auto"/>
          <w:color w:val="363636"/>
        </w:rPr>
        <w:t>pert</w:t>
      </w:r>
      <w:r>
        <w:rPr>
          <w:rFonts w:ascii="Arial" w:cs="Arial" w:eastAsia="Arial" w:hAnsi="Arial"/>
          <w:sz w:val="11"/>
          <w:szCs w:val="11"/>
          <w:u w:val="single" w:color="auto"/>
          <w:color w:val="131313"/>
        </w:rPr>
        <w:t xml:space="preserve">y </w:t>
      </w:r>
      <w:r>
        <w:rPr>
          <w:rFonts w:ascii="Arial" w:cs="Arial" w:eastAsia="Arial" w:hAnsi="Arial"/>
          <w:sz w:val="11"/>
          <w:szCs w:val="11"/>
          <w:u w:val="single" w:color="auto"/>
          <w:color w:val="363636"/>
        </w:rPr>
        <w:t>Tax</w:t>
      </w:r>
    </w:p>
    <w:p>
      <w:pPr>
        <w:spacing w:after="0" w:line="190" w:lineRule="exact"/>
        <w:rPr>
          <w:sz w:val="20"/>
          <w:szCs w:val="20"/>
          <w:color w:val="auto"/>
        </w:rPr>
      </w:pPr>
    </w:p>
    <w:p>
      <w:pPr>
        <w:ind w:left="560"/>
        <w:spacing w:after="0" w:line="250" w:lineRule="auto"/>
        <w:rPr>
          <w:sz w:val="20"/>
          <w:szCs w:val="20"/>
          <w:color w:val="auto"/>
        </w:rPr>
      </w:pPr>
      <w:r>
        <w:rPr>
          <w:rFonts w:ascii="Arial" w:cs="Arial" w:eastAsia="Arial" w:hAnsi="Arial"/>
          <w:sz w:val="12"/>
          <w:szCs w:val="12"/>
          <w:color w:val="131313"/>
        </w:rPr>
        <w:t>Once you have signed this Lease, you must pay us any Additional Property Tax that we notify you is due for the Premises, the Rent-free Period (if any) and the Term of this Lease. We will decide whether to object to or appeal against any assessment of annual value or any property tax that is charged on the Premises.</w:t>
      </w:r>
    </w:p>
    <w:p>
      <w:pPr>
        <w:spacing w:after="0" w:line="17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4.1.8</w:t>
      </w:r>
      <w:r>
        <w:rPr>
          <w:sz w:val="20"/>
          <w:szCs w:val="20"/>
          <w:color w:val="auto"/>
        </w:rPr>
        <w:tab/>
      </w:r>
      <w:r>
        <w:rPr>
          <w:rFonts w:ascii="Arial" w:cs="Arial" w:eastAsia="Arial" w:hAnsi="Arial"/>
          <w:sz w:val="11"/>
          <w:szCs w:val="11"/>
          <w:u w:val="single" w:color="auto"/>
          <w:color w:val="131313"/>
        </w:rPr>
        <w:t>S</w:t>
      </w:r>
      <w:r>
        <w:rPr>
          <w:rFonts w:ascii="Arial" w:cs="Arial" w:eastAsia="Arial" w:hAnsi="Arial"/>
          <w:sz w:val="11"/>
          <w:szCs w:val="11"/>
          <w:u w:val="single" w:color="auto"/>
          <w:color w:val="363636"/>
        </w:rPr>
        <w:t>e</w:t>
      </w:r>
      <w:r>
        <w:rPr>
          <w:rFonts w:ascii="Arial" w:cs="Arial" w:eastAsia="Arial" w:hAnsi="Arial"/>
          <w:sz w:val="11"/>
          <w:szCs w:val="11"/>
          <w:u w:val="single" w:color="auto"/>
          <w:color w:val="131313"/>
        </w:rPr>
        <w:t>cu</w:t>
      </w:r>
      <w:r>
        <w:rPr>
          <w:rFonts w:ascii="Arial" w:cs="Arial" w:eastAsia="Arial" w:hAnsi="Arial"/>
          <w:sz w:val="11"/>
          <w:szCs w:val="11"/>
          <w:u w:val="single" w:color="auto"/>
          <w:color w:val="363636"/>
        </w:rPr>
        <w:t>rit</w:t>
      </w:r>
      <w:r>
        <w:rPr>
          <w:rFonts w:ascii="Arial" w:cs="Arial" w:eastAsia="Arial" w:hAnsi="Arial"/>
          <w:sz w:val="11"/>
          <w:szCs w:val="11"/>
          <w:u w:val="single" w:color="auto"/>
          <w:color w:val="131313"/>
        </w:rPr>
        <w:t>y Depo</w:t>
      </w:r>
      <w:r>
        <w:rPr>
          <w:rFonts w:ascii="Arial" w:cs="Arial" w:eastAsia="Arial" w:hAnsi="Arial"/>
          <w:sz w:val="11"/>
          <w:szCs w:val="11"/>
          <w:u w:val="single" w:color="auto"/>
          <w:color w:val="363636"/>
        </w:rPr>
        <w:t>sit</w:t>
      </w:r>
    </w:p>
    <w:p>
      <w:pPr>
        <w:spacing w:after="0" w:line="190" w:lineRule="exact"/>
        <w:rPr>
          <w:sz w:val="20"/>
          <w:szCs w:val="20"/>
          <w:color w:val="auto"/>
        </w:rPr>
      </w:pPr>
    </w:p>
    <w:p>
      <w:pPr>
        <w:jc w:val="both"/>
        <w:ind w:left="560" w:hanging="469"/>
        <w:spacing w:after="0" w:line="245" w:lineRule="auto"/>
        <w:tabs>
          <w:tab w:leader="none" w:pos="540" w:val="left"/>
        </w:tabs>
        <w:rPr>
          <w:sz w:val="20"/>
          <w:szCs w:val="20"/>
          <w:color w:val="auto"/>
        </w:rPr>
      </w:pPr>
      <w:r>
        <w:rPr>
          <w:rFonts w:ascii="Arial" w:cs="Arial" w:eastAsia="Arial" w:hAnsi="Arial"/>
          <w:sz w:val="12"/>
          <w:szCs w:val="12"/>
          <w:color w:val="131313"/>
        </w:rPr>
        <w:t>4.1.8.1</w:t>
        <w:tab/>
        <w:t>Upon signing this Lease, you must pay and maintain with us the Security Deposit during the Term, as security for you keeping to the terms of this Lease and to indemnify us (that is, to pay all our losses in full without dispute or claim that we should have minimised such losses) against any Losses we may suffer against you or any of Your Authorised People in relation to any matter arising out of or relating to the Premises or this Lease, including any amount you owe us during any holdover period or future lease of the Premises</w:t>
      </w:r>
      <w:r>
        <w:rPr>
          <w:rFonts w:ascii="Arial" w:cs="Arial" w:eastAsia="Arial" w:hAnsi="Arial"/>
          <w:sz w:val="12"/>
          <w:szCs w:val="12"/>
          <w:color w:val="363636"/>
        </w:rPr>
        <w:t>.</w:t>
      </w:r>
    </w:p>
    <w:p>
      <w:pPr>
        <w:spacing w:after="0" w:line="181" w:lineRule="exact"/>
        <w:rPr>
          <w:sz w:val="20"/>
          <w:szCs w:val="20"/>
          <w:color w:val="auto"/>
        </w:rPr>
      </w:pPr>
    </w:p>
    <w:p>
      <w:pPr>
        <w:jc w:val="both"/>
        <w:ind w:left="560" w:hanging="469"/>
        <w:spacing w:after="0" w:line="250" w:lineRule="auto"/>
        <w:tabs>
          <w:tab w:leader="none" w:pos="540" w:val="left"/>
        </w:tabs>
        <w:rPr>
          <w:sz w:val="20"/>
          <w:szCs w:val="20"/>
          <w:color w:val="auto"/>
        </w:rPr>
      </w:pPr>
      <w:r>
        <w:rPr>
          <w:rFonts w:ascii="Arial" w:cs="Arial" w:eastAsia="Arial" w:hAnsi="Arial"/>
          <w:sz w:val="12"/>
          <w:szCs w:val="12"/>
          <w:color w:val="131313"/>
        </w:rPr>
        <w:t>4.1.8.2</w:t>
        <w:tab/>
        <w:t>If you do not keep to the terms of this Lease, we may use the Security Deposit to make good to our satisfaction any losses we have suffered, and you must pay us an amount equal to the amount of the Security Deposit we use, within seven days of us notifying you.</w:t>
      </w:r>
    </w:p>
    <w:p>
      <w:pPr>
        <w:spacing w:after="0" w:line="18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4.1.8.3</w:t>
        <w:tab/>
        <w:t>If the Gross Rent is increased under this Lease, the Security Deposit will also be increased and you must pay the increased amount to us on the date we notify you</w:t>
      </w:r>
      <w:r>
        <w:rPr>
          <w:rFonts w:ascii="Arial" w:cs="Arial" w:eastAsia="Arial" w:hAnsi="Arial"/>
          <w:sz w:val="12"/>
          <w:szCs w:val="12"/>
          <w:color w:val="494949"/>
        </w:rPr>
        <w: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2"/>
          <w:szCs w:val="12"/>
          <w:color w:val="111111"/>
        </w:rPr>
        <w:t xml:space="preserve">4.1.8.4. </w:t>
      </w:r>
      <w:r>
        <w:rPr>
          <w:rFonts w:ascii="Arial" w:cs="Arial" w:eastAsia="Arial" w:hAnsi="Arial"/>
          <w:sz w:val="12"/>
          <w:szCs w:val="12"/>
          <w:color w:val="131313"/>
        </w:rPr>
        <w:t>You</w:t>
      </w:r>
      <w:r>
        <w:rPr>
          <w:rFonts w:ascii="Arial" w:cs="Arial" w:eastAsia="Arial" w:hAnsi="Arial"/>
          <w:sz w:val="12"/>
          <w:szCs w:val="12"/>
          <w:color w:val="111111"/>
        </w:rPr>
        <w:t xml:space="preserve"> must not set off (that is</w:t>
      </w:r>
      <w:r>
        <w:rPr>
          <w:rFonts w:ascii="Arial" w:cs="Arial" w:eastAsia="Arial" w:hAnsi="Arial"/>
          <w:sz w:val="12"/>
          <w:szCs w:val="12"/>
          <w:color w:val="363636"/>
        </w:rPr>
        <w:t>,</w:t>
      </w:r>
      <w:r>
        <w:rPr>
          <w:rFonts w:ascii="Arial" w:cs="Arial" w:eastAsia="Arial" w:hAnsi="Arial"/>
          <w:sz w:val="12"/>
          <w:szCs w:val="12"/>
          <w:color w:val="111111"/>
        </w:rPr>
        <w:t xml:space="preserve"> treat it as payment of) any part of the Security Deposit against any Gross Rent or other amounts you owe us</w:t>
      </w:r>
      <w:r>
        <w:rPr>
          <w:rFonts w:ascii="Arial" w:cs="Arial" w:eastAsia="Arial" w:hAnsi="Arial"/>
          <w:sz w:val="12"/>
          <w:szCs w:val="12"/>
          <w:color w:val="36363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20</w:t>
            </w:r>
          </w:p>
        </w:tc>
      </w:tr>
    </w:tbl>
    <w:p>
      <w:pPr>
        <w:sectPr>
          <w:pgSz w:w="11900" w:h="16838" w:orient="portrait"/>
          <w:cols w:equalWidth="0" w:num="1">
            <w:col w:w="11200"/>
          </w:cols>
          <w:pgMar w:left="300" w:top="1440" w:right="39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9">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55" w:lineRule="exact"/>
        <w:rPr>
          <w:sz w:val="20"/>
          <w:szCs w:val="20"/>
          <w:color w:val="auto"/>
        </w:rPr>
      </w:pPr>
    </w:p>
    <w:p>
      <w:pPr>
        <w:jc w:val="both"/>
        <w:ind w:left="580" w:right="20" w:hanging="221"/>
        <w:spacing w:after="0" w:line="245" w:lineRule="auto"/>
        <w:rPr>
          <w:sz w:val="20"/>
          <w:szCs w:val="20"/>
          <w:color w:val="auto"/>
        </w:rPr>
      </w:pPr>
      <w:r>
        <w:rPr>
          <w:rFonts w:ascii="Arial" w:cs="Arial" w:eastAsia="Arial" w:hAnsi="Arial"/>
          <w:sz w:val="12"/>
          <w:szCs w:val="12"/>
          <w:color w:val="111111"/>
        </w:rPr>
        <w:t>4.3.8.5</w:t>
      </w:r>
      <w:r>
        <w:rPr>
          <w:sz w:val="20"/>
          <w:szCs w:val="20"/>
          <w:color w:val="auto"/>
        </w:rPr>
        <w:t xml:space="preserve"> </w:t>
      </w:r>
      <w:r>
        <w:rPr>
          <w:rFonts w:ascii="Arial" w:cs="Arial" w:eastAsia="Arial" w:hAnsi="Arial"/>
          <w:sz w:val="12"/>
          <w:szCs w:val="12"/>
          <w:color w:val="111111"/>
        </w:rPr>
        <w:t>We will refund the Security Deposit to you, without interest and after making any deductions that are allowed under this Lease, within 30 days after we have confirmed that there are no outstanding obligations under this Lease, including that you have paid all amounts that you owe us. To avoid any doubt, such refund will not affect any other rights we may have if we find you still owe us money or have not kept to the terms of this Lease after we return the Security Deposit to you</w:t>
      </w:r>
      <w:r>
        <w:rPr>
          <w:rFonts w:ascii="Arial" w:cs="Arial" w:eastAsia="Arial" w:hAnsi="Arial"/>
          <w:sz w:val="12"/>
          <w:szCs w:val="12"/>
          <w:color w:val="363636"/>
        </w:rPr>
        <w:t>.</w:t>
      </w:r>
    </w:p>
    <w:p>
      <w:pPr>
        <w:spacing w:after="0" w:line="18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11111"/>
        </w:rPr>
        <w:t>4.1.9</w:t>
      </w:r>
      <w:r>
        <w:rPr>
          <w:sz w:val="20"/>
          <w:szCs w:val="20"/>
          <w:color w:val="auto"/>
        </w:rPr>
        <w:tab/>
      </w:r>
      <w:r>
        <w:rPr>
          <w:rFonts w:ascii="Arial" w:cs="Arial" w:eastAsia="Arial" w:hAnsi="Arial"/>
          <w:sz w:val="11"/>
          <w:szCs w:val="11"/>
          <w:u w:val="single" w:color="auto"/>
          <w:color w:val="111111"/>
        </w:rPr>
        <w:t>C</w:t>
      </w:r>
      <w:r>
        <w:rPr>
          <w:rFonts w:ascii="Arial" w:cs="Arial" w:eastAsia="Arial" w:hAnsi="Arial"/>
          <w:sz w:val="11"/>
          <w:szCs w:val="11"/>
          <w:u w:val="single" w:color="auto"/>
          <w:color w:val="363636"/>
        </w:rPr>
        <w:t>ar-park</w:t>
      </w:r>
      <w:r>
        <w:rPr>
          <w:rFonts w:ascii="Arial" w:cs="Arial" w:eastAsia="Arial" w:hAnsi="Arial"/>
          <w:sz w:val="11"/>
          <w:szCs w:val="11"/>
          <w:u w:val="single" w:color="auto"/>
          <w:color w:val="111111"/>
        </w:rPr>
        <w:t xml:space="preserve"> </w:t>
      </w:r>
      <w:r>
        <w:rPr>
          <w:rFonts w:ascii="Arial" w:cs="Arial" w:eastAsia="Arial" w:hAnsi="Arial"/>
          <w:sz w:val="11"/>
          <w:szCs w:val="11"/>
          <w:u w:val="single" w:color="auto"/>
          <w:color w:val="262626"/>
        </w:rPr>
        <w:t>passes</w:t>
      </w:r>
    </w:p>
    <w:p>
      <w:pPr>
        <w:spacing w:after="0" w:line="190"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2"/>
          <w:szCs w:val="12"/>
          <w:color w:val="111111"/>
        </w:rPr>
        <w:t>4.1.9.1</w:t>
      </w:r>
      <w:r>
        <w:rPr>
          <w:sz w:val="20"/>
          <w:szCs w:val="20"/>
          <w:color w:val="auto"/>
        </w:rPr>
        <w:tab/>
      </w:r>
      <w:r>
        <w:rPr>
          <w:rFonts w:ascii="Arial" w:cs="Arial" w:eastAsia="Arial" w:hAnsi="Arial"/>
          <w:sz w:val="11"/>
          <w:szCs w:val="11"/>
          <w:color w:val="111111"/>
        </w:rPr>
        <w:t>As a show of goodwill, we will provide car-park passes, as set out in schedule 1, as long as:</w:t>
      </w:r>
    </w:p>
    <w:p>
      <w:pPr>
        <w:spacing w:after="0" w:line="201" w:lineRule="exact"/>
        <w:rPr>
          <w:sz w:val="20"/>
          <w:szCs w:val="20"/>
          <w:color w:val="auto"/>
        </w:rPr>
      </w:pPr>
    </w:p>
    <w:p>
      <w:pPr>
        <w:ind w:left="840" w:hanging="251"/>
        <w:spacing w:after="0" w:line="250" w:lineRule="auto"/>
        <w:tabs>
          <w:tab w:leader="none" w:pos="837" w:val="left"/>
        </w:tabs>
        <w:numPr>
          <w:ilvl w:val="0"/>
          <w:numId w:val="69"/>
        </w:numPr>
        <w:rPr>
          <w:rFonts w:ascii="Arial" w:cs="Arial" w:eastAsia="Arial" w:hAnsi="Arial"/>
          <w:sz w:val="12"/>
          <w:szCs w:val="12"/>
          <w:color w:val="111111"/>
        </w:rPr>
      </w:pPr>
      <w:r>
        <w:rPr>
          <w:rFonts w:ascii="Arial" w:cs="Arial" w:eastAsia="Arial" w:hAnsi="Arial"/>
          <w:sz w:val="12"/>
          <w:szCs w:val="12"/>
          <w:color w:val="111111"/>
        </w:rPr>
        <w:t>you pay the Car-park Charges at such rates that apply from time to time and as we notify you in our invoice. Such amount as set out in the invoice will be final and binding (unless there is a clear and obvious mistake), and you must pay us such Car-park Charges on the Payment Date;</w:t>
      </w:r>
    </w:p>
    <w:p>
      <w:pPr>
        <w:spacing w:after="0" w:line="178" w:lineRule="exact"/>
        <w:rPr>
          <w:rFonts w:ascii="Arial" w:cs="Arial" w:eastAsia="Arial" w:hAnsi="Arial"/>
          <w:sz w:val="12"/>
          <w:szCs w:val="12"/>
          <w:color w:val="111111"/>
        </w:rPr>
      </w:pPr>
    </w:p>
    <w:p>
      <w:pPr>
        <w:ind w:left="840" w:hanging="251"/>
        <w:spacing w:after="0"/>
        <w:tabs>
          <w:tab w:leader="none" w:pos="840" w:val="left"/>
        </w:tabs>
        <w:numPr>
          <w:ilvl w:val="0"/>
          <w:numId w:val="69"/>
        </w:numPr>
        <w:rPr>
          <w:rFonts w:ascii="Arial" w:cs="Arial" w:eastAsia="Arial" w:hAnsi="Arial"/>
          <w:sz w:val="12"/>
          <w:szCs w:val="12"/>
          <w:color w:val="111111"/>
        </w:rPr>
      </w:pPr>
      <w:r>
        <w:rPr>
          <w:rFonts w:ascii="Arial" w:cs="Arial" w:eastAsia="Arial" w:hAnsi="Arial"/>
          <w:sz w:val="12"/>
          <w:szCs w:val="12"/>
          <w:color w:val="111111"/>
        </w:rPr>
        <w:t>you keep to all relevant Laws;</w:t>
      </w:r>
    </w:p>
    <w:p>
      <w:pPr>
        <w:spacing w:after="0" w:line="190" w:lineRule="exact"/>
        <w:rPr>
          <w:rFonts w:ascii="Arial" w:cs="Arial" w:eastAsia="Arial" w:hAnsi="Arial"/>
          <w:sz w:val="12"/>
          <w:szCs w:val="12"/>
          <w:color w:val="111111"/>
        </w:rPr>
      </w:pPr>
    </w:p>
    <w:p>
      <w:pPr>
        <w:ind w:left="820" w:hanging="235"/>
        <w:spacing w:after="0"/>
        <w:tabs>
          <w:tab w:leader="none" w:pos="820" w:val="left"/>
        </w:tabs>
        <w:numPr>
          <w:ilvl w:val="0"/>
          <w:numId w:val="69"/>
        </w:numPr>
        <w:rPr>
          <w:rFonts w:ascii="Arial" w:cs="Arial" w:eastAsia="Arial" w:hAnsi="Arial"/>
          <w:sz w:val="12"/>
          <w:szCs w:val="12"/>
          <w:color w:val="111111"/>
        </w:rPr>
      </w:pPr>
      <w:r>
        <w:rPr>
          <w:rFonts w:ascii="Arial" w:cs="Arial" w:eastAsia="Arial" w:hAnsi="Arial"/>
          <w:sz w:val="12"/>
          <w:szCs w:val="12"/>
          <w:color w:val="111111"/>
        </w:rPr>
        <w:t>our policies that apply from time to time allow for our provision of car</w:t>
      </w:r>
      <w:r>
        <w:rPr>
          <w:rFonts w:ascii="Arial" w:cs="Arial" w:eastAsia="Arial" w:hAnsi="Arial"/>
          <w:sz w:val="12"/>
          <w:szCs w:val="12"/>
          <w:color w:val="363636"/>
        </w:rPr>
        <w:t>-</w:t>
      </w:r>
      <w:r>
        <w:rPr>
          <w:rFonts w:ascii="Arial" w:cs="Arial" w:eastAsia="Arial" w:hAnsi="Arial"/>
          <w:sz w:val="12"/>
          <w:szCs w:val="12"/>
          <w:color w:val="111111"/>
        </w:rPr>
        <w:t>park passes to you; and</w:t>
      </w:r>
    </w:p>
    <w:p>
      <w:pPr>
        <w:spacing w:after="0" w:line="190" w:lineRule="exact"/>
        <w:rPr>
          <w:rFonts w:ascii="Arial" w:cs="Arial" w:eastAsia="Arial" w:hAnsi="Arial"/>
          <w:sz w:val="12"/>
          <w:szCs w:val="12"/>
          <w:color w:val="111111"/>
        </w:rPr>
      </w:pPr>
    </w:p>
    <w:p>
      <w:pPr>
        <w:ind w:left="820" w:hanging="235"/>
        <w:spacing w:after="0"/>
        <w:tabs>
          <w:tab w:leader="none" w:pos="820" w:val="left"/>
        </w:tabs>
        <w:numPr>
          <w:ilvl w:val="0"/>
          <w:numId w:val="69"/>
        </w:numPr>
        <w:rPr>
          <w:rFonts w:ascii="Arial" w:cs="Arial" w:eastAsia="Arial" w:hAnsi="Arial"/>
          <w:sz w:val="12"/>
          <w:szCs w:val="12"/>
          <w:color w:val="111111"/>
        </w:rPr>
      </w:pPr>
      <w:r>
        <w:rPr>
          <w:rFonts w:ascii="Arial" w:cs="Arial" w:eastAsia="Arial" w:hAnsi="Arial"/>
          <w:sz w:val="12"/>
          <w:szCs w:val="12"/>
          <w:color w:val="111111"/>
        </w:rPr>
        <w:t>we have passes available.</w:t>
      </w:r>
    </w:p>
    <w:p>
      <w:pPr>
        <w:spacing w:after="0" w:line="201"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11111"/>
        </w:rPr>
        <w:t>4.1.9.2</w:t>
        <w:tab/>
        <w:t>If required by Law or under our policies, we may give you notice at any time to change or cancel the number of car-park passes we allocate to you or to revise our Car-park Charges</w:t>
      </w:r>
      <w:r>
        <w:rPr>
          <w:rFonts w:ascii="Arial" w:cs="Arial" w:eastAsia="Arial" w:hAnsi="Arial"/>
          <w:sz w:val="12"/>
          <w:szCs w:val="12"/>
          <w:color w:val="363636"/>
        </w:rPr>
        <w:t>.</w:t>
      </w:r>
    </w:p>
    <w:p>
      <w:pPr>
        <w:spacing w:after="0" w:line="19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11111"/>
        </w:rPr>
        <w:t>4.1.10</w:t>
      </w:r>
      <w:r>
        <w:rPr>
          <w:sz w:val="20"/>
          <w:szCs w:val="20"/>
          <w:color w:val="auto"/>
        </w:rPr>
        <w:tab/>
      </w:r>
      <w:r>
        <w:rPr>
          <w:rFonts w:ascii="Arial" w:cs="Arial" w:eastAsia="Arial" w:hAnsi="Arial"/>
          <w:sz w:val="12"/>
          <w:szCs w:val="12"/>
          <w:u w:val="single" w:color="auto"/>
          <w:color w:val="111111"/>
        </w:rPr>
        <w:t>I</w:t>
      </w:r>
      <w:r>
        <w:rPr>
          <w:rFonts w:ascii="Arial" w:cs="Arial" w:eastAsia="Arial" w:hAnsi="Arial"/>
          <w:sz w:val="12"/>
          <w:szCs w:val="12"/>
          <w:u w:val="single" w:color="auto"/>
          <w:color w:val="363636"/>
        </w:rPr>
        <w:t>nsurance</w:t>
      </w:r>
      <w:r>
        <w:rPr>
          <w:rFonts w:ascii="Arial" w:cs="Arial" w:eastAsia="Arial" w:hAnsi="Arial"/>
          <w:sz w:val="12"/>
          <w:szCs w:val="12"/>
          <w:u w:val="single" w:color="auto"/>
          <w:color w:val="111111"/>
        </w:rPr>
        <w:t xml:space="preserve"> </w:t>
      </w:r>
      <w:r>
        <w:rPr>
          <w:rFonts w:ascii="Arial" w:cs="Arial" w:eastAsia="Arial" w:hAnsi="Arial"/>
          <w:sz w:val="12"/>
          <w:szCs w:val="12"/>
          <w:u w:val="single" w:color="auto"/>
          <w:color w:val="262626"/>
        </w:rPr>
        <w:t>during</w:t>
      </w:r>
      <w:r>
        <w:rPr>
          <w:rFonts w:ascii="Arial" w:cs="Arial" w:eastAsia="Arial" w:hAnsi="Arial"/>
          <w:sz w:val="12"/>
          <w:szCs w:val="12"/>
          <w:u w:val="single" w:color="auto"/>
          <w:color w:val="111111"/>
        </w:rPr>
        <w:t xml:space="preserve"> </w:t>
      </w:r>
      <w:r>
        <w:rPr>
          <w:rFonts w:ascii="Arial" w:cs="Arial" w:eastAsia="Arial" w:hAnsi="Arial"/>
          <w:sz w:val="12"/>
          <w:szCs w:val="12"/>
          <w:u w:val="single" w:color="auto"/>
          <w:color w:val="363636"/>
        </w:rPr>
        <w:t>t</w:t>
      </w:r>
      <w:r>
        <w:rPr>
          <w:rFonts w:ascii="Arial" w:cs="Arial" w:eastAsia="Arial" w:hAnsi="Arial"/>
          <w:sz w:val="12"/>
          <w:szCs w:val="12"/>
          <w:u w:val="single" w:color="auto"/>
          <w:color w:val="111111"/>
        </w:rPr>
        <w:t xml:space="preserve">he </w:t>
      </w:r>
      <w:r>
        <w:rPr>
          <w:rFonts w:ascii="Arial" w:cs="Arial" w:eastAsia="Arial" w:hAnsi="Arial"/>
          <w:sz w:val="12"/>
          <w:szCs w:val="12"/>
          <w:u w:val="single" w:color="auto"/>
          <w:color w:val="363636"/>
        </w:rPr>
        <w:t>Le</w:t>
      </w:r>
      <w:r>
        <w:rPr>
          <w:rFonts w:ascii="Arial" w:cs="Arial" w:eastAsia="Arial" w:hAnsi="Arial"/>
          <w:sz w:val="12"/>
          <w:szCs w:val="12"/>
          <w:u w:val="single" w:color="auto"/>
          <w:color w:val="111111"/>
        </w:rPr>
        <w:t>ase</w:t>
      </w:r>
    </w:p>
    <w:p>
      <w:pPr>
        <w:spacing w:after="0" w:line="201" w:lineRule="exact"/>
        <w:rPr>
          <w:sz w:val="20"/>
          <w:szCs w:val="20"/>
          <w:color w:val="auto"/>
        </w:rPr>
      </w:pPr>
    </w:p>
    <w:p>
      <w:pPr>
        <w:ind w:left="580" w:right="20" w:hanging="481"/>
        <w:spacing w:after="0" w:line="250" w:lineRule="auto"/>
        <w:rPr>
          <w:sz w:val="20"/>
          <w:szCs w:val="20"/>
          <w:color w:val="auto"/>
        </w:rPr>
      </w:pPr>
      <w:r>
        <w:rPr>
          <w:rFonts w:ascii="Arial" w:cs="Arial" w:eastAsia="Arial" w:hAnsi="Arial"/>
          <w:sz w:val="12"/>
          <w:szCs w:val="12"/>
          <w:color w:val="111111"/>
        </w:rPr>
        <w:t>4.1.10.1 From the Possession Date or Start Date, whichever is earlier, until the end of the Term or any period of holding over (as described in clause 4</w:t>
      </w:r>
      <w:r>
        <w:rPr>
          <w:rFonts w:ascii="Arial" w:cs="Arial" w:eastAsia="Arial" w:hAnsi="Arial"/>
          <w:sz w:val="12"/>
          <w:szCs w:val="12"/>
          <w:color w:val="363636"/>
        </w:rPr>
        <w:t>.</w:t>
      </w:r>
      <w:r>
        <w:rPr>
          <w:rFonts w:ascii="Arial" w:cs="Arial" w:eastAsia="Arial" w:hAnsi="Arial"/>
          <w:sz w:val="12"/>
          <w:szCs w:val="12"/>
          <w:color w:val="111111"/>
        </w:rPr>
        <w:t>3.2), including while the Tenant's Works are being carried out, you must arrange and maintain the following insurance pol</w:t>
      </w:r>
      <w:r>
        <w:rPr>
          <w:rFonts w:ascii="Arial" w:cs="Arial" w:eastAsia="Arial" w:hAnsi="Arial"/>
          <w:sz w:val="12"/>
          <w:szCs w:val="12"/>
          <w:color w:val="363636"/>
        </w:rPr>
        <w:t>i</w:t>
      </w:r>
      <w:r>
        <w:rPr>
          <w:rFonts w:ascii="Arial" w:cs="Arial" w:eastAsia="Arial" w:hAnsi="Arial"/>
          <w:sz w:val="12"/>
          <w:szCs w:val="12"/>
          <w:color w:val="111111"/>
        </w:rPr>
        <w:t>cies</w:t>
      </w:r>
      <w:r>
        <w:rPr>
          <w:rFonts w:ascii="Arial" w:cs="Arial" w:eastAsia="Arial" w:hAnsi="Arial"/>
          <w:sz w:val="12"/>
          <w:szCs w:val="12"/>
          <w:color w:val="363636"/>
        </w:rPr>
        <w:t>:</w:t>
      </w:r>
    </w:p>
    <w:p>
      <w:pPr>
        <w:spacing w:after="0" w:line="178" w:lineRule="exact"/>
        <w:rPr>
          <w:sz w:val="20"/>
          <w:szCs w:val="20"/>
          <w:color w:val="auto"/>
        </w:rPr>
      </w:pPr>
    </w:p>
    <w:p>
      <w:pPr>
        <w:ind w:left="820" w:hanging="245"/>
        <w:spacing w:after="0"/>
        <w:tabs>
          <w:tab w:leader="none" w:pos="820" w:val="left"/>
        </w:tabs>
        <w:numPr>
          <w:ilvl w:val="0"/>
          <w:numId w:val="70"/>
        </w:numPr>
        <w:rPr>
          <w:rFonts w:ascii="Arial" w:cs="Arial" w:eastAsia="Arial" w:hAnsi="Arial"/>
          <w:sz w:val="12"/>
          <w:szCs w:val="12"/>
          <w:color w:val="111111"/>
        </w:rPr>
      </w:pPr>
      <w:r>
        <w:rPr>
          <w:rFonts w:ascii="Arial" w:cs="Arial" w:eastAsia="Arial" w:hAnsi="Arial"/>
          <w:sz w:val="12"/>
          <w:szCs w:val="12"/>
          <w:color w:val="111111"/>
        </w:rPr>
        <w:t>an insurance policy in your name</w:t>
      </w:r>
      <w:r>
        <w:rPr>
          <w:rFonts w:ascii="Arial" w:cs="Arial" w:eastAsia="Arial" w:hAnsi="Arial"/>
          <w:sz w:val="12"/>
          <w:szCs w:val="12"/>
          <w:color w:val="363636"/>
        </w:rPr>
        <w:t>:</w:t>
      </w:r>
    </w:p>
    <w:p>
      <w:pPr>
        <w:spacing w:after="0" w:line="190" w:lineRule="exact"/>
        <w:rPr>
          <w:rFonts w:ascii="Arial" w:cs="Arial" w:eastAsia="Arial" w:hAnsi="Arial"/>
          <w:sz w:val="12"/>
          <w:szCs w:val="12"/>
          <w:color w:val="111111"/>
        </w:rPr>
      </w:pPr>
    </w:p>
    <w:p>
      <w:pPr>
        <w:ind w:left="1060" w:right="20" w:hanging="243"/>
        <w:spacing w:after="0" w:line="250" w:lineRule="auto"/>
        <w:tabs>
          <w:tab w:leader="none" w:pos="1056" w:val="left"/>
        </w:tabs>
        <w:numPr>
          <w:ilvl w:val="1"/>
          <w:numId w:val="70"/>
        </w:numPr>
        <w:rPr>
          <w:rFonts w:ascii="Arial" w:cs="Arial" w:eastAsia="Arial" w:hAnsi="Arial"/>
          <w:sz w:val="12"/>
          <w:szCs w:val="12"/>
          <w:color w:val="111111"/>
        </w:rPr>
      </w:pPr>
      <w:r>
        <w:rPr>
          <w:rFonts w:ascii="Arial" w:cs="Arial" w:eastAsia="Arial" w:hAnsi="Arial"/>
          <w:sz w:val="12"/>
          <w:szCs w:val="12"/>
          <w:color w:val="111111"/>
        </w:rPr>
        <w:t xml:space="preserve">covering you against all risks of theft, physical loss or damage (including risks of fire) </w:t>
      </w:r>
      <w:r>
        <w:rPr>
          <w:rFonts w:ascii="Arial" w:cs="Arial" w:eastAsia="Arial" w:hAnsi="Arial"/>
          <w:sz w:val="12"/>
          <w:szCs w:val="12"/>
          <w:color w:val="363636"/>
        </w:rPr>
        <w:t>i</w:t>
      </w:r>
      <w:r>
        <w:rPr>
          <w:rFonts w:ascii="Arial" w:cs="Arial" w:eastAsia="Arial" w:hAnsi="Arial"/>
          <w:sz w:val="12"/>
          <w:szCs w:val="12"/>
          <w:color w:val="111111"/>
        </w:rPr>
        <w:t>n respect of your property (including personal property), goods and stock-in-trade (including all plate glass and tempered glass, glass frontage and plant and machinery, if any) in the Premises;</w:t>
      </w:r>
    </w:p>
    <w:p>
      <w:pPr>
        <w:spacing w:after="0" w:line="189" w:lineRule="exact"/>
        <w:rPr>
          <w:rFonts w:ascii="Arial" w:cs="Arial" w:eastAsia="Arial" w:hAnsi="Arial"/>
          <w:sz w:val="12"/>
          <w:szCs w:val="12"/>
          <w:color w:val="111111"/>
        </w:rPr>
      </w:pPr>
    </w:p>
    <w:p>
      <w:pPr>
        <w:ind w:left="1060" w:hanging="246"/>
        <w:spacing w:after="0"/>
        <w:tabs>
          <w:tab w:leader="none" w:pos="1060" w:val="left"/>
        </w:tabs>
        <w:numPr>
          <w:ilvl w:val="1"/>
          <w:numId w:val="70"/>
        </w:numPr>
        <w:rPr>
          <w:rFonts w:ascii="Arial" w:cs="Arial" w:eastAsia="Arial" w:hAnsi="Arial"/>
          <w:sz w:val="12"/>
          <w:szCs w:val="12"/>
          <w:color w:val="111111"/>
        </w:rPr>
      </w:pPr>
      <w:r>
        <w:rPr>
          <w:rFonts w:ascii="Arial" w:cs="Arial" w:eastAsia="Arial" w:hAnsi="Arial"/>
          <w:sz w:val="12"/>
          <w:szCs w:val="12"/>
          <w:color w:val="111111"/>
        </w:rPr>
        <w:t>up to the full replacement value of your property</w:t>
      </w:r>
      <w:r>
        <w:rPr>
          <w:rFonts w:ascii="Arial" w:cs="Arial" w:eastAsia="Arial" w:hAnsi="Arial"/>
          <w:sz w:val="12"/>
          <w:szCs w:val="12"/>
          <w:color w:val="363636"/>
        </w:rPr>
        <w:t>,</w:t>
      </w:r>
      <w:r>
        <w:rPr>
          <w:rFonts w:ascii="Arial" w:cs="Arial" w:eastAsia="Arial" w:hAnsi="Arial"/>
          <w:sz w:val="12"/>
          <w:szCs w:val="12"/>
          <w:color w:val="111111"/>
        </w:rPr>
        <w:t xml:space="preserve"> goods and stock-in-trade in the Premises; and</w:t>
      </w:r>
    </w:p>
    <w:p>
      <w:pPr>
        <w:spacing w:after="0" w:line="190" w:lineRule="exact"/>
        <w:rPr>
          <w:rFonts w:ascii="Arial" w:cs="Arial" w:eastAsia="Arial" w:hAnsi="Arial"/>
          <w:sz w:val="12"/>
          <w:szCs w:val="12"/>
          <w:color w:val="111111"/>
        </w:rPr>
      </w:pPr>
    </w:p>
    <w:p>
      <w:pPr>
        <w:ind w:left="1060" w:right="20" w:hanging="246"/>
        <w:spacing w:after="0" w:line="250" w:lineRule="auto"/>
        <w:tabs>
          <w:tab w:leader="none" w:pos="1055" w:val="left"/>
        </w:tabs>
        <w:numPr>
          <w:ilvl w:val="1"/>
          <w:numId w:val="70"/>
        </w:numPr>
        <w:rPr>
          <w:rFonts w:ascii="Arial" w:cs="Arial" w:eastAsia="Arial" w:hAnsi="Arial"/>
          <w:sz w:val="12"/>
          <w:szCs w:val="12"/>
          <w:color w:val="111111"/>
        </w:rPr>
      </w:pPr>
      <w:r>
        <w:rPr>
          <w:rFonts w:ascii="Arial" w:cs="Arial" w:eastAsia="Arial" w:hAnsi="Arial"/>
          <w:sz w:val="12"/>
          <w:szCs w:val="12"/>
          <w:color w:val="111111"/>
        </w:rPr>
        <w:t>which includes a waiver of subrogation clause (that is, a clause which disallows the insurer from stepping into the insured party's shoes and making a claim against us to recover any money that the insurer has had to pay).</w:t>
      </w:r>
    </w:p>
    <w:p>
      <w:pPr>
        <w:spacing w:after="0" w:line="178" w:lineRule="exact"/>
        <w:rPr>
          <w:rFonts w:ascii="Arial" w:cs="Arial" w:eastAsia="Arial" w:hAnsi="Arial"/>
          <w:sz w:val="12"/>
          <w:szCs w:val="12"/>
          <w:color w:val="111111"/>
        </w:rPr>
      </w:pPr>
    </w:p>
    <w:p>
      <w:pPr>
        <w:ind w:left="820" w:hanging="252"/>
        <w:spacing w:after="0"/>
        <w:tabs>
          <w:tab w:leader="none" w:pos="820" w:val="left"/>
        </w:tabs>
        <w:numPr>
          <w:ilvl w:val="0"/>
          <w:numId w:val="70"/>
        </w:numPr>
        <w:rPr>
          <w:rFonts w:ascii="Arial" w:cs="Arial" w:eastAsia="Arial" w:hAnsi="Arial"/>
          <w:sz w:val="12"/>
          <w:szCs w:val="12"/>
          <w:color w:val="111111"/>
        </w:rPr>
      </w:pPr>
      <w:r>
        <w:rPr>
          <w:rFonts w:ascii="Arial" w:cs="Arial" w:eastAsia="Arial" w:hAnsi="Arial"/>
          <w:sz w:val="12"/>
          <w:szCs w:val="12"/>
          <w:color w:val="111111"/>
        </w:rPr>
        <w:t>a public liability insurance policy in your name, with us named as an insured party</w:t>
      </w:r>
      <w:r>
        <w:rPr>
          <w:rFonts w:ascii="Arial" w:cs="Arial" w:eastAsia="Arial" w:hAnsi="Arial"/>
          <w:sz w:val="12"/>
          <w:szCs w:val="12"/>
          <w:color w:val="363636"/>
        </w:rPr>
        <w:t>:</w:t>
      </w:r>
    </w:p>
    <w:p>
      <w:pPr>
        <w:spacing w:after="0" w:line="190" w:lineRule="exact"/>
        <w:rPr>
          <w:rFonts w:ascii="Arial" w:cs="Arial" w:eastAsia="Arial" w:hAnsi="Arial"/>
          <w:sz w:val="12"/>
          <w:szCs w:val="12"/>
          <w:color w:val="111111"/>
        </w:rPr>
      </w:pPr>
    </w:p>
    <w:p>
      <w:pPr>
        <w:ind w:left="1040" w:right="20" w:hanging="229"/>
        <w:spacing w:after="0" w:line="250" w:lineRule="auto"/>
        <w:tabs>
          <w:tab w:leader="none" w:pos="1031" w:val="left"/>
        </w:tabs>
        <w:numPr>
          <w:ilvl w:val="1"/>
          <w:numId w:val="70"/>
        </w:numPr>
        <w:rPr>
          <w:rFonts w:ascii="Arial" w:cs="Arial" w:eastAsia="Arial" w:hAnsi="Arial"/>
          <w:sz w:val="12"/>
          <w:szCs w:val="12"/>
          <w:color w:val="111111"/>
        </w:rPr>
      </w:pPr>
      <w:r>
        <w:rPr>
          <w:rFonts w:ascii="Arial" w:cs="Arial" w:eastAsia="Arial" w:hAnsi="Arial"/>
          <w:sz w:val="12"/>
          <w:szCs w:val="12"/>
          <w:color w:val="111111"/>
        </w:rPr>
        <w:t>protecting against claims arising out of or relating to your operations or anything that you, or Your Authorised People have done in or from the Premises or assumed under this Lease, which will be extended to include any of the insured parties' legal liability for loss of or damage to the Premises (including all fixtures and fittings) and all of our property;</w:t>
      </w:r>
    </w:p>
    <w:p>
      <w:pPr>
        <w:spacing w:after="0" w:line="189" w:lineRule="exact"/>
        <w:rPr>
          <w:rFonts w:ascii="Arial" w:cs="Arial" w:eastAsia="Arial" w:hAnsi="Arial"/>
          <w:sz w:val="12"/>
          <w:szCs w:val="12"/>
          <w:color w:val="111111"/>
        </w:rPr>
      </w:pPr>
    </w:p>
    <w:p>
      <w:pPr>
        <w:ind w:left="1040" w:hanging="232"/>
        <w:spacing w:after="0"/>
        <w:tabs>
          <w:tab w:leader="none" w:pos="1040" w:val="left"/>
        </w:tabs>
        <w:numPr>
          <w:ilvl w:val="1"/>
          <w:numId w:val="70"/>
        </w:numPr>
        <w:rPr>
          <w:rFonts w:ascii="Arial" w:cs="Arial" w:eastAsia="Arial" w:hAnsi="Arial"/>
          <w:sz w:val="12"/>
          <w:szCs w:val="12"/>
          <w:color w:val="111111"/>
        </w:rPr>
      </w:pPr>
      <w:r>
        <w:rPr>
          <w:rFonts w:ascii="Arial" w:cs="Arial" w:eastAsia="Arial" w:hAnsi="Arial"/>
          <w:sz w:val="12"/>
          <w:szCs w:val="12"/>
          <w:color w:val="111111"/>
        </w:rPr>
        <w:t>for at least the amount set out in schedule 1 or any higher amount as we may require</w:t>
      </w:r>
      <w:r>
        <w:rPr>
          <w:rFonts w:ascii="Arial" w:cs="Arial" w:eastAsia="Arial" w:hAnsi="Arial"/>
          <w:sz w:val="12"/>
          <w:szCs w:val="12"/>
          <w:color w:val="363636"/>
        </w:rPr>
        <w:t>;</w:t>
      </w:r>
      <w:r>
        <w:rPr>
          <w:rFonts w:ascii="Arial" w:cs="Arial" w:eastAsia="Arial" w:hAnsi="Arial"/>
          <w:sz w:val="12"/>
          <w:szCs w:val="12"/>
          <w:color w:val="111111"/>
        </w:rPr>
        <w:t xml:space="preserve"> and</w:t>
      </w:r>
    </w:p>
    <w:p>
      <w:pPr>
        <w:spacing w:after="0" w:line="190" w:lineRule="exact"/>
        <w:rPr>
          <w:rFonts w:ascii="Arial" w:cs="Arial" w:eastAsia="Arial" w:hAnsi="Arial"/>
          <w:sz w:val="12"/>
          <w:szCs w:val="12"/>
          <w:color w:val="111111"/>
        </w:rPr>
      </w:pPr>
    </w:p>
    <w:p>
      <w:pPr>
        <w:ind w:left="1040" w:hanging="233"/>
        <w:spacing w:after="0"/>
        <w:tabs>
          <w:tab w:leader="none" w:pos="1040" w:val="left"/>
        </w:tabs>
        <w:numPr>
          <w:ilvl w:val="1"/>
          <w:numId w:val="70"/>
        </w:numPr>
        <w:rPr>
          <w:rFonts w:ascii="Arial" w:cs="Arial" w:eastAsia="Arial" w:hAnsi="Arial"/>
          <w:sz w:val="12"/>
          <w:szCs w:val="12"/>
          <w:color w:val="111111"/>
        </w:rPr>
      </w:pPr>
      <w:r>
        <w:rPr>
          <w:rFonts w:ascii="Arial" w:cs="Arial" w:eastAsia="Arial" w:hAnsi="Arial"/>
          <w:sz w:val="12"/>
          <w:szCs w:val="12"/>
          <w:color w:val="111111"/>
        </w:rPr>
        <w:t>which includes a cross-liability clause (that is, a clause which allows an insured party from claiming aga</w:t>
      </w:r>
      <w:r>
        <w:rPr>
          <w:rFonts w:ascii="Arial" w:cs="Arial" w:eastAsia="Arial" w:hAnsi="Arial"/>
          <w:sz w:val="12"/>
          <w:szCs w:val="12"/>
          <w:color w:val="363636"/>
        </w:rPr>
        <w:t>i</w:t>
      </w:r>
      <w:r>
        <w:rPr>
          <w:rFonts w:ascii="Arial" w:cs="Arial" w:eastAsia="Arial" w:hAnsi="Arial"/>
          <w:sz w:val="12"/>
          <w:szCs w:val="12"/>
          <w:color w:val="111111"/>
        </w:rPr>
        <w:t>nst another insured party if they are both covered by the same insurance policy).</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2"/>
          <w:szCs w:val="12"/>
          <w:color w:val="111111"/>
        </w:rPr>
        <w:t>4.1.10.2 You must take out the insurance policies with a reputable insurance company as we may approve</w:t>
      </w:r>
      <w:r>
        <w:rPr>
          <w:rFonts w:ascii="Arial" w:cs="Arial" w:eastAsia="Arial" w:hAnsi="Arial"/>
          <w:sz w:val="12"/>
          <w:szCs w:val="12"/>
          <w:color w:val="363636"/>
        </w:rPr>
        <w:t>.</w:t>
      </w:r>
    </w:p>
    <w:p>
      <w:pPr>
        <w:spacing w:after="0" w:line="190" w:lineRule="exact"/>
        <w:rPr>
          <w:sz w:val="20"/>
          <w:szCs w:val="20"/>
          <w:color w:val="auto"/>
        </w:rPr>
      </w:pPr>
    </w:p>
    <w:p>
      <w:pPr>
        <w:jc w:val="both"/>
        <w:ind w:left="560" w:right="40" w:hanging="481"/>
        <w:spacing w:after="0" w:line="245" w:lineRule="auto"/>
        <w:rPr>
          <w:sz w:val="20"/>
          <w:szCs w:val="20"/>
          <w:color w:val="auto"/>
        </w:rPr>
      </w:pPr>
      <w:r>
        <w:rPr>
          <w:rFonts w:ascii="Arial" w:cs="Arial" w:eastAsia="Arial" w:hAnsi="Arial"/>
          <w:sz w:val="12"/>
          <w:szCs w:val="12"/>
          <w:color w:val="111111"/>
        </w:rPr>
        <w:t xml:space="preserve">4.1.10.3 If we request, you must give us copies of the insurance policies and the receipt for the fast premiums you have paid for the policies. We will not be considered to have approved the insurance policies just because we have </w:t>
      </w:r>
      <w:r>
        <w:rPr>
          <w:rFonts w:ascii="Arial" w:cs="Arial" w:eastAsia="Arial" w:hAnsi="Arial"/>
          <w:sz w:val="12"/>
          <w:szCs w:val="12"/>
          <w:color w:val="131313"/>
        </w:rPr>
        <w:t>seen copies of your insurance policies and you will remain responsible for your obligations under this Lease, including having to take out the necessary insurance policies as</w:t>
      </w:r>
      <w:r>
        <w:rPr>
          <w:rFonts w:ascii="Arial" w:cs="Arial" w:eastAsia="Arial" w:hAnsi="Arial"/>
          <w:sz w:val="12"/>
          <w:szCs w:val="12"/>
          <w:color w:val="111111"/>
        </w:rPr>
        <w:t xml:space="preserve"> </w:t>
      </w:r>
      <w:r>
        <w:rPr>
          <w:rFonts w:ascii="Arial" w:cs="Arial" w:eastAsia="Arial" w:hAnsi="Arial"/>
          <w:sz w:val="12"/>
          <w:szCs w:val="12"/>
          <w:color w:val="131313"/>
        </w:rPr>
        <w:t>required under this clause 4.1.10.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200"/>
          </w:cols>
          <w:pgMar w:left="300" w:top="1440" w:right="39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0">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55"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4.1.11</w:t>
      </w:r>
      <w:r>
        <w:rPr>
          <w:sz w:val="20"/>
          <w:szCs w:val="20"/>
          <w:color w:val="auto"/>
        </w:rPr>
        <w:tab/>
      </w:r>
      <w:r>
        <w:rPr>
          <w:rFonts w:ascii="Arial" w:cs="Arial" w:eastAsia="Arial" w:hAnsi="Arial"/>
          <w:sz w:val="11"/>
          <w:szCs w:val="11"/>
          <w:u w:val="single" w:color="auto"/>
          <w:color w:val="131313"/>
        </w:rPr>
        <w:t>Not to affect our insurance</w:t>
      </w:r>
    </w:p>
    <w:p>
      <w:pPr>
        <w:spacing w:after="0" w:line="201" w:lineRule="exact"/>
        <w:rPr>
          <w:sz w:val="20"/>
          <w:szCs w:val="20"/>
          <w:color w:val="auto"/>
        </w:rPr>
      </w:pPr>
    </w:p>
    <w:p>
      <w:pPr>
        <w:jc w:val="both"/>
        <w:ind w:left="580" w:right="20" w:firstLine="4"/>
        <w:spacing w:after="0" w:line="243" w:lineRule="auto"/>
        <w:rPr>
          <w:sz w:val="20"/>
          <w:szCs w:val="20"/>
          <w:color w:val="auto"/>
        </w:rPr>
      </w:pPr>
      <w:r>
        <w:rPr>
          <w:rFonts w:ascii="Arial" w:cs="Arial" w:eastAsia="Arial" w:hAnsi="Arial"/>
          <w:sz w:val="12"/>
          <w:szCs w:val="12"/>
          <w:color w:val="131313"/>
        </w:rPr>
        <w:t xml:space="preserve">You must not do anything that makes any of the insurance policies void or voidable (that </w:t>
      </w:r>
      <w:r>
        <w:rPr>
          <w:rFonts w:ascii="Arial" w:cs="Arial" w:eastAsia="Arial" w:hAnsi="Arial"/>
          <w:sz w:val="12"/>
          <w:szCs w:val="12"/>
          <w:color w:val="262626"/>
        </w:rPr>
        <w:t>is,</w:t>
      </w:r>
      <w:r>
        <w:rPr>
          <w:rFonts w:ascii="Arial" w:cs="Arial" w:eastAsia="Arial" w:hAnsi="Arial"/>
          <w:sz w:val="12"/>
          <w:szCs w:val="12"/>
          <w:color w:val="131313"/>
        </w:rPr>
        <w:t xml:space="preserve"> in a state as if the insurance policies never existed or potentially never existed), invalid or cancelled, or leads to an increase in the premium for the insurance policies. If you fail to keep to this clause 4.1.11, you must not claim against us for any claim which is actually covered or which would have been covered had you maintained the insurance policies. You must also make good any damage or losses we suffer, including paying any increased premium, costs and expenses for restoring or renewing the insurance policies.</w:t>
      </w:r>
    </w:p>
    <w:p>
      <w:pPr>
        <w:spacing w:after="0" w:line="168"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b w:val="1"/>
          <w:bCs w:val="1"/>
          <w:color w:val="131313"/>
        </w:rPr>
        <w:t>4.2</w:t>
      </w:r>
      <w:r>
        <w:rPr>
          <w:sz w:val="20"/>
          <w:szCs w:val="20"/>
          <w:color w:val="auto"/>
        </w:rPr>
        <w:tab/>
      </w:r>
      <w:r>
        <w:rPr>
          <w:rFonts w:ascii="Arial" w:cs="Arial" w:eastAsia="Arial" w:hAnsi="Arial"/>
          <w:sz w:val="12"/>
          <w:szCs w:val="12"/>
          <w:b w:val="1"/>
          <w:bCs w:val="1"/>
          <w:color w:val="131313"/>
        </w:rPr>
        <w:t>General obligations during the Lease</w:t>
      </w:r>
    </w:p>
    <w:p>
      <w:pPr>
        <w:spacing w:after="0" w:line="215"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4.2.1</w:t>
      </w:r>
      <w:r>
        <w:rPr>
          <w:sz w:val="20"/>
          <w:szCs w:val="20"/>
          <w:color w:val="auto"/>
        </w:rPr>
        <w:tab/>
      </w:r>
      <w:r>
        <w:rPr>
          <w:rFonts w:ascii="Arial" w:cs="Arial" w:eastAsia="Arial" w:hAnsi="Arial"/>
          <w:sz w:val="11"/>
          <w:szCs w:val="11"/>
          <w:u w:val="single" w:color="auto"/>
          <w:color w:val="131313"/>
        </w:rPr>
        <w:t>Tenant's Works</w:t>
      </w:r>
    </w:p>
    <w:p>
      <w:pPr>
        <w:spacing w:after="0" w:line="190" w:lineRule="exact"/>
        <w:rPr>
          <w:sz w:val="20"/>
          <w:szCs w:val="20"/>
          <w:color w:val="auto"/>
        </w:rPr>
      </w:pPr>
    </w:p>
    <w:p>
      <w:pPr>
        <w:ind w:left="580" w:right="20" w:hanging="482"/>
        <w:spacing w:after="0" w:line="250" w:lineRule="auto"/>
        <w:tabs>
          <w:tab w:leader="none" w:pos="560" w:val="left"/>
        </w:tabs>
        <w:rPr>
          <w:sz w:val="20"/>
          <w:szCs w:val="20"/>
          <w:color w:val="auto"/>
        </w:rPr>
      </w:pPr>
      <w:r>
        <w:rPr>
          <w:rFonts w:ascii="Arial" w:cs="Arial" w:eastAsia="Arial" w:hAnsi="Arial"/>
          <w:sz w:val="12"/>
          <w:szCs w:val="12"/>
          <w:color w:val="131313"/>
        </w:rPr>
        <w:t>4.2.1.1</w:t>
        <w:tab/>
        <w:t>You must get our approval before carrying out any Tenant's Works</w:t>
      </w:r>
      <w:r>
        <w:rPr>
          <w:rFonts w:ascii="Arial" w:cs="Arial" w:eastAsia="Arial" w:hAnsi="Arial"/>
          <w:sz w:val="12"/>
          <w:szCs w:val="12"/>
          <w:color w:val="3F3F3F"/>
        </w:rPr>
        <w:t>.</w:t>
      </w:r>
      <w:r>
        <w:rPr>
          <w:rFonts w:ascii="Arial" w:cs="Arial" w:eastAsia="Arial" w:hAnsi="Arial"/>
          <w:sz w:val="12"/>
          <w:szCs w:val="12"/>
          <w:color w:val="131313"/>
        </w:rPr>
        <w:t xml:space="preserve"> If we give our approval, you must carry out and complete the Tenant's Works in line with the Lease, including the Tenants' Guide and any of our other requirements in respect of such Tenant's Works</w:t>
      </w:r>
      <w:r>
        <w:rPr>
          <w:rFonts w:ascii="Arial" w:cs="Arial" w:eastAsia="Arial" w:hAnsi="Arial"/>
          <w:sz w:val="12"/>
          <w:szCs w:val="12"/>
          <w:color w:val="3F3F3F"/>
        </w:rPr>
        <w:t>.</w:t>
      </w:r>
    </w:p>
    <w:p>
      <w:pPr>
        <w:spacing w:after="0" w:line="189"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4.2.1.2</w:t>
      </w:r>
      <w:r>
        <w:rPr>
          <w:sz w:val="20"/>
          <w:szCs w:val="20"/>
          <w:color w:val="auto"/>
        </w:rPr>
        <w:tab/>
      </w:r>
      <w:r>
        <w:rPr>
          <w:rFonts w:ascii="Arial" w:cs="Arial" w:eastAsia="Arial" w:hAnsi="Arial"/>
          <w:sz w:val="11"/>
          <w:szCs w:val="11"/>
          <w:color w:val="131313"/>
        </w:rPr>
        <w:t>You must get and maintain all necessary approvals that are required by Law (including the Fire-safety Approval, if it applies) for carrying out the Tenant's Works.</w:t>
      </w:r>
    </w:p>
    <w:p>
      <w:pPr>
        <w:spacing w:after="0" w:line="19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4.2.2</w:t>
      </w:r>
      <w:r>
        <w:rPr>
          <w:sz w:val="20"/>
          <w:szCs w:val="20"/>
          <w:color w:val="auto"/>
        </w:rPr>
        <w:tab/>
      </w:r>
      <w:r>
        <w:rPr>
          <w:rFonts w:ascii="Arial" w:cs="Arial" w:eastAsia="Arial" w:hAnsi="Arial"/>
          <w:sz w:val="11"/>
          <w:szCs w:val="11"/>
          <w:u w:val="single" w:color="auto"/>
          <w:color w:val="262626"/>
        </w:rPr>
        <w:t>Tenant</w:t>
      </w:r>
      <w:r>
        <w:rPr>
          <w:rFonts w:ascii="Arial" w:cs="Arial" w:eastAsia="Arial" w:hAnsi="Arial"/>
          <w:sz w:val="11"/>
          <w:szCs w:val="11"/>
          <w:u w:val="single" w:color="auto"/>
          <w:color w:val="525252"/>
        </w:rPr>
        <w:t>'s</w:t>
      </w:r>
      <w:r>
        <w:rPr>
          <w:rFonts w:ascii="Arial" w:cs="Arial" w:eastAsia="Arial" w:hAnsi="Arial"/>
          <w:sz w:val="11"/>
          <w:szCs w:val="11"/>
          <w:u w:val="single" w:color="auto"/>
          <w:color w:val="262626"/>
        </w:rPr>
        <w:t xml:space="preserve"> </w:t>
      </w:r>
      <w:r>
        <w:rPr>
          <w:rFonts w:ascii="Arial" w:cs="Arial" w:eastAsia="Arial" w:hAnsi="Arial"/>
          <w:sz w:val="11"/>
          <w:szCs w:val="11"/>
          <w:u w:val="single" w:color="auto"/>
          <w:color w:val="131313"/>
        </w:rPr>
        <w:t>Works</w:t>
      </w:r>
      <w:r>
        <w:rPr>
          <w:rFonts w:ascii="Arial" w:cs="Arial" w:eastAsia="Arial" w:hAnsi="Arial"/>
          <w:sz w:val="11"/>
          <w:szCs w:val="11"/>
          <w:u w:val="single" w:color="auto"/>
          <w:color w:val="262626"/>
        </w:rPr>
        <w:t xml:space="preserve"> Deposit</w:t>
      </w:r>
    </w:p>
    <w:p>
      <w:pPr>
        <w:spacing w:after="0" w:line="190" w:lineRule="exact"/>
        <w:rPr>
          <w:sz w:val="20"/>
          <w:szCs w:val="20"/>
          <w:color w:val="auto"/>
        </w:rPr>
      </w:pPr>
    </w:p>
    <w:p>
      <w:pPr>
        <w:ind w:left="560" w:right="20" w:hanging="482"/>
        <w:spacing w:after="0" w:line="250" w:lineRule="auto"/>
        <w:tabs>
          <w:tab w:leader="none" w:pos="540" w:val="left"/>
        </w:tabs>
        <w:rPr>
          <w:sz w:val="20"/>
          <w:szCs w:val="20"/>
          <w:color w:val="auto"/>
        </w:rPr>
      </w:pPr>
      <w:r>
        <w:rPr>
          <w:rFonts w:ascii="Arial" w:cs="Arial" w:eastAsia="Arial" w:hAnsi="Arial"/>
          <w:sz w:val="12"/>
          <w:szCs w:val="12"/>
          <w:color w:val="131313"/>
        </w:rPr>
        <w:t>4.2.2.1</w:t>
        <w:tab/>
        <w:t>If we ask you to, you must pay us a Tenant's Works Deposit for carrying out any Tenant</w:t>
      </w:r>
      <w:r>
        <w:rPr>
          <w:rFonts w:ascii="Arial" w:cs="Arial" w:eastAsia="Arial" w:hAnsi="Arial"/>
          <w:sz w:val="12"/>
          <w:szCs w:val="12"/>
          <w:color w:val="3F3F3F"/>
        </w:rPr>
        <w:t>'</w:t>
      </w:r>
      <w:r>
        <w:rPr>
          <w:rFonts w:ascii="Arial" w:cs="Arial" w:eastAsia="Arial" w:hAnsi="Arial"/>
          <w:sz w:val="12"/>
          <w:szCs w:val="12"/>
          <w:color w:val="131313"/>
        </w:rPr>
        <w:t xml:space="preserve">s Works. You must do this by the date we notify you. You must pay to us, the </w:t>
      </w:r>
      <w:r>
        <w:rPr>
          <w:rFonts w:ascii="Arial" w:cs="Arial" w:eastAsia="Arial" w:hAnsi="Arial"/>
          <w:sz w:val="12"/>
          <w:szCs w:val="12"/>
          <w:color w:val="262626"/>
        </w:rPr>
        <w:t>initial</w:t>
      </w:r>
      <w:r>
        <w:rPr>
          <w:rFonts w:ascii="Arial" w:cs="Arial" w:eastAsia="Arial" w:hAnsi="Arial"/>
          <w:sz w:val="12"/>
          <w:szCs w:val="12"/>
          <w:color w:val="131313"/>
        </w:rPr>
        <w:t xml:space="preserve"> Tenant's Works Deposit, as set out in </w:t>
      </w:r>
      <w:r>
        <w:rPr>
          <w:rFonts w:ascii="Arial" w:cs="Arial" w:eastAsia="Arial" w:hAnsi="Arial"/>
          <w:sz w:val="12"/>
          <w:szCs w:val="12"/>
          <w:b w:val="1"/>
          <w:bCs w:val="1"/>
          <w:color w:val="131313"/>
        </w:rPr>
        <w:t>Schedule 1,</w:t>
      </w:r>
      <w:r>
        <w:rPr>
          <w:rFonts w:ascii="Arial" w:cs="Arial" w:eastAsia="Arial" w:hAnsi="Arial"/>
          <w:sz w:val="12"/>
          <w:szCs w:val="12"/>
          <w:color w:val="131313"/>
        </w:rPr>
        <w:t xml:space="preserve"> upon signing this Lease</w:t>
      </w:r>
      <w:r>
        <w:rPr>
          <w:rFonts w:ascii="Arial" w:cs="Arial" w:eastAsia="Arial" w:hAnsi="Arial"/>
          <w:sz w:val="12"/>
          <w:szCs w:val="12"/>
          <w:color w:val="3F3F3F"/>
        </w:rPr>
        <w:t>.</w:t>
      </w:r>
    </w:p>
    <w:p>
      <w:pPr>
        <w:spacing w:after="0" w:line="189"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4.2.2.2</w:t>
      </w:r>
      <w:r>
        <w:rPr>
          <w:sz w:val="20"/>
          <w:szCs w:val="20"/>
          <w:color w:val="auto"/>
        </w:rPr>
        <w:tab/>
      </w:r>
      <w:r>
        <w:rPr>
          <w:rFonts w:ascii="Arial" w:cs="Arial" w:eastAsia="Arial" w:hAnsi="Arial"/>
          <w:sz w:val="11"/>
          <w:szCs w:val="11"/>
          <w:color w:val="131313"/>
        </w:rPr>
        <w:t xml:space="preserve">The Tenant's Works Deposit is security to make sure </w:t>
      </w:r>
      <w:r>
        <w:rPr>
          <w:rFonts w:ascii="Arial" w:cs="Arial" w:eastAsia="Arial" w:hAnsi="Arial"/>
          <w:sz w:val="11"/>
          <w:szCs w:val="11"/>
          <w:color w:val="262626"/>
        </w:rPr>
        <w:t>that</w:t>
      </w:r>
      <w:r>
        <w:rPr>
          <w:rFonts w:ascii="Arial" w:cs="Arial" w:eastAsia="Arial" w:hAnsi="Arial"/>
          <w:sz w:val="11"/>
          <w:szCs w:val="11"/>
          <w:color w:val="131313"/>
        </w:rPr>
        <w:t xml:space="preserve"> you</w:t>
      </w:r>
      <w:r>
        <w:rPr>
          <w:rFonts w:ascii="Arial" w:cs="Arial" w:eastAsia="Arial" w:hAnsi="Arial"/>
          <w:sz w:val="11"/>
          <w:szCs w:val="11"/>
          <w:color w:val="525252"/>
        </w:rPr>
        <w:t>:</w:t>
      </w:r>
    </w:p>
    <w:p>
      <w:pPr>
        <w:spacing w:after="0" w:line="190" w:lineRule="exact"/>
        <w:rPr>
          <w:sz w:val="20"/>
          <w:szCs w:val="20"/>
          <w:color w:val="auto"/>
        </w:rPr>
      </w:pPr>
    </w:p>
    <w:p>
      <w:pPr>
        <w:ind w:left="800" w:hanging="227"/>
        <w:spacing w:after="0"/>
        <w:tabs>
          <w:tab w:leader="none" w:pos="800" w:val="left"/>
        </w:tabs>
        <w:numPr>
          <w:ilvl w:val="0"/>
          <w:numId w:val="71"/>
        </w:numPr>
        <w:rPr>
          <w:rFonts w:ascii="Arial" w:cs="Arial" w:eastAsia="Arial" w:hAnsi="Arial"/>
          <w:sz w:val="12"/>
          <w:szCs w:val="12"/>
          <w:color w:val="131313"/>
        </w:rPr>
      </w:pPr>
      <w:r>
        <w:rPr>
          <w:rFonts w:ascii="Arial" w:cs="Arial" w:eastAsia="Arial" w:hAnsi="Arial"/>
          <w:sz w:val="12"/>
          <w:szCs w:val="12"/>
          <w:color w:val="131313"/>
        </w:rPr>
        <w:t>comply with clause 4</w:t>
      </w:r>
      <w:r>
        <w:rPr>
          <w:rFonts w:ascii="Arial" w:cs="Arial" w:eastAsia="Arial" w:hAnsi="Arial"/>
          <w:sz w:val="12"/>
          <w:szCs w:val="12"/>
          <w:color w:val="3F3F3F"/>
        </w:rPr>
        <w:t>.</w:t>
      </w:r>
      <w:r>
        <w:rPr>
          <w:rFonts w:ascii="Arial" w:cs="Arial" w:eastAsia="Arial" w:hAnsi="Arial"/>
          <w:sz w:val="12"/>
          <w:szCs w:val="12"/>
          <w:color w:val="131313"/>
        </w:rPr>
        <w:t>2.1; and</w:t>
      </w:r>
    </w:p>
    <w:p>
      <w:pPr>
        <w:spacing w:after="0" w:line="190" w:lineRule="exact"/>
        <w:rPr>
          <w:rFonts w:ascii="Arial" w:cs="Arial" w:eastAsia="Arial" w:hAnsi="Arial"/>
          <w:sz w:val="12"/>
          <w:szCs w:val="12"/>
          <w:color w:val="131313"/>
        </w:rPr>
      </w:pPr>
    </w:p>
    <w:p>
      <w:pPr>
        <w:ind w:left="800" w:hanging="227"/>
        <w:spacing w:after="0"/>
        <w:tabs>
          <w:tab w:leader="none" w:pos="800" w:val="left"/>
        </w:tabs>
        <w:numPr>
          <w:ilvl w:val="0"/>
          <w:numId w:val="71"/>
        </w:numPr>
        <w:rPr>
          <w:rFonts w:ascii="Arial" w:cs="Arial" w:eastAsia="Arial" w:hAnsi="Arial"/>
          <w:sz w:val="12"/>
          <w:szCs w:val="12"/>
          <w:color w:val="131313"/>
        </w:rPr>
      </w:pPr>
      <w:r>
        <w:rPr>
          <w:rFonts w:ascii="Arial" w:cs="Arial" w:eastAsia="Arial" w:hAnsi="Arial"/>
          <w:sz w:val="12"/>
          <w:szCs w:val="12"/>
          <w:color w:val="131313"/>
        </w:rPr>
        <w:t>make good, to our satisfaction, any damage to the Premises, Building and Park resulting from the Tenant's Works.</w:t>
      </w:r>
    </w:p>
    <w:p>
      <w:pPr>
        <w:spacing w:after="0" w:line="201" w:lineRule="exact"/>
        <w:rPr>
          <w:sz w:val="20"/>
          <w:szCs w:val="20"/>
          <w:color w:val="auto"/>
        </w:rPr>
      </w:pPr>
    </w:p>
    <w:p>
      <w:pPr>
        <w:jc w:val="both"/>
        <w:ind w:left="560" w:right="20" w:hanging="481"/>
        <w:spacing w:after="0" w:line="250" w:lineRule="auto"/>
        <w:tabs>
          <w:tab w:leader="none" w:pos="540" w:val="left"/>
        </w:tabs>
        <w:rPr>
          <w:sz w:val="20"/>
          <w:szCs w:val="20"/>
          <w:color w:val="auto"/>
        </w:rPr>
      </w:pPr>
      <w:r>
        <w:rPr>
          <w:rFonts w:ascii="Arial" w:cs="Arial" w:eastAsia="Arial" w:hAnsi="Arial"/>
          <w:sz w:val="12"/>
          <w:szCs w:val="12"/>
          <w:color w:val="131313"/>
        </w:rPr>
        <w:t>4.2.2.3</w:t>
        <w:tab/>
        <w:t>If you do not comply with clause 4.2.2.2, we may carry out the necessary works and use the Tenant's Works Deposit to pay the costs and expenses of that work</w:t>
      </w:r>
      <w:r>
        <w:rPr>
          <w:rFonts w:ascii="Arial" w:cs="Arial" w:eastAsia="Arial" w:hAnsi="Arial"/>
          <w:sz w:val="12"/>
          <w:szCs w:val="12"/>
          <w:color w:val="3F3F3F"/>
        </w:rPr>
        <w:t>.</w:t>
      </w:r>
      <w:r>
        <w:rPr>
          <w:rFonts w:ascii="Arial" w:cs="Arial" w:eastAsia="Arial" w:hAnsi="Arial"/>
          <w:sz w:val="12"/>
          <w:szCs w:val="12"/>
          <w:color w:val="131313"/>
        </w:rPr>
        <w:t xml:space="preserve"> If the Tenant's Works Deposit is not enough to cover the cost of the work, you must pay us immediately, when we notify you, the difference between the costs and expenses of the work and the Tenant's Works Deposit.</w:t>
      </w:r>
    </w:p>
    <w:p>
      <w:pPr>
        <w:spacing w:after="0" w:line="178" w:lineRule="exact"/>
        <w:rPr>
          <w:sz w:val="20"/>
          <w:szCs w:val="20"/>
          <w:color w:val="auto"/>
        </w:rPr>
      </w:pPr>
    </w:p>
    <w:p>
      <w:pPr>
        <w:jc w:val="both"/>
        <w:ind w:left="560" w:hanging="482"/>
        <w:spacing w:after="0" w:line="245" w:lineRule="auto"/>
        <w:tabs>
          <w:tab w:leader="none" w:pos="540" w:val="left"/>
        </w:tabs>
        <w:rPr>
          <w:sz w:val="20"/>
          <w:szCs w:val="20"/>
          <w:color w:val="auto"/>
        </w:rPr>
      </w:pPr>
      <w:r>
        <w:rPr>
          <w:rFonts w:ascii="Arial" w:cs="Arial" w:eastAsia="Arial" w:hAnsi="Arial"/>
          <w:sz w:val="12"/>
          <w:szCs w:val="12"/>
          <w:color w:val="131313"/>
        </w:rPr>
        <w:t>4.2.2.4</w:t>
        <w:tab/>
        <w:t>You must give us (i) the relevant plans, (ii) appropriate architect, engineer, qualified person or consultant certificates to confirm that the work has been carried out to the necessary standards, and (iii) the Fire Safety Approval, before you start operations at the Premises</w:t>
      </w:r>
      <w:r>
        <w:rPr>
          <w:rFonts w:ascii="Arial" w:cs="Arial" w:eastAsia="Arial" w:hAnsi="Arial"/>
          <w:sz w:val="12"/>
          <w:szCs w:val="12"/>
          <w:color w:val="3F3F3F"/>
        </w:rPr>
        <w:t>.</w:t>
      </w:r>
      <w:r>
        <w:rPr>
          <w:rFonts w:ascii="Arial" w:cs="Arial" w:eastAsia="Arial" w:hAnsi="Arial"/>
          <w:sz w:val="12"/>
          <w:szCs w:val="12"/>
          <w:color w:val="131313"/>
        </w:rPr>
        <w:t xml:space="preserve"> If you fail to do this, you will forfeit (that is, give up </w:t>
      </w:r>
      <w:r>
        <w:rPr>
          <w:rFonts w:ascii="Arial" w:cs="Arial" w:eastAsia="Arial" w:hAnsi="Arial"/>
          <w:sz w:val="12"/>
          <w:szCs w:val="12"/>
          <w:color w:val="262626"/>
        </w:rPr>
        <w:t>the</w:t>
      </w:r>
      <w:r>
        <w:rPr>
          <w:rFonts w:ascii="Arial" w:cs="Arial" w:eastAsia="Arial" w:hAnsi="Arial"/>
          <w:sz w:val="12"/>
          <w:szCs w:val="12"/>
          <w:color w:val="131313"/>
        </w:rPr>
        <w:t xml:space="preserve"> right to claim) the Tenant's Works Deposit. Th</w:t>
      </w:r>
      <w:r>
        <w:rPr>
          <w:rFonts w:ascii="Arial" w:cs="Arial" w:eastAsia="Arial" w:hAnsi="Arial"/>
          <w:sz w:val="12"/>
          <w:szCs w:val="12"/>
          <w:color w:val="3F3F3F"/>
        </w:rPr>
        <w:t>i</w:t>
      </w:r>
      <w:r>
        <w:rPr>
          <w:rFonts w:ascii="Arial" w:cs="Arial" w:eastAsia="Arial" w:hAnsi="Arial"/>
          <w:sz w:val="12"/>
          <w:szCs w:val="12"/>
          <w:color w:val="131313"/>
        </w:rPr>
        <w:t xml:space="preserve">s will not affect any of our rights or remedies against you, including our right to charge you for any penalty fees </w:t>
      </w:r>
      <w:r>
        <w:rPr>
          <w:rFonts w:ascii="Arial" w:cs="Arial" w:eastAsia="Arial" w:hAnsi="Arial"/>
          <w:sz w:val="12"/>
          <w:szCs w:val="12"/>
          <w:color w:val="262626"/>
        </w:rPr>
        <w:t>imposed</w:t>
      </w:r>
      <w:r>
        <w:rPr>
          <w:rFonts w:ascii="Arial" w:cs="Arial" w:eastAsia="Arial" w:hAnsi="Arial"/>
          <w:sz w:val="12"/>
          <w:szCs w:val="12"/>
          <w:color w:val="131313"/>
        </w:rPr>
        <w:t xml:space="preserve"> by the Authorities and our right to terminate this Lease for such breach.</w:t>
      </w:r>
    </w:p>
    <w:p>
      <w:pPr>
        <w:spacing w:after="0" w:line="181"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4.2.2.5</w:t>
      </w:r>
      <w:r>
        <w:rPr>
          <w:sz w:val="20"/>
          <w:szCs w:val="20"/>
          <w:color w:val="auto"/>
        </w:rPr>
        <w:tab/>
      </w:r>
      <w:r>
        <w:rPr>
          <w:rFonts w:ascii="Arial" w:cs="Arial" w:eastAsia="Arial" w:hAnsi="Arial"/>
          <w:sz w:val="11"/>
          <w:szCs w:val="11"/>
          <w:color w:val="131313"/>
        </w:rPr>
        <w:t>We will refund the Tenant's Works Deposit to you, without interest, within 30 days after</w:t>
      </w:r>
      <w:r>
        <w:rPr>
          <w:rFonts w:ascii="Arial" w:cs="Arial" w:eastAsia="Arial" w:hAnsi="Arial"/>
          <w:sz w:val="11"/>
          <w:szCs w:val="11"/>
          <w:color w:val="3F3F3F"/>
        </w:rPr>
        <w:t>:</w:t>
      </w:r>
    </w:p>
    <w:p>
      <w:pPr>
        <w:spacing w:after="0" w:line="264" w:lineRule="exact"/>
        <w:rPr>
          <w:sz w:val="20"/>
          <w:szCs w:val="20"/>
          <w:color w:val="auto"/>
        </w:rPr>
      </w:pPr>
    </w:p>
    <w:p>
      <w:pPr>
        <w:ind w:left="820" w:right="300" w:hanging="247"/>
        <w:spacing w:after="0" w:line="250" w:lineRule="auto"/>
        <w:tabs>
          <w:tab w:leader="none" w:pos="813" w:val="left"/>
        </w:tabs>
        <w:numPr>
          <w:ilvl w:val="0"/>
          <w:numId w:val="72"/>
        </w:numPr>
        <w:rPr>
          <w:rFonts w:ascii="Arial" w:cs="Arial" w:eastAsia="Arial" w:hAnsi="Arial"/>
          <w:sz w:val="12"/>
          <w:szCs w:val="12"/>
          <w:color w:val="131313"/>
        </w:rPr>
      </w:pPr>
      <w:r>
        <w:rPr>
          <w:rFonts w:ascii="Arial" w:cs="Arial" w:eastAsia="Arial" w:hAnsi="Arial"/>
          <w:sz w:val="12"/>
          <w:szCs w:val="12"/>
          <w:color w:val="131313"/>
        </w:rPr>
        <w:t>the Tenant's Works have been completed in accordance with this Lease, including that you have submitted the relevant plans, certificates and Fire Safety Approval required in accordance with clause 4.2.2.4;</w:t>
      </w:r>
    </w:p>
    <w:p>
      <w:pPr>
        <w:spacing w:after="0" w:line="61" w:lineRule="exact"/>
        <w:rPr>
          <w:rFonts w:ascii="Arial" w:cs="Arial" w:eastAsia="Arial" w:hAnsi="Arial"/>
          <w:sz w:val="12"/>
          <w:szCs w:val="12"/>
          <w:color w:val="131313"/>
        </w:rPr>
      </w:pPr>
    </w:p>
    <w:p>
      <w:pPr>
        <w:ind w:left="800" w:hanging="227"/>
        <w:spacing w:after="0"/>
        <w:tabs>
          <w:tab w:leader="none" w:pos="800" w:val="left"/>
        </w:tabs>
        <w:numPr>
          <w:ilvl w:val="0"/>
          <w:numId w:val="72"/>
        </w:numPr>
        <w:rPr>
          <w:rFonts w:ascii="Arial" w:cs="Arial" w:eastAsia="Arial" w:hAnsi="Arial"/>
          <w:sz w:val="12"/>
          <w:szCs w:val="12"/>
          <w:color w:val="131313"/>
        </w:rPr>
      </w:pPr>
      <w:r>
        <w:rPr>
          <w:rFonts w:ascii="Arial" w:cs="Arial" w:eastAsia="Arial" w:hAnsi="Arial"/>
          <w:sz w:val="12"/>
          <w:szCs w:val="12"/>
          <w:color w:val="131313"/>
        </w:rPr>
        <w:t>you have complied with all our requirements in respect of the Tenant's Works;</w:t>
      </w:r>
    </w:p>
    <w:p>
      <w:pPr>
        <w:spacing w:after="0" w:line="73" w:lineRule="exact"/>
        <w:rPr>
          <w:rFonts w:ascii="Arial" w:cs="Arial" w:eastAsia="Arial" w:hAnsi="Arial"/>
          <w:sz w:val="12"/>
          <w:szCs w:val="12"/>
          <w:color w:val="131313"/>
        </w:rPr>
      </w:pPr>
    </w:p>
    <w:p>
      <w:pPr>
        <w:ind w:left="800" w:hanging="227"/>
        <w:spacing w:after="0"/>
        <w:tabs>
          <w:tab w:leader="none" w:pos="800" w:val="left"/>
        </w:tabs>
        <w:numPr>
          <w:ilvl w:val="0"/>
          <w:numId w:val="72"/>
        </w:numPr>
        <w:rPr>
          <w:rFonts w:ascii="Arial" w:cs="Arial" w:eastAsia="Arial" w:hAnsi="Arial"/>
          <w:sz w:val="12"/>
          <w:szCs w:val="12"/>
          <w:color w:val="131313"/>
        </w:rPr>
      </w:pPr>
      <w:r>
        <w:rPr>
          <w:rFonts w:ascii="Arial" w:cs="Arial" w:eastAsia="Arial" w:hAnsi="Arial"/>
          <w:sz w:val="12"/>
          <w:szCs w:val="12"/>
          <w:color w:val="131313"/>
        </w:rPr>
        <w:t>you have made good any damage to the Premises, Building and Park, to our satisfaction; and</w:t>
      </w:r>
    </w:p>
    <w:p>
      <w:pPr>
        <w:spacing w:after="0" w:line="63" w:lineRule="exact"/>
        <w:rPr>
          <w:rFonts w:ascii="Arial" w:cs="Arial" w:eastAsia="Arial" w:hAnsi="Arial"/>
          <w:sz w:val="12"/>
          <w:szCs w:val="12"/>
          <w:color w:val="131313"/>
        </w:rPr>
      </w:pPr>
    </w:p>
    <w:p>
      <w:pPr>
        <w:ind w:left="800" w:hanging="227"/>
        <w:spacing w:after="0"/>
        <w:tabs>
          <w:tab w:leader="none" w:pos="800" w:val="left"/>
        </w:tabs>
        <w:numPr>
          <w:ilvl w:val="0"/>
          <w:numId w:val="72"/>
        </w:numPr>
        <w:rPr>
          <w:rFonts w:ascii="Arial" w:cs="Arial" w:eastAsia="Arial" w:hAnsi="Arial"/>
          <w:sz w:val="12"/>
          <w:szCs w:val="12"/>
          <w:color w:val="131313"/>
        </w:rPr>
      </w:pPr>
      <w:r>
        <w:rPr>
          <w:rFonts w:ascii="Arial" w:cs="Arial" w:eastAsia="Arial" w:hAnsi="Arial"/>
          <w:sz w:val="12"/>
          <w:szCs w:val="12"/>
          <w:color w:val="131313"/>
        </w:rPr>
        <w:t>we have deducted any amounts owing under clause 4.2.2.3.</w:t>
      </w:r>
    </w:p>
    <w:p>
      <w:pPr>
        <w:spacing w:after="0" w:line="264" w:lineRule="exact"/>
        <w:rPr>
          <w:sz w:val="20"/>
          <w:szCs w:val="20"/>
          <w:color w:val="auto"/>
        </w:rPr>
      </w:pPr>
    </w:p>
    <w:p>
      <w:pPr>
        <w:ind w:left="520" w:right="240"/>
        <w:spacing w:after="0" w:line="250" w:lineRule="auto"/>
        <w:rPr>
          <w:sz w:val="20"/>
          <w:szCs w:val="20"/>
          <w:color w:val="auto"/>
        </w:rPr>
      </w:pPr>
      <w:r>
        <w:rPr>
          <w:rFonts w:ascii="Arial" w:cs="Arial" w:eastAsia="Arial" w:hAnsi="Arial"/>
          <w:sz w:val="12"/>
          <w:szCs w:val="12"/>
          <w:color w:val="131313"/>
        </w:rPr>
        <w:t>To avoid any doubt, such refund will not affect any other rights we may have if we find you still owe us money or have not kept to the terms of this Lease after we return the Tenant's Works Deposit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r>
    </w:tbl>
    <w:p>
      <w:pPr>
        <w:sectPr>
          <w:pgSz w:w="11900" w:h="16838" w:orient="portrait"/>
          <w:cols w:equalWidth="0" w:num="1">
            <w:col w:w="11220"/>
          </w:cols>
          <w:pgMar w:left="300" w:top="1440" w:right="37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1">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55" w:lineRule="exact"/>
        <w:rPr>
          <w:sz w:val="20"/>
          <w:szCs w:val="20"/>
          <w:color w:val="auto"/>
        </w:rPr>
      </w:pPr>
    </w:p>
    <w:p>
      <w:pPr>
        <w:ind w:left="1040"/>
        <w:spacing w:after="0"/>
        <w:tabs>
          <w:tab w:leader="none" w:pos="1500" w:val="left"/>
        </w:tabs>
        <w:rPr>
          <w:sz w:val="20"/>
          <w:szCs w:val="20"/>
          <w:color w:val="auto"/>
        </w:rPr>
      </w:pPr>
      <w:r>
        <w:rPr>
          <w:rFonts w:ascii="Arial" w:cs="Arial" w:eastAsia="Arial" w:hAnsi="Arial"/>
          <w:sz w:val="12"/>
          <w:szCs w:val="12"/>
          <w:color w:val="auto"/>
        </w:rPr>
        <w:t>4.2.3</w:t>
      </w:r>
      <w:r>
        <w:rPr>
          <w:sz w:val="20"/>
          <w:szCs w:val="20"/>
          <w:color w:val="auto"/>
        </w:rPr>
        <w:tab/>
      </w:r>
      <w:r>
        <w:rPr>
          <w:rFonts w:ascii="Arial" w:cs="Arial" w:eastAsia="Arial" w:hAnsi="Arial"/>
          <w:sz w:val="11"/>
          <w:szCs w:val="11"/>
          <w:u w:val="single" w:color="auto"/>
          <w:color w:val="131313"/>
        </w:rPr>
        <w:t xml:space="preserve">Insurance </w:t>
      </w:r>
      <w:r>
        <w:rPr>
          <w:rFonts w:ascii="Arial" w:cs="Arial" w:eastAsia="Arial" w:hAnsi="Arial"/>
          <w:sz w:val="11"/>
          <w:szCs w:val="11"/>
          <w:u w:val="single" w:color="auto"/>
          <w:color w:val="282828"/>
        </w:rPr>
        <w:t>while carrying out Tenant's</w:t>
      </w:r>
      <w:r>
        <w:rPr>
          <w:rFonts w:ascii="Arial" w:cs="Arial" w:eastAsia="Arial" w:hAnsi="Arial"/>
          <w:sz w:val="11"/>
          <w:szCs w:val="11"/>
          <w:u w:val="single" w:color="auto"/>
          <w:color w:val="131313"/>
        </w:rPr>
        <w:t xml:space="preserve"> Works</w:t>
      </w:r>
    </w:p>
    <w:p>
      <w:pPr>
        <w:spacing w:after="0" w:line="190" w:lineRule="exact"/>
        <w:rPr>
          <w:sz w:val="20"/>
          <w:szCs w:val="20"/>
          <w:color w:val="auto"/>
        </w:rPr>
      </w:pPr>
    </w:p>
    <w:p>
      <w:pPr>
        <w:jc w:val="both"/>
        <w:ind w:left="1520" w:hanging="480"/>
        <w:spacing w:after="0" w:line="245" w:lineRule="auto"/>
        <w:tabs>
          <w:tab w:leader="none" w:pos="1500" w:val="left"/>
        </w:tabs>
        <w:rPr>
          <w:sz w:val="20"/>
          <w:szCs w:val="20"/>
          <w:color w:val="auto"/>
        </w:rPr>
      </w:pPr>
      <w:r>
        <w:rPr>
          <w:rFonts w:ascii="Arial" w:cs="Arial" w:eastAsia="Arial" w:hAnsi="Arial"/>
          <w:sz w:val="12"/>
          <w:szCs w:val="12"/>
          <w:color w:val="131313"/>
        </w:rPr>
        <w:t>4.2.3.1</w:t>
        <w:tab/>
        <w:t>Before starting any Tenant's Works, you must take out and maintain (i) an all-risks policy and (ii) a comprehensive public liability insurance policy against claims for personal injury, death or property damage or Losses arising out of or relating to the Tenant's Works. Each insurance policy must provide coverage of at least S$2,000,000</w:t>
      </w:r>
      <w:r>
        <w:rPr>
          <w:rFonts w:ascii="Arial" w:cs="Arial" w:eastAsia="Arial" w:hAnsi="Arial"/>
          <w:sz w:val="12"/>
          <w:szCs w:val="12"/>
          <w:color w:val="3D3D3D"/>
        </w:rPr>
        <w:t>.</w:t>
      </w:r>
      <w:r>
        <w:rPr>
          <w:rFonts w:ascii="Arial" w:cs="Arial" w:eastAsia="Arial" w:hAnsi="Arial"/>
          <w:sz w:val="12"/>
          <w:szCs w:val="12"/>
          <w:color w:val="131313"/>
        </w:rPr>
        <w:t>00 (or such higher amount we tell you) for any one occurrence and it must be effective for the entire period of the Tenant's Works</w:t>
      </w:r>
      <w:r>
        <w:rPr>
          <w:rFonts w:ascii="Arial" w:cs="Arial" w:eastAsia="Arial" w:hAnsi="Arial"/>
          <w:sz w:val="12"/>
          <w:szCs w:val="12"/>
          <w:color w:val="3D3D3D"/>
        </w:rPr>
        <w:t>.</w:t>
      </w:r>
    </w:p>
    <w:p>
      <w:pPr>
        <w:spacing w:after="0" w:line="181" w:lineRule="exact"/>
        <w:rPr>
          <w:sz w:val="20"/>
          <w:szCs w:val="20"/>
          <w:color w:val="auto"/>
        </w:rPr>
      </w:pPr>
    </w:p>
    <w:p>
      <w:pPr>
        <w:jc w:val="both"/>
        <w:ind w:left="1520" w:hanging="480"/>
        <w:spacing w:after="0" w:line="245" w:lineRule="auto"/>
        <w:tabs>
          <w:tab w:leader="none" w:pos="1500" w:val="left"/>
        </w:tabs>
        <w:rPr>
          <w:sz w:val="20"/>
          <w:szCs w:val="20"/>
          <w:color w:val="auto"/>
        </w:rPr>
      </w:pPr>
      <w:r>
        <w:rPr>
          <w:rFonts w:ascii="Arial" w:cs="Arial" w:eastAsia="Arial" w:hAnsi="Arial"/>
          <w:sz w:val="12"/>
          <w:szCs w:val="12"/>
          <w:color w:val="131313"/>
        </w:rPr>
        <w:t>4.2.3.2</w:t>
        <w:tab/>
        <w:t>You must take out and maintain such insurance policies mentioned in clause 4.2.3.1 in the joint names of us and your contractors as co-insured parties for our and their respective rights and interests</w:t>
      </w:r>
      <w:r>
        <w:rPr>
          <w:rFonts w:ascii="Arial" w:cs="Arial" w:eastAsia="Arial" w:hAnsi="Arial"/>
          <w:sz w:val="12"/>
          <w:szCs w:val="12"/>
          <w:color w:val="3D3D3D"/>
        </w:rPr>
        <w:t>.</w:t>
      </w:r>
      <w:r>
        <w:rPr>
          <w:rFonts w:ascii="Arial" w:cs="Arial" w:eastAsia="Arial" w:hAnsi="Arial"/>
          <w:sz w:val="12"/>
          <w:szCs w:val="12"/>
          <w:color w:val="131313"/>
        </w:rPr>
        <w:t xml:space="preserve"> You must use a reputable insurance company, and such insurance policies must each include a cross-liability clause (that is, a clause which allows an insured party from claiming against another insured party if they are both covered by the same insurance policy)</w:t>
      </w:r>
      <w:r>
        <w:rPr>
          <w:rFonts w:ascii="Arial" w:cs="Arial" w:eastAsia="Arial" w:hAnsi="Arial"/>
          <w:sz w:val="12"/>
          <w:szCs w:val="12"/>
          <w:color w:val="3D3D3D"/>
        </w:rPr>
        <w:t>.</w:t>
      </w:r>
    </w:p>
    <w:p>
      <w:pPr>
        <w:spacing w:after="0" w:line="192" w:lineRule="exact"/>
        <w:rPr>
          <w:sz w:val="20"/>
          <w:szCs w:val="20"/>
          <w:color w:val="auto"/>
        </w:rPr>
      </w:pPr>
    </w:p>
    <w:p>
      <w:pPr>
        <w:jc w:val="both"/>
        <w:ind w:left="1500" w:right="20" w:hanging="481"/>
        <w:spacing w:after="0" w:line="250" w:lineRule="auto"/>
        <w:tabs>
          <w:tab w:leader="none" w:pos="1480" w:val="left"/>
        </w:tabs>
        <w:rPr>
          <w:sz w:val="20"/>
          <w:szCs w:val="20"/>
          <w:color w:val="auto"/>
        </w:rPr>
      </w:pPr>
      <w:r>
        <w:rPr>
          <w:rFonts w:ascii="Arial" w:cs="Arial" w:eastAsia="Arial" w:hAnsi="Arial"/>
          <w:sz w:val="12"/>
          <w:szCs w:val="12"/>
          <w:color w:val="131313"/>
        </w:rPr>
        <w:t>4.2.3.3</w:t>
        <w:tab/>
        <w:t>You must give us copies of such insurance policies mentioned in clause 4</w:t>
      </w:r>
      <w:r>
        <w:rPr>
          <w:rFonts w:ascii="Arial" w:cs="Arial" w:eastAsia="Arial" w:hAnsi="Arial"/>
          <w:sz w:val="12"/>
          <w:szCs w:val="12"/>
          <w:color w:val="3D3D3D"/>
        </w:rPr>
        <w:t>.</w:t>
      </w:r>
      <w:r>
        <w:rPr>
          <w:rFonts w:ascii="Arial" w:cs="Arial" w:eastAsia="Arial" w:hAnsi="Arial"/>
          <w:sz w:val="12"/>
          <w:szCs w:val="12"/>
          <w:color w:val="131313"/>
        </w:rPr>
        <w:t xml:space="preserve">2.3.1 if we ask for one. However, giving us such copies will not be considered to be constructive notice of any terms of such </w:t>
      </w:r>
      <w:r>
        <w:rPr>
          <w:rFonts w:ascii="Arial" w:cs="Arial" w:eastAsia="Arial" w:hAnsi="Arial"/>
          <w:sz w:val="12"/>
          <w:szCs w:val="12"/>
          <w:color w:val="282828"/>
        </w:rPr>
        <w:t>insurance</w:t>
      </w:r>
      <w:r>
        <w:rPr>
          <w:rFonts w:ascii="Arial" w:cs="Arial" w:eastAsia="Arial" w:hAnsi="Arial"/>
          <w:sz w:val="12"/>
          <w:szCs w:val="12"/>
          <w:color w:val="131313"/>
        </w:rPr>
        <w:t xml:space="preserve"> policies nor, and will not in any way reduce or affect your obligations under this Lease, including clause 4.2.3.</w:t>
      </w:r>
    </w:p>
    <w:p>
      <w:pPr>
        <w:spacing w:after="0" w:line="178"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2"/>
          <w:szCs w:val="12"/>
          <w:color w:val="131313"/>
        </w:rPr>
        <w:t>4.2.4</w:t>
      </w:r>
      <w:r>
        <w:rPr>
          <w:sz w:val="20"/>
          <w:szCs w:val="20"/>
          <w:color w:val="auto"/>
        </w:rPr>
        <w:tab/>
      </w:r>
      <w:r>
        <w:rPr>
          <w:rFonts w:ascii="Arial" w:cs="Arial" w:eastAsia="Arial" w:hAnsi="Arial"/>
          <w:sz w:val="11"/>
          <w:szCs w:val="11"/>
          <w:u w:val="single" w:color="auto"/>
          <w:color w:val="282828"/>
        </w:rPr>
        <w:t xml:space="preserve">Maintain </w:t>
      </w:r>
      <w:r>
        <w:rPr>
          <w:rFonts w:ascii="Arial" w:cs="Arial" w:eastAsia="Arial" w:hAnsi="Arial"/>
          <w:sz w:val="11"/>
          <w:szCs w:val="11"/>
          <w:u w:val="single" w:color="auto"/>
          <w:color w:val="3D3D3D"/>
        </w:rPr>
        <w:t>and</w:t>
      </w:r>
      <w:r>
        <w:rPr>
          <w:rFonts w:ascii="Arial" w:cs="Arial" w:eastAsia="Arial" w:hAnsi="Arial"/>
          <w:sz w:val="11"/>
          <w:szCs w:val="11"/>
          <w:u w:val="single" w:color="auto"/>
          <w:color w:val="282828"/>
        </w:rPr>
        <w:t xml:space="preserve"> repair</w:t>
      </w:r>
    </w:p>
    <w:p>
      <w:pPr>
        <w:spacing w:after="0" w:line="190" w:lineRule="exact"/>
        <w:rPr>
          <w:sz w:val="20"/>
          <w:szCs w:val="20"/>
          <w:color w:val="auto"/>
        </w:rPr>
      </w:pPr>
    </w:p>
    <w:p>
      <w:pPr>
        <w:ind w:left="1040"/>
        <w:spacing w:after="0"/>
        <w:tabs>
          <w:tab w:leader="none" w:pos="1500" w:val="left"/>
        </w:tabs>
        <w:rPr>
          <w:sz w:val="20"/>
          <w:szCs w:val="20"/>
          <w:color w:val="auto"/>
        </w:rPr>
      </w:pPr>
      <w:r>
        <w:rPr>
          <w:rFonts w:ascii="Arial" w:cs="Arial" w:eastAsia="Arial" w:hAnsi="Arial"/>
          <w:sz w:val="12"/>
          <w:szCs w:val="12"/>
          <w:color w:val="131313"/>
        </w:rPr>
        <w:t>4.2.4.1</w:t>
      </w:r>
      <w:r>
        <w:rPr>
          <w:sz w:val="20"/>
          <w:szCs w:val="20"/>
          <w:color w:val="auto"/>
        </w:rPr>
        <w:tab/>
      </w:r>
      <w:r>
        <w:rPr>
          <w:rFonts w:ascii="Arial" w:cs="Arial" w:eastAsia="Arial" w:hAnsi="Arial"/>
          <w:sz w:val="11"/>
          <w:szCs w:val="11"/>
          <w:color w:val="131313"/>
        </w:rPr>
        <w:t>You must:</w:t>
      </w:r>
    </w:p>
    <w:p>
      <w:pPr>
        <w:spacing w:after="0" w:line="201" w:lineRule="exact"/>
        <w:rPr>
          <w:sz w:val="20"/>
          <w:szCs w:val="20"/>
          <w:color w:val="auto"/>
        </w:rPr>
      </w:pPr>
    </w:p>
    <w:p>
      <w:pPr>
        <w:ind w:left="1740" w:hanging="230"/>
        <w:spacing w:after="0"/>
        <w:tabs>
          <w:tab w:leader="none" w:pos="1740" w:val="left"/>
        </w:tabs>
        <w:numPr>
          <w:ilvl w:val="0"/>
          <w:numId w:val="73"/>
        </w:numPr>
        <w:rPr>
          <w:rFonts w:ascii="Arial" w:cs="Arial" w:eastAsia="Arial" w:hAnsi="Arial"/>
          <w:sz w:val="12"/>
          <w:szCs w:val="12"/>
          <w:color w:val="131313"/>
        </w:rPr>
      </w:pPr>
      <w:r>
        <w:rPr>
          <w:rFonts w:ascii="Arial" w:cs="Arial" w:eastAsia="Arial" w:hAnsi="Arial"/>
          <w:sz w:val="12"/>
          <w:szCs w:val="12"/>
          <w:color w:val="131313"/>
        </w:rPr>
        <w:t>keep the Premises in a clean and tidy condition to keep to what we require under this Lease (including the Tenants</w:t>
      </w:r>
      <w:r>
        <w:rPr>
          <w:rFonts w:ascii="Arial" w:cs="Arial" w:eastAsia="Arial" w:hAnsi="Arial"/>
          <w:sz w:val="12"/>
          <w:szCs w:val="12"/>
          <w:color w:val="3D3D3D"/>
        </w:rPr>
        <w:t>'</w:t>
      </w:r>
      <w:r>
        <w:rPr>
          <w:rFonts w:ascii="Arial" w:cs="Arial" w:eastAsia="Arial" w:hAnsi="Arial"/>
          <w:sz w:val="12"/>
          <w:szCs w:val="12"/>
          <w:color w:val="131313"/>
        </w:rPr>
        <w:t>Guide);</w:t>
      </w:r>
    </w:p>
    <w:p>
      <w:pPr>
        <w:spacing w:after="0" w:line="179" w:lineRule="exact"/>
        <w:rPr>
          <w:rFonts w:ascii="Arial" w:cs="Arial" w:eastAsia="Arial" w:hAnsi="Arial"/>
          <w:sz w:val="12"/>
          <w:szCs w:val="12"/>
          <w:color w:val="131313"/>
        </w:rPr>
      </w:pPr>
    </w:p>
    <w:p>
      <w:pPr>
        <w:jc w:val="both"/>
        <w:ind w:left="1740" w:right="20" w:hanging="234"/>
        <w:spacing w:after="0" w:line="245" w:lineRule="auto"/>
        <w:tabs>
          <w:tab w:leader="none" w:pos="1730" w:val="left"/>
        </w:tabs>
        <w:numPr>
          <w:ilvl w:val="0"/>
          <w:numId w:val="73"/>
        </w:numPr>
        <w:rPr>
          <w:rFonts w:ascii="Arial" w:cs="Arial" w:eastAsia="Arial" w:hAnsi="Arial"/>
          <w:sz w:val="12"/>
          <w:szCs w:val="12"/>
          <w:color w:val="131313"/>
        </w:rPr>
      </w:pPr>
      <w:r>
        <w:rPr>
          <w:rFonts w:ascii="Arial" w:cs="Arial" w:eastAsia="Arial" w:hAnsi="Arial"/>
          <w:sz w:val="12"/>
          <w:szCs w:val="12"/>
          <w:color w:val="131313"/>
        </w:rPr>
        <w:t xml:space="preserve">keep the Premises (including all fixtures and fittings, mechanical and electrical equipment and Conducting Media in and serving the Premises, whether these belong to you or us) </w:t>
      </w:r>
      <w:r>
        <w:rPr>
          <w:rFonts w:ascii="Arial" w:cs="Arial" w:eastAsia="Arial" w:hAnsi="Arial"/>
          <w:sz w:val="12"/>
          <w:szCs w:val="12"/>
          <w:color w:val="282828"/>
        </w:rPr>
        <w:t xml:space="preserve">in </w:t>
      </w:r>
      <w:r>
        <w:rPr>
          <w:rFonts w:ascii="Arial" w:cs="Arial" w:eastAsia="Arial" w:hAnsi="Arial"/>
          <w:sz w:val="12"/>
          <w:szCs w:val="12"/>
          <w:color w:val="131313"/>
        </w:rPr>
        <w:t>good and tenantable repair and condition (that is, in a state and condition safe and suitable for use and in which you have carried out all necessary repairs for), except for fair</w:t>
      </w:r>
      <w:r>
        <w:rPr>
          <w:rFonts w:ascii="Arial" w:cs="Arial" w:eastAsia="Arial" w:hAnsi="Arial"/>
          <w:sz w:val="12"/>
          <w:szCs w:val="12"/>
          <w:color w:val="282828"/>
        </w:rPr>
        <w:t xml:space="preserve"> </w:t>
      </w:r>
      <w:r>
        <w:rPr>
          <w:rFonts w:ascii="Arial" w:cs="Arial" w:eastAsia="Arial" w:hAnsi="Arial"/>
          <w:sz w:val="12"/>
          <w:szCs w:val="12"/>
          <w:color w:val="131313"/>
        </w:rPr>
        <w:t>wear and tear; and</w:t>
      </w:r>
    </w:p>
    <w:p>
      <w:pPr>
        <w:spacing w:after="0" w:line="191" w:lineRule="exact"/>
        <w:rPr>
          <w:rFonts w:ascii="Arial" w:cs="Arial" w:eastAsia="Arial" w:hAnsi="Arial"/>
          <w:sz w:val="12"/>
          <w:szCs w:val="12"/>
          <w:color w:val="131313"/>
        </w:rPr>
      </w:pPr>
    </w:p>
    <w:p>
      <w:pPr>
        <w:ind w:left="1740" w:hanging="236"/>
        <w:spacing w:after="0"/>
        <w:tabs>
          <w:tab w:leader="none" w:pos="1740" w:val="left"/>
        </w:tabs>
        <w:numPr>
          <w:ilvl w:val="0"/>
          <w:numId w:val="73"/>
        </w:numPr>
        <w:rPr>
          <w:rFonts w:ascii="Arial" w:cs="Arial" w:eastAsia="Arial" w:hAnsi="Arial"/>
          <w:sz w:val="12"/>
          <w:szCs w:val="12"/>
          <w:color w:val="131313"/>
        </w:rPr>
      </w:pPr>
      <w:r>
        <w:rPr>
          <w:rFonts w:ascii="Arial" w:cs="Arial" w:eastAsia="Arial" w:hAnsi="Arial"/>
          <w:sz w:val="12"/>
          <w:szCs w:val="12"/>
          <w:color w:val="131313"/>
        </w:rPr>
        <w:t>immediately make good</w:t>
      </w:r>
      <w:r>
        <w:rPr>
          <w:rFonts w:ascii="Arial" w:cs="Arial" w:eastAsia="Arial" w:hAnsi="Arial"/>
          <w:sz w:val="12"/>
          <w:szCs w:val="12"/>
          <w:color w:val="3D3D3D"/>
        </w:rPr>
        <w:t>,</w:t>
      </w:r>
      <w:r>
        <w:rPr>
          <w:rFonts w:ascii="Arial" w:cs="Arial" w:eastAsia="Arial" w:hAnsi="Arial"/>
          <w:sz w:val="12"/>
          <w:szCs w:val="12"/>
          <w:color w:val="131313"/>
        </w:rPr>
        <w:t xml:space="preserve"> to our satisfaction, any damage you cause to the Premises (including our fixtures and fittings </w:t>
      </w:r>
      <w:r>
        <w:rPr>
          <w:rFonts w:ascii="Arial" w:cs="Arial" w:eastAsia="Arial" w:hAnsi="Arial"/>
          <w:sz w:val="12"/>
          <w:szCs w:val="12"/>
          <w:color w:val="282828"/>
        </w:rPr>
        <w:t>in</w:t>
      </w:r>
      <w:r>
        <w:rPr>
          <w:rFonts w:ascii="Arial" w:cs="Arial" w:eastAsia="Arial" w:hAnsi="Arial"/>
          <w:sz w:val="12"/>
          <w:szCs w:val="12"/>
          <w:color w:val="131313"/>
        </w:rPr>
        <w:t xml:space="preserve"> them), or to any other part of the Building or Park</w:t>
      </w:r>
      <w:r>
        <w:rPr>
          <w:rFonts w:ascii="Arial" w:cs="Arial" w:eastAsia="Arial" w:hAnsi="Arial"/>
          <w:sz w:val="12"/>
          <w:szCs w:val="12"/>
          <w:color w:val="3D3D3D"/>
        </w:rPr>
        <w:t>.</w:t>
      </w:r>
    </w:p>
    <w:p>
      <w:pPr>
        <w:spacing w:after="0" w:line="180"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2"/>
          <w:szCs w:val="12"/>
          <w:color w:val="131313"/>
        </w:rPr>
        <w:t>4.2.5</w:t>
      </w:r>
      <w:r>
        <w:rPr>
          <w:sz w:val="20"/>
          <w:szCs w:val="20"/>
          <w:color w:val="auto"/>
        </w:rPr>
        <w:tab/>
      </w:r>
      <w:r>
        <w:rPr>
          <w:rFonts w:ascii="Arial" w:cs="Arial" w:eastAsia="Arial" w:hAnsi="Arial"/>
          <w:sz w:val="12"/>
          <w:szCs w:val="12"/>
          <w:u w:val="single" w:color="auto"/>
          <w:color w:val="282828"/>
        </w:rPr>
        <w:t xml:space="preserve">Permitting us to </w:t>
      </w:r>
      <w:r>
        <w:rPr>
          <w:rFonts w:ascii="Arial" w:cs="Arial" w:eastAsia="Arial" w:hAnsi="Arial"/>
          <w:sz w:val="12"/>
          <w:szCs w:val="12"/>
          <w:u w:val="single" w:color="auto"/>
          <w:color w:val="3D3D3D"/>
        </w:rPr>
        <w:t>inspect the</w:t>
      </w:r>
      <w:r>
        <w:rPr>
          <w:rFonts w:ascii="Arial" w:cs="Arial" w:eastAsia="Arial" w:hAnsi="Arial"/>
          <w:sz w:val="12"/>
          <w:szCs w:val="12"/>
          <w:u w:val="single" w:color="auto"/>
          <w:color w:val="282828"/>
        </w:rPr>
        <w:t xml:space="preserve"> </w:t>
      </w:r>
      <w:r>
        <w:rPr>
          <w:rFonts w:ascii="Arial" w:cs="Arial" w:eastAsia="Arial" w:hAnsi="Arial"/>
          <w:sz w:val="12"/>
          <w:szCs w:val="12"/>
          <w:u w:val="single" w:color="auto"/>
          <w:color w:val="131313"/>
        </w:rPr>
        <w:t>Pre</w:t>
      </w:r>
      <w:r>
        <w:rPr>
          <w:rFonts w:ascii="Arial" w:cs="Arial" w:eastAsia="Arial" w:hAnsi="Arial"/>
          <w:sz w:val="12"/>
          <w:szCs w:val="12"/>
          <w:u w:val="single" w:color="auto"/>
          <w:color w:val="3D3D3D"/>
        </w:rPr>
        <w:t>m</w:t>
      </w:r>
      <w:r>
        <w:rPr>
          <w:rFonts w:ascii="Arial" w:cs="Arial" w:eastAsia="Arial" w:hAnsi="Arial"/>
          <w:sz w:val="12"/>
          <w:szCs w:val="12"/>
          <w:u w:val="single" w:color="auto"/>
          <w:color w:val="575757"/>
        </w:rPr>
        <w:t>i</w:t>
      </w:r>
      <w:r>
        <w:rPr>
          <w:rFonts w:ascii="Arial" w:cs="Arial" w:eastAsia="Arial" w:hAnsi="Arial"/>
          <w:sz w:val="12"/>
          <w:szCs w:val="12"/>
          <w:u w:val="single" w:color="auto"/>
          <w:color w:val="282828"/>
        </w:rPr>
        <w:t xml:space="preserve">ses </w:t>
      </w:r>
      <w:r>
        <w:rPr>
          <w:rFonts w:ascii="Arial" w:cs="Arial" w:eastAsia="Arial" w:hAnsi="Arial"/>
          <w:sz w:val="12"/>
          <w:szCs w:val="12"/>
          <w:u w:val="single" w:color="auto"/>
          <w:color w:val="3D3D3D"/>
        </w:rPr>
        <w:t>and car</w:t>
      </w:r>
      <w:r>
        <w:rPr>
          <w:rFonts w:ascii="Arial" w:cs="Arial" w:eastAsia="Arial" w:hAnsi="Arial"/>
          <w:sz w:val="12"/>
          <w:szCs w:val="12"/>
          <w:u w:val="single" w:color="auto"/>
          <w:color w:val="131313"/>
        </w:rPr>
        <w:t>ry</w:t>
      </w:r>
      <w:r>
        <w:rPr>
          <w:rFonts w:ascii="Arial" w:cs="Arial" w:eastAsia="Arial" w:hAnsi="Arial"/>
          <w:sz w:val="12"/>
          <w:szCs w:val="12"/>
          <w:u w:val="single" w:color="auto"/>
          <w:color w:val="282828"/>
        </w:rPr>
        <w:t xml:space="preserve"> out repairs</w:t>
      </w:r>
    </w:p>
    <w:p>
      <w:pPr>
        <w:spacing w:after="0" w:line="201" w:lineRule="exact"/>
        <w:rPr>
          <w:sz w:val="20"/>
          <w:szCs w:val="20"/>
          <w:color w:val="auto"/>
        </w:rPr>
      </w:pPr>
    </w:p>
    <w:p>
      <w:pPr>
        <w:ind w:left="1500"/>
        <w:spacing w:after="0"/>
        <w:rPr>
          <w:sz w:val="20"/>
          <w:szCs w:val="20"/>
          <w:color w:val="auto"/>
        </w:rPr>
      </w:pPr>
      <w:r>
        <w:rPr>
          <w:rFonts w:ascii="Arial" w:cs="Arial" w:eastAsia="Arial" w:hAnsi="Arial"/>
          <w:sz w:val="12"/>
          <w:szCs w:val="12"/>
          <w:color w:val="131313"/>
        </w:rPr>
        <w:t>You must allow us and Our Authorised People to enter the Premises with advance notice (except in cases of emergency) and at no cost to us, so that we may:</w:t>
      </w:r>
    </w:p>
    <w:p>
      <w:pPr>
        <w:spacing w:after="0" w:line="180" w:lineRule="exact"/>
        <w:rPr>
          <w:sz w:val="20"/>
          <w:szCs w:val="20"/>
          <w:color w:val="auto"/>
        </w:rPr>
      </w:pPr>
    </w:p>
    <w:p>
      <w:pPr>
        <w:ind w:left="1720" w:hanging="224"/>
        <w:spacing w:after="0"/>
        <w:tabs>
          <w:tab w:leader="none" w:pos="1720" w:val="left"/>
        </w:tabs>
        <w:numPr>
          <w:ilvl w:val="0"/>
          <w:numId w:val="74"/>
        </w:numPr>
        <w:rPr>
          <w:rFonts w:ascii="Arial" w:cs="Arial" w:eastAsia="Arial" w:hAnsi="Arial"/>
          <w:sz w:val="12"/>
          <w:szCs w:val="12"/>
          <w:color w:val="131313"/>
        </w:rPr>
      </w:pPr>
      <w:r>
        <w:rPr>
          <w:rFonts w:ascii="Arial" w:cs="Arial" w:eastAsia="Arial" w:hAnsi="Arial"/>
          <w:sz w:val="12"/>
          <w:szCs w:val="12"/>
          <w:color w:val="131313"/>
        </w:rPr>
        <w:t xml:space="preserve">check </w:t>
      </w:r>
      <w:r>
        <w:rPr>
          <w:rFonts w:ascii="Arial" w:cs="Arial" w:eastAsia="Arial" w:hAnsi="Arial"/>
          <w:sz w:val="12"/>
          <w:szCs w:val="12"/>
          <w:color w:val="282828"/>
        </w:rPr>
        <w:t>if</w:t>
      </w:r>
      <w:r>
        <w:rPr>
          <w:rFonts w:ascii="Arial" w:cs="Arial" w:eastAsia="Arial" w:hAnsi="Arial"/>
          <w:sz w:val="12"/>
          <w:szCs w:val="12"/>
          <w:color w:val="131313"/>
        </w:rPr>
        <w:t xml:space="preserve"> you are keeping to the terms of this Lease;</w:t>
      </w:r>
    </w:p>
    <w:p>
      <w:pPr>
        <w:spacing w:after="0" w:line="190" w:lineRule="exact"/>
        <w:rPr>
          <w:rFonts w:ascii="Arial" w:cs="Arial" w:eastAsia="Arial" w:hAnsi="Arial"/>
          <w:sz w:val="12"/>
          <w:szCs w:val="12"/>
          <w:color w:val="131313"/>
        </w:rPr>
      </w:pPr>
    </w:p>
    <w:p>
      <w:pPr>
        <w:ind w:left="1720" w:hanging="224"/>
        <w:spacing w:after="0"/>
        <w:tabs>
          <w:tab w:leader="none" w:pos="1720" w:val="left"/>
        </w:tabs>
        <w:numPr>
          <w:ilvl w:val="0"/>
          <w:numId w:val="74"/>
        </w:numPr>
        <w:rPr>
          <w:rFonts w:ascii="Arial" w:cs="Arial" w:eastAsia="Arial" w:hAnsi="Arial"/>
          <w:sz w:val="12"/>
          <w:szCs w:val="12"/>
          <w:color w:val="131313"/>
        </w:rPr>
      </w:pPr>
      <w:r>
        <w:rPr>
          <w:rFonts w:ascii="Arial" w:cs="Arial" w:eastAsia="Arial" w:hAnsi="Arial"/>
          <w:sz w:val="12"/>
          <w:szCs w:val="12"/>
          <w:color w:val="131313"/>
        </w:rPr>
        <w:t>carry out spot checks and inspect the condition of the Premises;</w:t>
      </w:r>
    </w:p>
    <w:p>
      <w:pPr>
        <w:spacing w:after="0" w:line="190" w:lineRule="exact"/>
        <w:rPr>
          <w:rFonts w:ascii="Arial" w:cs="Arial" w:eastAsia="Arial" w:hAnsi="Arial"/>
          <w:sz w:val="12"/>
          <w:szCs w:val="12"/>
          <w:color w:val="131313"/>
        </w:rPr>
      </w:pPr>
    </w:p>
    <w:p>
      <w:pPr>
        <w:ind w:left="1740" w:hanging="244"/>
        <w:spacing w:after="0"/>
        <w:tabs>
          <w:tab w:leader="none" w:pos="1740" w:val="left"/>
        </w:tabs>
        <w:numPr>
          <w:ilvl w:val="0"/>
          <w:numId w:val="74"/>
        </w:numPr>
        <w:rPr>
          <w:rFonts w:ascii="Arial" w:cs="Arial" w:eastAsia="Arial" w:hAnsi="Arial"/>
          <w:sz w:val="12"/>
          <w:szCs w:val="12"/>
          <w:color w:val="131313"/>
        </w:rPr>
      </w:pPr>
      <w:r>
        <w:rPr>
          <w:rFonts w:ascii="Arial" w:cs="Arial" w:eastAsia="Arial" w:hAnsi="Arial"/>
          <w:sz w:val="12"/>
          <w:szCs w:val="12"/>
          <w:color w:val="131313"/>
        </w:rPr>
        <w:t>take a schedule of fixtures and fittings;</w:t>
      </w:r>
    </w:p>
    <w:p>
      <w:pPr>
        <w:spacing w:after="0" w:line="190" w:lineRule="exact"/>
        <w:rPr>
          <w:rFonts w:ascii="Arial" w:cs="Arial" w:eastAsia="Arial" w:hAnsi="Arial"/>
          <w:sz w:val="12"/>
          <w:szCs w:val="12"/>
          <w:color w:val="131313"/>
        </w:rPr>
      </w:pPr>
    </w:p>
    <w:p>
      <w:pPr>
        <w:ind w:left="1740" w:hanging="247"/>
        <w:spacing w:after="0"/>
        <w:tabs>
          <w:tab w:leader="none" w:pos="1740" w:val="left"/>
        </w:tabs>
        <w:numPr>
          <w:ilvl w:val="0"/>
          <w:numId w:val="74"/>
        </w:numPr>
        <w:rPr>
          <w:rFonts w:ascii="Arial" w:cs="Arial" w:eastAsia="Arial" w:hAnsi="Arial"/>
          <w:sz w:val="12"/>
          <w:szCs w:val="12"/>
          <w:color w:val="131313"/>
        </w:rPr>
      </w:pPr>
      <w:r>
        <w:rPr>
          <w:rFonts w:ascii="Arial" w:cs="Arial" w:eastAsia="Arial" w:hAnsi="Arial"/>
          <w:sz w:val="12"/>
          <w:szCs w:val="12"/>
          <w:color w:val="131313"/>
        </w:rPr>
        <w:t>investigate the cause of any interference or disturbance to other tenants and occupants;</w:t>
      </w:r>
    </w:p>
    <w:p>
      <w:pPr>
        <w:spacing w:after="0" w:line="200" w:lineRule="exact"/>
        <w:rPr>
          <w:rFonts w:ascii="Arial" w:cs="Arial" w:eastAsia="Arial" w:hAnsi="Arial"/>
          <w:sz w:val="12"/>
          <w:szCs w:val="12"/>
          <w:color w:val="131313"/>
        </w:rPr>
      </w:pPr>
    </w:p>
    <w:p>
      <w:pPr>
        <w:ind w:left="1740" w:hanging="247"/>
        <w:spacing w:after="0"/>
        <w:tabs>
          <w:tab w:leader="none" w:pos="1740" w:val="left"/>
        </w:tabs>
        <w:numPr>
          <w:ilvl w:val="0"/>
          <w:numId w:val="74"/>
        </w:numPr>
        <w:rPr>
          <w:rFonts w:ascii="Arial" w:cs="Arial" w:eastAsia="Arial" w:hAnsi="Arial"/>
          <w:sz w:val="12"/>
          <w:szCs w:val="12"/>
          <w:color w:val="131313"/>
        </w:rPr>
      </w:pPr>
      <w:r>
        <w:rPr>
          <w:rFonts w:ascii="Arial" w:cs="Arial" w:eastAsia="Arial" w:hAnsi="Arial"/>
          <w:sz w:val="12"/>
          <w:szCs w:val="12"/>
          <w:color w:val="131313"/>
        </w:rPr>
        <w:t>gain access to parts of the Building, mechanical and electrical equipment and/or Conducting Media (or both) which can only be accessed through or in the Premises;</w:t>
      </w:r>
    </w:p>
    <w:p>
      <w:pPr>
        <w:spacing w:after="0" w:line="174" w:lineRule="exact"/>
        <w:rPr>
          <w:rFonts w:ascii="Arial" w:cs="Arial" w:eastAsia="Arial" w:hAnsi="Arial"/>
          <w:sz w:val="12"/>
          <w:szCs w:val="12"/>
          <w:color w:val="131313"/>
        </w:rPr>
      </w:pPr>
    </w:p>
    <w:p>
      <w:pPr>
        <w:ind w:left="1740" w:right="20" w:hanging="247"/>
        <w:spacing w:after="0" w:line="260" w:lineRule="auto"/>
        <w:tabs>
          <w:tab w:leader="none" w:pos="1730" w:val="left"/>
        </w:tabs>
        <w:numPr>
          <w:ilvl w:val="0"/>
          <w:numId w:val="74"/>
        </w:numPr>
        <w:rPr>
          <w:rFonts w:ascii="Arial" w:cs="Arial" w:eastAsia="Arial" w:hAnsi="Arial"/>
          <w:sz w:val="12"/>
          <w:szCs w:val="12"/>
          <w:color w:val="131313"/>
        </w:rPr>
      </w:pPr>
      <w:r>
        <w:rPr>
          <w:rFonts w:ascii="Arial" w:cs="Arial" w:eastAsia="Arial" w:hAnsi="Arial"/>
          <w:sz w:val="12"/>
          <w:szCs w:val="12"/>
          <w:color w:val="131313"/>
        </w:rPr>
        <w:t xml:space="preserve">carry out any work relating to the mechanical and electrical equipment or Conducting Media and to install extra mechanical and electrical equipment or Conducting Media </w:t>
      </w:r>
      <w:r>
        <w:rPr>
          <w:rFonts w:ascii="Arial" w:cs="Arial" w:eastAsia="Arial" w:hAnsi="Arial"/>
          <w:sz w:val="11"/>
          <w:szCs w:val="11"/>
          <w:i w:val="1"/>
          <w:iCs w:val="1"/>
          <w:color w:val="131313"/>
        </w:rPr>
        <w:t>or</w:t>
      </w:r>
      <w:r>
        <w:rPr>
          <w:rFonts w:ascii="Arial" w:cs="Arial" w:eastAsia="Arial" w:hAnsi="Arial"/>
          <w:sz w:val="12"/>
          <w:szCs w:val="12"/>
          <w:color w:val="131313"/>
        </w:rPr>
        <w:t xml:space="preserve"> to repair or replace any fixtures or fittings which belong to us;</w:t>
      </w:r>
    </w:p>
    <w:p>
      <w:pPr>
        <w:spacing w:after="0" w:line="172" w:lineRule="exact"/>
        <w:rPr>
          <w:rFonts w:ascii="Arial" w:cs="Arial" w:eastAsia="Arial" w:hAnsi="Arial"/>
          <w:sz w:val="12"/>
          <w:szCs w:val="12"/>
          <w:color w:val="131313"/>
        </w:rPr>
      </w:pPr>
    </w:p>
    <w:p>
      <w:pPr>
        <w:ind w:left="1740" w:right="40" w:hanging="250"/>
        <w:spacing w:after="0" w:line="250" w:lineRule="auto"/>
        <w:tabs>
          <w:tab w:leader="none" w:pos="1739" w:val="left"/>
        </w:tabs>
        <w:numPr>
          <w:ilvl w:val="0"/>
          <w:numId w:val="74"/>
        </w:numPr>
        <w:rPr>
          <w:rFonts w:ascii="Arial" w:cs="Arial" w:eastAsia="Arial" w:hAnsi="Arial"/>
          <w:sz w:val="12"/>
          <w:szCs w:val="12"/>
          <w:color w:val="131313"/>
        </w:rPr>
      </w:pPr>
      <w:r>
        <w:rPr>
          <w:rFonts w:ascii="Arial" w:cs="Arial" w:eastAsia="Arial" w:hAnsi="Arial"/>
          <w:sz w:val="12"/>
          <w:szCs w:val="12"/>
          <w:color w:val="131313"/>
        </w:rPr>
        <w:t>enforce any right or to meet any obligation we have under this Lease or the Head Lease or any obligation we have to any third party who has legal rights over the Premises, the Building or Park or whose Conducting Media passes through the Premises;</w:t>
      </w:r>
    </w:p>
    <w:p>
      <w:pPr>
        <w:spacing w:after="0" w:line="178" w:lineRule="exact"/>
        <w:rPr>
          <w:rFonts w:ascii="Arial" w:cs="Arial" w:eastAsia="Arial" w:hAnsi="Arial"/>
          <w:sz w:val="12"/>
          <w:szCs w:val="12"/>
          <w:color w:val="131313"/>
        </w:rPr>
      </w:pPr>
    </w:p>
    <w:p>
      <w:pPr>
        <w:ind w:left="1740" w:right="40" w:hanging="250"/>
        <w:spacing w:after="0" w:line="250" w:lineRule="auto"/>
        <w:tabs>
          <w:tab w:leader="none" w:pos="1739" w:val="left"/>
        </w:tabs>
        <w:numPr>
          <w:ilvl w:val="0"/>
          <w:numId w:val="74"/>
        </w:numPr>
        <w:rPr>
          <w:rFonts w:ascii="Arial" w:cs="Arial" w:eastAsia="Arial" w:hAnsi="Arial"/>
          <w:sz w:val="12"/>
          <w:szCs w:val="12"/>
          <w:color w:val="auto"/>
        </w:rPr>
      </w:pPr>
      <w:r>
        <w:rPr>
          <w:rFonts w:ascii="Arial" w:cs="Arial" w:eastAsia="Arial" w:hAnsi="Arial"/>
          <w:sz w:val="12"/>
          <w:szCs w:val="12"/>
          <w:color w:val="131313"/>
        </w:rPr>
        <w:t>build, alter, repair or maintain the Premises, the Building or Park (including cleaning the windows on the outside of the Building or anything serving the rest of the Building and Park as well as anything running through the Premises);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200"/>
          </w:cols>
          <w:pgMar w:left="300" w:top="1440" w:right="399" w:bottom="1440" w:gutter="0" w:footer="0" w:header="0"/>
        </w:sectPr>
      </w:pPr>
    </w:p>
    <w:bookmarkStart w:id="145" w:name="page146"/>
    <w:bookmarkEnd w:id="145"/>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2">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ind w:left="80" w:right="40" w:firstLine="482"/>
        <w:spacing w:after="0" w:line="570" w:lineRule="auto"/>
        <w:tabs>
          <w:tab w:leader="none" w:pos="694" w:val="left"/>
        </w:tabs>
        <w:numPr>
          <w:ilvl w:val="0"/>
          <w:numId w:val="75"/>
        </w:numPr>
        <w:rPr>
          <w:rFonts w:ascii="Arial" w:cs="Arial" w:eastAsia="Arial" w:hAnsi="Arial"/>
          <w:sz w:val="12"/>
          <w:szCs w:val="12"/>
          <w:color w:val="131313"/>
        </w:rPr>
      </w:pPr>
      <w:r>
        <w:rPr>
          <w:rFonts w:ascii="Arial" w:cs="Arial" w:eastAsia="Arial" w:hAnsi="Arial"/>
          <w:sz w:val="12"/>
          <w:szCs w:val="12"/>
          <w:color w:val="131313"/>
        </w:rPr>
        <w:t>carry out any work which we need or want to carry out to any part of the Building or Park (including the services and facilities in it), including the right to build onto any boundary wall of the Premises. 4.2.5.1 If we find that you have not kept to all the terms of this Lease, you must carry out the necessary work promptly and within the time period as set out in the notice we give you and to our satisfaction.</w:t>
      </w:r>
    </w:p>
    <w:p>
      <w:pPr>
        <w:spacing w:after="0" w:line="1" w:lineRule="exact"/>
        <w:rPr>
          <w:sz w:val="20"/>
          <w:szCs w:val="20"/>
          <w:color w:val="auto"/>
        </w:rPr>
      </w:pPr>
    </w:p>
    <w:p>
      <w:pPr>
        <w:ind w:left="560" w:hanging="477"/>
        <w:spacing w:after="0" w:line="250" w:lineRule="auto"/>
        <w:tabs>
          <w:tab w:leader="none" w:pos="540" w:val="left"/>
        </w:tabs>
        <w:rPr>
          <w:sz w:val="20"/>
          <w:szCs w:val="20"/>
          <w:color w:val="auto"/>
        </w:rPr>
      </w:pPr>
      <w:r>
        <w:rPr>
          <w:rFonts w:ascii="Arial" w:cs="Arial" w:eastAsia="Arial" w:hAnsi="Arial"/>
          <w:sz w:val="12"/>
          <w:szCs w:val="12"/>
          <w:color w:val="131313"/>
        </w:rPr>
        <w:t>4.2.5.2</w:t>
        <w:tab/>
        <w:t>If you do not carry out and complete the necessary work in time, we may enter the Premises to do the necessary work, and you must pay the costs and expenses for any such work. You must also, if we notify you to, do the following:</w:t>
      </w:r>
    </w:p>
    <w:p>
      <w:pPr>
        <w:spacing w:after="0" w:line="178" w:lineRule="exact"/>
        <w:rPr>
          <w:sz w:val="20"/>
          <w:szCs w:val="20"/>
          <w:color w:val="auto"/>
        </w:rPr>
      </w:pPr>
    </w:p>
    <w:p>
      <w:pPr>
        <w:ind w:left="800" w:hanging="240"/>
        <w:spacing w:after="0" w:line="250" w:lineRule="auto"/>
        <w:tabs>
          <w:tab w:leader="none" w:pos="791" w:val="left"/>
        </w:tabs>
        <w:numPr>
          <w:ilvl w:val="0"/>
          <w:numId w:val="76"/>
        </w:numPr>
        <w:rPr>
          <w:rFonts w:ascii="Arial" w:cs="Arial" w:eastAsia="Arial" w:hAnsi="Arial"/>
          <w:sz w:val="12"/>
          <w:szCs w:val="12"/>
          <w:color w:val="131313"/>
        </w:rPr>
      </w:pPr>
      <w:r>
        <w:rPr>
          <w:rFonts w:ascii="Arial" w:cs="Arial" w:eastAsia="Arial" w:hAnsi="Arial"/>
          <w:sz w:val="12"/>
          <w:szCs w:val="12"/>
          <w:color w:val="131313"/>
        </w:rPr>
        <w:t>remove your installations, machinery, partitions or any other item so that we can carry out the work. If you fail to do this, we may remove them and you will have to pay the costs and expenses immediately when we notify you. You will not have any claim against us for any Losses you suffer due to us removing these items; and</w:t>
      </w:r>
    </w:p>
    <w:p>
      <w:pPr>
        <w:spacing w:after="0" w:line="189" w:lineRule="exact"/>
        <w:rPr>
          <w:rFonts w:ascii="Arial" w:cs="Arial" w:eastAsia="Arial" w:hAnsi="Arial"/>
          <w:sz w:val="12"/>
          <w:szCs w:val="12"/>
          <w:color w:val="131313"/>
        </w:rPr>
      </w:pPr>
    </w:p>
    <w:p>
      <w:pPr>
        <w:ind w:left="800" w:hanging="240"/>
        <w:spacing w:after="0"/>
        <w:tabs>
          <w:tab w:leader="none" w:pos="800" w:val="left"/>
        </w:tabs>
        <w:numPr>
          <w:ilvl w:val="0"/>
          <w:numId w:val="76"/>
        </w:numPr>
        <w:rPr>
          <w:rFonts w:ascii="Arial" w:cs="Arial" w:eastAsia="Arial" w:hAnsi="Arial"/>
          <w:sz w:val="12"/>
          <w:szCs w:val="12"/>
          <w:color w:val="131313"/>
        </w:rPr>
      </w:pPr>
      <w:r>
        <w:rPr>
          <w:rFonts w:ascii="Arial" w:cs="Arial" w:eastAsia="Arial" w:hAnsi="Arial"/>
          <w:sz w:val="12"/>
          <w:szCs w:val="12"/>
          <w:color w:val="131313"/>
        </w:rPr>
        <w:t>stop your activities to the extent and during the hours as set out in the notice we give you so we can carry out the work (including any investigations relating to the work).</w:t>
      </w:r>
    </w:p>
    <w:p>
      <w:pPr>
        <w:spacing w:after="0" w:line="190" w:lineRule="exact"/>
        <w:rPr>
          <w:sz w:val="20"/>
          <w:szCs w:val="20"/>
          <w:color w:val="auto"/>
        </w:rPr>
      </w:pPr>
    </w:p>
    <w:p>
      <w:pPr>
        <w:ind w:left="560" w:right="20" w:hanging="473"/>
        <w:spacing w:after="0" w:line="250" w:lineRule="auto"/>
        <w:tabs>
          <w:tab w:leader="none" w:pos="540" w:val="left"/>
        </w:tabs>
        <w:rPr>
          <w:sz w:val="20"/>
          <w:szCs w:val="20"/>
          <w:color w:val="auto"/>
        </w:rPr>
      </w:pPr>
      <w:r>
        <w:rPr>
          <w:rFonts w:ascii="Arial" w:cs="Arial" w:eastAsia="Arial" w:hAnsi="Arial"/>
          <w:sz w:val="12"/>
          <w:szCs w:val="12"/>
          <w:color w:val="131313"/>
        </w:rPr>
        <w:t>4.2.5.3</w:t>
        <w:tab/>
        <w:t>While we will use reasonable efforts to minimise any disturbance to your business operations at the Premises, we will not be responsible to you for any Losses you suffer or inconvenience caused while we are inspecting the Premises or carrying out such works or repairs under this clause 4.2.5.</w:t>
      </w:r>
    </w:p>
    <w:p>
      <w:pPr>
        <w:spacing w:after="0" w:line="239" w:lineRule="exact"/>
        <w:rPr>
          <w:sz w:val="20"/>
          <w:szCs w:val="20"/>
          <w:color w:val="auto"/>
        </w:rPr>
      </w:pPr>
    </w:p>
    <w:p>
      <w:pPr>
        <w:ind w:left="100"/>
        <w:spacing w:after="0"/>
        <w:tabs>
          <w:tab w:leader="none" w:pos="380" w:val="left"/>
        </w:tabs>
        <w:rPr>
          <w:sz w:val="20"/>
          <w:szCs w:val="20"/>
          <w:color w:val="auto"/>
        </w:rPr>
      </w:pPr>
      <w:r>
        <w:rPr>
          <w:rFonts w:ascii="Arial" w:cs="Arial" w:eastAsia="Arial" w:hAnsi="Arial"/>
          <w:sz w:val="12"/>
          <w:szCs w:val="12"/>
          <w:b w:val="1"/>
          <w:bCs w:val="1"/>
          <w:color w:val="131313"/>
        </w:rPr>
        <w:t>4.3</w:t>
        <w:tab/>
        <w:t>General Obligations Relating to Moving out of the Premises</w:t>
      </w:r>
    </w:p>
    <w:p>
      <w:pPr>
        <w:spacing w:after="0" w:line="204"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31313"/>
        </w:rPr>
        <w:t>4.3.1</w:t>
      </w:r>
      <w:r>
        <w:rPr>
          <w:sz w:val="20"/>
          <w:szCs w:val="20"/>
          <w:color w:val="auto"/>
        </w:rPr>
        <w:tab/>
      </w:r>
      <w:r>
        <w:rPr>
          <w:rFonts w:ascii="Arial" w:cs="Arial" w:eastAsia="Arial" w:hAnsi="Arial"/>
          <w:sz w:val="12"/>
          <w:szCs w:val="12"/>
          <w:u w:val="single" w:color="auto"/>
          <w:color w:val="131313"/>
        </w:rPr>
        <w:t>Moving ou</w:t>
      </w:r>
      <w:r>
        <w:rPr>
          <w:rFonts w:ascii="Arial" w:cs="Arial" w:eastAsia="Arial" w:hAnsi="Arial"/>
          <w:sz w:val="12"/>
          <w:szCs w:val="12"/>
          <w:u w:val="single" w:color="auto"/>
          <w:color w:val="313131"/>
        </w:rPr>
        <w:t>t of the</w:t>
      </w:r>
      <w:r>
        <w:rPr>
          <w:rFonts w:ascii="Arial" w:cs="Arial" w:eastAsia="Arial" w:hAnsi="Arial"/>
          <w:sz w:val="12"/>
          <w:szCs w:val="12"/>
          <w:u w:val="single" w:color="auto"/>
          <w:color w:val="131313"/>
        </w:rPr>
        <w:t xml:space="preserve"> P</w:t>
      </w:r>
      <w:r>
        <w:rPr>
          <w:rFonts w:ascii="Arial" w:cs="Arial" w:eastAsia="Arial" w:hAnsi="Arial"/>
          <w:sz w:val="12"/>
          <w:szCs w:val="12"/>
          <w:u w:val="single" w:color="auto"/>
          <w:color w:val="313131"/>
        </w:rPr>
        <w:t>rem</w:t>
      </w:r>
      <w:r>
        <w:rPr>
          <w:rFonts w:ascii="Arial" w:cs="Arial" w:eastAsia="Arial" w:hAnsi="Arial"/>
          <w:sz w:val="12"/>
          <w:szCs w:val="12"/>
          <w:u w:val="single" w:color="auto"/>
          <w:color w:val="4B4B4B"/>
        </w:rPr>
        <w:t>i</w:t>
      </w:r>
      <w:r>
        <w:rPr>
          <w:rFonts w:ascii="Arial" w:cs="Arial" w:eastAsia="Arial" w:hAnsi="Arial"/>
          <w:sz w:val="12"/>
          <w:szCs w:val="12"/>
          <w:u w:val="single" w:color="auto"/>
          <w:color w:val="313131"/>
        </w:rPr>
        <w:t>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-11430</wp:posOffset>
            </wp:positionV>
            <wp:extent cx="2095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3">
                      <a:extLst>
                        <a:ext uri="{28A0092B-C50C-407E-A947-70E740481C1C}"/>
                      </a:extLst>
                    </a:blip>
                    <a:srcRect/>
                    <a:stretch>
                      <a:fillRect/>
                    </a:stretch>
                  </pic:blipFill>
                  <pic:spPr bwMode="auto">
                    <a:xfrm>
                      <a:off x="0" y="0"/>
                      <a:ext cx="20955" cy="6985"/>
                    </a:xfrm>
                    <a:prstGeom prst="rect">
                      <a:avLst/>
                    </a:prstGeom>
                    <a:noFill/>
                  </pic:spPr>
                </pic:pic>
              </a:graphicData>
            </a:graphic>
          </wp:anchor>
        </w:drawing>
      </w:r>
    </w:p>
    <w:p>
      <w:pPr>
        <w:spacing w:after="0" w:line="17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4.3.1.1</w:t>
      </w:r>
      <w:r>
        <w:rPr>
          <w:sz w:val="20"/>
          <w:szCs w:val="20"/>
          <w:color w:val="auto"/>
        </w:rPr>
        <w:tab/>
      </w:r>
      <w:r>
        <w:rPr>
          <w:rFonts w:ascii="Arial" w:cs="Arial" w:eastAsia="Arial" w:hAnsi="Arial"/>
          <w:sz w:val="11"/>
          <w:szCs w:val="11"/>
          <w:color w:val="131313"/>
        </w:rPr>
        <w:t>When this Lease ends, you must have completed the Reinstatement Works in line with this Lease (including the Tenants' Guide), and return the Premises and all keys (including mailbox keys) to us.</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4.3.1.2</w:t>
        <w:tab/>
        <w:t>If you fail to keep to clause 4.3.1.1, we may carry out the Reinstatement Works. If we do this, you must pay us immediately:</w:t>
      </w:r>
    </w:p>
    <w:p>
      <w:pPr>
        <w:spacing w:after="0" w:line="190" w:lineRule="exact"/>
        <w:rPr>
          <w:sz w:val="20"/>
          <w:szCs w:val="20"/>
          <w:color w:val="auto"/>
        </w:rPr>
      </w:pPr>
    </w:p>
    <w:p>
      <w:pPr>
        <w:ind w:left="800" w:hanging="244"/>
        <w:spacing w:after="0"/>
        <w:tabs>
          <w:tab w:leader="none" w:pos="800" w:val="left"/>
        </w:tabs>
        <w:numPr>
          <w:ilvl w:val="0"/>
          <w:numId w:val="77"/>
        </w:numPr>
        <w:rPr>
          <w:rFonts w:ascii="Arial" w:cs="Arial" w:eastAsia="Arial" w:hAnsi="Arial"/>
          <w:sz w:val="12"/>
          <w:szCs w:val="12"/>
          <w:color w:val="131313"/>
        </w:rPr>
      </w:pPr>
      <w:r>
        <w:rPr>
          <w:rFonts w:ascii="Arial" w:cs="Arial" w:eastAsia="Arial" w:hAnsi="Arial"/>
          <w:sz w:val="12"/>
          <w:szCs w:val="12"/>
          <w:color w:val="131313"/>
        </w:rPr>
        <w:t>all our costs and expenses, and</w:t>
      </w:r>
    </w:p>
    <w:p>
      <w:pPr>
        <w:spacing w:after="0" w:line="190" w:lineRule="exact"/>
        <w:rPr>
          <w:rFonts w:ascii="Arial" w:cs="Arial" w:eastAsia="Arial" w:hAnsi="Arial"/>
          <w:sz w:val="12"/>
          <w:szCs w:val="12"/>
          <w:color w:val="131313"/>
        </w:rPr>
      </w:pPr>
    </w:p>
    <w:p>
      <w:pPr>
        <w:ind w:left="800" w:hanging="244"/>
        <w:spacing w:after="0"/>
        <w:tabs>
          <w:tab w:leader="none" w:pos="800" w:val="left"/>
        </w:tabs>
        <w:numPr>
          <w:ilvl w:val="0"/>
          <w:numId w:val="77"/>
        </w:numPr>
        <w:rPr>
          <w:rFonts w:ascii="Arial" w:cs="Arial" w:eastAsia="Arial" w:hAnsi="Arial"/>
          <w:sz w:val="12"/>
          <w:szCs w:val="12"/>
          <w:color w:val="131313"/>
        </w:rPr>
      </w:pPr>
      <w:r>
        <w:rPr>
          <w:rFonts w:ascii="Arial" w:cs="Arial" w:eastAsia="Arial" w:hAnsi="Arial"/>
          <w:sz w:val="12"/>
          <w:szCs w:val="12"/>
          <w:color w:val="131313"/>
        </w:rPr>
        <w:t>an amount equal to double the amount of Gross Rent due for the period it takes us to carry out and complete the Reinstatement Works.</w:t>
      </w:r>
    </w:p>
    <w:p>
      <w:pPr>
        <w:spacing w:after="0" w:line="201" w:lineRule="exact"/>
        <w:rPr>
          <w:sz w:val="20"/>
          <w:szCs w:val="20"/>
          <w:color w:val="auto"/>
        </w:rPr>
      </w:pPr>
    </w:p>
    <w:p>
      <w:pPr>
        <w:jc w:val="both"/>
        <w:ind w:left="540" w:hanging="470"/>
        <w:spacing w:after="0" w:line="245" w:lineRule="auto"/>
        <w:tabs>
          <w:tab w:leader="none" w:pos="520" w:val="left"/>
        </w:tabs>
        <w:rPr>
          <w:sz w:val="20"/>
          <w:szCs w:val="20"/>
          <w:color w:val="auto"/>
        </w:rPr>
      </w:pPr>
      <w:r>
        <w:rPr>
          <w:rFonts w:ascii="Arial" w:cs="Arial" w:eastAsia="Arial" w:hAnsi="Arial"/>
          <w:sz w:val="12"/>
          <w:szCs w:val="12"/>
          <w:color w:val="131313"/>
        </w:rPr>
        <w:t>4.3.1.3</w:t>
        <w:tab/>
        <w:t>If we agree that you do not need to carry out the Reinstatement Works, we may require you to pay a reinstatement amount, which we will estimate based on the costs and expenses that we may need to pay to carry out and complete the Reinstatement Works. After making this payment, you will be considered to have transferred all such fixtures and fittings to us and we may remove, dispose or deal with them as we see fit, and you may not claim for any money left over after our removing, disposing or dealing with such fixtures and fittings.</w:t>
      </w:r>
    </w:p>
    <w:p>
      <w:pPr>
        <w:spacing w:after="0" w:line="181" w:lineRule="exact"/>
        <w:rPr>
          <w:sz w:val="20"/>
          <w:szCs w:val="20"/>
          <w:color w:val="auto"/>
        </w:rPr>
      </w:pPr>
    </w:p>
    <w:p>
      <w:pPr>
        <w:jc w:val="both"/>
        <w:ind w:left="540" w:right="20" w:hanging="471"/>
        <w:spacing w:after="0" w:line="250" w:lineRule="auto"/>
        <w:tabs>
          <w:tab w:leader="none" w:pos="520" w:val="left"/>
        </w:tabs>
        <w:rPr>
          <w:sz w:val="20"/>
          <w:szCs w:val="20"/>
          <w:color w:val="auto"/>
        </w:rPr>
      </w:pPr>
      <w:r>
        <w:rPr>
          <w:rFonts w:ascii="Arial" w:cs="Arial" w:eastAsia="Arial" w:hAnsi="Arial"/>
          <w:sz w:val="12"/>
          <w:szCs w:val="12"/>
          <w:color w:val="131313"/>
        </w:rPr>
        <w:t>4.3.1.4</w:t>
        <w:tab/>
        <w:t>Any invoice we give you of the amounts you must pay to us under clauses 4.3.1.2 and 4.3.1.3 above is final and binding (unless there is a clear and obvious mistake) and you must pay us such amounts on the Payment Date.</w:t>
      </w:r>
    </w:p>
    <w:p>
      <w:pPr>
        <w:spacing w:after="0" w:line="17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4.3.2</w:t>
      </w:r>
      <w:r>
        <w:rPr>
          <w:sz w:val="20"/>
          <w:szCs w:val="20"/>
          <w:color w:val="auto"/>
        </w:rPr>
        <w:tab/>
      </w:r>
      <w:r>
        <w:rPr>
          <w:rFonts w:ascii="Arial" w:cs="Arial" w:eastAsia="Arial" w:hAnsi="Arial"/>
          <w:sz w:val="11"/>
          <w:szCs w:val="11"/>
          <w:u w:val="single" w:color="auto"/>
          <w:color w:val="313131"/>
        </w:rPr>
        <w:t>Ho</w:t>
      </w:r>
      <w:r>
        <w:rPr>
          <w:rFonts w:ascii="Arial" w:cs="Arial" w:eastAsia="Arial" w:hAnsi="Arial"/>
          <w:sz w:val="11"/>
          <w:szCs w:val="11"/>
          <w:u w:val="single" w:color="auto"/>
          <w:color w:val="131313"/>
        </w:rPr>
        <w:t>l</w:t>
      </w:r>
      <w:r>
        <w:rPr>
          <w:rFonts w:ascii="Arial" w:cs="Arial" w:eastAsia="Arial" w:hAnsi="Arial"/>
          <w:sz w:val="11"/>
          <w:szCs w:val="11"/>
          <w:u w:val="single" w:color="auto"/>
          <w:color w:val="313131"/>
        </w:rPr>
        <w:t>d</w:t>
      </w:r>
      <w:r>
        <w:rPr>
          <w:rFonts w:ascii="Arial" w:cs="Arial" w:eastAsia="Arial" w:hAnsi="Arial"/>
          <w:sz w:val="11"/>
          <w:szCs w:val="11"/>
          <w:u w:val="single" w:color="auto"/>
          <w:color w:val="4B4B4B"/>
        </w:rPr>
        <w:t>i</w:t>
      </w:r>
      <w:r>
        <w:rPr>
          <w:rFonts w:ascii="Arial" w:cs="Arial" w:eastAsia="Arial" w:hAnsi="Arial"/>
          <w:sz w:val="11"/>
          <w:szCs w:val="11"/>
          <w:u w:val="single" w:color="auto"/>
          <w:color w:val="313131"/>
        </w:rPr>
        <w:t>ng ove</w:t>
      </w:r>
      <w:r>
        <w:rPr>
          <w:rFonts w:ascii="Arial" w:cs="Arial" w:eastAsia="Arial" w:hAnsi="Arial"/>
          <w:sz w:val="11"/>
          <w:szCs w:val="11"/>
          <w:u w:val="single" w:color="auto"/>
          <w:color w:val="131313"/>
        </w:rPr>
        <w:t>r</w:t>
      </w:r>
    </w:p>
    <w:p>
      <w:pPr>
        <w:spacing w:after="0" w:line="201" w:lineRule="exact"/>
        <w:rPr>
          <w:sz w:val="20"/>
          <w:szCs w:val="20"/>
          <w:color w:val="auto"/>
        </w:rPr>
      </w:pPr>
    </w:p>
    <w:p>
      <w:pPr>
        <w:jc w:val="both"/>
        <w:ind w:left="560" w:firstLine="1"/>
        <w:spacing w:after="0" w:line="243" w:lineRule="auto"/>
        <w:rPr>
          <w:sz w:val="20"/>
          <w:szCs w:val="20"/>
          <w:color w:val="auto"/>
        </w:rPr>
      </w:pPr>
      <w:r>
        <w:rPr>
          <w:rFonts w:ascii="Arial" w:cs="Arial" w:eastAsia="Arial" w:hAnsi="Arial"/>
          <w:sz w:val="12"/>
          <w:szCs w:val="12"/>
          <w:color w:val="131313"/>
        </w:rPr>
        <w:t>If you do not provide us with vacant possession of the Premises when this Lease ends or continue to occupy the Premises after this Lease ends, you will be considered to be holding over and must pay us an amount equal to double the amount of Gross Rent or the market rent for the Premises that is current at that time as we may inform you (whichever is higher) for every day of the holding-over period, within seven days of our notice to you. Such holding over will not be considered as a renewal of this Lease. This clause 4.3.2 will not be affected by, and will survive, the Term coming to an end or this Lease being brought to an end early.</w:t>
      </w:r>
    </w:p>
    <w:p>
      <w:pPr>
        <w:spacing w:after="0" w:line="182"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4.3.3</w:t>
      </w:r>
      <w:r>
        <w:rPr>
          <w:sz w:val="20"/>
          <w:szCs w:val="20"/>
          <w:color w:val="auto"/>
        </w:rPr>
        <w:tab/>
      </w:r>
      <w:r>
        <w:rPr>
          <w:rFonts w:ascii="Arial" w:cs="Arial" w:eastAsia="Arial" w:hAnsi="Arial"/>
          <w:sz w:val="11"/>
          <w:szCs w:val="11"/>
          <w:u w:val="single" w:color="auto"/>
          <w:color w:val="313131"/>
        </w:rPr>
        <w:t>V</w:t>
      </w:r>
      <w:r>
        <w:rPr>
          <w:rFonts w:ascii="Arial" w:cs="Arial" w:eastAsia="Arial" w:hAnsi="Arial"/>
          <w:sz w:val="11"/>
          <w:szCs w:val="11"/>
          <w:u w:val="single" w:color="auto"/>
          <w:color w:val="4B4B4B"/>
        </w:rPr>
        <w:t>i</w:t>
      </w:r>
      <w:r>
        <w:rPr>
          <w:rFonts w:ascii="Arial" w:cs="Arial" w:eastAsia="Arial" w:hAnsi="Arial"/>
          <w:sz w:val="11"/>
          <w:szCs w:val="11"/>
          <w:u w:val="single" w:color="auto"/>
          <w:color w:val="313131"/>
        </w:rPr>
        <w:t>ewing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color w:val="131313"/>
        </w:rPr>
        <w:t>During the six months before the end of this Lease, you must, if we give you notice, allow us, our agents and anyone else we authorise to view the Premises for the purpose of re-letting them</w:t>
      </w:r>
      <w:r>
        <w:rPr>
          <w:rFonts w:ascii="Arial" w:cs="Arial" w:eastAsia="Arial" w:hAnsi="Arial"/>
          <w:sz w:val="12"/>
          <w:szCs w:val="12"/>
          <w:color w:val="383838"/>
        </w:rPr>
        <w:t>.</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r>
    </w:tbl>
    <w:p>
      <w:pPr>
        <w:sectPr>
          <w:pgSz w:w="11900" w:h="16838" w:orient="portrait"/>
          <w:cols w:equalWidth="0" w:num="1">
            <w:col w:w="11200"/>
          </w:cols>
          <w:pgMar w:left="300" w:top="1440" w:right="39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4">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40"/>
        <w:spacing w:after="0"/>
        <w:tabs>
          <w:tab w:leader="none" w:pos="1500" w:val="left"/>
        </w:tabs>
        <w:rPr>
          <w:sz w:val="20"/>
          <w:szCs w:val="20"/>
          <w:color w:val="auto"/>
        </w:rPr>
      </w:pPr>
      <w:r>
        <w:rPr>
          <w:rFonts w:ascii="Arial" w:cs="Arial" w:eastAsia="Arial" w:hAnsi="Arial"/>
          <w:sz w:val="12"/>
          <w:szCs w:val="12"/>
          <w:color w:val="131313"/>
        </w:rPr>
        <w:t>4.4</w:t>
      </w:r>
      <w:r>
        <w:rPr>
          <w:sz w:val="20"/>
          <w:szCs w:val="20"/>
          <w:color w:val="auto"/>
        </w:rPr>
        <w:tab/>
      </w:r>
      <w:r>
        <w:rPr>
          <w:rFonts w:ascii="Arial" w:cs="Arial" w:eastAsia="Arial" w:hAnsi="Arial"/>
          <w:sz w:val="11"/>
          <w:szCs w:val="11"/>
          <w:b w:val="1"/>
          <w:bCs w:val="1"/>
          <w:color w:val="131313"/>
        </w:rPr>
        <w:t>Other terms</w:t>
      </w:r>
    </w:p>
    <w:p>
      <w:pPr>
        <w:spacing w:after="0" w:line="215" w:lineRule="exact"/>
        <w:rPr>
          <w:sz w:val="20"/>
          <w:szCs w:val="20"/>
          <w:color w:val="auto"/>
        </w:rPr>
      </w:pPr>
    </w:p>
    <w:p>
      <w:pPr>
        <w:ind w:left="1040"/>
        <w:spacing w:after="0"/>
        <w:tabs>
          <w:tab w:leader="none" w:pos="1500" w:val="left"/>
        </w:tabs>
        <w:rPr>
          <w:sz w:val="20"/>
          <w:szCs w:val="20"/>
          <w:color w:val="auto"/>
        </w:rPr>
      </w:pPr>
      <w:r>
        <w:rPr>
          <w:rFonts w:ascii="Arial" w:cs="Arial" w:eastAsia="Arial" w:hAnsi="Arial"/>
          <w:sz w:val="12"/>
          <w:szCs w:val="12"/>
          <w:color w:val="131313"/>
        </w:rPr>
        <w:t>4.4.1</w:t>
      </w:r>
      <w:r>
        <w:rPr>
          <w:sz w:val="20"/>
          <w:szCs w:val="20"/>
          <w:color w:val="auto"/>
        </w:rPr>
        <w:tab/>
      </w:r>
      <w:r>
        <w:rPr>
          <w:rFonts w:ascii="Arial" w:cs="Arial" w:eastAsia="Arial" w:hAnsi="Arial"/>
          <w:sz w:val="11"/>
          <w:szCs w:val="11"/>
          <w:u w:val="single" w:color="auto"/>
          <w:color w:val="242424"/>
        </w:rPr>
        <w:t xml:space="preserve">Assigning </w:t>
      </w:r>
      <w:r>
        <w:rPr>
          <w:rFonts w:ascii="Arial" w:cs="Arial" w:eastAsia="Arial" w:hAnsi="Arial"/>
          <w:sz w:val="11"/>
          <w:szCs w:val="11"/>
          <w:u w:val="single" w:color="auto"/>
          <w:color w:val="131313"/>
        </w:rPr>
        <w:t>a</w:t>
      </w:r>
      <w:r>
        <w:rPr>
          <w:rFonts w:ascii="Arial" w:cs="Arial" w:eastAsia="Arial" w:hAnsi="Arial"/>
          <w:sz w:val="11"/>
          <w:szCs w:val="11"/>
          <w:u w:val="single" w:color="auto"/>
          <w:color w:val="383838"/>
        </w:rPr>
        <w:t>nd</w:t>
      </w:r>
      <w:r>
        <w:rPr>
          <w:rFonts w:ascii="Arial" w:cs="Arial" w:eastAsia="Arial" w:hAnsi="Arial"/>
          <w:sz w:val="11"/>
          <w:szCs w:val="11"/>
          <w:u w:val="single" w:color="auto"/>
          <w:color w:val="242424"/>
        </w:rPr>
        <w:t xml:space="preserve"> </w:t>
      </w:r>
      <w:r>
        <w:rPr>
          <w:rFonts w:ascii="Arial" w:cs="Arial" w:eastAsia="Arial" w:hAnsi="Arial"/>
          <w:sz w:val="11"/>
          <w:szCs w:val="11"/>
          <w:u w:val="single" w:color="auto"/>
          <w:color w:val="131313"/>
        </w:rPr>
        <w:t>suble</w:t>
      </w:r>
      <w:r>
        <w:rPr>
          <w:rFonts w:ascii="Arial" w:cs="Arial" w:eastAsia="Arial" w:hAnsi="Arial"/>
          <w:sz w:val="11"/>
          <w:szCs w:val="11"/>
          <w:u w:val="single" w:color="auto"/>
          <w:color w:val="383838"/>
        </w:rPr>
        <w:t>tting</w:t>
      </w:r>
    </w:p>
    <w:p>
      <w:pPr>
        <w:spacing w:after="0" w:line="201" w:lineRule="exact"/>
        <w:rPr>
          <w:sz w:val="20"/>
          <w:szCs w:val="20"/>
          <w:color w:val="auto"/>
        </w:rPr>
      </w:pPr>
    </w:p>
    <w:p>
      <w:pPr>
        <w:ind w:left="1520" w:right="80" w:hanging="476"/>
        <w:spacing w:after="0" w:line="269" w:lineRule="auto"/>
        <w:tabs>
          <w:tab w:leader="none" w:pos="1500" w:val="left"/>
        </w:tabs>
        <w:rPr>
          <w:sz w:val="20"/>
          <w:szCs w:val="20"/>
          <w:color w:val="auto"/>
        </w:rPr>
      </w:pPr>
      <w:r>
        <w:rPr>
          <w:rFonts w:ascii="Arial" w:cs="Arial" w:eastAsia="Arial" w:hAnsi="Arial"/>
          <w:sz w:val="12"/>
          <w:szCs w:val="12"/>
          <w:color w:val="131313"/>
        </w:rPr>
        <w:t>4.4.1.1</w:t>
        <w:tab/>
        <w:t>You must not novate (that is, transfer all or some of your rights and obligations), assign (that is, transfer all or some of your rights), sublet, license, part with or share possession or occupation, mortgage or create a charge over, or grant anyone else any rights in respect of, this Lease or the Premises without our approval.</w:t>
      </w:r>
    </w:p>
    <w:p>
      <w:pPr>
        <w:spacing w:after="0" w:line="178" w:lineRule="exact"/>
        <w:rPr>
          <w:sz w:val="20"/>
          <w:szCs w:val="20"/>
          <w:color w:val="auto"/>
        </w:rPr>
      </w:pPr>
    </w:p>
    <w:p>
      <w:pPr>
        <w:ind w:left="1520" w:right="80" w:hanging="478"/>
        <w:spacing w:after="0" w:line="269" w:lineRule="auto"/>
        <w:tabs>
          <w:tab w:leader="none" w:pos="1500" w:val="left"/>
        </w:tabs>
        <w:rPr>
          <w:sz w:val="20"/>
          <w:szCs w:val="20"/>
          <w:color w:val="auto"/>
        </w:rPr>
      </w:pPr>
      <w:r>
        <w:rPr>
          <w:rFonts w:ascii="Arial" w:cs="Arial" w:eastAsia="Arial" w:hAnsi="Arial"/>
          <w:sz w:val="12"/>
          <w:szCs w:val="12"/>
          <w:color w:val="131313"/>
        </w:rPr>
        <w:t>4.4.1.2</w:t>
        <w:tab/>
        <w:t xml:space="preserve">If you are a company, and there is a change in your management control or majority shareholders and you did not get our approval before making the change, this will be considered as an assignment of this Lease. For the purposes of this clause 4.4.1.2, </w:t>
      </w:r>
      <w:r>
        <w:rPr>
          <w:rFonts w:ascii="Arial" w:cs="Arial" w:eastAsia="Arial" w:hAnsi="Arial"/>
          <w:sz w:val="12"/>
          <w:szCs w:val="12"/>
          <w:color w:val="383838"/>
        </w:rPr>
        <w:t>'</w:t>
      </w:r>
      <w:r>
        <w:rPr>
          <w:rFonts w:ascii="Arial" w:cs="Arial" w:eastAsia="Arial" w:hAnsi="Arial"/>
          <w:sz w:val="12"/>
          <w:szCs w:val="12"/>
          <w:color w:val="131313"/>
        </w:rPr>
        <w:t>majority shareholder' means a person who</w:t>
      </w:r>
      <w:r>
        <w:rPr>
          <w:rFonts w:ascii="Arial" w:cs="Arial" w:eastAsia="Arial" w:hAnsi="Arial"/>
          <w:sz w:val="12"/>
          <w:szCs w:val="12"/>
          <w:color w:val="383838"/>
        </w:rPr>
        <w:t>:</w:t>
      </w:r>
    </w:p>
    <w:p>
      <w:pPr>
        <w:spacing w:after="0" w:line="167" w:lineRule="exact"/>
        <w:rPr>
          <w:sz w:val="20"/>
          <w:szCs w:val="20"/>
          <w:color w:val="auto"/>
        </w:rPr>
      </w:pPr>
    </w:p>
    <w:p>
      <w:pPr>
        <w:ind w:left="1740" w:hanging="226"/>
        <w:spacing w:after="0"/>
        <w:tabs>
          <w:tab w:leader="none" w:pos="1740" w:val="left"/>
        </w:tabs>
        <w:numPr>
          <w:ilvl w:val="0"/>
          <w:numId w:val="78"/>
        </w:numPr>
        <w:rPr>
          <w:rFonts w:ascii="Arial" w:cs="Arial" w:eastAsia="Arial" w:hAnsi="Arial"/>
          <w:sz w:val="12"/>
          <w:szCs w:val="12"/>
          <w:color w:val="131313"/>
        </w:rPr>
      </w:pPr>
      <w:r>
        <w:rPr>
          <w:rFonts w:ascii="Arial" w:cs="Arial" w:eastAsia="Arial" w:hAnsi="Arial"/>
          <w:sz w:val="12"/>
          <w:szCs w:val="12"/>
          <w:color w:val="131313"/>
        </w:rPr>
        <w:t>controls the structure of your board of directors;</w:t>
      </w:r>
    </w:p>
    <w:p>
      <w:pPr>
        <w:spacing w:after="0" w:line="190" w:lineRule="exact"/>
        <w:rPr>
          <w:rFonts w:ascii="Arial" w:cs="Arial" w:eastAsia="Arial" w:hAnsi="Arial"/>
          <w:sz w:val="12"/>
          <w:szCs w:val="12"/>
          <w:color w:val="131313"/>
        </w:rPr>
      </w:pPr>
    </w:p>
    <w:p>
      <w:pPr>
        <w:ind w:left="1740" w:hanging="226"/>
        <w:spacing w:after="0"/>
        <w:tabs>
          <w:tab w:leader="none" w:pos="1740" w:val="left"/>
        </w:tabs>
        <w:numPr>
          <w:ilvl w:val="0"/>
          <w:numId w:val="78"/>
        </w:numPr>
        <w:rPr>
          <w:rFonts w:ascii="Arial" w:cs="Arial" w:eastAsia="Arial" w:hAnsi="Arial"/>
          <w:sz w:val="12"/>
          <w:szCs w:val="12"/>
          <w:color w:val="131313"/>
        </w:rPr>
      </w:pPr>
      <w:r>
        <w:rPr>
          <w:rFonts w:ascii="Arial" w:cs="Arial" w:eastAsia="Arial" w:hAnsi="Arial"/>
          <w:sz w:val="12"/>
          <w:szCs w:val="12"/>
          <w:color w:val="131313"/>
        </w:rPr>
        <w:t>controls more than 50% of your issued share capital; or</w:t>
      </w:r>
    </w:p>
    <w:p>
      <w:pPr>
        <w:spacing w:after="0" w:line="190" w:lineRule="exact"/>
        <w:rPr>
          <w:rFonts w:ascii="Arial" w:cs="Arial" w:eastAsia="Arial" w:hAnsi="Arial"/>
          <w:sz w:val="12"/>
          <w:szCs w:val="12"/>
          <w:color w:val="131313"/>
        </w:rPr>
      </w:pPr>
    </w:p>
    <w:p>
      <w:pPr>
        <w:ind w:left="1740" w:hanging="226"/>
        <w:spacing w:after="0"/>
        <w:tabs>
          <w:tab w:leader="none" w:pos="1740" w:val="left"/>
        </w:tabs>
        <w:numPr>
          <w:ilvl w:val="0"/>
          <w:numId w:val="78"/>
        </w:numPr>
        <w:rPr>
          <w:rFonts w:ascii="Arial" w:cs="Arial" w:eastAsia="Arial" w:hAnsi="Arial"/>
          <w:sz w:val="12"/>
          <w:szCs w:val="12"/>
          <w:color w:val="131313"/>
        </w:rPr>
      </w:pPr>
      <w:r>
        <w:rPr>
          <w:rFonts w:ascii="Arial" w:cs="Arial" w:eastAsia="Arial" w:hAnsi="Arial"/>
          <w:sz w:val="12"/>
          <w:szCs w:val="12"/>
          <w:color w:val="131313"/>
        </w:rPr>
        <w:t>controls more than 50% of your voting power.</w:t>
      </w:r>
    </w:p>
    <w:p>
      <w:pPr>
        <w:spacing w:after="0" w:line="190" w:lineRule="exact"/>
        <w:rPr>
          <w:sz w:val="20"/>
          <w:szCs w:val="20"/>
          <w:color w:val="auto"/>
        </w:rPr>
      </w:pPr>
    </w:p>
    <w:p>
      <w:pPr>
        <w:jc w:val="both"/>
        <w:ind w:left="1500" w:right="80" w:hanging="481"/>
        <w:spacing w:after="0" w:line="245" w:lineRule="auto"/>
        <w:tabs>
          <w:tab w:leader="none" w:pos="1480" w:val="left"/>
        </w:tabs>
        <w:rPr>
          <w:sz w:val="20"/>
          <w:szCs w:val="20"/>
          <w:color w:val="auto"/>
        </w:rPr>
      </w:pPr>
      <w:r>
        <w:rPr>
          <w:rFonts w:ascii="Arial" w:cs="Arial" w:eastAsia="Arial" w:hAnsi="Arial"/>
          <w:sz w:val="12"/>
          <w:szCs w:val="12"/>
          <w:color w:val="131313"/>
        </w:rPr>
        <w:t>4.4.1.3</w:t>
        <w:tab/>
        <w:t>Without affecting clause 4.4</w:t>
      </w:r>
      <w:r>
        <w:rPr>
          <w:rFonts w:ascii="Arial" w:cs="Arial" w:eastAsia="Arial" w:hAnsi="Arial"/>
          <w:sz w:val="12"/>
          <w:szCs w:val="12"/>
          <w:color w:val="5D5D5D"/>
        </w:rPr>
        <w:t>.</w:t>
      </w:r>
      <w:r>
        <w:rPr>
          <w:rFonts w:ascii="Arial" w:cs="Arial" w:eastAsia="Arial" w:hAnsi="Arial"/>
          <w:sz w:val="12"/>
          <w:szCs w:val="12"/>
          <w:color w:val="131313"/>
        </w:rPr>
        <w:t xml:space="preserve">1.1, if you are a sole proprietor or a partnership made up of partners carrying out a business under a business name registered under the Business Registration Act (Chapter 32) or any other Law, and there is a change </w:t>
      </w:r>
      <w:r>
        <w:rPr>
          <w:rFonts w:ascii="Arial" w:cs="Arial" w:eastAsia="Arial" w:hAnsi="Arial"/>
          <w:sz w:val="12"/>
          <w:szCs w:val="12"/>
          <w:color w:val="242424"/>
        </w:rPr>
        <w:t>in</w:t>
      </w:r>
      <w:r>
        <w:rPr>
          <w:rFonts w:ascii="Arial" w:cs="Arial" w:eastAsia="Arial" w:hAnsi="Arial"/>
          <w:sz w:val="12"/>
          <w:szCs w:val="12"/>
          <w:color w:val="131313"/>
        </w:rPr>
        <w:t xml:space="preserve"> the constitution or membership of the sole-proprietorship or partnership and you did not get our approval before making the change, this will be considered as an assignment of this Lease.</w:t>
      </w:r>
    </w:p>
    <w:p>
      <w:pPr>
        <w:spacing w:after="0" w:line="202" w:lineRule="exact"/>
        <w:rPr>
          <w:sz w:val="20"/>
          <w:szCs w:val="20"/>
          <w:color w:val="auto"/>
        </w:rPr>
      </w:pPr>
    </w:p>
    <w:p>
      <w:pPr>
        <w:jc w:val="both"/>
        <w:ind w:left="1500" w:right="100" w:hanging="479"/>
        <w:spacing w:after="0" w:line="269" w:lineRule="auto"/>
        <w:tabs>
          <w:tab w:leader="none" w:pos="1480" w:val="left"/>
        </w:tabs>
        <w:rPr>
          <w:sz w:val="20"/>
          <w:szCs w:val="20"/>
          <w:color w:val="auto"/>
        </w:rPr>
      </w:pPr>
      <w:r>
        <w:rPr>
          <w:rFonts w:ascii="Arial" w:cs="Arial" w:eastAsia="Arial" w:hAnsi="Arial"/>
          <w:sz w:val="12"/>
          <w:szCs w:val="12"/>
          <w:color w:val="131313"/>
        </w:rPr>
        <w:t>4.4.1.4</w:t>
        <w:tab/>
        <w:t>If we give any approval under this clause 4.4</w:t>
      </w:r>
      <w:r>
        <w:rPr>
          <w:rFonts w:ascii="Arial" w:cs="Arial" w:eastAsia="Arial" w:hAnsi="Arial"/>
          <w:sz w:val="12"/>
          <w:szCs w:val="12"/>
          <w:color w:val="383838"/>
        </w:rPr>
        <w:t>.</w:t>
      </w:r>
      <w:r>
        <w:rPr>
          <w:rFonts w:ascii="Arial" w:cs="Arial" w:eastAsia="Arial" w:hAnsi="Arial"/>
          <w:sz w:val="12"/>
          <w:szCs w:val="12"/>
          <w:color w:val="131313"/>
        </w:rPr>
        <w:t xml:space="preserve">1, we may set any terms, including charging fees, and section 17 of the Conveyancing and Law of Property Act </w:t>
      </w:r>
      <w:r>
        <w:rPr>
          <w:rFonts w:ascii="Arial" w:cs="Arial" w:eastAsia="Arial" w:hAnsi="Arial"/>
          <w:sz w:val="12"/>
          <w:szCs w:val="12"/>
          <w:color w:val="242424"/>
        </w:rPr>
        <w:t>(</w:t>
      </w:r>
      <w:r>
        <w:rPr>
          <w:rFonts w:ascii="Arial" w:cs="Arial" w:eastAsia="Arial" w:hAnsi="Arial"/>
          <w:sz w:val="12"/>
          <w:szCs w:val="12"/>
          <w:color w:val="131313"/>
        </w:rPr>
        <w:t xml:space="preserve">Chapter 61) </w:t>
      </w:r>
      <w:r>
        <w:rPr>
          <w:rFonts w:ascii="Arial" w:cs="Arial" w:eastAsia="Arial" w:hAnsi="Arial"/>
          <w:sz w:val="12"/>
          <w:szCs w:val="12"/>
          <w:color w:val="242424"/>
        </w:rPr>
        <w:t>will</w:t>
      </w:r>
      <w:r>
        <w:rPr>
          <w:rFonts w:ascii="Arial" w:cs="Arial" w:eastAsia="Arial" w:hAnsi="Arial"/>
          <w:sz w:val="12"/>
          <w:szCs w:val="12"/>
          <w:color w:val="131313"/>
        </w:rPr>
        <w:t xml:space="preserve"> not apply</w:t>
      </w:r>
      <w:r>
        <w:rPr>
          <w:rFonts w:ascii="Arial" w:cs="Arial" w:eastAsia="Arial" w:hAnsi="Arial"/>
          <w:sz w:val="12"/>
          <w:szCs w:val="12"/>
          <w:color w:val="383838"/>
        </w:rPr>
        <w:t>.</w:t>
      </w:r>
    </w:p>
    <w:p>
      <w:pPr>
        <w:spacing w:after="0" w:line="167"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2"/>
          <w:szCs w:val="12"/>
          <w:color w:val="131313"/>
        </w:rPr>
        <w:t>4.4.2</w:t>
      </w:r>
      <w:r>
        <w:rPr>
          <w:sz w:val="20"/>
          <w:szCs w:val="20"/>
          <w:color w:val="auto"/>
        </w:rPr>
        <w:tab/>
      </w:r>
      <w:r>
        <w:rPr>
          <w:rFonts w:ascii="Arial" w:cs="Arial" w:eastAsia="Arial" w:hAnsi="Arial"/>
          <w:sz w:val="12"/>
          <w:szCs w:val="12"/>
          <w:u w:val="single" w:color="auto"/>
          <w:color w:val="242424"/>
        </w:rPr>
        <w:t xml:space="preserve">No lodging of caveat. </w:t>
      </w:r>
      <w:r>
        <w:rPr>
          <w:rFonts w:ascii="Arial" w:cs="Arial" w:eastAsia="Arial" w:hAnsi="Arial"/>
          <w:sz w:val="12"/>
          <w:szCs w:val="12"/>
          <w:u w:val="single" w:color="auto"/>
          <w:color w:val="383838"/>
        </w:rPr>
        <w:t>registering this Lease</w:t>
      </w:r>
      <w:r>
        <w:rPr>
          <w:rFonts w:ascii="Arial" w:cs="Arial" w:eastAsia="Arial" w:hAnsi="Arial"/>
          <w:sz w:val="12"/>
          <w:szCs w:val="12"/>
          <w:u w:val="single" w:color="auto"/>
          <w:color w:val="242424"/>
        </w:rPr>
        <w:t xml:space="preserve"> or subdividing the Building</w:t>
      </w:r>
    </w:p>
    <w:p>
      <w:pPr>
        <w:spacing w:after="0" w:line="201" w:lineRule="exact"/>
        <w:rPr>
          <w:sz w:val="20"/>
          <w:szCs w:val="20"/>
          <w:color w:val="auto"/>
        </w:rPr>
      </w:pPr>
    </w:p>
    <w:p>
      <w:pPr>
        <w:jc w:val="both"/>
        <w:ind w:left="1500" w:right="100" w:hanging="481"/>
        <w:spacing w:after="0" w:line="269" w:lineRule="auto"/>
        <w:tabs>
          <w:tab w:leader="none" w:pos="1480" w:val="left"/>
        </w:tabs>
        <w:rPr>
          <w:sz w:val="20"/>
          <w:szCs w:val="20"/>
          <w:color w:val="auto"/>
        </w:rPr>
      </w:pPr>
      <w:r>
        <w:rPr>
          <w:rFonts w:ascii="Arial" w:cs="Arial" w:eastAsia="Arial" w:hAnsi="Arial"/>
          <w:sz w:val="12"/>
          <w:szCs w:val="12"/>
          <w:color w:val="131313"/>
        </w:rPr>
        <w:t>4.4.2.1</w:t>
        <w:tab/>
        <w:t xml:space="preserve">You must not (i) lodge a caveat relating to this Lease, nor (ii) register this Lease at the Singapore Land Registry and you must </w:t>
      </w:r>
      <w:r>
        <w:rPr>
          <w:rFonts w:ascii="Arial" w:cs="Arial" w:eastAsia="Arial" w:hAnsi="Arial"/>
          <w:sz w:val="12"/>
          <w:szCs w:val="12"/>
          <w:color w:val="242424"/>
        </w:rPr>
        <w:t>immediately</w:t>
      </w:r>
      <w:r>
        <w:rPr>
          <w:rFonts w:ascii="Arial" w:cs="Arial" w:eastAsia="Arial" w:hAnsi="Arial"/>
          <w:sz w:val="12"/>
          <w:szCs w:val="12"/>
          <w:color w:val="131313"/>
        </w:rPr>
        <w:t xml:space="preserve"> withdraw any caveats which are lodged in spite of this clause 4.4</w:t>
      </w:r>
      <w:r>
        <w:rPr>
          <w:rFonts w:ascii="Arial" w:cs="Arial" w:eastAsia="Arial" w:hAnsi="Arial"/>
          <w:sz w:val="12"/>
          <w:szCs w:val="12"/>
          <w:color w:val="383838"/>
        </w:rPr>
        <w:t>.</w:t>
      </w:r>
      <w:r>
        <w:rPr>
          <w:rFonts w:ascii="Arial" w:cs="Arial" w:eastAsia="Arial" w:hAnsi="Arial"/>
          <w:sz w:val="12"/>
          <w:szCs w:val="12"/>
          <w:color w:val="131313"/>
        </w:rPr>
        <w:t>2</w:t>
      </w:r>
      <w:r>
        <w:rPr>
          <w:rFonts w:ascii="Arial" w:cs="Arial" w:eastAsia="Arial" w:hAnsi="Arial"/>
          <w:sz w:val="12"/>
          <w:szCs w:val="12"/>
          <w:color w:val="383838"/>
        </w:rPr>
        <w:t>.</w:t>
      </w:r>
      <w:r>
        <w:rPr>
          <w:rFonts w:ascii="Arial" w:cs="Arial" w:eastAsia="Arial" w:hAnsi="Arial"/>
          <w:sz w:val="12"/>
          <w:szCs w:val="12"/>
          <w:color w:val="131313"/>
        </w:rPr>
        <w:t>1.</w:t>
      </w:r>
    </w:p>
    <w:p>
      <w:pPr>
        <w:spacing w:after="0" w:line="188"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2"/>
          <w:szCs w:val="12"/>
          <w:color w:val="131313"/>
        </w:rPr>
        <w:t>4.4.2.2</w:t>
      </w:r>
      <w:r>
        <w:rPr>
          <w:sz w:val="20"/>
          <w:szCs w:val="20"/>
          <w:color w:val="auto"/>
        </w:rPr>
        <w:tab/>
      </w:r>
      <w:r>
        <w:rPr>
          <w:rFonts w:ascii="Arial" w:cs="Arial" w:eastAsia="Arial" w:hAnsi="Arial"/>
          <w:sz w:val="11"/>
          <w:szCs w:val="11"/>
          <w:color w:val="131313"/>
        </w:rPr>
        <w:t>You must not ask us to subdivide the Building or do anything which could mean that we have to subdivide the Building.</w:t>
      </w:r>
    </w:p>
    <w:p>
      <w:pPr>
        <w:spacing w:after="0" w:line="190"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2"/>
          <w:szCs w:val="12"/>
          <w:color w:val="131313"/>
        </w:rPr>
        <w:t>4.4.2.3</w:t>
      </w:r>
      <w:r>
        <w:rPr>
          <w:sz w:val="20"/>
          <w:szCs w:val="20"/>
          <w:color w:val="auto"/>
        </w:rPr>
        <w:tab/>
      </w:r>
      <w:r>
        <w:rPr>
          <w:rFonts w:ascii="Arial" w:cs="Arial" w:eastAsia="Arial" w:hAnsi="Arial"/>
          <w:sz w:val="11"/>
          <w:szCs w:val="11"/>
          <w:color w:val="131313"/>
        </w:rPr>
        <w:t>This Lease does not operate as a Lease capable of registration under the Land Titles Act (Chapter 157) or any other Law</w:t>
      </w:r>
      <w:r>
        <w:rPr>
          <w:rFonts w:ascii="Arial" w:cs="Arial" w:eastAsia="Arial" w:hAnsi="Arial"/>
          <w:sz w:val="11"/>
          <w:szCs w:val="11"/>
          <w:color w:val="383838"/>
        </w:rPr>
        <w:t>.</w:t>
      </w:r>
    </w:p>
    <w:p>
      <w:pPr>
        <w:spacing w:after="0" w:line="190"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2"/>
          <w:szCs w:val="12"/>
          <w:color w:val="131313"/>
        </w:rPr>
        <w:t>4.4.3</w:t>
      </w:r>
      <w:r>
        <w:rPr>
          <w:sz w:val="20"/>
          <w:szCs w:val="20"/>
          <w:color w:val="auto"/>
        </w:rPr>
        <w:tab/>
      </w:r>
      <w:r>
        <w:rPr>
          <w:rFonts w:ascii="Arial" w:cs="Arial" w:eastAsia="Arial" w:hAnsi="Arial"/>
          <w:sz w:val="11"/>
          <w:szCs w:val="11"/>
          <w:u w:val="single" w:color="auto"/>
          <w:color w:val="242424"/>
        </w:rPr>
        <w:t>Keeping to the Law</w:t>
      </w:r>
    </w:p>
    <w:p>
      <w:pPr>
        <w:spacing w:after="0" w:line="201"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2"/>
          <w:szCs w:val="12"/>
          <w:color w:val="131313"/>
        </w:rPr>
        <w:t>4.4.3.1</w:t>
      </w:r>
      <w:r>
        <w:rPr>
          <w:sz w:val="20"/>
          <w:szCs w:val="20"/>
          <w:color w:val="auto"/>
        </w:rPr>
        <w:tab/>
      </w:r>
      <w:r>
        <w:rPr>
          <w:rFonts w:ascii="Arial" w:cs="Arial" w:eastAsia="Arial" w:hAnsi="Arial"/>
          <w:sz w:val="11"/>
          <w:szCs w:val="11"/>
          <w:color w:val="131313"/>
        </w:rPr>
        <w:t>You must keep to the Law and all requirements of the Authorities relating to</w:t>
      </w:r>
      <w:r>
        <w:rPr>
          <w:rFonts w:ascii="Arial" w:cs="Arial" w:eastAsia="Arial" w:hAnsi="Arial"/>
          <w:sz w:val="11"/>
          <w:szCs w:val="11"/>
          <w:color w:val="383838"/>
        </w:rPr>
        <w:t>:</w:t>
      </w:r>
    </w:p>
    <w:p>
      <w:pPr>
        <w:spacing w:after="0" w:line="190" w:lineRule="exact"/>
        <w:rPr>
          <w:sz w:val="20"/>
          <w:szCs w:val="20"/>
          <w:color w:val="auto"/>
        </w:rPr>
      </w:pPr>
    </w:p>
    <w:p>
      <w:pPr>
        <w:ind w:left="1720" w:hanging="223"/>
        <w:spacing w:after="0"/>
        <w:tabs>
          <w:tab w:leader="none" w:pos="1720" w:val="left"/>
        </w:tabs>
        <w:numPr>
          <w:ilvl w:val="0"/>
          <w:numId w:val="79"/>
        </w:numPr>
        <w:rPr>
          <w:rFonts w:ascii="Arial" w:cs="Arial" w:eastAsia="Arial" w:hAnsi="Arial"/>
          <w:sz w:val="12"/>
          <w:szCs w:val="12"/>
          <w:color w:val="131313"/>
        </w:rPr>
      </w:pPr>
      <w:r>
        <w:rPr>
          <w:rFonts w:ascii="Arial" w:cs="Arial" w:eastAsia="Arial" w:hAnsi="Arial"/>
          <w:sz w:val="12"/>
          <w:szCs w:val="12"/>
          <w:color w:val="131313"/>
        </w:rPr>
        <w:t>the Premises and using or occupying the Premises; and</w:t>
      </w:r>
    </w:p>
    <w:p>
      <w:pPr>
        <w:spacing w:after="0" w:line="190" w:lineRule="exact"/>
        <w:rPr>
          <w:rFonts w:ascii="Arial" w:cs="Arial" w:eastAsia="Arial" w:hAnsi="Arial"/>
          <w:sz w:val="12"/>
          <w:szCs w:val="12"/>
          <w:color w:val="131313"/>
        </w:rPr>
      </w:pPr>
    </w:p>
    <w:p>
      <w:pPr>
        <w:ind w:left="1740" w:hanging="244"/>
        <w:spacing w:after="0"/>
        <w:tabs>
          <w:tab w:leader="none" w:pos="1740" w:val="left"/>
        </w:tabs>
        <w:numPr>
          <w:ilvl w:val="0"/>
          <w:numId w:val="79"/>
        </w:numPr>
        <w:rPr>
          <w:rFonts w:ascii="Arial" w:cs="Arial" w:eastAsia="Arial" w:hAnsi="Arial"/>
          <w:sz w:val="12"/>
          <w:szCs w:val="12"/>
          <w:color w:val="131313"/>
        </w:rPr>
      </w:pPr>
      <w:r>
        <w:rPr>
          <w:rFonts w:ascii="Arial" w:cs="Arial" w:eastAsia="Arial" w:hAnsi="Arial"/>
          <w:sz w:val="12"/>
          <w:szCs w:val="12"/>
          <w:color w:val="131313"/>
        </w:rPr>
        <w:t>your obligations under this Lease.</w:t>
      </w:r>
    </w:p>
    <w:p>
      <w:pPr>
        <w:spacing w:after="0" w:line="190"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2"/>
          <w:szCs w:val="12"/>
          <w:color w:val="131313"/>
        </w:rPr>
        <w:t>4.4.3.2</w:t>
      </w:r>
      <w:r>
        <w:rPr>
          <w:sz w:val="20"/>
          <w:szCs w:val="20"/>
          <w:color w:val="auto"/>
        </w:rPr>
        <w:tab/>
      </w:r>
      <w:r>
        <w:rPr>
          <w:rFonts w:ascii="Arial" w:cs="Arial" w:eastAsia="Arial" w:hAnsi="Arial"/>
          <w:sz w:val="11"/>
          <w:szCs w:val="11"/>
          <w:color w:val="131313"/>
        </w:rPr>
        <w:t>You must immediately notify us of:</w:t>
      </w:r>
    </w:p>
    <w:p>
      <w:pPr>
        <w:spacing w:after="0" w:line="201" w:lineRule="exact"/>
        <w:rPr>
          <w:sz w:val="20"/>
          <w:szCs w:val="20"/>
          <w:color w:val="auto"/>
        </w:rPr>
      </w:pPr>
    </w:p>
    <w:p>
      <w:pPr>
        <w:ind w:left="1740" w:hanging="246"/>
        <w:spacing w:after="0"/>
        <w:tabs>
          <w:tab w:leader="none" w:pos="1740" w:val="left"/>
        </w:tabs>
        <w:numPr>
          <w:ilvl w:val="0"/>
          <w:numId w:val="80"/>
        </w:numPr>
        <w:rPr>
          <w:rFonts w:ascii="Arial" w:cs="Arial" w:eastAsia="Arial" w:hAnsi="Arial"/>
          <w:sz w:val="12"/>
          <w:szCs w:val="12"/>
          <w:color w:val="131313"/>
        </w:rPr>
      </w:pPr>
      <w:r>
        <w:rPr>
          <w:rFonts w:ascii="Arial" w:cs="Arial" w:eastAsia="Arial" w:hAnsi="Arial"/>
          <w:sz w:val="12"/>
          <w:szCs w:val="12"/>
          <w:color w:val="131313"/>
        </w:rPr>
        <w:t>any notice or order you receive from any Authority in relation to the Premises or this Lease;</w:t>
      </w:r>
    </w:p>
    <w:p>
      <w:pPr>
        <w:spacing w:after="0" w:line="190" w:lineRule="exact"/>
        <w:rPr>
          <w:rFonts w:ascii="Arial" w:cs="Arial" w:eastAsia="Arial" w:hAnsi="Arial"/>
          <w:sz w:val="12"/>
          <w:szCs w:val="12"/>
          <w:color w:val="131313"/>
        </w:rPr>
      </w:pPr>
    </w:p>
    <w:p>
      <w:pPr>
        <w:ind w:left="1740" w:hanging="246"/>
        <w:spacing w:after="0"/>
        <w:tabs>
          <w:tab w:leader="none" w:pos="1740" w:val="left"/>
        </w:tabs>
        <w:numPr>
          <w:ilvl w:val="0"/>
          <w:numId w:val="80"/>
        </w:numPr>
        <w:rPr>
          <w:rFonts w:ascii="Arial" w:cs="Arial" w:eastAsia="Arial" w:hAnsi="Arial"/>
          <w:sz w:val="12"/>
          <w:szCs w:val="12"/>
          <w:color w:val="131313"/>
        </w:rPr>
      </w:pPr>
      <w:r>
        <w:rPr>
          <w:rFonts w:ascii="Arial" w:cs="Arial" w:eastAsia="Arial" w:hAnsi="Arial"/>
          <w:sz w:val="12"/>
          <w:szCs w:val="12"/>
          <w:color w:val="131313"/>
        </w:rPr>
        <w:t xml:space="preserve">any defect </w:t>
      </w:r>
      <w:r>
        <w:rPr>
          <w:rFonts w:ascii="Arial" w:cs="Arial" w:eastAsia="Arial" w:hAnsi="Arial"/>
          <w:sz w:val="12"/>
          <w:szCs w:val="12"/>
          <w:color w:val="242424"/>
        </w:rPr>
        <w:t>in</w:t>
      </w:r>
      <w:r>
        <w:rPr>
          <w:rFonts w:ascii="Arial" w:cs="Arial" w:eastAsia="Arial" w:hAnsi="Arial"/>
          <w:sz w:val="12"/>
          <w:szCs w:val="12"/>
          <w:color w:val="131313"/>
        </w:rPr>
        <w:t xml:space="preserve"> the Premises which may cause us to have any Losses or duty</w:t>
      </w:r>
      <w:r>
        <w:rPr>
          <w:rFonts w:ascii="Arial" w:cs="Arial" w:eastAsia="Arial" w:hAnsi="Arial"/>
          <w:sz w:val="12"/>
          <w:szCs w:val="12"/>
          <w:color w:val="383838"/>
        </w:rPr>
        <w:t>;</w:t>
      </w:r>
      <w:r>
        <w:rPr>
          <w:rFonts w:ascii="Arial" w:cs="Arial" w:eastAsia="Arial" w:hAnsi="Arial"/>
          <w:sz w:val="12"/>
          <w:szCs w:val="12"/>
          <w:color w:val="131313"/>
        </w:rPr>
        <w:t xml:space="preserve"> and</w:t>
      </w:r>
    </w:p>
    <w:p>
      <w:pPr>
        <w:spacing w:after="0" w:line="200" w:lineRule="exact"/>
        <w:rPr>
          <w:rFonts w:ascii="Arial" w:cs="Arial" w:eastAsia="Arial" w:hAnsi="Arial"/>
          <w:sz w:val="12"/>
          <w:szCs w:val="12"/>
          <w:color w:val="131313"/>
        </w:rPr>
      </w:pPr>
    </w:p>
    <w:p>
      <w:pPr>
        <w:ind w:left="1720" w:hanging="230"/>
        <w:spacing w:after="0"/>
        <w:tabs>
          <w:tab w:leader="none" w:pos="1720" w:val="left"/>
        </w:tabs>
        <w:numPr>
          <w:ilvl w:val="0"/>
          <w:numId w:val="80"/>
        </w:numPr>
        <w:rPr>
          <w:rFonts w:ascii="Arial" w:cs="Arial" w:eastAsia="Arial" w:hAnsi="Arial"/>
          <w:sz w:val="12"/>
          <w:szCs w:val="12"/>
          <w:color w:val="131313"/>
        </w:rPr>
      </w:pPr>
      <w:r>
        <w:rPr>
          <w:rFonts w:ascii="Arial" w:cs="Arial" w:eastAsia="Arial" w:hAnsi="Arial"/>
          <w:sz w:val="12"/>
          <w:szCs w:val="12"/>
          <w:color w:val="131313"/>
        </w:rPr>
        <w:t>any damage that may happen to the Premises.</w:t>
      </w:r>
    </w:p>
    <w:p>
      <w:pPr>
        <w:spacing w:after="0" w:line="190" w:lineRule="exact"/>
        <w:rPr>
          <w:sz w:val="20"/>
          <w:szCs w:val="20"/>
          <w:color w:val="auto"/>
        </w:rPr>
      </w:pPr>
    </w:p>
    <w:p>
      <w:pPr>
        <w:ind w:left="1480" w:hanging="482"/>
        <w:spacing w:after="0" w:line="250" w:lineRule="auto"/>
        <w:tabs>
          <w:tab w:leader="none" w:pos="1460" w:val="left"/>
        </w:tabs>
        <w:rPr>
          <w:sz w:val="20"/>
          <w:szCs w:val="20"/>
          <w:color w:val="auto"/>
        </w:rPr>
      </w:pPr>
      <w:r>
        <w:rPr>
          <w:rFonts w:ascii="Arial" w:cs="Arial" w:eastAsia="Arial" w:hAnsi="Arial"/>
          <w:sz w:val="12"/>
          <w:szCs w:val="12"/>
          <w:color w:val="131313"/>
        </w:rPr>
        <w:t>4.4.3.3</w:t>
        <w:tab/>
        <w:t xml:space="preserve">Without affecting clause 4.4.3.1, you must not allow the Premises to be used as a place where any person </w:t>
      </w:r>
      <w:r>
        <w:rPr>
          <w:rFonts w:ascii="Arial" w:cs="Arial" w:eastAsia="Arial" w:hAnsi="Arial"/>
          <w:sz w:val="12"/>
          <w:szCs w:val="12"/>
          <w:color w:val="242424"/>
        </w:rPr>
        <w:t>is</w:t>
      </w:r>
      <w:r>
        <w:rPr>
          <w:rFonts w:ascii="Arial" w:cs="Arial" w:eastAsia="Arial" w:hAnsi="Arial"/>
          <w:sz w:val="12"/>
          <w:szCs w:val="12"/>
          <w:color w:val="131313"/>
        </w:rPr>
        <w:t xml:space="preserve"> employed in a way that is not allowed under section 57(1)(e) of the Immigration Act (Chapter 133), section 5 of the Employment of Foreign Manpower Act (Chapter 91a) or any other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r>
    </w:tbl>
    <w:p>
      <w:pPr>
        <w:sectPr>
          <w:pgSz w:w="11900" w:h="16838" w:orient="portrait"/>
          <w:cols w:equalWidth="0" w:num="1">
            <w:col w:w="11280"/>
          </w:cols>
          <w:pgMar w:left="300" w:top="1440" w:right="319" w:bottom="1440" w:gutter="0" w:footer="0" w:header="0"/>
        </w:sectPr>
      </w:pPr>
    </w:p>
    <w:bookmarkStart w:id="147" w:name="page148"/>
    <w:bookmarkEnd w:id="147"/>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5">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ind w:left="100"/>
        <w:spacing w:after="0"/>
        <w:tabs>
          <w:tab w:leader="none" w:pos="560" w:val="left"/>
        </w:tabs>
        <w:rPr>
          <w:sz w:val="20"/>
          <w:szCs w:val="20"/>
          <w:color w:val="auto"/>
        </w:rPr>
      </w:pPr>
      <w:r>
        <w:rPr>
          <w:rFonts w:ascii="Arial" w:cs="Arial" w:eastAsia="Arial" w:hAnsi="Arial"/>
          <w:sz w:val="12"/>
          <w:szCs w:val="12"/>
          <w:color w:val="111111"/>
        </w:rPr>
        <w:t>4.4.4</w:t>
      </w:r>
      <w:r>
        <w:rPr>
          <w:sz w:val="20"/>
          <w:szCs w:val="20"/>
          <w:color w:val="auto"/>
        </w:rPr>
        <w:tab/>
      </w:r>
      <w:r>
        <w:rPr>
          <w:rFonts w:ascii="Arial" w:cs="Arial" w:eastAsia="Arial" w:hAnsi="Arial"/>
          <w:sz w:val="11"/>
          <w:szCs w:val="11"/>
          <w:u w:val="single" w:color="auto"/>
          <w:color w:val="111111"/>
        </w:rPr>
        <w:t>Head Lease</w:t>
      </w:r>
    </w:p>
    <w:p>
      <w:pPr>
        <w:spacing w:after="0" w:line="264" w:lineRule="exact"/>
        <w:rPr>
          <w:sz w:val="20"/>
          <w:szCs w:val="20"/>
          <w:color w:val="auto"/>
        </w:rPr>
      </w:pPr>
    </w:p>
    <w:p>
      <w:pPr>
        <w:ind w:left="580"/>
        <w:spacing w:after="0"/>
        <w:rPr>
          <w:sz w:val="20"/>
          <w:szCs w:val="20"/>
          <w:color w:val="auto"/>
        </w:rPr>
      </w:pPr>
      <w:r>
        <w:rPr>
          <w:rFonts w:ascii="Arial" w:cs="Arial" w:eastAsia="Arial" w:hAnsi="Arial"/>
          <w:sz w:val="12"/>
          <w:szCs w:val="12"/>
          <w:color w:val="111111"/>
        </w:rPr>
        <w:t>You must keep to the conditions (if any) that the Head Landlord sets when approving this Lease, including in particular, any conditions that relate to the Premises, Building and Park.</w:t>
      </w:r>
    </w:p>
    <w:p>
      <w:pPr>
        <w:spacing w:after="0" w:line="18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11111"/>
        </w:rPr>
        <w:t>4.4.5</w:t>
      </w:r>
      <w:r>
        <w:rPr>
          <w:sz w:val="20"/>
          <w:szCs w:val="20"/>
          <w:color w:val="auto"/>
        </w:rPr>
        <w:tab/>
      </w:r>
      <w:r>
        <w:rPr>
          <w:rFonts w:ascii="Arial" w:cs="Arial" w:eastAsia="Arial" w:hAnsi="Arial"/>
          <w:sz w:val="11"/>
          <w:szCs w:val="11"/>
          <w:u w:val="single" w:color="auto"/>
          <w:color w:val="111111"/>
        </w:rPr>
        <w:t>Tenants' Guide</w:t>
      </w:r>
    </w:p>
    <w:p>
      <w:pPr>
        <w:spacing w:after="0" w:line="201" w:lineRule="exact"/>
        <w:rPr>
          <w:sz w:val="20"/>
          <w:szCs w:val="20"/>
          <w:color w:val="auto"/>
        </w:rPr>
      </w:pPr>
    </w:p>
    <w:p>
      <w:pPr>
        <w:jc w:val="both"/>
        <w:ind w:left="580" w:right="80" w:firstLine="6"/>
        <w:spacing w:after="0" w:line="245" w:lineRule="auto"/>
        <w:rPr>
          <w:sz w:val="20"/>
          <w:szCs w:val="20"/>
          <w:color w:val="auto"/>
        </w:rPr>
      </w:pPr>
      <w:r>
        <w:rPr>
          <w:rFonts w:ascii="Arial" w:cs="Arial" w:eastAsia="Arial" w:hAnsi="Arial"/>
          <w:sz w:val="12"/>
          <w:szCs w:val="12"/>
          <w:color w:val="111111"/>
        </w:rPr>
        <w:t>You confirm that you have read and received a copy of the Tenants' Guide and you agree that you must keep to the Tenants' Guide and any other rules that we set, including paying any fees, charges, costs and expenses arising out of or relating to, or as a result of you failing to keep to your obligations under the Tenants' Guide. You must also make sure that Your Authorised People keep to the Tenants' Guide. We may add to or vary the Tenants' Guide at any time by making such revised Tenant's Guide available on the Capitaland Business Park &amp; Industrial Tenant Portal.</w:t>
      </w:r>
    </w:p>
    <w:p>
      <w:pPr>
        <w:spacing w:after="0" w:line="181"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11111"/>
        </w:rPr>
        <w:t>4.4.6</w:t>
      </w:r>
      <w:r>
        <w:rPr>
          <w:sz w:val="20"/>
          <w:szCs w:val="20"/>
          <w:color w:val="auto"/>
        </w:rPr>
        <w:tab/>
      </w:r>
      <w:r>
        <w:rPr>
          <w:rFonts w:ascii="Arial" w:cs="Arial" w:eastAsia="Arial" w:hAnsi="Arial"/>
          <w:sz w:val="12"/>
          <w:szCs w:val="12"/>
          <w:u w:val="single" w:color="auto"/>
          <w:color w:val="2F2F2F"/>
        </w:rPr>
        <w:t>Confident</w:t>
      </w:r>
      <w:r>
        <w:rPr>
          <w:rFonts w:ascii="Arial" w:cs="Arial" w:eastAsia="Arial" w:hAnsi="Arial"/>
          <w:sz w:val="12"/>
          <w:szCs w:val="12"/>
          <w:u w:val="single" w:color="auto"/>
          <w:color w:val="484848"/>
        </w:rPr>
        <w:t>i</w:t>
      </w:r>
      <w:r>
        <w:rPr>
          <w:rFonts w:ascii="Arial" w:cs="Arial" w:eastAsia="Arial" w:hAnsi="Arial"/>
          <w:sz w:val="12"/>
          <w:szCs w:val="12"/>
          <w:u w:val="single" w:color="auto"/>
          <w:color w:val="2F2F2F"/>
        </w:rPr>
        <w:t>a</w:t>
      </w:r>
      <w:r>
        <w:rPr>
          <w:rFonts w:ascii="Arial" w:cs="Arial" w:eastAsia="Arial" w:hAnsi="Arial"/>
          <w:sz w:val="12"/>
          <w:szCs w:val="12"/>
          <w:u w:val="single" w:color="auto"/>
          <w:color w:val="484848"/>
        </w:rPr>
        <w:t>li</w:t>
      </w:r>
      <w:r>
        <w:rPr>
          <w:rFonts w:ascii="Arial" w:cs="Arial" w:eastAsia="Arial" w:hAnsi="Arial"/>
          <w:sz w:val="12"/>
          <w:szCs w:val="12"/>
          <w:u w:val="single" w:color="auto"/>
          <w:color w:val="2F2F2F"/>
        </w:rPr>
        <w:t xml:space="preserve">ty of </w:t>
      </w:r>
      <w:r>
        <w:rPr>
          <w:rFonts w:ascii="Arial" w:cs="Arial" w:eastAsia="Arial" w:hAnsi="Arial"/>
          <w:sz w:val="12"/>
          <w:szCs w:val="12"/>
          <w:u w:val="single" w:color="auto"/>
          <w:color w:val="484848"/>
        </w:rPr>
        <w:t>i</w:t>
      </w:r>
      <w:r>
        <w:rPr>
          <w:rFonts w:ascii="Arial" w:cs="Arial" w:eastAsia="Arial" w:hAnsi="Arial"/>
          <w:sz w:val="12"/>
          <w:szCs w:val="12"/>
          <w:u w:val="single" w:color="auto"/>
          <w:color w:val="2F2F2F"/>
        </w:rPr>
        <w:t>nformat</w:t>
      </w:r>
      <w:r>
        <w:rPr>
          <w:rFonts w:ascii="Arial" w:cs="Arial" w:eastAsia="Arial" w:hAnsi="Arial"/>
          <w:sz w:val="12"/>
          <w:szCs w:val="12"/>
          <w:u w:val="single" w:color="auto"/>
          <w:color w:val="484848"/>
        </w:rPr>
        <w:t>i</w:t>
      </w:r>
      <w:r>
        <w:rPr>
          <w:rFonts w:ascii="Arial" w:cs="Arial" w:eastAsia="Arial" w:hAnsi="Arial"/>
          <w:sz w:val="12"/>
          <w:szCs w:val="12"/>
          <w:u w:val="single" w:color="auto"/>
          <w:color w:val="2F2F2F"/>
        </w:rPr>
        <w:t>o</w:t>
      </w:r>
      <w:r>
        <w:rPr>
          <w:rFonts w:ascii="Arial" w:cs="Arial" w:eastAsia="Arial" w:hAnsi="Arial"/>
          <w:sz w:val="12"/>
          <w:szCs w:val="12"/>
          <w:u w:val="single" w:color="auto"/>
          <w:color w:val="484848"/>
        </w:rPr>
        <w:t>n</w:t>
      </w:r>
    </w:p>
    <w:p>
      <w:pPr>
        <w:spacing w:after="0" w:line="190" w:lineRule="exact"/>
        <w:rPr>
          <w:sz w:val="20"/>
          <w:szCs w:val="20"/>
          <w:color w:val="auto"/>
        </w:rPr>
      </w:pPr>
    </w:p>
    <w:p>
      <w:pPr>
        <w:jc w:val="both"/>
        <w:ind w:left="560" w:right="80" w:hanging="480"/>
        <w:spacing w:after="0" w:line="245" w:lineRule="auto"/>
        <w:tabs>
          <w:tab w:leader="none" w:pos="540" w:val="left"/>
        </w:tabs>
        <w:rPr>
          <w:sz w:val="20"/>
          <w:szCs w:val="20"/>
          <w:color w:val="auto"/>
        </w:rPr>
      </w:pPr>
      <w:r>
        <w:rPr>
          <w:rFonts w:ascii="Arial" w:cs="Arial" w:eastAsia="Arial" w:hAnsi="Arial"/>
          <w:sz w:val="12"/>
          <w:szCs w:val="12"/>
          <w:color w:val="111111"/>
        </w:rPr>
        <w:t>4.4.6.1</w:t>
        <w:tab/>
        <w:t>In order to protect and maintain the confidentiality of this Lease and any information relating to this Lease, and to prevent any unauthorised access to such information, you must not reveal to any third party (other than your professional advisors), this Lease or any information or any correspondence relating to this Lease, unless such disclosure is required under any Law or you get our approval beforehand. If you are allowed to reveal information to any third party, you must make sure that they keep to the terms of this clause 4.4.6.1 and such other terms as we may notify you.</w:t>
      </w:r>
    </w:p>
    <w:p>
      <w:pPr>
        <w:spacing w:after="0" w:line="18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4.4.6.2</w:t>
      </w:r>
      <w:r>
        <w:rPr>
          <w:sz w:val="20"/>
          <w:szCs w:val="20"/>
          <w:color w:val="auto"/>
        </w:rPr>
        <w:tab/>
      </w:r>
      <w:r>
        <w:rPr>
          <w:rFonts w:ascii="Arial" w:cs="Arial" w:eastAsia="Arial" w:hAnsi="Arial"/>
          <w:sz w:val="11"/>
          <w:szCs w:val="11"/>
          <w:color w:val="111111"/>
        </w:rPr>
        <w:t>Without affecting anything else in this Lease, if you do not keep to clause 4.4.6.1 we may withdraw any special concessions we have granted you under this Lease. This includes but is not limited to:</w:t>
      </w:r>
    </w:p>
    <w:p>
      <w:pPr>
        <w:spacing w:after="0" w:line="201" w:lineRule="exact"/>
        <w:rPr>
          <w:sz w:val="20"/>
          <w:szCs w:val="20"/>
          <w:color w:val="auto"/>
        </w:rPr>
      </w:pPr>
    </w:p>
    <w:p>
      <w:pPr>
        <w:ind w:left="800" w:hanging="233"/>
        <w:spacing w:after="0"/>
        <w:tabs>
          <w:tab w:leader="none" w:pos="800" w:val="left"/>
        </w:tabs>
        <w:numPr>
          <w:ilvl w:val="0"/>
          <w:numId w:val="81"/>
        </w:numPr>
        <w:rPr>
          <w:rFonts w:ascii="Arial" w:cs="Arial" w:eastAsia="Arial" w:hAnsi="Arial"/>
          <w:sz w:val="12"/>
          <w:szCs w:val="12"/>
          <w:color w:val="111111"/>
        </w:rPr>
      </w:pPr>
      <w:r>
        <w:rPr>
          <w:rFonts w:ascii="Arial" w:cs="Arial" w:eastAsia="Arial" w:hAnsi="Arial"/>
          <w:sz w:val="12"/>
          <w:szCs w:val="12"/>
          <w:color w:val="111111"/>
        </w:rPr>
        <w:t>the Rent-free period (if any), meaning that you must pay us the Gross Rent for the entire Rent-free Period;</w:t>
      </w:r>
    </w:p>
    <w:p>
      <w:pPr>
        <w:spacing w:after="0" w:line="190" w:lineRule="exact"/>
        <w:rPr>
          <w:rFonts w:ascii="Arial" w:cs="Arial" w:eastAsia="Arial" w:hAnsi="Arial"/>
          <w:sz w:val="12"/>
          <w:szCs w:val="12"/>
          <w:color w:val="111111"/>
        </w:rPr>
      </w:pPr>
    </w:p>
    <w:p>
      <w:pPr>
        <w:ind w:left="800" w:hanging="237"/>
        <w:spacing w:after="0"/>
        <w:tabs>
          <w:tab w:leader="none" w:pos="800" w:val="left"/>
        </w:tabs>
        <w:numPr>
          <w:ilvl w:val="0"/>
          <w:numId w:val="81"/>
        </w:numPr>
        <w:rPr>
          <w:rFonts w:ascii="Arial" w:cs="Arial" w:eastAsia="Arial" w:hAnsi="Arial"/>
          <w:sz w:val="12"/>
          <w:szCs w:val="12"/>
          <w:color w:val="111111"/>
        </w:rPr>
      </w:pPr>
      <w:r>
        <w:rPr>
          <w:rFonts w:ascii="Arial" w:cs="Arial" w:eastAsia="Arial" w:hAnsi="Arial"/>
          <w:sz w:val="12"/>
          <w:szCs w:val="12"/>
          <w:color w:val="111111"/>
        </w:rPr>
        <w:t>any special rental rates, meaning that you must pay us a revised gross rent for the entire Term based on the market rent that applies at that time; and</w:t>
      </w:r>
    </w:p>
    <w:p>
      <w:pPr>
        <w:spacing w:after="0" w:line="190" w:lineRule="exact"/>
        <w:rPr>
          <w:rFonts w:ascii="Arial" w:cs="Arial" w:eastAsia="Arial" w:hAnsi="Arial"/>
          <w:sz w:val="12"/>
          <w:szCs w:val="12"/>
          <w:color w:val="111111"/>
        </w:rPr>
      </w:pPr>
    </w:p>
    <w:p>
      <w:pPr>
        <w:ind w:left="800" w:hanging="237"/>
        <w:spacing w:after="0"/>
        <w:tabs>
          <w:tab w:leader="none" w:pos="800" w:val="left"/>
        </w:tabs>
        <w:numPr>
          <w:ilvl w:val="0"/>
          <w:numId w:val="81"/>
        </w:numPr>
        <w:rPr>
          <w:rFonts w:ascii="Arial" w:cs="Arial" w:eastAsia="Arial" w:hAnsi="Arial"/>
          <w:sz w:val="12"/>
          <w:szCs w:val="12"/>
          <w:color w:val="111111"/>
        </w:rPr>
      </w:pPr>
      <w:r>
        <w:rPr>
          <w:rFonts w:ascii="Arial" w:cs="Arial" w:eastAsia="Arial" w:hAnsi="Arial"/>
          <w:sz w:val="12"/>
          <w:szCs w:val="12"/>
          <w:color w:val="111111"/>
        </w:rPr>
        <w:t>all other special concessions we grant to you.</w:t>
      </w:r>
    </w:p>
    <w:p>
      <w:pPr>
        <w:spacing w:after="0" w:line="20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4.4.6.3</w:t>
      </w:r>
      <w:r>
        <w:rPr>
          <w:sz w:val="20"/>
          <w:szCs w:val="20"/>
          <w:color w:val="auto"/>
        </w:rPr>
        <w:tab/>
      </w:r>
      <w:r>
        <w:rPr>
          <w:rFonts w:ascii="Arial" w:cs="Arial" w:eastAsia="Arial" w:hAnsi="Arial"/>
          <w:sz w:val="11"/>
          <w:szCs w:val="11"/>
          <w:color w:val="111111"/>
        </w:rPr>
        <w:t>This clause 4.4.6 will not be affected by, and will survive, the Term coming to an end or this Lease being brought to an end early.</w:t>
      </w:r>
    </w:p>
    <w:p>
      <w:pPr>
        <w:spacing w:after="0" w:line="18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4.4.7</w:t>
      </w:r>
      <w:r>
        <w:rPr>
          <w:sz w:val="20"/>
          <w:szCs w:val="20"/>
          <w:color w:val="auto"/>
        </w:rPr>
        <w:tab/>
      </w:r>
      <w:r>
        <w:rPr>
          <w:rFonts w:ascii="Arial" w:cs="Arial" w:eastAsia="Arial" w:hAnsi="Arial"/>
          <w:sz w:val="11"/>
          <w:szCs w:val="11"/>
          <w:u w:val="single" w:color="auto"/>
          <w:color w:val="2F2F2F"/>
        </w:rPr>
        <w:t>Indemn</w:t>
      </w:r>
      <w:r>
        <w:rPr>
          <w:rFonts w:ascii="Arial" w:cs="Arial" w:eastAsia="Arial" w:hAnsi="Arial"/>
          <w:sz w:val="11"/>
          <w:szCs w:val="11"/>
          <w:u w:val="single" w:color="auto"/>
          <w:color w:val="484848"/>
        </w:rPr>
        <w:t>i</w:t>
      </w:r>
      <w:r>
        <w:rPr>
          <w:rFonts w:ascii="Arial" w:cs="Arial" w:eastAsia="Arial" w:hAnsi="Arial"/>
          <w:sz w:val="11"/>
          <w:szCs w:val="11"/>
          <w:u w:val="single" w:color="auto"/>
          <w:color w:val="2F2F2F"/>
        </w:rPr>
        <w:t>ty by you</w:t>
      </w:r>
    </w:p>
    <w:p>
      <w:pPr>
        <w:spacing w:after="0" w:line="201" w:lineRule="exact"/>
        <w:rPr>
          <w:sz w:val="20"/>
          <w:szCs w:val="20"/>
          <w:color w:val="auto"/>
        </w:rPr>
      </w:pPr>
    </w:p>
    <w:p>
      <w:pPr>
        <w:ind w:left="560" w:right="80" w:hanging="480"/>
        <w:spacing w:after="0" w:line="250" w:lineRule="auto"/>
        <w:tabs>
          <w:tab w:leader="none" w:pos="540" w:val="left"/>
        </w:tabs>
        <w:rPr>
          <w:sz w:val="20"/>
          <w:szCs w:val="20"/>
          <w:color w:val="auto"/>
        </w:rPr>
      </w:pPr>
      <w:r>
        <w:rPr>
          <w:rFonts w:ascii="Arial" w:cs="Arial" w:eastAsia="Arial" w:hAnsi="Arial"/>
          <w:sz w:val="12"/>
          <w:szCs w:val="12"/>
          <w:color w:val="111111"/>
        </w:rPr>
        <w:t>4.4.7.1</w:t>
        <w:tab/>
        <w:t>You must indemnify us (that is, to pay all our losses in full without dispute or claim that we should have minimised such losses) against all Losses which we may suffer or have to pay arising out of or relating to death, injury, loss or damage caused, directly or indirectly, by:</w:t>
      </w:r>
    </w:p>
    <w:p>
      <w:pPr>
        <w:spacing w:after="0" w:line="178" w:lineRule="exact"/>
        <w:rPr>
          <w:sz w:val="20"/>
          <w:szCs w:val="20"/>
          <w:color w:val="auto"/>
        </w:rPr>
      </w:pPr>
    </w:p>
    <w:p>
      <w:pPr>
        <w:ind w:left="800" w:hanging="237"/>
        <w:spacing w:after="0"/>
        <w:tabs>
          <w:tab w:leader="none" w:pos="800" w:val="left"/>
        </w:tabs>
        <w:numPr>
          <w:ilvl w:val="0"/>
          <w:numId w:val="82"/>
        </w:numPr>
        <w:rPr>
          <w:rFonts w:ascii="Arial" w:cs="Arial" w:eastAsia="Arial" w:hAnsi="Arial"/>
          <w:sz w:val="12"/>
          <w:szCs w:val="12"/>
          <w:color w:val="111111"/>
        </w:rPr>
      </w:pPr>
      <w:r>
        <w:rPr>
          <w:rFonts w:ascii="Arial" w:cs="Arial" w:eastAsia="Arial" w:hAnsi="Arial"/>
          <w:sz w:val="12"/>
          <w:szCs w:val="12"/>
          <w:color w:val="111111"/>
        </w:rPr>
        <w:t>anything that happens in the Premises or the use or occupation of the Premises;</w:t>
      </w:r>
    </w:p>
    <w:p>
      <w:pPr>
        <w:spacing w:after="0" w:line="190" w:lineRule="exact"/>
        <w:rPr>
          <w:rFonts w:ascii="Arial" w:cs="Arial" w:eastAsia="Arial" w:hAnsi="Arial"/>
          <w:sz w:val="12"/>
          <w:szCs w:val="12"/>
          <w:color w:val="111111"/>
        </w:rPr>
      </w:pPr>
    </w:p>
    <w:p>
      <w:pPr>
        <w:ind w:left="800" w:right="80" w:hanging="237"/>
        <w:spacing w:after="0" w:line="250" w:lineRule="auto"/>
        <w:tabs>
          <w:tab w:leader="none" w:pos="791" w:val="left"/>
        </w:tabs>
        <w:numPr>
          <w:ilvl w:val="0"/>
          <w:numId w:val="82"/>
        </w:numPr>
        <w:rPr>
          <w:rFonts w:ascii="Arial" w:cs="Arial" w:eastAsia="Arial" w:hAnsi="Arial"/>
          <w:sz w:val="12"/>
          <w:szCs w:val="12"/>
          <w:color w:val="111111"/>
        </w:rPr>
      </w:pPr>
      <w:r>
        <w:rPr>
          <w:rFonts w:ascii="Arial" w:cs="Arial" w:eastAsia="Arial" w:hAnsi="Arial"/>
          <w:sz w:val="12"/>
          <w:szCs w:val="12"/>
          <w:color w:val="111111"/>
        </w:rPr>
        <w:t>you or Your Authorised People to the Premises, Building or any property in them, including if caused by using, misusing, wasting or abusing the Utilities or faulty fittings or fixtures or in respect of the condition of any part of the Premises; and</w:t>
      </w:r>
    </w:p>
    <w:p>
      <w:pPr>
        <w:spacing w:after="0" w:line="189" w:lineRule="exact"/>
        <w:rPr>
          <w:rFonts w:ascii="Arial" w:cs="Arial" w:eastAsia="Arial" w:hAnsi="Arial"/>
          <w:sz w:val="12"/>
          <w:szCs w:val="12"/>
          <w:color w:val="111111"/>
        </w:rPr>
      </w:pPr>
    </w:p>
    <w:p>
      <w:pPr>
        <w:ind w:left="800" w:hanging="240"/>
        <w:spacing w:after="0"/>
        <w:tabs>
          <w:tab w:leader="none" w:pos="800" w:val="left"/>
        </w:tabs>
        <w:numPr>
          <w:ilvl w:val="0"/>
          <w:numId w:val="82"/>
        </w:numPr>
        <w:rPr>
          <w:rFonts w:ascii="Arial" w:cs="Arial" w:eastAsia="Arial" w:hAnsi="Arial"/>
          <w:sz w:val="12"/>
          <w:szCs w:val="12"/>
          <w:color w:val="111111"/>
        </w:rPr>
      </w:pPr>
      <w:r>
        <w:rPr>
          <w:rFonts w:ascii="Arial" w:cs="Arial" w:eastAsia="Arial" w:hAnsi="Arial"/>
          <w:sz w:val="12"/>
          <w:szCs w:val="12"/>
          <w:color w:val="111111"/>
        </w:rPr>
        <w:t>you failing to keep to the terms of this Lease.</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11111"/>
        </w:rPr>
        <w:t>4.4.7.2</w:t>
      </w:r>
      <w:r>
        <w:rPr>
          <w:sz w:val="20"/>
          <w:szCs w:val="20"/>
          <w:color w:val="auto"/>
        </w:rPr>
        <w:tab/>
      </w:r>
      <w:r>
        <w:rPr>
          <w:rFonts w:ascii="Arial" w:cs="Arial" w:eastAsia="Arial" w:hAnsi="Arial"/>
          <w:sz w:val="11"/>
          <w:szCs w:val="11"/>
          <w:color w:val="111111"/>
        </w:rPr>
        <w:t>This clause 4.4.7 will not be affected by, and will survive, the Term coming to an end or this Lease being brought to an end early.</w:t>
      </w:r>
    </w:p>
    <w:p>
      <w:pPr>
        <w:spacing w:after="0" w:line="176" w:lineRule="exact"/>
        <w:rPr>
          <w:sz w:val="20"/>
          <w:szCs w:val="20"/>
          <w:color w:val="auto"/>
        </w:rPr>
      </w:pPr>
    </w:p>
    <w:p>
      <w:pPr>
        <w:ind w:left="560" w:hanging="480"/>
        <w:spacing w:after="0"/>
        <w:tabs>
          <w:tab w:leader="none" w:pos="560" w:val="left"/>
        </w:tabs>
        <w:numPr>
          <w:ilvl w:val="0"/>
          <w:numId w:val="83"/>
        </w:numPr>
        <w:rPr>
          <w:rFonts w:ascii="Arial" w:cs="Arial" w:eastAsia="Arial" w:hAnsi="Arial"/>
          <w:sz w:val="12"/>
          <w:szCs w:val="12"/>
          <w:b w:val="1"/>
          <w:bCs w:val="1"/>
          <w:color w:val="111111"/>
        </w:rPr>
      </w:pPr>
      <w:r>
        <w:rPr>
          <w:rFonts w:ascii="Arial" w:cs="Arial" w:eastAsia="Arial" w:hAnsi="Arial"/>
          <w:sz w:val="12"/>
          <w:szCs w:val="12"/>
          <w:b w:val="1"/>
          <w:bCs w:val="1"/>
          <w:color w:val="111111"/>
        </w:rPr>
        <w:t>OUR OBLIGATIONS/ INVOLVEMENT</w:t>
      </w:r>
    </w:p>
    <w:p>
      <w:pPr>
        <w:spacing w:after="0" w:line="204"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2"/>
          <w:szCs w:val="12"/>
          <w:color w:val="111111"/>
        </w:rPr>
        <w:t>5.1</w:t>
      </w:r>
      <w:r>
        <w:rPr>
          <w:sz w:val="20"/>
          <w:szCs w:val="20"/>
          <w:color w:val="auto"/>
        </w:rPr>
        <w:tab/>
      </w:r>
      <w:r>
        <w:rPr>
          <w:rFonts w:ascii="Arial" w:cs="Arial" w:eastAsia="Arial" w:hAnsi="Arial"/>
          <w:sz w:val="12"/>
          <w:szCs w:val="12"/>
          <w:u w:val="single" w:color="auto"/>
          <w:color w:val="2F2F2F"/>
        </w:rPr>
        <w:t>Qu</w:t>
      </w:r>
      <w:r>
        <w:rPr>
          <w:rFonts w:ascii="Arial" w:cs="Arial" w:eastAsia="Arial" w:hAnsi="Arial"/>
          <w:sz w:val="12"/>
          <w:szCs w:val="12"/>
          <w:u w:val="single" w:color="auto"/>
          <w:color w:val="484848"/>
        </w:rPr>
        <w:t>i</w:t>
      </w:r>
      <w:r>
        <w:rPr>
          <w:rFonts w:ascii="Arial" w:cs="Arial" w:eastAsia="Arial" w:hAnsi="Arial"/>
          <w:sz w:val="12"/>
          <w:szCs w:val="12"/>
          <w:u w:val="single" w:color="auto"/>
          <w:color w:val="2F2F2F"/>
        </w:rPr>
        <w:t>et enjoyment</w:t>
      </w:r>
    </w:p>
    <w:p>
      <w:pPr>
        <w:spacing w:after="0" w:line="190" w:lineRule="exact"/>
        <w:rPr>
          <w:sz w:val="20"/>
          <w:szCs w:val="20"/>
          <w:color w:val="auto"/>
        </w:rPr>
      </w:pPr>
    </w:p>
    <w:p>
      <w:pPr>
        <w:ind w:left="580" w:hanging="513"/>
        <w:spacing w:after="0" w:line="250" w:lineRule="auto"/>
        <w:tabs>
          <w:tab w:leader="none" w:pos="56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2"/>
          <w:szCs w:val="12"/>
          <w:color w:val="111111"/>
        </w:rPr>
        <w:t>If you pay the Gross Rent and other amounts due under this Lease and keep to the terms of this Lease, you may occupy and use the Premises during the Term without any disturbance from us, except as allowed under this Lease.</w:t>
      </w:r>
    </w:p>
    <w:p>
      <w:pPr>
        <w:spacing w:after="0" w:line="253"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2"/>
          <w:szCs w:val="12"/>
          <w:color w:val="131313"/>
        </w:rPr>
        <w:t>5.3</w:t>
      </w:r>
      <w:r>
        <w:rPr>
          <w:sz w:val="20"/>
          <w:szCs w:val="20"/>
          <w:color w:val="auto"/>
        </w:rPr>
        <w:tab/>
      </w:r>
      <w:r>
        <w:rPr>
          <w:rFonts w:ascii="Arial" w:cs="Arial" w:eastAsia="Arial" w:hAnsi="Arial"/>
          <w:sz w:val="11"/>
          <w:szCs w:val="11"/>
          <w:u w:val="single" w:color="auto"/>
          <w:color w:val="2A2A2A"/>
        </w:rPr>
        <w:t>Property Tax</w:t>
      </w:r>
    </w:p>
    <w:p>
      <w:pPr>
        <w:spacing w:after="0" w:line="180" w:lineRule="exact"/>
        <w:rPr>
          <w:sz w:val="20"/>
          <w:szCs w:val="20"/>
          <w:color w:val="auto"/>
        </w:rPr>
      </w:pPr>
    </w:p>
    <w:p>
      <w:pPr>
        <w:ind w:left="600" w:right="80" w:firstLine="3"/>
        <w:spacing w:after="0" w:line="250" w:lineRule="auto"/>
        <w:rPr>
          <w:sz w:val="20"/>
          <w:szCs w:val="20"/>
          <w:color w:val="auto"/>
        </w:rPr>
      </w:pPr>
      <w:r>
        <w:rPr>
          <w:rFonts w:ascii="Arial" w:cs="Arial" w:eastAsia="Arial" w:hAnsi="Arial"/>
          <w:sz w:val="12"/>
          <w:szCs w:val="12"/>
          <w:color w:val="131313"/>
        </w:rPr>
        <w:t>We will pay the property tax charges for the Premises for the Term based on the Gross Rent payable by you under this Lease and the property tax rate applicable on the date of this Lease. To avoid any doubt, this does not include any Additional Property Tax, which you must pay</w:t>
      </w:r>
      <w:r>
        <w:rPr>
          <w:rFonts w:ascii="Arial" w:cs="Arial" w:eastAsia="Arial" w:hAnsi="Arial"/>
          <w:sz w:val="12"/>
          <w:szCs w:val="12"/>
          <w:color w:val="3D3D3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r>
    </w:tbl>
    <w:p>
      <w:pPr>
        <w:sectPr>
          <w:pgSz w:w="11900" w:h="16838" w:orient="portrait"/>
          <w:cols w:equalWidth="0" w:num="1">
            <w:col w:w="11280"/>
          </w:cols>
          <w:pgMar w:left="300" w:top="1440" w:right="31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6">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2"/>
          <w:szCs w:val="12"/>
          <w:color w:val="FFFFFF"/>
        </w:rPr>
        <w:t>5.2</w:t>
      </w:r>
    </w:p>
    <w:p>
      <w:pPr>
        <w:spacing w:after="0" w:line="69"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2"/>
          <w:szCs w:val="12"/>
          <w:u w:val="single" w:color="auto"/>
          <w:color w:val="131313"/>
        </w:rPr>
        <w:t>Manag</w:t>
      </w:r>
      <w:r>
        <w:rPr>
          <w:rFonts w:ascii="Arial" w:cs="Arial" w:eastAsia="Arial" w:hAnsi="Arial"/>
          <w:sz w:val="12"/>
          <w:szCs w:val="12"/>
          <w:u w:val="single" w:color="auto"/>
          <w:color w:val="3D3D3D"/>
        </w:rPr>
        <w:t>ing</w:t>
      </w:r>
      <w:r>
        <w:rPr>
          <w:rFonts w:ascii="Arial" w:cs="Arial" w:eastAsia="Arial" w:hAnsi="Arial"/>
          <w:sz w:val="12"/>
          <w:szCs w:val="12"/>
          <w:u w:val="single" w:color="auto"/>
          <w:color w:val="131313"/>
        </w:rPr>
        <w:t xml:space="preserve"> </w:t>
      </w:r>
      <w:r>
        <w:rPr>
          <w:rFonts w:ascii="Arial" w:cs="Arial" w:eastAsia="Arial" w:hAnsi="Arial"/>
          <w:sz w:val="12"/>
          <w:szCs w:val="12"/>
          <w:u w:val="single" w:color="auto"/>
          <w:color w:val="2A2A2A"/>
        </w:rPr>
        <w:t>the</w:t>
      </w:r>
      <w:r>
        <w:rPr>
          <w:rFonts w:ascii="Arial" w:cs="Arial" w:eastAsia="Arial" w:hAnsi="Arial"/>
          <w:sz w:val="12"/>
          <w:szCs w:val="12"/>
          <w:u w:val="single" w:color="auto"/>
          <w:color w:val="131313"/>
        </w:rPr>
        <w:t xml:space="preserve"> Bu</w:t>
      </w:r>
      <w:r>
        <w:rPr>
          <w:rFonts w:ascii="Arial" w:cs="Arial" w:eastAsia="Arial" w:hAnsi="Arial"/>
          <w:sz w:val="12"/>
          <w:szCs w:val="12"/>
          <w:u w:val="single" w:color="auto"/>
          <w:color w:val="3D3D3D"/>
        </w:rPr>
        <w:t>ildin</w:t>
      </w:r>
      <w:r>
        <w:rPr>
          <w:rFonts w:ascii="Arial" w:cs="Arial" w:eastAsia="Arial" w:hAnsi="Arial"/>
          <w:sz w:val="12"/>
          <w:szCs w:val="12"/>
          <w:u w:val="single" w:color="auto"/>
          <w:color w:val="131313"/>
        </w:rPr>
        <w:t xml:space="preserve">g </w:t>
      </w:r>
      <w:r>
        <w:rPr>
          <w:rFonts w:ascii="Arial" w:cs="Arial" w:eastAsia="Arial" w:hAnsi="Arial"/>
          <w:sz w:val="12"/>
          <w:szCs w:val="12"/>
          <w:color w:val="131313"/>
        </w:rPr>
        <w:t>We will</w:t>
      </w:r>
      <w:r>
        <w:rPr>
          <w:rFonts w:ascii="Arial" w:cs="Arial" w:eastAsia="Arial" w:hAnsi="Arial"/>
          <w:sz w:val="12"/>
          <w:szCs w:val="12"/>
          <w:color w:val="3D3D3D"/>
        </w:rPr>
        <w:t>:</w:t>
      </w:r>
    </w:p>
    <w:p>
      <w:pPr>
        <w:ind w:left="840" w:hanging="251"/>
        <w:spacing w:after="0" w:line="250" w:lineRule="auto"/>
        <w:tabs>
          <w:tab w:leader="none" w:pos="836" w:val="left"/>
        </w:tabs>
        <w:numPr>
          <w:ilvl w:val="0"/>
          <w:numId w:val="84"/>
        </w:numPr>
        <w:rPr>
          <w:rFonts w:ascii="Arial" w:cs="Arial" w:eastAsia="Arial" w:hAnsi="Arial"/>
          <w:sz w:val="12"/>
          <w:szCs w:val="12"/>
          <w:color w:val="131313"/>
        </w:rPr>
      </w:pPr>
      <w:r>
        <w:rPr>
          <w:rFonts w:ascii="Arial" w:cs="Arial" w:eastAsia="Arial" w:hAnsi="Arial"/>
          <w:sz w:val="12"/>
          <w:szCs w:val="12"/>
          <w:color w:val="131313"/>
        </w:rPr>
        <w:t>keep the exterior of the Building, the Common Areas and the amenities and facilities in the Building which are for common use in good repair, and keep the mechanical and electrical services in working order and condition (except for fair wear and tear);</w:t>
      </w:r>
    </w:p>
    <w:p>
      <w:pPr>
        <w:spacing w:after="0" w:line="178" w:lineRule="exact"/>
        <w:rPr>
          <w:rFonts w:ascii="Arial" w:cs="Arial" w:eastAsia="Arial" w:hAnsi="Arial"/>
          <w:sz w:val="12"/>
          <w:szCs w:val="12"/>
          <w:color w:val="131313"/>
        </w:rPr>
      </w:pPr>
    </w:p>
    <w:p>
      <w:pPr>
        <w:ind w:left="820" w:hanging="234"/>
        <w:spacing w:after="0"/>
        <w:tabs>
          <w:tab w:leader="none" w:pos="820" w:val="left"/>
        </w:tabs>
        <w:numPr>
          <w:ilvl w:val="0"/>
          <w:numId w:val="84"/>
        </w:numPr>
        <w:rPr>
          <w:rFonts w:ascii="Arial" w:cs="Arial" w:eastAsia="Arial" w:hAnsi="Arial"/>
          <w:sz w:val="12"/>
          <w:szCs w:val="12"/>
          <w:color w:val="131313"/>
        </w:rPr>
      </w:pPr>
      <w:r>
        <w:rPr>
          <w:rFonts w:ascii="Arial" w:cs="Arial" w:eastAsia="Arial" w:hAnsi="Arial"/>
          <w:sz w:val="12"/>
          <w:szCs w:val="12"/>
          <w:color w:val="131313"/>
        </w:rPr>
        <w:t xml:space="preserve">provide lift services during such hours as we may notify to you, electricity for lighting the Common Areas and water for the toilet facilities (if any) </w:t>
      </w:r>
      <w:r>
        <w:rPr>
          <w:rFonts w:ascii="Arial" w:cs="Arial" w:eastAsia="Arial" w:hAnsi="Arial"/>
          <w:sz w:val="12"/>
          <w:szCs w:val="12"/>
          <w:color w:val="2A2A2A"/>
        </w:rPr>
        <w:t>in</w:t>
      </w:r>
      <w:r>
        <w:rPr>
          <w:rFonts w:ascii="Arial" w:cs="Arial" w:eastAsia="Arial" w:hAnsi="Arial"/>
          <w:sz w:val="12"/>
          <w:szCs w:val="12"/>
          <w:color w:val="131313"/>
        </w:rPr>
        <w:t xml:space="preserve"> the Common Areas;</w:t>
      </w:r>
    </w:p>
    <w:p>
      <w:pPr>
        <w:spacing w:after="0" w:line="200" w:lineRule="exact"/>
        <w:rPr>
          <w:rFonts w:ascii="Arial" w:cs="Arial" w:eastAsia="Arial" w:hAnsi="Arial"/>
          <w:sz w:val="12"/>
          <w:szCs w:val="12"/>
          <w:color w:val="131313"/>
        </w:rPr>
      </w:pPr>
    </w:p>
    <w:p>
      <w:pPr>
        <w:ind w:left="820" w:hanging="234"/>
        <w:spacing w:after="0"/>
        <w:tabs>
          <w:tab w:leader="none" w:pos="820" w:val="left"/>
        </w:tabs>
        <w:numPr>
          <w:ilvl w:val="0"/>
          <w:numId w:val="84"/>
        </w:numPr>
        <w:rPr>
          <w:rFonts w:ascii="Arial" w:cs="Arial" w:eastAsia="Arial" w:hAnsi="Arial"/>
          <w:sz w:val="12"/>
          <w:szCs w:val="12"/>
          <w:color w:val="131313"/>
        </w:rPr>
      </w:pPr>
      <w:r>
        <w:rPr>
          <w:rFonts w:ascii="Arial" w:cs="Arial" w:eastAsia="Arial" w:hAnsi="Arial"/>
          <w:sz w:val="12"/>
          <w:szCs w:val="12"/>
          <w:color w:val="131313"/>
        </w:rPr>
        <w:t>keep the Common Areas adequately clean and lit; and</w:t>
      </w:r>
    </w:p>
    <w:p>
      <w:pPr>
        <w:spacing w:after="0" w:line="190" w:lineRule="exact"/>
        <w:rPr>
          <w:rFonts w:ascii="Arial" w:cs="Arial" w:eastAsia="Arial" w:hAnsi="Arial"/>
          <w:sz w:val="12"/>
          <w:szCs w:val="12"/>
          <w:color w:val="131313"/>
        </w:rPr>
      </w:pPr>
    </w:p>
    <w:p>
      <w:pPr>
        <w:ind w:left="820" w:hanging="234"/>
        <w:spacing w:after="0"/>
        <w:tabs>
          <w:tab w:leader="none" w:pos="820" w:val="left"/>
        </w:tabs>
        <w:numPr>
          <w:ilvl w:val="0"/>
          <w:numId w:val="84"/>
        </w:numPr>
        <w:rPr>
          <w:rFonts w:ascii="Arial" w:cs="Arial" w:eastAsia="Arial" w:hAnsi="Arial"/>
          <w:sz w:val="12"/>
          <w:szCs w:val="12"/>
          <w:color w:val="131313"/>
        </w:rPr>
      </w:pPr>
      <w:r>
        <w:rPr>
          <w:rFonts w:ascii="Arial" w:cs="Arial" w:eastAsia="Arial" w:hAnsi="Arial"/>
          <w:sz w:val="12"/>
          <w:szCs w:val="12"/>
          <w:color w:val="131313"/>
        </w:rPr>
        <w:t>insure the Building (not including your fixtures and fittings) against damage by fire and any other risks as we may decide.</w:t>
      </w:r>
    </w:p>
    <w:p>
      <w:pPr>
        <w:spacing w:after="0" w:line="190"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12"/>
          <w:szCs w:val="12"/>
          <w:color w:val="131313"/>
        </w:rPr>
        <w:t>5.4</w:t>
      </w:r>
      <w:r>
        <w:rPr>
          <w:sz w:val="20"/>
          <w:szCs w:val="20"/>
          <w:color w:val="auto"/>
        </w:rPr>
        <w:tab/>
      </w:r>
      <w:r>
        <w:rPr>
          <w:rFonts w:ascii="Arial" w:cs="Arial" w:eastAsia="Arial" w:hAnsi="Arial"/>
          <w:sz w:val="12"/>
          <w:szCs w:val="12"/>
          <w:u w:val="single" w:color="auto"/>
          <w:color w:val="2A2A2A"/>
        </w:rPr>
        <w:t>No claim against us</w:t>
      </w:r>
    </w:p>
    <w:p>
      <w:pPr>
        <w:spacing w:after="0" w:line="190" w:lineRule="exact"/>
        <w:rPr>
          <w:sz w:val="20"/>
          <w:szCs w:val="20"/>
          <w:color w:val="auto"/>
        </w:rPr>
      </w:pPr>
    </w:p>
    <w:p>
      <w:pPr>
        <w:ind w:left="580" w:right="20" w:hanging="478"/>
        <w:spacing w:after="0" w:line="250" w:lineRule="auto"/>
        <w:tabs>
          <w:tab w:leader="none" w:pos="560" w:val="left"/>
        </w:tabs>
        <w:rPr>
          <w:sz w:val="20"/>
          <w:szCs w:val="20"/>
          <w:color w:val="auto"/>
        </w:rPr>
      </w:pPr>
      <w:r>
        <w:rPr>
          <w:rFonts w:ascii="Arial" w:cs="Arial" w:eastAsia="Arial" w:hAnsi="Arial"/>
          <w:sz w:val="12"/>
          <w:szCs w:val="12"/>
          <w:color w:val="131313"/>
        </w:rPr>
        <w:t>5.4.1</w:t>
      </w:r>
      <w:r>
        <w:rPr>
          <w:sz w:val="20"/>
          <w:szCs w:val="20"/>
          <w:color w:val="auto"/>
        </w:rPr>
        <w:tab/>
      </w:r>
      <w:r>
        <w:rPr>
          <w:rFonts w:ascii="Arial" w:cs="Arial" w:eastAsia="Arial" w:hAnsi="Arial"/>
          <w:sz w:val="12"/>
          <w:szCs w:val="12"/>
          <w:color w:val="131313"/>
        </w:rPr>
        <w:t xml:space="preserve">Without being affected by anything else in this Lease, we are not responsible to you, and you must not claim against us, for any death, injury, or Losses which you or Your Authorised People may suffer (whether caused by negligence or otherwise) </w:t>
      </w:r>
      <w:r>
        <w:rPr>
          <w:rFonts w:ascii="Arial" w:cs="Arial" w:eastAsia="Arial" w:hAnsi="Arial"/>
          <w:sz w:val="12"/>
          <w:szCs w:val="12"/>
          <w:color w:val="2A2A2A"/>
        </w:rPr>
        <w:t>in</w:t>
      </w:r>
      <w:r>
        <w:rPr>
          <w:rFonts w:ascii="Arial" w:cs="Arial" w:eastAsia="Arial" w:hAnsi="Arial"/>
          <w:sz w:val="12"/>
          <w:szCs w:val="12"/>
          <w:color w:val="131313"/>
        </w:rPr>
        <w:t xml:space="preserve"> connection with the following circumstances</w:t>
      </w:r>
    </w:p>
    <w:p>
      <w:pPr>
        <w:spacing w:after="0" w:line="253" w:lineRule="exact"/>
        <w:rPr>
          <w:sz w:val="20"/>
          <w:szCs w:val="20"/>
          <w:color w:val="auto"/>
        </w:rPr>
      </w:pPr>
    </w:p>
    <w:p>
      <w:pPr>
        <w:ind w:left="820" w:right="20" w:hanging="241"/>
        <w:spacing w:after="0" w:line="250" w:lineRule="auto"/>
        <w:tabs>
          <w:tab w:leader="none" w:pos="820" w:val="left"/>
        </w:tabs>
        <w:numPr>
          <w:ilvl w:val="0"/>
          <w:numId w:val="85"/>
        </w:numPr>
        <w:rPr>
          <w:rFonts w:ascii="Arial" w:cs="Arial" w:eastAsia="Arial" w:hAnsi="Arial"/>
          <w:sz w:val="12"/>
          <w:szCs w:val="12"/>
          <w:color w:val="131313"/>
        </w:rPr>
      </w:pPr>
      <w:r>
        <w:rPr>
          <w:rFonts w:ascii="Arial" w:cs="Arial" w:eastAsia="Arial" w:hAnsi="Arial"/>
          <w:sz w:val="12"/>
          <w:szCs w:val="12"/>
          <w:color w:val="131313"/>
        </w:rPr>
        <w:t>any interruption in any of the services mentioned in clause 5.3 due to the state and condition or any repair, maintenance, damage or destruction of any installations or equipment or any mechanical, electrical, electronic, microprocessor or software defect, malfunction or breakdown that occurs;</w:t>
      </w:r>
    </w:p>
    <w:p>
      <w:pPr>
        <w:spacing w:after="0" w:line="178" w:lineRule="exact"/>
        <w:rPr>
          <w:rFonts w:ascii="Arial" w:cs="Arial" w:eastAsia="Arial" w:hAnsi="Arial"/>
          <w:sz w:val="12"/>
          <w:szCs w:val="12"/>
          <w:color w:val="131313"/>
        </w:rPr>
      </w:pPr>
    </w:p>
    <w:p>
      <w:pPr>
        <w:ind w:left="820" w:hanging="241"/>
        <w:spacing w:after="0"/>
        <w:tabs>
          <w:tab w:leader="none" w:pos="820" w:val="left"/>
        </w:tabs>
        <w:numPr>
          <w:ilvl w:val="0"/>
          <w:numId w:val="85"/>
        </w:numPr>
        <w:rPr>
          <w:rFonts w:ascii="Arial" w:cs="Arial" w:eastAsia="Arial" w:hAnsi="Arial"/>
          <w:sz w:val="12"/>
          <w:szCs w:val="12"/>
          <w:color w:val="131313"/>
        </w:rPr>
      </w:pPr>
      <w:r>
        <w:rPr>
          <w:rFonts w:ascii="Arial" w:cs="Arial" w:eastAsia="Arial" w:hAnsi="Arial"/>
          <w:sz w:val="12"/>
          <w:szCs w:val="12"/>
          <w:color w:val="131313"/>
        </w:rPr>
        <w:t>any act, failure to act, negligence or misconduct of:</w:t>
      </w:r>
    </w:p>
    <w:p>
      <w:pPr>
        <w:spacing w:after="0" w:line="200" w:lineRule="exact"/>
        <w:rPr>
          <w:rFonts w:ascii="Arial" w:cs="Arial" w:eastAsia="Arial" w:hAnsi="Arial"/>
          <w:sz w:val="12"/>
          <w:szCs w:val="12"/>
          <w:color w:val="131313"/>
        </w:rPr>
      </w:pPr>
    </w:p>
    <w:p>
      <w:pPr>
        <w:ind w:left="1040" w:hanging="225"/>
        <w:spacing w:after="0"/>
        <w:tabs>
          <w:tab w:leader="none" w:pos="1040" w:val="left"/>
        </w:tabs>
        <w:numPr>
          <w:ilvl w:val="2"/>
          <w:numId w:val="85"/>
        </w:numPr>
        <w:rPr>
          <w:rFonts w:ascii="Arial" w:cs="Arial" w:eastAsia="Arial" w:hAnsi="Arial"/>
          <w:sz w:val="12"/>
          <w:szCs w:val="12"/>
          <w:color w:val="131313"/>
        </w:rPr>
      </w:pPr>
      <w:r>
        <w:rPr>
          <w:rFonts w:ascii="Arial" w:cs="Arial" w:eastAsia="Arial" w:hAnsi="Arial"/>
          <w:sz w:val="12"/>
          <w:szCs w:val="12"/>
          <w:color w:val="131313"/>
        </w:rPr>
        <w:t>any of our employees or agents in relation to the Premises or the Building;</w:t>
      </w:r>
    </w:p>
    <w:p>
      <w:pPr>
        <w:spacing w:after="0" w:line="190" w:lineRule="exact"/>
        <w:rPr>
          <w:rFonts w:ascii="Arial" w:cs="Arial" w:eastAsia="Arial" w:hAnsi="Arial"/>
          <w:sz w:val="12"/>
          <w:szCs w:val="12"/>
          <w:color w:val="131313"/>
        </w:rPr>
      </w:pPr>
    </w:p>
    <w:p>
      <w:pPr>
        <w:ind w:left="1060" w:hanging="245"/>
        <w:spacing w:after="0"/>
        <w:tabs>
          <w:tab w:leader="none" w:pos="1060" w:val="left"/>
        </w:tabs>
        <w:numPr>
          <w:ilvl w:val="2"/>
          <w:numId w:val="85"/>
        </w:numPr>
        <w:rPr>
          <w:rFonts w:ascii="Arial" w:cs="Arial" w:eastAsia="Arial" w:hAnsi="Arial"/>
          <w:sz w:val="12"/>
          <w:szCs w:val="12"/>
          <w:color w:val="131313"/>
        </w:rPr>
      </w:pPr>
      <w:r>
        <w:rPr>
          <w:rFonts w:ascii="Arial" w:cs="Arial" w:eastAsia="Arial" w:hAnsi="Arial"/>
          <w:sz w:val="12"/>
          <w:szCs w:val="12"/>
          <w:color w:val="131313"/>
        </w:rPr>
        <w:t>Our Authorised People carrying out any duty relating to the services mentioned in clause 5.3;</w:t>
      </w:r>
    </w:p>
    <w:p>
      <w:pPr>
        <w:spacing w:after="0" w:line="200" w:lineRule="exact"/>
        <w:rPr>
          <w:rFonts w:ascii="Arial" w:cs="Arial" w:eastAsia="Arial" w:hAnsi="Arial"/>
          <w:sz w:val="12"/>
          <w:szCs w:val="12"/>
          <w:color w:val="131313"/>
        </w:rPr>
      </w:pPr>
    </w:p>
    <w:p>
      <w:pPr>
        <w:ind w:left="1060" w:hanging="248"/>
        <w:spacing w:after="0"/>
        <w:tabs>
          <w:tab w:leader="none" w:pos="1060" w:val="left"/>
        </w:tabs>
        <w:numPr>
          <w:ilvl w:val="2"/>
          <w:numId w:val="85"/>
        </w:numPr>
        <w:rPr>
          <w:rFonts w:ascii="Arial" w:cs="Arial" w:eastAsia="Arial" w:hAnsi="Arial"/>
          <w:sz w:val="12"/>
          <w:szCs w:val="12"/>
          <w:color w:val="131313"/>
        </w:rPr>
      </w:pPr>
      <w:r>
        <w:rPr>
          <w:rFonts w:ascii="Arial" w:cs="Arial" w:eastAsia="Arial" w:hAnsi="Arial"/>
          <w:sz w:val="12"/>
          <w:szCs w:val="12"/>
          <w:color w:val="131313"/>
        </w:rPr>
        <w:t>any contractor or consultant we have nominated or approved under this Lease; or</w:t>
      </w:r>
    </w:p>
    <w:p>
      <w:pPr>
        <w:spacing w:after="0" w:line="190" w:lineRule="exact"/>
        <w:rPr>
          <w:rFonts w:ascii="Arial" w:cs="Arial" w:eastAsia="Arial" w:hAnsi="Arial"/>
          <w:sz w:val="12"/>
          <w:szCs w:val="12"/>
          <w:color w:val="131313"/>
        </w:rPr>
      </w:pPr>
    </w:p>
    <w:p>
      <w:pPr>
        <w:ind w:left="1060" w:hanging="248"/>
        <w:spacing w:after="0"/>
        <w:tabs>
          <w:tab w:leader="none" w:pos="1060" w:val="left"/>
        </w:tabs>
        <w:numPr>
          <w:ilvl w:val="2"/>
          <w:numId w:val="85"/>
        </w:numPr>
        <w:rPr>
          <w:rFonts w:ascii="Arial" w:cs="Arial" w:eastAsia="Arial" w:hAnsi="Arial"/>
          <w:sz w:val="12"/>
          <w:szCs w:val="12"/>
          <w:color w:val="131313"/>
        </w:rPr>
      </w:pPr>
      <w:r>
        <w:rPr>
          <w:rFonts w:ascii="Arial" w:cs="Arial" w:eastAsia="Arial" w:hAnsi="Arial"/>
          <w:sz w:val="12"/>
          <w:szCs w:val="12"/>
          <w:color w:val="131313"/>
        </w:rPr>
        <w:t>any other person in the Building;</w:t>
      </w:r>
    </w:p>
    <w:p>
      <w:pPr>
        <w:spacing w:after="0" w:line="190" w:lineRule="exact"/>
        <w:rPr>
          <w:rFonts w:ascii="Arial" w:cs="Arial" w:eastAsia="Arial" w:hAnsi="Arial"/>
          <w:sz w:val="12"/>
          <w:szCs w:val="12"/>
          <w:color w:val="131313"/>
        </w:rPr>
      </w:pPr>
    </w:p>
    <w:p>
      <w:pPr>
        <w:ind w:left="800" w:hanging="228"/>
        <w:spacing w:after="0"/>
        <w:tabs>
          <w:tab w:leader="none" w:pos="800" w:val="left"/>
        </w:tabs>
        <w:numPr>
          <w:ilvl w:val="1"/>
          <w:numId w:val="85"/>
        </w:numPr>
        <w:rPr>
          <w:rFonts w:ascii="Arial" w:cs="Arial" w:eastAsia="Arial" w:hAnsi="Arial"/>
          <w:sz w:val="12"/>
          <w:szCs w:val="12"/>
          <w:color w:val="131313"/>
        </w:rPr>
      </w:pPr>
      <w:r>
        <w:rPr>
          <w:rFonts w:ascii="Arial" w:cs="Arial" w:eastAsia="Arial" w:hAnsi="Arial"/>
          <w:sz w:val="12"/>
          <w:szCs w:val="12"/>
          <w:color w:val="131313"/>
        </w:rPr>
        <w:t>any other tenants, Your Authorised People and other people in the Building not keeping to the Tenants' Guide;</w:t>
      </w:r>
    </w:p>
    <w:p>
      <w:pPr>
        <w:spacing w:after="0" w:line="190" w:lineRule="exact"/>
        <w:rPr>
          <w:rFonts w:ascii="Arial" w:cs="Arial" w:eastAsia="Arial" w:hAnsi="Arial"/>
          <w:sz w:val="12"/>
          <w:szCs w:val="12"/>
          <w:color w:val="131313"/>
        </w:rPr>
      </w:pPr>
    </w:p>
    <w:p>
      <w:pPr>
        <w:ind w:left="800" w:hanging="229"/>
        <w:spacing w:after="0"/>
        <w:tabs>
          <w:tab w:leader="none" w:pos="800" w:val="left"/>
        </w:tabs>
        <w:numPr>
          <w:ilvl w:val="1"/>
          <w:numId w:val="86"/>
        </w:numPr>
        <w:rPr>
          <w:rFonts w:ascii="Arial" w:cs="Arial" w:eastAsia="Arial" w:hAnsi="Arial"/>
          <w:sz w:val="12"/>
          <w:szCs w:val="12"/>
          <w:color w:val="131313"/>
        </w:rPr>
      </w:pPr>
      <w:r>
        <w:rPr>
          <w:rFonts w:ascii="Arial" w:cs="Arial" w:eastAsia="Arial" w:hAnsi="Arial"/>
          <w:sz w:val="12"/>
          <w:szCs w:val="12"/>
          <w:color w:val="131313"/>
        </w:rPr>
        <w:t>any accidents, injuries, loss or damage to property or people in the Premises, Building or Park;</w:t>
      </w:r>
    </w:p>
    <w:p>
      <w:pPr>
        <w:spacing w:after="0" w:line="200" w:lineRule="exact"/>
        <w:rPr>
          <w:rFonts w:ascii="Arial" w:cs="Arial" w:eastAsia="Arial" w:hAnsi="Arial"/>
          <w:sz w:val="12"/>
          <w:szCs w:val="12"/>
          <w:color w:val="131313"/>
        </w:rPr>
      </w:pPr>
    </w:p>
    <w:p>
      <w:pPr>
        <w:ind w:left="800" w:hanging="231"/>
        <w:spacing w:after="0"/>
        <w:tabs>
          <w:tab w:leader="none" w:pos="800" w:val="left"/>
        </w:tabs>
        <w:numPr>
          <w:ilvl w:val="1"/>
          <w:numId w:val="86"/>
        </w:numPr>
        <w:rPr>
          <w:rFonts w:ascii="Arial" w:cs="Arial" w:eastAsia="Arial" w:hAnsi="Arial"/>
          <w:sz w:val="12"/>
          <w:szCs w:val="12"/>
          <w:color w:val="131313"/>
        </w:rPr>
      </w:pPr>
      <w:r>
        <w:rPr>
          <w:rFonts w:ascii="Arial" w:cs="Arial" w:eastAsia="Arial" w:hAnsi="Arial"/>
          <w:sz w:val="12"/>
          <w:szCs w:val="12"/>
          <w:color w:val="131313"/>
        </w:rPr>
        <w:t xml:space="preserve">the use of the car-parks </w:t>
      </w:r>
      <w:r>
        <w:rPr>
          <w:rFonts w:ascii="Arial" w:cs="Arial" w:eastAsia="Arial" w:hAnsi="Arial"/>
          <w:sz w:val="12"/>
          <w:szCs w:val="12"/>
          <w:color w:val="2A2A2A"/>
        </w:rPr>
        <w:t>in</w:t>
      </w:r>
      <w:r>
        <w:rPr>
          <w:rFonts w:ascii="Arial" w:cs="Arial" w:eastAsia="Arial" w:hAnsi="Arial"/>
          <w:sz w:val="12"/>
          <w:szCs w:val="12"/>
          <w:color w:val="131313"/>
        </w:rPr>
        <w:t xml:space="preserve"> the Building;</w:t>
      </w:r>
    </w:p>
    <w:p>
      <w:pPr>
        <w:spacing w:after="0" w:line="190" w:lineRule="exact"/>
        <w:rPr>
          <w:rFonts w:ascii="Arial" w:cs="Arial" w:eastAsia="Arial" w:hAnsi="Arial"/>
          <w:sz w:val="12"/>
          <w:szCs w:val="12"/>
          <w:color w:val="131313"/>
        </w:rPr>
      </w:pPr>
    </w:p>
    <w:p>
      <w:pPr>
        <w:ind w:left="820" w:hanging="251"/>
        <w:spacing w:after="0"/>
        <w:tabs>
          <w:tab w:leader="none" w:pos="820" w:val="left"/>
        </w:tabs>
        <w:numPr>
          <w:ilvl w:val="1"/>
          <w:numId w:val="86"/>
        </w:numPr>
        <w:rPr>
          <w:rFonts w:ascii="Arial" w:cs="Arial" w:eastAsia="Arial" w:hAnsi="Arial"/>
          <w:sz w:val="12"/>
          <w:szCs w:val="12"/>
          <w:color w:val="131313"/>
        </w:rPr>
      </w:pPr>
      <w:r>
        <w:rPr>
          <w:rFonts w:ascii="Arial" w:cs="Arial" w:eastAsia="Arial" w:hAnsi="Arial"/>
          <w:sz w:val="12"/>
          <w:szCs w:val="12"/>
          <w:color w:val="131313"/>
        </w:rPr>
        <w:t xml:space="preserve">any failure, inability or defect in the supply or character of electricity, water (including chilled water) or, </w:t>
      </w:r>
      <w:r>
        <w:rPr>
          <w:rFonts w:ascii="Arial" w:cs="Arial" w:eastAsia="Arial" w:hAnsi="Arial"/>
          <w:sz w:val="12"/>
          <w:szCs w:val="12"/>
          <w:color w:val="2A2A2A"/>
        </w:rPr>
        <w:t>if</w:t>
      </w:r>
      <w:r>
        <w:rPr>
          <w:rFonts w:ascii="Arial" w:cs="Arial" w:eastAsia="Arial" w:hAnsi="Arial"/>
          <w:sz w:val="12"/>
          <w:szCs w:val="12"/>
          <w:color w:val="131313"/>
        </w:rPr>
        <w:t xml:space="preserve"> it applies, gas supplied to the Premises by any service provider;</w:t>
      </w:r>
    </w:p>
    <w:p>
      <w:pPr>
        <w:spacing w:after="0" w:line="200" w:lineRule="exact"/>
        <w:rPr>
          <w:rFonts w:ascii="Arial" w:cs="Arial" w:eastAsia="Arial" w:hAnsi="Arial"/>
          <w:sz w:val="12"/>
          <w:szCs w:val="12"/>
          <w:color w:val="131313"/>
        </w:rPr>
      </w:pPr>
    </w:p>
    <w:p>
      <w:pPr>
        <w:ind w:left="800" w:hanging="235"/>
        <w:spacing w:after="0"/>
        <w:tabs>
          <w:tab w:leader="none" w:pos="800" w:val="left"/>
        </w:tabs>
        <w:numPr>
          <w:ilvl w:val="0"/>
          <w:numId w:val="87"/>
        </w:numPr>
        <w:rPr>
          <w:rFonts w:ascii="Arial" w:cs="Arial" w:eastAsia="Arial" w:hAnsi="Arial"/>
          <w:sz w:val="12"/>
          <w:szCs w:val="12"/>
          <w:color w:val="131313"/>
        </w:rPr>
      </w:pPr>
      <w:r>
        <w:rPr>
          <w:rFonts w:ascii="Arial" w:cs="Arial" w:eastAsia="Arial" w:hAnsi="Arial"/>
          <w:sz w:val="12"/>
          <w:szCs w:val="12"/>
          <w:color w:val="131313"/>
        </w:rPr>
        <w:t>leaks or defects in the piping, wiring and sprinkler system, or defects in the structure of the Building;</w:t>
      </w:r>
    </w:p>
    <w:p>
      <w:pPr>
        <w:spacing w:after="0" w:line="190" w:lineRule="exact"/>
        <w:rPr>
          <w:rFonts w:ascii="Arial" w:cs="Arial" w:eastAsia="Arial" w:hAnsi="Arial"/>
          <w:sz w:val="12"/>
          <w:szCs w:val="12"/>
          <w:color w:val="131313"/>
        </w:rPr>
      </w:pPr>
    </w:p>
    <w:p>
      <w:pPr>
        <w:ind w:left="800" w:hanging="235"/>
        <w:spacing w:after="0"/>
        <w:tabs>
          <w:tab w:leader="none" w:pos="800" w:val="left"/>
        </w:tabs>
        <w:numPr>
          <w:ilvl w:val="0"/>
          <w:numId w:val="87"/>
        </w:numPr>
        <w:rPr>
          <w:rFonts w:ascii="Arial" w:cs="Arial" w:eastAsia="Arial" w:hAnsi="Arial"/>
          <w:sz w:val="12"/>
          <w:szCs w:val="12"/>
          <w:color w:val="131313"/>
        </w:rPr>
      </w:pPr>
      <w:r>
        <w:rPr>
          <w:rFonts w:ascii="Arial" w:cs="Arial" w:eastAsia="Arial" w:hAnsi="Arial"/>
          <w:sz w:val="12"/>
          <w:szCs w:val="12"/>
          <w:color w:val="131313"/>
        </w:rPr>
        <w:t>any failure or delay by us to carry out measures to prevent any outbreak or spread of any Infectious Disease in the Building;</w:t>
      </w:r>
    </w:p>
    <w:p>
      <w:pPr>
        <w:spacing w:after="0" w:line="190" w:lineRule="exact"/>
        <w:rPr>
          <w:rFonts w:ascii="Arial" w:cs="Arial" w:eastAsia="Arial" w:hAnsi="Arial"/>
          <w:sz w:val="12"/>
          <w:szCs w:val="12"/>
          <w:color w:val="131313"/>
        </w:rPr>
      </w:pPr>
    </w:p>
    <w:p>
      <w:pPr>
        <w:ind w:left="800" w:hanging="235"/>
        <w:spacing w:after="0"/>
        <w:tabs>
          <w:tab w:leader="none" w:pos="800" w:val="left"/>
        </w:tabs>
        <w:numPr>
          <w:ilvl w:val="0"/>
          <w:numId w:val="87"/>
        </w:numPr>
        <w:rPr>
          <w:rFonts w:ascii="Arial" w:cs="Arial" w:eastAsia="Arial" w:hAnsi="Arial"/>
          <w:sz w:val="12"/>
          <w:szCs w:val="12"/>
          <w:color w:val="131313"/>
        </w:rPr>
      </w:pPr>
      <w:r>
        <w:rPr>
          <w:rFonts w:ascii="Arial" w:cs="Arial" w:eastAsia="Arial" w:hAnsi="Arial"/>
          <w:sz w:val="12"/>
          <w:szCs w:val="12"/>
          <w:color w:val="131313"/>
        </w:rPr>
        <w:t>any terrorist act regardless of any other cause or event contributing to the loss (including any action taken to control, prevent or otherwise deal with any terrorist act); and</w:t>
      </w:r>
    </w:p>
    <w:p>
      <w:pPr>
        <w:spacing w:after="0" w:line="190" w:lineRule="exact"/>
        <w:rPr>
          <w:rFonts w:ascii="Arial" w:cs="Arial" w:eastAsia="Arial" w:hAnsi="Arial"/>
          <w:sz w:val="12"/>
          <w:szCs w:val="12"/>
          <w:color w:val="131313"/>
        </w:rPr>
      </w:pPr>
    </w:p>
    <w:p>
      <w:pPr>
        <w:ind w:left="800" w:hanging="235"/>
        <w:spacing w:after="0"/>
        <w:tabs>
          <w:tab w:leader="none" w:pos="800" w:val="left"/>
        </w:tabs>
        <w:numPr>
          <w:ilvl w:val="0"/>
          <w:numId w:val="87"/>
        </w:numPr>
        <w:rPr>
          <w:rFonts w:ascii="Arial" w:cs="Arial" w:eastAsia="Arial" w:hAnsi="Arial"/>
          <w:sz w:val="12"/>
          <w:szCs w:val="12"/>
          <w:color w:val="auto"/>
        </w:rPr>
      </w:pPr>
      <w:r>
        <w:rPr>
          <w:rFonts w:ascii="Arial" w:cs="Arial" w:eastAsia="Arial" w:hAnsi="Arial"/>
          <w:sz w:val="12"/>
          <w:szCs w:val="12"/>
          <w:color w:val="131313"/>
        </w:rPr>
        <w:t>any Circumstances Beyond Our Contro</w:t>
      </w:r>
      <w:r>
        <w:rPr>
          <w:rFonts w:ascii="Arial" w:cs="Arial" w:eastAsia="Arial" w:hAnsi="Arial"/>
          <w:sz w:val="12"/>
          <w:szCs w:val="12"/>
          <w:color w:val="3D3D3D"/>
        </w:rPr>
        <w:t>l.</w:t>
      </w:r>
    </w:p>
    <w:p>
      <w:pPr>
        <w:spacing w:after="0" w:line="264"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5.4.2.</w:t>
      </w:r>
      <w:r>
        <w:rPr>
          <w:sz w:val="20"/>
          <w:szCs w:val="20"/>
          <w:color w:val="auto"/>
        </w:rPr>
        <w:tab/>
      </w:r>
      <w:r>
        <w:rPr>
          <w:rFonts w:ascii="Arial" w:cs="Arial" w:eastAsia="Arial" w:hAnsi="Arial"/>
          <w:sz w:val="11"/>
          <w:szCs w:val="11"/>
          <w:color w:val="131313"/>
        </w:rPr>
        <w:t>This clause 5.4 will not be affected by, and will survive, the Term coming to an end or this Lease being brought to an end early.</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5.5</w:t>
      </w:r>
      <w:r>
        <w:rPr>
          <w:sz w:val="20"/>
          <w:szCs w:val="20"/>
          <w:color w:val="auto"/>
        </w:rPr>
        <w:tab/>
      </w:r>
      <w:r>
        <w:rPr>
          <w:rFonts w:ascii="Arial" w:cs="Arial" w:eastAsia="Arial" w:hAnsi="Arial"/>
          <w:sz w:val="11"/>
          <w:szCs w:val="11"/>
          <w:u w:val="single" w:color="auto"/>
          <w:color w:val="131313"/>
        </w:rPr>
        <w:t>Li</w:t>
      </w:r>
      <w:r>
        <w:rPr>
          <w:rFonts w:ascii="Arial" w:cs="Arial" w:eastAsia="Arial" w:hAnsi="Arial"/>
          <w:sz w:val="11"/>
          <w:szCs w:val="11"/>
          <w:u w:val="single" w:color="auto"/>
          <w:color w:val="2D2D2D"/>
        </w:rPr>
        <w:t>mit</w:t>
      </w:r>
      <w:r>
        <w:rPr>
          <w:rFonts w:ascii="Arial" w:cs="Arial" w:eastAsia="Arial" w:hAnsi="Arial"/>
          <w:sz w:val="11"/>
          <w:szCs w:val="11"/>
          <w:u w:val="single" w:color="auto"/>
          <w:color w:val="131313"/>
        </w:rPr>
        <w:t xml:space="preserve">s </w:t>
      </w:r>
      <w:r>
        <w:rPr>
          <w:rFonts w:ascii="Arial" w:cs="Arial" w:eastAsia="Arial" w:hAnsi="Arial"/>
          <w:sz w:val="11"/>
          <w:szCs w:val="11"/>
          <w:u w:val="single" w:color="auto"/>
          <w:color w:val="2D2D2D"/>
        </w:rPr>
        <w:t>t</w:t>
      </w:r>
      <w:r>
        <w:rPr>
          <w:rFonts w:ascii="Arial" w:cs="Arial" w:eastAsia="Arial" w:hAnsi="Arial"/>
          <w:sz w:val="11"/>
          <w:szCs w:val="11"/>
          <w:u w:val="single" w:color="auto"/>
          <w:color w:val="131313"/>
        </w:rPr>
        <w:t xml:space="preserve">o </w:t>
      </w:r>
      <w:r>
        <w:rPr>
          <w:rFonts w:ascii="Arial" w:cs="Arial" w:eastAsia="Arial" w:hAnsi="Arial"/>
          <w:sz w:val="11"/>
          <w:szCs w:val="11"/>
          <w:u w:val="single" w:color="auto"/>
          <w:color w:val="2D2D2D"/>
        </w:rPr>
        <w:t>t</w:t>
      </w:r>
      <w:r>
        <w:rPr>
          <w:rFonts w:ascii="Arial" w:cs="Arial" w:eastAsia="Arial" w:hAnsi="Arial"/>
          <w:sz w:val="11"/>
          <w:szCs w:val="11"/>
          <w:u w:val="single" w:color="auto"/>
          <w:color w:val="131313"/>
        </w:rPr>
        <w:t>rust</w:t>
      </w:r>
      <w:r>
        <w:rPr>
          <w:rFonts w:ascii="Arial" w:cs="Arial" w:eastAsia="Arial" w:hAnsi="Arial"/>
          <w:sz w:val="11"/>
          <w:szCs w:val="11"/>
          <w:u w:val="single" w:color="auto"/>
          <w:color w:val="2D2D2D"/>
        </w:rPr>
        <w:t>e</w:t>
      </w:r>
      <w:r>
        <w:rPr>
          <w:rFonts w:ascii="Arial" w:cs="Arial" w:eastAsia="Arial" w:hAnsi="Arial"/>
          <w:sz w:val="11"/>
          <w:szCs w:val="11"/>
          <w:u w:val="single" w:color="auto"/>
          <w:color w:val="131313"/>
        </w:rPr>
        <w:t>e</w:t>
      </w:r>
      <w:r>
        <w:rPr>
          <w:rFonts w:ascii="Arial" w:cs="Arial" w:eastAsia="Arial" w:hAnsi="Arial"/>
          <w:sz w:val="11"/>
          <w:szCs w:val="11"/>
          <w:u w:val="single" w:color="auto"/>
          <w:color w:val="606060"/>
        </w:rPr>
        <w:t>'</w:t>
      </w:r>
      <w:r>
        <w:rPr>
          <w:rFonts w:ascii="Arial" w:cs="Arial" w:eastAsia="Arial" w:hAnsi="Arial"/>
          <w:sz w:val="11"/>
          <w:szCs w:val="11"/>
          <w:u w:val="single" w:color="auto"/>
          <w:color w:val="2D2D2D"/>
        </w:rPr>
        <w:t>s</w:t>
      </w:r>
      <w:r>
        <w:rPr>
          <w:rFonts w:ascii="Arial" w:cs="Arial" w:eastAsia="Arial" w:hAnsi="Arial"/>
          <w:sz w:val="11"/>
          <w:szCs w:val="11"/>
          <w:u w:val="single" w:color="auto"/>
          <w:color w:val="131313"/>
        </w:rPr>
        <w:t xml:space="preserve"> </w:t>
      </w:r>
      <w:r>
        <w:rPr>
          <w:rFonts w:ascii="Arial" w:cs="Arial" w:eastAsia="Arial" w:hAnsi="Arial"/>
          <w:sz w:val="11"/>
          <w:szCs w:val="11"/>
          <w:u w:val="single" w:color="auto"/>
          <w:color w:val="000000"/>
        </w:rPr>
        <w:t>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200"/>
          </w:cols>
          <w:pgMar w:left="300" w:top="1440" w:right="39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7">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319"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31313"/>
        </w:rPr>
        <w:t>5.5.1</w:t>
      </w:r>
      <w:r>
        <w:rPr>
          <w:sz w:val="20"/>
          <w:szCs w:val="20"/>
          <w:color w:val="auto"/>
        </w:rPr>
        <w:tab/>
      </w:r>
      <w:r>
        <w:rPr>
          <w:rFonts w:ascii="Arial" w:cs="Arial" w:eastAsia="Arial" w:hAnsi="Arial"/>
          <w:sz w:val="12"/>
          <w:szCs w:val="12"/>
          <w:color w:val="131313"/>
        </w:rPr>
        <w:t>If we are an entity listed on the stock exchange, the following clause will apply to this Lease</w:t>
      </w:r>
      <w:r>
        <w:rPr>
          <w:rFonts w:ascii="Arial" w:cs="Arial" w:eastAsia="Arial" w:hAnsi="Arial"/>
          <w:sz w:val="12"/>
          <w:szCs w:val="12"/>
          <w:color w:val="444444"/>
        </w:rPr>
        <w:t>:</w:t>
      </w:r>
    </w:p>
    <w:p>
      <w:pPr>
        <w:spacing w:after="0" w:line="190" w:lineRule="exact"/>
        <w:rPr>
          <w:sz w:val="20"/>
          <w:szCs w:val="20"/>
          <w:color w:val="auto"/>
        </w:rPr>
      </w:pPr>
    </w:p>
    <w:p>
      <w:pPr>
        <w:jc w:val="both"/>
        <w:ind w:left="560" w:right="20" w:firstLine="3"/>
        <w:spacing w:after="0" w:line="242" w:lineRule="auto"/>
        <w:rPr>
          <w:sz w:val="20"/>
          <w:szCs w:val="20"/>
          <w:color w:val="auto"/>
        </w:rPr>
      </w:pPr>
      <w:r>
        <w:rPr>
          <w:rFonts w:ascii="Arial" w:cs="Arial" w:eastAsia="Arial" w:hAnsi="Arial"/>
          <w:sz w:val="12"/>
          <w:szCs w:val="12"/>
          <w:color w:val="131313"/>
        </w:rPr>
        <w:t>Without being affected by anything else in this Lease, you agree that we are entering into this Lease only in our capacity as trustee of Ascendas Real Estate Investment Trust (the 'REIT') and not in our personal capacity. As such, any liability or indemnity we give or will give, and any power and right we grant to any receiver, attorney, agent or delegate of the trustee of the REIT will be limited to the assets of the REIT over which, as trustee of the REIT, we have legal rights, and will not extend to any of our personal assets or any assets we hold in our capacity as trustee of any other trust. This clause still applies even if this Lease ends, is brought to an end early or is cancelled</w:t>
      </w:r>
      <w:r>
        <w:rPr>
          <w:rFonts w:ascii="Arial" w:cs="Arial" w:eastAsia="Arial" w:hAnsi="Arial"/>
          <w:sz w:val="12"/>
          <w:szCs w:val="12"/>
          <w:color w:val="444444"/>
        </w:rPr>
        <w:t>.</w:t>
      </w:r>
      <w:r>
        <w:rPr>
          <w:rFonts w:ascii="Arial" w:cs="Arial" w:eastAsia="Arial" w:hAnsi="Arial"/>
          <w:sz w:val="12"/>
          <w:szCs w:val="12"/>
          <w:color w:val="131313"/>
        </w:rPr>
        <w:t xml:space="preserve"> This clause will apply, with the necessary amendments and without affecting the meaning of this clause</w:t>
      </w:r>
      <w:r>
        <w:rPr>
          <w:rFonts w:ascii="Arial" w:cs="Arial" w:eastAsia="Arial" w:hAnsi="Arial"/>
          <w:sz w:val="12"/>
          <w:szCs w:val="12"/>
          <w:color w:val="2D2D2D"/>
        </w:rPr>
        <w:t>,</w:t>
      </w:r>
      <w:r>
        <w:rPr>
          <w:rFonts w:ascii="Arial" w:cs="Arial" w:eastAsia="Arial" w:hAnsi="Arial"/>
          <w:sz w:val="12"/>
          <w:szCs w:val="12"/>
          <w:color w:val="131313"/>
        </w:rPr>
        <w:t xml:space="preserve"> to any notice</w:t>
      </w:r>
      <w:r>
        <w:rPr>
          <w:rFonts w:ascii="Arial" w:cs="Arial" w:eastAsia="Arial" w:hAnsi="Arial"/>
          <w:sz w:val="12"/>
          <w:szCs w:val="12"/>
          <w:color w:val="444444"/>
        </w:rPr>
        <w:t>,</w:t>
      </w:r>
      <w:r>
        <w:rPr>
          <w:rFonts w:ascii="Arial" w:cs="Arial" w:eastAsia="Arial" w:hAnsi="Arial"/>
          <w:sz w:val="12"/>
          <w:szCs w:val="12"/>
          <w:color w:val="131313"/>
        </w:rPr>
        <w:t xml:space="preserve"> certificate or other document we issue under this Lease, as if it were set out in the notice, certificate or document.</w:t>
      </w:r>
    </w:p>
    <w:p>
      <w:pPr>
        <w:spacing w:after="0" w:line="194"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5.5.2</w:t>
      </w:r>
      <w:r>
        <w:rPr>
          <w:sz w:val="20"/>
          <w:szCs w:val="20"/>
          <w:color w:val="auto"/>
        </w:rPr>
        <w:tab/>
      </w:r>
      <w:r>
        <w:rPr>
          <w:rFonts w:ascii="Arial" w:cs="Arial" w:eastAsia="Arial" w:hAnsi="Arial"/>
          <w:sz w:val="12"/>
          <w:szCs w:val="12"/>
          <w:color w:val="131313"/>
        </w:rPr>
        <w:t>If we are an entity not listed on the stock exchange, the follow</w:t>
      </w:r>
      <w:r>
        <w:rPr>
          <w:rFonts w:ascii="Arial" w:cs="Arial" w:eastAsia="Arial" w:hAnsi="Arial"/>
          <w:sz w:val="12"/>
          <w:szCs w:val="12"/>
          <w:color w:val="2D2D2D"/>
        </w:rPr>
        <w:t>i</w:t>
      </w:r>
      <w:r>
        <w:rPr>
          <w:rFonts w:ascii="Arial" w:cs="Arial" w:eastAsia="Arial" w:hAnsi="Arial"/>
          <w:sz w:val="12"/>
          <w:szCs w:val="12"/>
          <w:color w:val="131313"/>
        </w:rPr>
        <w:t>ng clause will apply to this Lease</w:t>
      </w:r>
      <w:r>
        <w:rPr>
          <w:rFonts w:ascii="Arial" w:cs="Arial" w:eastAsia="Arial" w:hAnsi="Arial"/>
          <w:sz w:val="12"/>
          <w:szCs w:val="12"/>
          <w:color w:val="606060"/>
        </w:rPr>
        <w:t>:</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2"/>
          <w:szCs w:val="12"/>
          <w:color w:val="131313"/>
        </w:rPr>
        <w:t>If the Building is sold to the trustee of Ascendas Real Estate Investment Trust (</w:t>
      </w:r>
      <w:r>
        <w:rPr>
          <w:rFonts w:ascii="Arial" w:cs="Arial" w:eastAsia="Arial" w:hAnsi="Arial"/>
          <w:sz w:val="12"/>
          <w:szCs w:val="12"/>
          <w:color w:val="2D2D2D"/>
        </w:rPr>
        <w:t>'</w:t>
      </w:r>
      <w:r>
        <w:rPr>
          <w:rFonts w:ascii="Arial" w:cs="Arial" w:eastAsia="Arial" w:hAnsi="Arial"/>
          <w:sz w:val="12"/>
          <w:szCs w:val="12"/>
          <w:color w:val="131313"/>
        </w:rPr>
        <w:t>A-REIT'), you agree that the following clause (or a variation of the following clause) will be included in this Lease</w:t>
      </w:r>
      <w:r>
        <w:rPr>
          <w:rFonts w:ascii="Arial" w:cs="Arial" w:eastAsia="Arial" w:hAnsi="Arial"/>
          <w:sz w:val="12"/>
          <w:szCs w:val="12"/>
          <w:color w:val="444444"/>
        </w:rPr>
        <w: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2"/>
          <w:szCs w:val="12"/>
          <w:color w:val="131313"/>
        </w:rPr>
        <w:t>'Limits to trustee's liability</w:t>
      </w:r>
    </w:p>
    <w:p>
      <w:pPr>
        <w:spacing w:after="0" w:line="190" w:lineRule="exact"/>
        <w:rPr>
          <w:sz w:val="20"/>
          <w:szCs w:val="20"/>
          <w:color w:val="auto"/>
        </w:rPr>
      </w:pPr>
    </w:p>
    <w:p>
      <w:pPr>
        <w:jc w:val="both"/>
        <w:ind w:left="560" w:right="20" w:firstLine="3"/>
        <w:spacing w:after="0" w:line="242" w:lineRule="auto"/>
        <w:rPr>
          <w:sz w:val="20"/>
          <w:szCs w:val="20"/>
          <w:color w:val="auto"/>
        </w:rPr>
      </w:pPr>
      <w:r>
        <w:rPr>
          <w:rFonts w:ascii="Arial" w:cs="Arial" w:eastAsia="Arial" w:hAnsi="Arial"/>
          <w:sz w:val="12"/>
          <w:szCs w:val="12"/>
          <w:color w:val="131313"/>
        </w:rPr>
        <w:t>Without being affected by anything else in this Lease, you agree that we are entering into this Lease only in our capacity as trustee of A</w:t>
      </w:r>
      <w:r>
        <w:rPr>
          <w:rFonts w:ascii="Arial" w:cs="Arial" w:eastAsia="Arial" w:hAnsi="Arial"/>
          <w:sz w:val="12"/>
          <w:szCs w:val="12"/>
          <w:color w:val="2D2D2D"/>
        </w:rPr>
        <w:t>-</w:t>
      </w:r>
      <w:r>
        <w:rPr>
          <w:rFonts w:ascii="Arial" w:cs="Arial" w:eastAsia="Arial" w:hAnsi="Arial"/>
          <w:sz w:val="12"/>
          <w:szCs w:val="12"/>
          <w:color w:val="131313"/>
        </w:rPr>
        <w:t xml:space="preserve">REIT and not in our personal capacity. As such, any liability or </w:t>
      </w:r>
      <w:r>
        <w:rPr>
          <w:rFonts w:ascii="Arial" w:cs="Arial" w:eastAsia="Arial" w:hAnsi="Arial"/>
          <w:sz w:val="12"/>
          <w:szCs w:val="12"/>
          <w:color w:val="2D2D2D"/>
        </w:rPr>
        <w:t>i</w:t>
      </w:r>
      <w:r>
        <w:rPr>
          <w:rFonts w:ascii="Arial" w:cs="Arial" w:eastAsia="Arial" w:hAnsi="Arial"/>
          <w:sz w:val="12"/>
          <w:szCs w:val="12"/>
          <w:color w:val="131313"/>
        </w:rPr>
        <w:t>ndemnity we give or will give, and any power and right we grant to any receiver</w:t>
      </w:r>
      <w:r>
        <w:rPr>
          <w:rFonts w:ascii="Arial" w:cs="Arial" w:eastAsia="Arial" w:hAnsi="Arial"/>
          <w:sz w:val="12"/>
          <w:szCs w:val="12"/>
          <w:color w:val="2D2D2D"/>
        </w:rPr>
        <w:t xml:space="preserve">, </w:t>
      </w:r>
      <w:r>
        <w:rPr>
          <w:rFonts w:ascii="Arial" w:cs="Arial" w:eastAsia="Arial" w:hAnsi="Arial"/>
          <w:sz w:val="12"/>
          <w:szCs w:val="12"/>
          <w:color w:val="131313"/>
        </w:rPr>
        <w:t>attorney, agent or delegate of the trustee of A-REIT will be limited to the assets of A-REIT over which the trustee of A-REIT has legal rights, and will not extend to any of our personal assets or any assets that the trustee of A-REIT holds in our capacity as trustee of any other trust. This clause still applies even if this Lease ends</w:t>
      </w:r>
      <w:r>
        <w:rPr>
          <w:rFonts w:ascii="Arial" w:cs="Arial" w:eastAsia="Arial" w:hAnsi="Arial"/>
          <w:sz w:val="12"/>
          <w:szCs w:val="12"/>
          <w:color w:val="2D2D2D"/>
        </w:rPr>
        <w:t>,</w:t>
      </w:r>
      <w:r>
        <w:rPr>
          <w:rFonts w:ascii="Arial" w:cs="Arial" w:eastAsia="Arial" w:hAnsi="Arial"/>
          <w:sz w:val="12"/>
          <w:szCs w:val="12"/>
          <w:color w:val="131313"/>
        </w:rPr>
        <w:t xml:space="preserve"> is brought to an end early or is cancelled</w:t>
      </w:r>
      <w:r>
        <w:rPr>
          <w:rFonts w:ascii="Arial" w:cs="Arial" w:eastAsia="Arial" w:hAnsi="Arial"/>
          <w:sz w:val="12"/>
          <w:szCs w:val="12"/>
          <w:color w:val="444444"/>
        </w:rPr>
        <w:t>.</w:t>
      </w:r>
      <w:r>
        <w:rPr>
          <w:rFonts w:ascii="Arial" w:cs="Arial" w:eastAsia="Arial" w:hAnsi="Arial"/>
          <w:sz w:val="12"/>
          <w:szCs w:val="12"/>
          <w:color w:val="131313"/>
        </w:rPr>
        <w:t xml:space="preserve"> This clause will apply, with the necessary amendments and without affecting the meaning of this clause</w:t>
      </w:r>
      <w:r>
        <w:rPr>
          <w:rFonts w:ascii="Arial" w:cs="Arial" w:eastAsia="Arial" w:hAnsi="Arial"/>
          <w:sz w:val="12"/>
          <w:szCs w:val="12"/>
          <w:color w:val="2D2D2D"/>
        </w:rPr>
        <w:t>,</w:t>
      </w:r>
      <w:r>
        <w:rPr>
          <w:rFonts w:ascii="Arial" w:cs="Arial" w:eastAsia="Arial" w:hAnsi="Arial"/>
          <w:sz w:val="12"/>
          <w:szCs w:val="12"/>
          <w:color w:val="131313"/>
        </w:rPr>
        <w:t xml:space="preserve"> to any notice, certificate or other document we issue under this Lease, as if it were set out in the notice, certificate or document.'</w:t>
      </w:r>
    </w:p>
    <w:p>
      <w:pPr>
        <w:spacing w:after="0" w:line="169" w:lineRule="exact"/>
        <w:rPr>
          <w:sz w:val="20"/>
          <w:szCs w:val="20"/>
          <w:color w:val="auto"/>
        </w:rPr>
      </w:pPr>
    </w:p>
    <w:p>
      <w:pPr>
        <w:ind w:left="560" w:hanging="480"/>
        <w:spacing w:after="0"/>
        <w:tabs>
          <w:tab w:leader="none" w:pos="560" w:val="left"/>
        </w:tabs>
        <w:numPr>
          <w:ilvl w:val="0"/>
          <w:numId w:val="88"/>
        </w:numPr>
        <w:rPr>
          <w:rFonts w:ascii="Arial" w:cs="Arial" w:eastAsia="Arial" w:hAnsi="Arial"/>
          <w:sz w:val="12"/>
          <w:szCs w:val="12"/>
          <w:b w:val="1"/>
          <w:bCs w:val="1"/>
          <w:color w:val="111111"/>
        </w:rPr>
      </w:pPr>
      <w:r>
        <w:rPr>
          <w:rFonts w:ascii="Arial" w:cs="Arial" w:eastAsia="Arial" w:hAnsi="Arial"/>
          <w:sz w:val="12"/>
          <w:szCs w:val="12"/>
          <w:b w:val="1"/>
          <w:bCs w:val="1"/>
          <w:color w:val="111111"/>
        </w:rPr>
        <w:t xml:space="preserve">OUR </w:t>
      </w:r>
      <w:r>
        <w:rPr>
          <w:rFonts w:ascii="Arial" w:cs="Arial" w:eastAsia="Arial" w:hAnsi="Arial"/>
          <w:sz w:val="12"/>
          <w:szCs w:val="12"/>
          <w:b w:val="1"/>
          <w:bCs w:val="1"/>
          <w:color w:val="131313"/>
        </w:rPr>
        <w:t>GENERAL RIGHTS AND REMEDIES</w:t>
      </w:r>
    </w:p>
    <w:p>
      <w:pPr>
        <w:spacing w:after="0" w:line="13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6.1</w:t>
      </w:r>
      <w:r>
        <w:rPr>
          <w:sz w:val="20"/>
          <w:szCs w:val="20"/>
          <w:color w:val="auto"/>
        </w:rPr>
        <w:tab/>
      </w:r>
      <w:r>
        <w:rPr>
          <w:rFonts w:ascii="Arial" w:cs="Arial" w:eastAsia="Arial" w:hAnsi="Arial"/>
          <w:sz w:val="11"/>
          <w:szCs w:val="11"/>
          <w:u w:val="single" w:color="auto"/>
          <w:color w:val="131313"/>
        </w:rPr>
        <w:t>Co</w:t>
      </w:r>
      <w:r>
        <w:rPr>
          <w:rFonts w:ascii="Arial" w:cs="Arial" w:eastAsia="Arial" w:hAnsi="Arial"/>
          <w:sz w:val="11"/>
          <w:szCs w:val="11"/>
          <w:u w:val="single" w:color="auto"/>
          <w:color w:val="2D2D2D"/>
        </w:rPr>
        <w:t>st</w:t>
      </w:r>
      <w:r>
        <w:rPr>
          <w:rFonts w:ascii="Arial" w:cs="Arial" w:eastAsia="Arial" w:hAnsi="Arial"/>
          <w:sz w:val="11"/>
          <w:szCs w:val="11"/>
          <w:u w:val="single" w:color="auto"/>
          <w:color w:val="131313"/>
        </w:rPr>
        <w:t xml:space="preserve"> a</w:t>
      </w:r>
      <w:r>
        <w:rPr>
          <w:rFonts w:ascii="Arial" w:cs="Arial" w:eastAsia="Arial" w:hAnsi="Arial"/>
          <w:sz w:val="11"/>
          <w:szCs w:val="11"/>
          <w:u w:val="single" w:color="auto"/>
          <w:color w:val="444444"/>
        </w:rPr>
        <w:t>nd</w:t>
      </w:r>
      <w:r>
        <w:rPr>
          <w:rFonts w:ascii="Arial" w:cs="Arial" w:eastAsia="Arial" w:hAnsi="Arial"/>
          <w:sz w:val="11"/>
          <w:szCs w:val="11"/>
          <w:u w:val="single" w:color="auto"/>
          <w:color w:val="131313"/>
        </w:rPr>
        <w:t xml:space="preserve"> </w:t>
      </w:r>
      <w:r>
        <w:rPr>
          <w:rFonts w:ascii="Arial" w:cs="Arial" w:eastAsia="Arial" w:hAnsi="Arial"/>
          <w:sz w:val="11"/>
          <w:szCs w:val="11"/>
          <w:u w:val="single" w:color="auto"/>
          <w:color w:val="2D2D2D"/>
        </w:rPr>
        <w:t>expen</w:t>
      </w:r>
      <w:r>
        <w:rPr>
          <w:rFonts w:ascii="Arial" w:cs="Arial" w:eastAsia="Arial" w:hAnsi="Arial"/>
          <w:sz w:val="11"/>
          <w:szCs w:val="11"/>
          <w:u w:val="single" w:color="auto"/>
          <w:color w:val="131313"/>
        </w:rPr>
        <w:t>s</w:t>
      </w:r>
      <w:r>
        <w:rPr>
          <w:rFonts w:ascii="Arial" w:cs="Arial" w:eastAsia="Arial" w:hAnsi="Arial"/>
          <w:sz w:val="11"/>
          <w:szCs w:val="11"/>
          <w:u w:val="single" w:color="auto"/>
          <w:color w:val="2D2D2D"/>
        </w:rPr>
        <w:t>es</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2"/>
          <w:szCs w:val="12"/>
          <w:color w:val="131313"/>
        </w:rPr>
        <w:t>If we give you not</w:t>
      </w:r>
      <w:r>
        <w:rPr>
          <w:rFonts w:ascii="Arial" w:cs="Arial" w:eastAsia="Arial" w:hAnsi="Arial"/>
          <w:sz w:val="12"/>
          <w:szCs w:val="12"/>
          <w:color w:val="2D2D2D"/>
        </w:rPr>
        <w:t>i</w:t>
      </w:r>
      <w:r>
        <w:rPr>
          <w:rFonts w:ascii="Arial" w:cs="Arial" w:eastAsia="Arial" w:hAnsi="Arial"/>
          <w:sz w:val="12"/>
          <w:szCs w:val="12"/>
          <w:color w:val="131313"/>
        </w:rPr>
        <w:t>ce, you must pay immediately our full costs and expenses (including legal fees, administrative charges and stamp duty), relating to:</w:t>
      </w:r>
    </w:p>
    <w:p>
      <w:pPr>
        <w:spacing w:after="0" w:line="190" w:lineRule="exact"/>
        <w:rPr>
          <w:sz w:val="20"/>
          <w:szCs w:val="20"/>
          <w:color w:val="auto"/>
        </w:rPr>
      </w:pPr>
    </w:p>
    <w:p>
      <w:pPr>
        <w:ind w:left="800" w:hanging="233"/>
        <w:spacing w:after="0"/>
        <w:tabs>
          <w:tab w:leader="none" w:pos="800" w:val="left"/>
        </w:tabs>
        <w:numPr>
          <w:ilvl w:val="0"/>
          <w:numId w:val="89"/>
        </w:numPr>
        <w:rPr>
          <w:rFonts w:ascii="Arial" w:cs="Arial" w:eastAsia="Arial" w:hAnsi="Arial"/>
          <w:sz w:val="12"/>
          <w:szCs w:val="12"/>
          <w:color w:val="131313"/>
        </w:rPr>
      </w:pPr>
      <w:r>
        <w:rPr>
          <w:rFonts w:ascii="Arial" w:cs="Arial" w:eastAsia="Arial" w:hAnsi="Arial"/>
          <w:sz w:val="12"/>
          <w:szCs w:val="12"/>
          <w:color w:val="131313"/>
        </w:rPr>
        <w:t>preparing, negotiating and completing this Lease (including any Side Letters)</w:t>
      </w:r>
      <w:r>
        <w:rPr>
          <w:rFonts w:ascii="Arial" w:cs="Arial" w:eastAsia="Arial" w:hAnsi="Arial"/>
          <w:sz w:val="12"/>
          <w:szCs w:val="12"/>
          <w:color w:val="2D2D2D"/>
        </w:rPr>
        <w:t>;</w:t>
      </w:r>
    </w:p>
    <w:p>
      <w:pPr>
        <w:spacing w:after="0" w:line="200" w:lineRule="exact"/>
        <w:rPr>
          <w:rFonts w:ascii="Arial" w:cs="Arial" w:eastAsia="Arial" w:hAnsi="Arial"/>
          <w:sz w:val="12"/>
          <w:szCs w:val="12"/>
          <w:color w:val="131313"/>
        </w:rPr>
      </w:pPr>
    </w:p>
    <w:p>
      <w:pPr>
        <w:ind w:left="800" w:hanging="229"/>
        <w:spacing w:after="0"/>
        <w:tabs>
          <w:tab w:leader="none" w:pos="800" w:val="left"/>
        </w:tabs>
        <w:numPr>
          <w:ilvl w:val="0"/>
          <w:numId w:val="89"/>
        </w:numPr>
        <w:rPr>
          <w:rFonts w:ascii="Arial" w:cs="Arial" w:eastAsia="Arial" w:hAnsi="Arial"/>
          <w:sz w:val="12"/>
          <w:szCs w:val="12"/>
          <w:color w:val="131313"/>
        </w:rPr>
      </w:pPr>
      <w:r>
        <w:rPr>
          <w:rFonts w:ascii="Arial" w:cs="Arial" w:eastAsia="Arial" w:hAnsi="Arial"/>
          <w:sz w:val="12"/>
          <w:szCs w:val="12"/>
          <w:color w:val="131313"/>
        </w:rPr>
        <w:t>considering your request for our permission or approval (including our professional advisor's fees for advising us)</w:t>
      </w:r>
      <w:r>
        <w:rPr>
          <w:rFonts w:ascii="Arial" w:cs="Arial" w:eastAsia="Arial" w:hAnsi="Arial"/>
          <w:sz w:val="12"/>
          <w:szCs w:val="12"/>
          <w:color w:val="2D2D2D"/>
        </w:rPr>
        <w:t>;</w:t>
      </w:r>
      <w:r>
        <w:rPr>
          <w:rFonts w:ascii="Arial" w:cs="Arial" w:eastAsia="Arial" w:hAnsi="Arial"/>
          <w:sz w:val="12"/>
          <w:szCs w:val="12"/>
          <w:color w:val="131313"/>
        </w:rPr>
        <w:t xml:space="preserve"> and</w:t>
      </w:r>
    </w:p>
    <w:p>
      <w:pPr>
        <w:spacing w:after="0" w:line="190" w:lineRule="exact"/>
        <w:rPr>
          <w:rFonts w:ascii="Arial" w:cs="Arial" w:eastAsia="Arial" w:hAnsi="Arial"/>
          <w:sz w:val="12"/>
          <w:szCs w:val="12"/>
          <w:color w:val="131313"/>
        </w:rPr>
      </w:pPr>
    </w:p>
    <w:p>
      <w:pPr>
        <w:ind w:left="800" w:hanging="233"/>
        <w:spacing w:after="0"/>
        <w:tabs>
          <w:tab w:leader="none" w:pos="800" w:val="left"/>
        </w:tabs>
        <w:numPr>
          <w:ilvl w:val="0"/>
          <w:numId w:val="89"/>
        </w:numPr>
        <w:rPr>
          <w:rFonts w:ascii="Arial" w:cs="Arial" w:eastAsia="Arial" w:hAnsi="Arial"/>
          <w:sz w:val="12"/>
          <w:szCs w:val="12"/>
          <w:color w:val="131313"/>
        </w:rPr>
      </w:pPr>
      <w:r>
        <w:rPr>
          <w:rFonts w:ascii="Arial" w:cs="Arial" w:eastAsia="Arial" w:hAnsi="Arial"/>
          <w:sz w:val="12"/>
          <w:szCs w:val="12"/>
          <w:color w:val="131313"/>
        </w:rPr>
        <w:t>you not keeping to the terms of this Lease.</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2"/>
          <w:szCs w:val="12"/>
          <w:color w:val="131313"/>
        </w:rPr>
        <w:t>You must pay such costs and expenses on an indemnity basis (that is, to pay for all our costs and expenses and not dispute or claim that we should have minimised such costs and expenses).</w:t>
      </w:r>
    </w:p>
    <w:p>
      <w:pPr>
        <w:spacing w:after="0" w:line="106"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31313"/>
        </w:rPr>
        <w:t>6.2</w:t>
      </w:r>
      <w:r>
        <w:rPr>
          <w:sz w:val="20"/>
          <w:szCs w:val="20"/>
          <w:color w:val="auto"/>
        </w:rPr>
        <w:tab/>
      </w:r>
      <w:r>
        <w:rPr>
          <w:rFonts w:ascii="Arial" w:cs="Arial" w:eastAsia="Arial" w:hAnsi="Arial"/>
          <w:sz w:val="11"/>
          <w:szCs w:val="11"/>
          <w:u w:val="single" w:color="auto"/>
          <w:color w:val="131313"/>
        </w:rPr>
        <w:t>Set</w:t>
      </w:r>
      <w:r>
        <w:rPr>
          <w:rFonts w:ascii="Arial" w:cs="Arial" w:eastAsia="Arial" w:hAnsi="Arial"/>
          <w:sz w:val="11"/>
          <w:szCs w:val="11"/>
          <w:u w:val="single" w:color="auto"/>
          <w:color w:val="444444"/>
        </w:rPr>
        <w:t>-off</w:t>
      </w:r>
      <w:r>
        <w:rPr>
          <w:rFonts w:ascii="Arial" w:cs="Arial" w:eastAsia="Arial" w:hAnsi="Arial"/>
          <w:sz w:val="11"/>
          <w:szCs w:val="11"/>
          <w:u w:val="single" w:color="auto"/>
          <w:color w:val="131313"/>
        </w:rPr>
        <w:t xml:space="preserve"> </w:t>
      </w:r>
      <w:r>
        <w:rPr>
          <w:rFonts w:ascii="Arial" w:cs="Arial" w:eastAsia="Arial" w:hAnsi="Arial"/>
          <w:sz w:val="11"/>
          <w:szCs w:val="11"/>
          <w:u w:val="single" w:color="auto"/>
          <w:color w:val="2D2D2D"/>
        </w:rPr>
        <w:t>an</w:t>
      </w:r>
      <w:r>
        <w:rPr>
          <w:rFonts w:ascii="Arial" w:cs="Arial" w:eastAsia="Arial" w:hAnsi="Arial"/>
          <w:sz w:val="11"/>
          <w:szCs w:val="11"/>
          <w:u w:val="single" w:color="auto"/>
          <w:color w:val="131313"/>
        </w:rPr>
        <w:t xml:space="preserve">d </w:t>
      </w:r>
      <w:r>
        <w:rPr>
          <w:rFonts w:ascii="Arial" w:cs="Arial" w:eastAsia="Arial" w:hAnsi="Arial"/>
          <w:sz w:val="11"/>
          <w:szCs w:val="11"/>
          <w:u w:val="single" w:color="auto"/>
          <w:color w:val="2D2D2D"/>
        </w:rPr>
        <w:t>fo</w:t>
      </w:r>
      <w:r>
        <w:rPr>
          <w:rFonts w:ascii="Arial" w:cs="Arial" w:eastAsia="Arial" w:hAnsi="Arial"/>
          <w:sz w:val="11"/>
          <w:szCs w:val="11"/>
          <w:u w:val="single" w:color="auto"/>
          <w:color w:val="131313"/>
        </w:rPr>
        <w:t>rf</w:t>
      </w:r>
      <w:r>
        <w:rPr>
          <w:rFonts w:ascii="Arial" w:cs="Arial" w:eastAsia="Arial" w:hAnsi="Arial"/>
          <w:sz w:val="11"/>
          <w:szCs w:val="11"/>
          <w:u w:val="single" w:color="auto"/>
          <w:color w:val="2D2D2D"/>
        </w:rPr>
        <w:t>ei</w:t>
      </w:r>
      <w:r>
        <w:rPr>
          <w:rFonts w:ascii="Arial" w:cs="Arial" w:eastAsia="Arial" w:hAnsi="Arial"/>
          <w:sz w:val="11"/>
          <w:szCs w:val="11"/>
          <w:u w:val="single" w:color="auto"/>
          <w:color w:val="131313"/>
        </w:rPr>
        <w:t>t</w:t>
      </w:r>
      <w:r>
        <w:rPr>
          <w:rFonts w:ascii="Arial" w:cs="Arial" w:eastAsia="Arial" w:hAnsi="Arial"/>
          <w:sz w:val="11"/>
          <w:szCs w:val="11"/>
          <w:u w:val="single" w:color="auto"/>
          <w:color w:val="2D2D2D"/>
        </w:rPr>
        <w:t>ure</w:t>
      </w:r>
      <w:r>
        <w:rPr>
          <w:rFonts w:ascii="Arial" w:cs="Arial" w:eastAsia="Arial" w:hAnsi="Arial"/>
          <w:sz w:val="11"/>
          <w:szCs w:val="11"/>
          <w:u w:val="single" w:color="auto"/>
          <w:color w:val="131313"/>
        </w:rPr>
        <w:t xml:space="preserve"> o</w:t>
      </w:r>
      <w:r>
        <w:rPr>
          <w:rFonts w:ascii="Arial" w:cs="Arial" w:eastAsia="Arial" w:hAnsi="Arial"/>
          <w:sz w:val="11"/>
          <w:szCs w:val="11"/>
          <w:u w:val="single" w:color="auto"/>
          <w:color w:val="2D2D2D"/>
        </w:rPr>
        <w:t>f de</w:t>
      </w:r>
      <w:r>
        <w:rPr>
          <w:rFonts w:ascii="Arial" w:cs="Arial" w:eastAsia="Arial" w:hAnsi="Arial"/>
          <w:sz w:val="11"/>
          <w:szCs w:val="11"/>
          <w:u w:val="single" w:color="auto"/>
          <w:color w:val="131313"/>
        </w:rPr>
        <w:t>pos</w:t>
      </w:r>
      <w:r>
        <w:rPr>
          <w:rFonts w:ascii="Arial" w:cs="Arial" w:eastAsia="Arial" w:hAnsi="Arial"/>
          <w:sz w:val="11"/>
          <w:szCs w:val="11"/>
          <w:u w:val="single" w:color="auto"/>
          <w:color w:val="444444"/>
        </w:rPr>
        <w:t>its</w:t>
      </w:r>
    </w:p>
    <w:p>
      <w:pPr>
        <w:spacing w:after="0" w:line="127" w:lineRule="exact"/>
        <w:rPr>
          <w:sz w:val="20"/>
          <w:szCs w:val="20"/>
          <w:color w:val="auto"/>
        </w:rPr>
      </w:pPr>
    </w:p>
    <w:p>
      <w:pPr>
        <w:jc w:val="both"/>
        <w:ind w:left="580" w:right="40" w:hanging="2"/>
        <w:spacing w:after="0" w:line="245" w:lineRule="auto"/>
        <w:rPr>
          <w:sz w:val="20"/>
          <w:szCs w:val="20"/>
          <w:color w:val="auto"/>
        </w:rPr>
      </w:pPr>
      <w:r>
        <w:rPr>
          <w:rFonts w:ascii="Arial" w:cs="Arial" w:eastAsia="Arial" w:hAnsi="Arial"/>
          <w:sz w:val="12"/>
          <w:szCs w:val="12"/>
          <w:color w:val="131313"/>
        </w:rPr>
        <w:t>Without being affected by anything else in this Lease</w:t>
      </w:r>
      <w:r>
        <w:rPr>
          <w:rFonts w:ascii="Arial" w:cs="Arial" w:eastAsia="Arial" w:hAnsi="Arial"/>
          <w:sz w:val="12"/>
          <w:szCs w:val="12"/>
          <w:color w:val="444444"/>
        </w:rPr>
        <w:t>,</w:t>
      </w:r>
      <w:r>
        <w:rPr>
          <w:rFonts w:ascii="Arial" w:cs="Arial" w:eastAsia="Arial" w:hAnsi="Arial"/>
          <w:sz w:val="12"/>
          <w:szCs w:val="12"/>
          <w:color w:val="131313"/>
        </w:rPr>
        <w:t xml:space="preserve"> we may deduct any payments you owe us from any deposits you have pa</w:t>
      </w:r>
      <w:r>
        <w:rPr>
          <w:rFonts w:ascii="Arial" w:cs="Arial" w:eastAsia="Arial" w:hAnsi="Arial"/>
          <w:sz w:val="12"/>
          <w:szCs w:val="12"/>
          <w:color w:val="2D2D2D"/>
        </w:rPr>
        <w:t>i</w:t>
      </w:r>
      <w:r>
        <w:rPr>
          <w:rFonts w:ascii="Arial" w:cs="Arial" w:eastAsia="Arial" w:hAnsi="Arial"/>
          <w:sz w:val="12"/>
          <w:szCs w:val="12"/>
          <w:color w:val="131313"/>
        </w:rPr>
        <w:t>d under this Lease</w:t>
      </w:r>
      <w:r>
        <w:rPr>
          <w:rFonts w:ascii="Arial" w:cs="Arial" w:eastAsia="Arial" w:hAnsi="Arial"/>
          <w:sz w:val="12"/>
          <w:szCs w:val="12"/>
          <w:color w:val="606060"/>
        </w:rPr>
        <w:t>.</w:t>
      </w:r>
      <w:r>
        <w:rPr>
          <w:rFonts w:ascii="Arial" w:cs="Arial" w:eastAsia="Arial" w:hAnsi="Arial"/>
          <w:sz w:val="12"/>
          <w:szCs w:val="12"/>
          <w:color w:val="131313"/>
        </w:rPr>
        <w:t xml:space="preserve"> If we have deducted money from a deposit in this way, you must pay us an amount equal to the amount we have deducted within seven days of us notifying you. When this Lease ends, you must collect any deposits you have paid under this Lease within one year from such date as we have first tried to return you such deposit. If you don't</w:t>
      </w:r>
      <w:r>
        <w:rPr>
          <w:rFonts w:ascii="Arial" w:cs="Arial" w:eastAsia="Arial" w:hAnsi="Arial"/>
          <w:sz w:val="12"/>
          <w:szCs w:val="12"/>
          <w:color w:val="2D2D2D"/>
        </w:rPr>
        <w:t>,</w:t>
      </w:r>
      <w:r>
        <w:rPr>
          <w:rFonts w:ascii="Arial" w:cs="Arial" w:eastAsia="Arial" w:hAnsi="Arial"/>
          <w:sz w:val="12"/>
          <w:szCs w:val="12"/>
          <w:color w:val="131313"/>
        </w:rPr>
        <w:t xml:space="preserve"> you will forfeit (that is, give up the right to claim) these deposits.</w:t>
      </w:r>
    </w:p>
    <w:p>
      <w:pPr>
        <w:spacing w:after="0" w:line="181"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2"/>
          <w:szCs w:val="12"/>
          <w:color w:val="auto"/>
        </w:rPr>
        <w:t>6.3.</w:t>
      </w:r>
      <w:r>
        <w:rPr>
          <w:sz w:val="20"/>
          <w:szCs w:val="20"/>
          <w:color w:val="auto"/>
        </w:rPr>
        <w:tab/>
      </w:r>
      <w:r>
        <w:rPr>
          <w:rFonts w:ascii="Arial" w:cs="Arial" w:eastAsia="Arial" w:hAnsi="Arial"/>
          <w:sz w:val="12"/>
          <w:szCs w:val="12"/>
          <w:u w:val="single" w:color="auto"/>
          <w:color w:val="131313"/>
        </w:rPr>
        <w:t>Remedial measures</w:t>
      </w:r>
    </w:p>
    <w:p>
      <w:pPr>
        <w:spacing w:after="0" w:line="190" w:lineRule="exact"/>
        <w:rPr>
          <w:sz w:val="20"/>
          <w:szCs w:val="20"/>
          <w:color w:val="auto"/>
        </w:rPr>
      </w:pPr>
    </w:p>
    <w:p>
      <w:pPr>
        <w:jc w:val="both"/>
        <w:ind w:left="580" w:firstLine="3"/>
        <w:spacing w:after="0" w:line="245" w:lineRule="auto"/>
        <w:rPr>
          <w:sz w:val="20"/>
          <w:szCs w:val="20"/>
          <w:color w:val="auto"/>
        </w:rPr>
      </w:pPr>
      <w:r>
        <w:rPr>
          <w:rFonts w:ascii="Arial" w:cs="Arial" w:eastAsia="Arial" w:hAnsi="Arial"/>
          <w:sz w:val="12"/>
          <w:szCs w:val="12"/>
          <w:color w:val="131313"/>
        </w:rPr>
        <w:t>If you fail to keep to the terms of this Lease</w:t>
      </w:r>
      <w:r>
        <w:rPr>
          <w:rFonts w:ascii="Arial" w:cs="Arial" w:eastAsia="Arial" w:hAnsi="Arial"/>
          <w:sz w:val="12"/>
          <w:szCs w:val="12"/>
          <w:color w:val="2D2D2D"/>
        </w:rPr>
        <w:t>,</w:t>
      </w:r>
      <w:r>
        <w:rPr>
          <w:rFonts w:ascii="Arial" w:cs="Arial" w:eastAsia="Arial" w:hAnsi="Arial"/>
          <w:sz w:val="12"/>
          <w:szCs w:val="12"/>
          <w:color w:val="131313"/>
        </w:rPr>
        <w:t xml:space="preserve"> we may take action to deal with the situation (including issuing a stop order relating to any offending activity or stepping in to do any repair or remedial works)</w:t>
      </w:r>
      <w:r>
        <w:rPr>
          <w:rFonts w:ascii="Arial" w:cs="Arial" w:eastAsia="Arial" w:hAnsi="Arial"/>
          <w:sz w:val="12"/>
          <w:szCs w:val="12"/>
          <w:color w:val="414141"/>
        </w:rPr>
        <w:t>.</w:t>
      </w:r>
      <w:r>
        <w:rPr>
          <w:rFonts w:ascii="Arial" w:cs="Arial" w:eastAsia="Arial" w:hAnsi="Arial"/>
          <w:sz w:val="12"/>
          <w:szCs w:val="12"/>
          <w:color w:val="131313"/>
        </w:rPr>
        <w:t xml:space="preserve"> You must pay all our costs and expenses for us taking the actions under this clause 6.3. You will not have any claim against us for any Losses or inconvenience you may suffer due to us carrying out the actions. To avoid any doubt, we do not need to exerc</w:t>
      </w:r>
      <w:r>
        <w:rPr>
          <w:rFonts w:ascii="Arial" w:cs="Arial" w:eastAsia="Arial" w:hAnsi="Arial"/>
          <w:sz w:val="12"/>
          <w:szCs w:val="12"/>
          <w:color w:val="2D2D2D"/>
        </w:rPr>
        <w:t>i</w:t>
      </w:r>
      <w:r>
        <w:rPr>
          <w:rFonts w:ascii="Arial" w:cs="Arial" w:eastAsia="Arial" w:hAnsi="Arial"/>
          <w:sz w:val="12"/>
          <w:szCs w:val="12"/>
          <w:color w:val="131313"/>
        </w:rPr>
        <w:t>se this right under this clause 6.3 before we exercise our other rights.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28</w:t>
            </w:r>
          </w:p>
        </w:tc>
      </w:tr>
    </w:tbl>
    <w:p>
      <w:pPr>
        <w:sectPr>
          <w:pgSz w:w="11900" w:h="16838" w:orient="portrait"/>
          <w:cols w:equalWidth="0" w:num="1">
            <w:col w:w="11200"/>
          </w:cols>
          <w:pgMar w:left="300" w:top="1440" w:right="39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8">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spacing w:after="0"/>
        <w:rPr>
          <w:sz w:val="20"/>
          <w:szCs w:val="20"/>
          <w:color w:val="auto"/>
        </w:rPr>
      </w:pPr>
      <w:r>
        <w:rPr>
          <w:rFonts w:ascii="Arial" w:cs="Arial" w:eastAsia="Arial" w:hAnsi="Arial"/>
          <w:sz w:val="12"/>
          <w:szCs w:val="12"/>
          <w:color w:val="FFFFFF"/>
        </w:rPr>
        <w:t>6.3.</w:t>
      </w:r>
    </w:p>
    <w:p>
      <w:pPr>
        <w:spacing w:after="0" w:line="201" w:lineRule="exact"/>
        <w:rPr>
          <w:sz w:val="20"/>
          <w:szCs w:val="20"/>
          <w:color w:val="auto"/>
        </w:rPr>
      </w:pPr>
    </w:p>
    <w:p>
      <w:pPr>
        <w:ind w:left="1020"/>
        <w:spacing w:after="0"/>
        <w:tabs>
          <w:tab w:leader="none" w:pos="1440" w:val="left"/>
        </w:tabs>
        <w:rPr>
          <w:sz w:val="20"/>
          <w:szCs w:val="20"/>
          <w:color w:val="auto"/>
        </w:rPr>
      </w:pPr>
      <w:r>
        <w:rPr>
          <w:rFonts w:ascii="Arial" w:cs="Arial" w:eastAsia="Arial" w:hAnsi="Arial"/>
          <w:sz w:val="12"/>
          <w:szCs w:val="12"/>
          <w:color w:val="auto"/>
        </w:rPr>
        <w:t>6.4.</w:t>
      </w:r>
      <w:r>
        <w:rPr>
          <w:sz w:val="20"/>
          <w:szCs w:val="20"/>
          <w:color w:val="auto"/>
        </w:rPr>
        <w:tab/>
      </w:r>
      <w:r>
        <w:rPr>
          <w:rFonts w:ascii="Arial" w:cs="Arial" w:eastAsia="Arial" w:hAnsi="Arial"/>
          <w:sz w:val="11"/>
          <w:szCs w:val="11"/>
          <w:u w:val="single" w:color="auto"/>
          <w:color w:val="auto"/>
        </w:rPr>
        <w:t>Re-entry</w:t>
      </w:r>
    </w:p>
    <w:p>
      <w:pPr>
        <w:spacing w:after="0" w:line="190" w:lineRule="exact"/>
        <w:rPr>
          <w:sz w:val="20"/>
          <w:szCs w:val="20"/>
          <w:color w:val="auto"/>
        </w:rPr>
      </w:pPr>
    </w:p>
    <w:p>
      <w:pPr>
        <w:ind w:left="1460"/>
        <w:spacing w:after="0"/>
        <w:rPr>
          <w:sz w:val="20"/>
          <w:szCs w:val="20"/>
          <w:color w:val="auto"/>
        </w:rPr>
      </w:pPr>
      <w:r>
        <w:rPr>
          <w:rFonts w:ascii="Arial" w:cs="Arial" w:eastAsia="Arial" w:hAnsi="Arial"/>
          <w:sz w:val="12"/>
          <w:szCs w:val="12"/>
          <w:color w:val="131313"/>
        </w:rPr>
        <w:t>You will have failed to keep to the terms of th</w:t>
      </w:r>
      <w:r>
        <w:rPr>
          <w:rFonts w:ascii="Arial" w:cs="Arial" w:eastAsia="Arial" w:hAnsi="Arial"/>
          <w:sz w:val="12"/>
          <w:szCs w:val="12"/>
          <w:color w:val="2D2D2D"/>
        </w:rPr>
        <w:t>i</w:t>
      </w:r>
      <w:r>
        <w:rPr>
          <w:rFonts w:ascii="Arial" w:cs="Arial" w:eastAsia="Arial" w:hAnsi="Arial"/>
          <w:sz w:val="12"/>
          <w:szCs w:val="12"/>
          <w:color w:val="131313"/>
        </w:rPr>
        <w:t>s Lease if</w:t>
      </w:r>
      <w:r>
        <w:rPr>
          <w:rFonts w:ascii="Arial" w:cs="Arial" w:eastAsia="Arial" w:hAnsi="Arial"/>
          <w:sz w:val="12"/>
          <w:szCs w:val="12"/>
          <w:color w:val="6B6B6B"/>
        </w:rPr>
        <w:t>:</w:t>
      </w:r>
    </w:p>
    <w:p>
      <w:pPr>
        <w:spacing w:after="0" w:line="201" w:lineRule="exact"/>
        <w:rPr>
          <w:sz w:val="20"/>
          <w:szCs w:val="20"/>
          <w:color w:val="auto"/>
        </w:rPr>
      </w:pPr>
    </w:p>
    <w:p>
      <w:pPr>
        <w:ind w:left="1720" w:hanging="254"/>
        <w:spacing w:after="0"/>
        <w:tabs>
          <w:tab w:leader="none" w:pos="1720" w:val="left"/>
        </w:tabs>
        <w:numPr>
          <w:ilvl w:val="0"/>
          <w:numId w:val="90"/>
        </w:numPr>
        <w:rPr>
          <w:rFonts w:ascii="Arial" w:cs="Arial" w:eastAsia="Arial" w:hAnsi="Arial"/>
          <w:sz w:val="12"/>
          <w:szCs w:val="12"/>
          <w:color w:val="131313"/>
        </w:rPr>
      </w:pPr>
      <w:r>
        <w:rPr>
          <w:rFonts w:ascii="Arial" w:cs="Arial" w:eastAsia="Arial" w:hAnsi="Arial"/>
          <w:sz w:val="12"/>
          <w:szCs w:val="12"/>
          <w:color w:val="131313"/>
        </w:rPr>
        <w:t>you fail to pay the Gross Rent or any other amounts you must pay under this Lease within 14 days after the due date;</w:t>
      </w:r>
    </w:p>
    <w:p>
      <w:pPr>
        <w:spacing w:after="0" w:line="190" w:lineRule="exact"/>
        <w:rPr>
          <w:rFonts w:ascii="Arial" w:cs="Arial" w:eastAsia="Arial" w:hAnsi="Arial"/>
          <w:sz w:val="12"/>
          <w:szCs w:val="12"/>
          <w:color w:val="131313"/>
        </w:rPr>
      </w:pPr>
    </w:p>
    <w:p>
      <w:pPr>
        <w:ind w:left="1720" w:right="80" w:hanging="254"/>
        <w:spacing w:after="0" w:line="250" w:lineRule="auto"/>
        <w:tabs>
          <w:tab w:leader="none" w:pos="1718" w:val="left"/>
        </w:tabs>
        <w:numPr>
          <w:ilvl w:val="0"/>
          <w:numId w:val="90"/>
        </w:numPr>
        <w:rPr>
          <w:rFonts w:ascii="Arial" w:cs="Arial" w:eastAsia="Arial" w:hAnsi="Arial"/>
          <w:sz w:val="12"/>
          <w:szCs w:val="12"/>
          <w:color w:val="131313"/>
        </w:rPr>
      </w:pPr>
      <w:r>
        <w:rPr>
          <w:rFonts w:ascii="Arial" w:cs="Arial" w:eastAsia="Arial" w:hAnsi="Arial"/>
          <w:sz w:val="12"/>
          <w:szCs w:val="12"/>
          <w:color w:val="131313"/>
        </w:rPr>
        <w:t>you do not keep to</w:t>
      </w:r>
      <w:r>
        <w:rPr>
          <w:rFonts w:ascii="Arial" w:cs="Arial" w:eastAsia="Arial" w:hAnsi="Arial"/>
          <w:sz w:val="12"/>
          <w:szCs w:val="12"/>
          <w:color w:val="2D2D2D"/>
        </w:rPr>
        <w:t>,</w:t>
      </w:r>
      <w:r>
        <w:rPr>
          <w:rFonts w:ascii="Arial" w:cs="Arial" w:eastAsia="Arial" w:hAnsi="Arial"/>
          <w:sz w:val="12"/>
          <w:szCs w:val="12"/>
          <w:color w:val="131313"/>
        </w:rPr>
        <w:t xml:space="preserve"> and where possible</w:t>
      </w:r>
      <w:r>
        <w:rPr>
          <w:rFonts w:ascii="Arial" w:cs="Arial" w:eastAsia="Arial" w:hAnsi="Arial"/>
          <w:sz w:val="12"/>
          <w:szCs w:val="12"/>
          <w:color w:val="2D2D2D"/>
        </w:rPr>
        <w:t>,</w:t>
      </w:r>
      <w:r>
        <w:rPr>
          <w:rFonts w:ascii="Arial" w:cs="Arial" w:eastAsia="Arial" w:hAnsi="Arial"/>
          <w:sz w:val="12"/>
          <w:szCs w:val="12"/>
          <w:color w:val="131313"/>
        </w:rPr>
        <w:t xml:space="preserve"> fail to correct your actions to keep to, the terms of this Lease (other than under clause 6.4.1(a)) within 14 days of our notice or such longer period as we may notify you (except in cases of emergency);</w:t>
      </w:r>
    </w:p>
    <w:p>
      <w:pPr>
        <w:spacing w:after="0" w:line="178" w:lineRule="exact"/>
        <w:rPr>
          <w:rFonts w:ascii="Arial" w:cs="Arial" w:eastAsia="Arial" w:hAnsi="Arial"/>
          <w:sz w:val="12"/>
          <w:szCs w:val="12"/>
          <w:color w:val="131313"/>
        </w:rPr>
      </w:pPr>
    </w:p>
    <w:p>
      <w:pPr>
        <w:jc w:val="both"/>
        <w:ind w:left="1720" w:right="80" w:hanging="254"/>
        <w:spacing w:after="0" w:line="245" w:lineRule="auto"/>
        <w:tabs>
          <w:tab w:leader="none" w:pos="1711" w:val="left"/>
        </w:tabs>
        <w:numPr>
          <w:ilvl w:val="0"/>
          <w:numId w:val="90"/>
        </w:numPr>
        <w:rPr>
          <w:rFonts w:ascii="Arial" w:cs="Arial" w:eastAsia="Arial" w:hAnsi="Arial"/>
          <w:sz w:val="12"/>
          <w:szCs w:val="12"/>
          <w:color w:val="131313"/>
        </w:rPr>
      </w:pPr>
      <w:r>
        <w:rPr>
          <w:rFonts w:ascii="Arial" w:cs="Arial" w:eastAsia="Arial" w:hAnsi="Arial"/>
          <w:sz w:val="12"/>
          <w:szCs w:val="12"/>
          <w:color w:val="131313"/>
        </w:rPr>
        <w:t>another creditor or person enforces a writ of execution (that is, a court order which permits a transfer of assets</w:t>
      </w:r>
      <w:r>
        <w:rPr>
          <w:rFonts w:ascii="Arial" w:cs="Arial" w:eastAsia="Arial" w:hAnsi="Arial"/>
          <w:sz w:val="12"/>
          <w:szCs w:val="12"/>
          <w:color w:val="2D2D2D"/>
        </w:rPr>
        <w:t>,</w:t>
      </w:r>
      <w:r>
        <w:rPr>
          <w:rFonts w:ascii="Arial" w:cs="Arial" w:eastAsia="Arial" w:hAnsi="Arial"/>
          <w:sz w:val="12"/>
          <w:szCs w:val="12"/>
          <w:color w:val="131313"/>
        </w:rPr>
        <w:t xml:space="preserve"> money or property belonging to a debtor to pay off a legal judgment) or levies distress (that is</w:t>
      </w:r>
      <w:r>
        <w:rPr>
          <w:rFonts w:ascii="Arial" w:cs="Arial" w:eastAsia="Arial" w:hAnsi="Arial"/>
          <w:sz w:val="12"/>
          <w:szCs w:val="12"/>
          <w:color w:val="414141"/>
        </w:rPr>
        <w:t>,</w:t>
      </w:r>
      <w:r>
        <w:rPr>
          <w:rFonts w:ascii="Arial" w:cs="Arial" w:eastAsia="Arial" w:hAnsi="Arial"/>
          <w:sz w:val="12"/>
          <w:szCs w:val="12"/>
          <w:color w:val="131313"/>
        </w:rPr>
        <w:t xml:space="preserve"> the forcible taking of a tenant's property by a landlord to pay off any overdue or unpaid rent or other money owed under a lease) on your property</w:t>
      </w:r>
      <w:r>
        <w:rPr>
          <w:rFonts w:ascii="Arial" w:cs="Arial" w:eastAsia="Arial" w:hAnsi="Arial"/>
          <w:sz w:val="12"/>
          <w:szCs w:val="12"/>
          <w:color w:val="2D2D2D"/>
        </w:rPr>
        <w:t>;</w:t>
      </w:r>
      <w:r>
        <w:rPr>
          <w:rFonts w:ascii="Arial" w:cs="Arial" w:eastAsia="Arial" w:hAnsi="Arial"/>
          <w:sz w:val="12"/>
          <w:szCs w:val="12"/>
          <w:color w:val="131313"/>
        </w:rPr>
        <w:t xml:space="preserve"> or</w:t>
      </w:r>
    </w:p>
    <w:p>
      <w:pPr>
        <w:spacing w:after="0" w:line="181" w:lineRule="exact"/>
        <w:rPr>
          <w:rFonts w:ascii="Arial" w:cs="Arial" w:eastAsia="Arial" w:hAnsi="Arial"/>
          <w:sz w:val="12"/>
          <w:szCs w:val="12"/>
          <w:color w:val="131313"/>
        </w:rPr>
      </w:pPr>
    </w:p>
    <w:p>
      <w:pPr>
        <w:ind w:left="1720" w:hanging="254"/>
        <w:spacing w:after="0"/>
        <w:tabs>
          <w:tab w:leader="none" w:pos="1720" w:val="left"/>
        </w:tabs>
        <w:numPr>
          <w:ilvl w:val="0"/>
          <w:numId w:val="90"/>
        </w:numPr>
        <w:rPr>
          <w:rFonts w:ascii="Arial" w:cs="Arial" w:eastAsia="Arial" w:hAnsi="Arial"/>
          <w:sz w:val="12"/>
          <w:szCs w:val="12"/>
          <w:color w:val="131313"/>
        </w:rPr>
      </w:pPr>
      <w:r>
        <w:rPr>
          <w:rFonts w:ascii="Arial" w:cs="Arial" w:eastAsia="Arial" w:hAnsi="Arial"/>
          <w:sz w:val="12"/>
          <w:szCs w:val="12"/>
          <w:color w:val="131313"/>
        </w:rPr>
        <w:t>you become or are reasonably likely to become insolvent (that is, when you are unable or likely unable to pay any debts as and when they are due)</w:t>
      </w:r>
      <w:r>
        <w:rPr>
          <w:rFonts w:ascii="Arial" w:cs="Arial" w:eastAsia="Arial" w:hAnsi="Arial"/>
          <w:sz w:val="12"/>
          <w:szCs w:val="12"/>
          <w:color w:val="414141"/>
        </w:rPr>
        <w:t>.</w:t>
      </w:r>
    </w:p>
    <w:p>
      <w:pPr>
        <w:spacing w:after="0" w:line="264" w:lineRule="exact"/>
        <w:rPr>
          <w:sz w:val="20"/>
          <w:szCs w:val="20"/>
          <w:color w:val="auto"/>
        </w:rPr>
      </w:pPr>
    </w:p>
    <w:p>
      <w:pPr>
        <w:jc w:val="both"/>
        <w:ind w:left="1480" w:right="80" w:hanging="476"/>
        <w:spacing w:after="0" w:line="245" w:lineRule="auto"/>
        <w:tabs>
          <w:tab w:leader="none" w:pos="1460" w:val="left"/>
        </w:tabs>
        <w:rPr>
          <w:sz w:val="20"/>
          <w:szCs w:val="20"/>
          <w:color w:val="auto"/>
        </w:rPr>
      </w:pPr>
      <w:r>
        <w:rPr>
          <w:rFonts w:ascii="Arial" w:cs="Arial" w:eastAsia="Arial" w:hAnsi="Arial"/>
          <w:sz w:val="12"/>
          <w:szCs w:val="12"/>
          <w:color w:val="131313"/>
        </w:rPr>
        <w:t>6.4.2</w:t>
      </w:r>
      <w:r>
        <w:rPr>
          <w:sz w:val="20"/>
          <w:szCs w:val="20"/>
          <w:color w:val="auto"/>
        </w:rPr>
        <w:tab/>
      </w:r>
      <w:r>
        <w:rPr>
          <w:rFonts w:ascii="Arial" w:cs="Arial" w:eastAsia="Arial" w:hAnsi="Arial"/>
          <w:sz w:val="12"/>
          <w:szCs w:val="12"/>
          <w:color w:val="131313"/>
        </w:rPr>
        <w:t>If any of the circumstances in clause 6.4.1 happens, we may re-enter and take possession of all or any part of the Premises at any time, including during the Rent-free Per</w:t>
      </w:r>
      <w:r>
        <w:rPr>
          <w:rFonts w:ascii="Arial" w:cs="Arial" w:eastAsia="Arial" w:hAnsi="Arial"/>
          <w:sz w:val="12"/>
          <w:szCs w:val="12"/>
          <w:color w:val="2D2D2D"/>
        </w:rPr>
        <w:t>i</w:t>
      </w:r>
      <w:r>
        <w:rPr>
          <w:rFonts w:ascii="Arial" w:cs="Arial" w:eastAsia="Arial" w:hAnsi="Arial"/>
          <w:sz w:val="12"/>
          <w:szCs w:val="12"/>
          <w:color w:val="131313"/>
        </w:rPr>
        <w:t xml:space="preserve">od, and even </w:t>
      </w:r>
      <w:r>
        <w:rPr>
          <w:rFonts w:ascii="Arial" w:cs="Arial" w:eastAsia="Arial" w:hAnsi="Arial"/>
          <w:sz w:val="12"/>
          <w:szCs w:val="12"/>
          <w:color w:val="2D2D2D"/>
        </w:rPr>
        <w:t>i</w:t>
      </w:r>
      <w:r>
        <w:rPr>
          <w:rFonts w:ascii="Arial" w:cs="Arial" w:eastAsia="Arial" w:hAnsi="Arial"/>
          <w:sz w:val="12"/>
          <w:szCs w:val="12"/>
          <w:color w:val="131313"/>
        </w:rPr>
        <w:t>f we have previously chosen not to enforce our right of re-entry, and the Term and this Lease will then end on the date of such re-entry or notice</w:t>
      </w:r>
      <w:r>
        <w:rPr>
          <w:rFonts w:ascii="Arial" w:cs="Arial" w:eastAsia="Arial" w:hAnsi="Arial"/>
          <w:sz w:val="12"/>
          <w:szCs w:val="12"/>
          <w:color w:val="2D2D2D"/>
        </w:rPr>
        <w:t>.</w:t>
      </w:r>
      <w:r>
        <w:rPr>
          <w:rFonts w:ascii="Arial" w:cs="Arial" w:eastAsia="Arial" w:hAnsi="Arial"/>
          <w:sz w:val="12"/>
          <w:szCs w:val="12"/>
          <w:color w:val="131313"/>
        </w:rPr>
        <w:t xml:space="preserve"> To avoid any doubt, if you return any keys to us, this does not mean that we have accepted the surrender of the Premises, unless we confirm this in writing</w:t>
      </w:r>
      <w:r>
        <w:rPr>
          <w:rFonts w:ascii="Arial" w:cs="Arial" w:eastAsia="Arial" w:hAnsi="Arial"/>
          <w:sz w:val="12"/>
          <w:szCs w:val="12"/>
          <w:color w:val="414141"/>
        </w:rPr>
        <w:t>.</w:t>
      </w:r>
    </w:p>
    <w:p>
      <w:pPr>
        <w:spacing w:after="0" w:line="192" w:lineRule="exact"/>
        <w:rPr>
          <w:sz w:val="20"/>
          <w:szCs w:val="20"/>
          <w:color w:val="auto"/>
        </w:rPr>
      </w:pPr>
    </w:p>
    <w:p>
      <w:pPr>
        <w:jc w:val="both"/>
        <w:ind w:left="1500" w:right="80" w:hanging="480"/>
        <w:spacing w:after="0" w:line="243" w:lineRule="auto"/>
        <w:tabs>
          <w:tab w:leader="none" w:pos="1480" w:val="left"/>
        </w:tabs>
        <w:rPr>
          <w:sz w:val="20"/>
          <w:szCs w:val="20"/>
          <w:color w:val="auto"/>
        </w:rPr>
      </w:pPr>
      <w:r>
        <w:rPr>
          <w:rFonts w:ascii="Arial" w:cs="Arial" w:eastAsia="Arial" w:hAnsi="Arial"/>
          <w:sz w:val="12"/>
          <w:szCs w:val="12"/>
          <w:color w:val="131313"/>
        </w:rPr>
        <w:t>6.4.3</w:t>
      </w:r>
      <w:r>
        <w:rPr>
          <w:sz w:val="20"/>
          <w:szCs w:val="20"/>
          <w:color w:val="auto"/>
        </w:rPr>
        <w:tab/>
      </w:r>
      <w:r>
        <w:rPr>
          <w:rFonts w:ascii="Arial" w:cs="Arial" w:eastAsia="Arial" w:hAnsi="Arial"/>
          <w:sz w:val="12"/>
          <w:szCs w:val="12"/>
          <w:color w:val="131313"/>
        </w:rPr>
        <w:t>If any of the circumstances in clause 6.4.1 happens, we may notify you to novate (that is</w:t>
      </w:r>
      <w:r>
        <w:rPr>
          <w:rFonts w:ascii="Arial" w:cs="Arial" w:eastAsia="Arial" w:hAnsi="Arial"/>
          <w:sz w:val="12"/>
          <w:szCs w:val="12"/>
          <w:color w:val="2D2D2D"/>
        </w:rPr>
        <w:t>,</w:t>
      </w:r>
      <w:r>
        <w:rPr>
          <w:rFonts w:ascii="Arial" w:cs="Arial" w:eastAsia="Arial" w:hAnsi="Arial"/>
          <w:sz w:val="12"/>
          <w:szCs w:val="12"/>
          <w:color w:val="131313"/>
        </w:rPr>
        <w:t xml:space="preserve"> transfer all or some of your rights and obligations) or assign (that is</w:t>
      </w:r>
      <w:r>
        <w:rPr>
          <w:rFonts w:ascii="Arial" w:cs="Arial" w:eastAsia="Arial" w:hAnsi="Arial"/>
          <w:sz w:val="12"/>
          <w:szCs w:val="12"/>
          <w:color w:val="2D2D2D"/>
        </w:rPr>
        <w:t>,</w:t>
      </w:r>
      <w:r>
        <w:rPr>
          <w:rFonts w:ascii="Arial" w:cs="Arial" w:eastAsia="Arial" w:hAnsi="Arial"/>
          <w:sz w:val="12"/>
          <w:szCs w:val="12"/>
          <w:color w:val="131313"/>
        </w:rPr>
        <w:t xml:space="preserve"> transfer all or some of your rights) your sub-leases to us</w:t>
      </w:r>
      <w:r>
        <w:rPr>
          <w:rFonts w:ascii="Arial" w:cs="Arial" w:eastAsia="Arial" w:hAnsi="Arial"/>
          <w:sz w:val="12"/>
          <w:szCs w:val="12"/>
          <w:color w:val="2D2D2D"/>
        </w:rPr>
        <w:t>,</w:t>
      </w:r>
      <w:r>
        <w:rPr>
          <w:rFonts w:ascii="Arial" w:cs="Arial" w:eastAsia="Arial" w:hAnsi="Arial"/>
          <w:sz w:val="12"/>
          <w:szCs w:val="12"/>
          <w:color w:val="131313"/>
        </w:rPr>
        <w:t xml:space="preserve"> including all rent and any security deposits relating to such sub-tenancies. Upon receiving such notice, you must immed</w:t>
      </w:r>
      <w:r>
        <w:rPr>
          <w:rFonts w:ascii="Arial" w:cs="Arial" w:eastAsia="Arial" w:hAnsi="Arial"/>
          <w:sz w:val="12"/>
          <w:szCs w:val="12"/>
          <w:color w:val="2D2D2D"/>
        </w:rPr>
        <w:t>i</w:t>
      </w:r>
      <w:r>
        <w:rPr>
          <w:rFonts w:ascii="Arial" w:cs="Arial" w:eastAsia="Arial" w:hAnsi="Arial"/>
          <w:sz w:val="12"/>
          <w:szCs w:val="12"/>
          <w:color w:val="131313"/>
        </w:rPr>
        <w:t>ately sign such novation or will be considered to have agreed to such assignment, and must make sure all sub-tenants sign such novation or agree to such assignment, including paying all rent received from such sub-tenancies, directly to us</w:t>
      </w:r>
      <w:r>
        <w:rPr>
          <w:rFonts w:ascii="Arial" w:cs="Arial" w:eastAsia="Arial" w:hAnsi="Arial"/>
          <w:sz w:val="12"/>
          <w:szCs w:val="12"/>
          <w:color w:val="414141"/>
        </w:rPr>
        <w:t>.</w:t>
      </w:r>
    </w:p>
    <w:p>
      <w:pPr>
        <w:spacing w:after="0" w:line="182"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2"/>
          <w:szCs w:val="12"/>
          <w:color w:val="131313"/>
        </w:rPr>
        <w:t>6.4.4</w:t>
      </w:r>
      <w:r>
        <w:rPr>
          <w:sz w:val="20"/>
          <w:szCs w:val="20"/>
          <w:color w:val="auto"/>
        </w:rPr>
        <w:tab/>
      </w:r>
      <w:r>
        <w:rPr>
          <w:rFonts w:ascii="Arial" w:cs="Arial" w:eastAsia="Arial" w:hAnsi="Arial"/>
          <w:sz w:val="11"/>
          <w:szCs w:val="11"/>
          <w:color w:val="131313"/>
        </w:rPr>
        <w:t>If any of the c</w:t>
      </w:r>
      <w:r>
        <w:rPr>
          <w:rFonts w:ascii="Arial" w:cs="Arial" w:eastAsia="Arial" w:hAnsi="Arial"/>
          <w:sz w:val="11"/>
          <w:szCs w:val="11"/>
          <w:color w:val="2D2D2D"/>
        </w:rPr>
        <w:t>i</w:t>
      </w:r>
      <w:r>
        <w:rPr>
          <w:rFonts w:ascii="Arial" w:cs="Arial" w:eastAsia="Arial" w:hAnsi="Arial"/>
          <w:sz w:val="11"/>
          <w:szCs w:val="11"/>
          <w:color w:val="131313"/>
        </w:rPr>
        <w:t>rcumstances in clause 6.4</w:t>
      </w:r>
      <w:r>
        <w:rPr>
          <w:rFonts w:ascii="Arial" w:cs="Arial" w:eastAsia="Arial" w:hAnsi="Arial"/>
          <w:sz w:val="11"/>
          <w:szCs w:val="11"/>
          <w:color w:val="2D2D2D"/>
        </w:rPr>
        <w:t>.</w:t>
      </w:r>
      <w:r>
        <w:rPr>
          <w:rFonts w:ascii="Arial" w:cs="Arial" w:eastAsia="Arial" w:hAnsi="Arial"/>
          <w:sz w:val="11"/>
          <w:szCs w:val="11"/>
          <w:color w:val="131313"/>
        </w:rPr>
        <w:t>1 happens, you must, if we give you notice, leave on the Premises any of your property that we may require as set out in such notice</w:t>
      </w:r>
      <w:r>
        <w:rPr>
          <w:rFonts w:ascii="Arial" w:cs="Arial" w:eastAsia="Arial" w:hAnsi="Arial"/>
          <w:sz w:val="11"/>
          <w:szCs w:val="11"/>
          <w:color w:val="4F4F4F"/>
        </w:rPr>
        <w:t>.</w:t>
      </w:r>
    </w:p>
    <w:p>
      <w:pPr>
        <w:spacing w:after="0" w:line="190" w:lineRule="exact"/>
        <w:rPr>
          <w:sz w:val="20"/>
          <w:szCs w:val="20"/>
          <w:color w:val="auto"/>
        </w:rPr>
      </w:pPr>
    </w:p>
    <w:p>
      <w:pPr>
        <w:ind w:left="1020"/>
        <w:spacing w:after="0"/>
        <w:tabs>
          <w:tab w:leader="none" w:pos="1480" w:val="left"/>
        </w:tabs>
        <w:rPr>
          <w:sz w:val="20"/>
          <w:szCs w:val="20"/>
          <w:color w:val="auto"/>
        </w:rPr>
      </w:pPr>
      <w:r>
        <w:rPr>
          <w:rFonts w:ascii="Arial" w:cs="Arial" w:eastAsia="Arial" w:hAnsi="Arial"/>
          <w:sz w:val="12"/>
          <w:szCs w:val="12"/>
          <w:color w:val="131313"/>
        </w:rPr>
        <w:t>6.4.5</w:t>
      </w:r>
      <w:r>
        <w:rPr>
          <w:sz w:val="20"/>
          <w:szCs w:val="20"/>
          <w:color w:val="auto"/>
        </w:rPr>
        <w:tab/>
      </w:r>
      <w:r>
        <w:rPr>
          <w:rFonts w:ascii="Arial" w:cs="Arial" w:eastAsia="Arial" w:hAnsi="Arial"/>
          <w:sz w:val="11"/>
          <w:szCs w:val="11"/>
          <w:color w:val="131313"/>
        </w:rPr>
        <w:t>If we end this Lease in line with clause 6</w:t>
      </w:r>
      <w:r>
        <w:rPr>
          <w:rFonts w:ascii="Arial" w:cs="Arial" w:eastAsia="Arial" w:hAnsi="Arial"/>
          <w:sz w:val="11"/>
          <w:szCs w:val="11"/>
          <w:color w:val="2D2D2D"/>
        </w:rPr>
        <w:t>.</w:t>
      </w:r>
      <w:r>
        <w:rPr>
          <w:rFonts w:ascii="Arial" w:cs="Arial" w:eastAsia="Arial" w:hAnsi="Arial"/>
          <w:sz w:val="11"/>
          <w:szCs w:val="11"/>
          <w:color w:val="131313"/>
        </w:rPr>
        <w:t>4.2</w:t>
      </w:r>
      <w:r>
        <w:rPr>
          <w:rFonts w:ascii="Arial" w:cs="Arial" w:eastAsia="Arial" w:hAnsi="Arial"/>
          <w:sz w:val="11"/>
          <w:szCs w:val="11"/>
          <w:color w:val="2D2D2D"/>
        </w:rPr>
        <w:t>:</w:t>
      </w:r>
    </w:p>
    <w:p>
      <w:pPr>
        <w:spacing w:after="0" w:line="190" w:lineRule="exact"/>
        <w:rPr>
          <w:sz w:val="20"/>
          <w:szCs w:val="20"/>
          <w:color w:val="auto"/>
        </w:rPr>
      </w:pPr>
    </w:p>
    <w:p>
      <w:pPr>
        <w:ind w:left="1720" w:hanging="233"/>
        <w:spacing w:after="0"/>
        <w:tabs>
          <w:tab w:leader="none" w:pos="1720" w:val="left"/>
        </w:tabs>
        <w:numPr>
          <w:ilvl w:val="0"/>
          <w:numId w:val="91"/>
        </w:numPr>
        <w:rPr>
          <w:rFonts w:ascii="Arial" w:cs="Arial" w:eastAsia="Arial" w:hAnsi="Arial"/>
          <w:sz w:val="12"/>
          <w:szCs w:val="12"/>
          <w:color w:val="131313"/>
        </w:rPr>
      </w:pPr>
      <w:r>
        <w:rPr>
          <w:rFonts w:ascii="Arial" w:cs="Arial" w:eastAsia="Arial" w:hAnsi="Arial"/>
          <w:sz w:val="12"/>
          <w:szCs w:val="12"/>
          <w:color w:val="131313"/>
        </w:rPr>
        <w:t>your interest in and the rights to the Premises will end;</w:t>
      </w:r>
    </w:p>
    <w:p>
      <w:pPr>
        <w:spacing w:after="0" w:line="200" w:lineRule="exact"/>
        <w:rPr>
          <w:rFonts w:ascii="Arial" w:cs="Arial" w:eastAsia="Arial" w:hAnsi="Arial"/>
          <w:sz w:val="12"/>
          <w:szCs w:val="12"/>
          <w:color w:val="131313"/>
        </w:rPr>
      </w:pPr>
    </w:p>
    <w:p>
      <w:pPr>
        <w:ind w:left="1720" w:hanging="233"/>
        <w:spacing w:after="0"/>
        <w:tabs>
          <w:tab w:leader="none" w:pos="1720" w:val="left"/>
        </w:tabs>
        <w:numPr>
          <w:ilvl w:val="0"/>
          <w:numId w:val="91"/>
        </w:numPr>
        <w:rPr>
          <w:rFonts w:ascii="Arial" w:cs="Arial" w:eastAsia="Arial" w:hAnsi="Arial"/>
          <w:sz w:val="12"/>
          <w:szCs w:val="12"/>
          <w:color w:val="131313"/>
        </w:rPr>
      </w:pPr>
      <w:r>
        <w:rPr>
          <w:rFonts w:ascii="Arial" w:cs="Arial" w:eastAsia="Arial" w:hAnsi="Arial"/>
          <w:sz w:val="12"/>
          <w:szCs w:val="12"/>
          <w:color w:val="131313"/>
        </w:rPr>
        <w:t>you must move out of the Premises immediately, except that you must still carry out the Reinstatement Works in line with clause 4</w:t>
      </w:r>
      <w:r>
        <w:rPr>
          <w:rFonts w:ascii="Arial" w:cs="Arial" w:eastAsia="Arial" w:hAnsi="Arial"/>
          <w:sz w:val="12"/>
          <w:szCs w:val="12"/>
          <w:color w:val="2D2D2D"/>
        </w:rPr>
        <w:t>.</w:t>
      </w:r>
      <w:r>
        <w:rPr>
          <w:rFonts w:ascii="Arial" w:cs="Arial" w:eastAsia="Arial" w:hAnsi="Arial"/>
          <w:sz w:val="12"/>
          <w:szCs w:val="12"/>
          <w:color w:val="131313"/>
        </w:rPr>
        <w:t>3 unless we notify you otherwise;</w:t>
      </w:r>
    </w:p>
    <w:p>
      <w:pPr>
        <w:spacing w:after="0" w:line="200" w:lineRule="exact"/>
        <w:rPr>
          <w:rFonts w:ascii="Arial" w:cs="Arial" w:eastAsia="Arial" w:hAnsi="Arial"/>
          <w:sz w:val="12"/>
          <w:szCs w:val="12"/>
          <w:color w:val="131313"/>
        </w:rPr>
      </w:pPr>
    </w:p>
    <w:p>
      <w:pPr>
        <w:ind w:left="1720" w:hanging="233"/>
        <w:spacing w:after="0"/>
        <w:tabs>
          <w:tab w:leader="none" w:pos="1720" w:val="left"/>
        </w:tabs>
        <w:numPr>
          <w:ilvl w:val="0"/>
          <w:numId w:val="91"/>
        </w:numPr>
        <w:rPr>
          <w:rFonts w:ascii="Arial" w:cs="Arial" w:eastAsia="Arial" w:hAnsi="Arial"/>
          <w:sz w:val="12"/>
          <w:szCs w:val="12"/>
          <w:color w:val="131313"/>
        </w:rPr>
      </w:pPr>
      <w:r>
        <w:rPr>
          <w:rFonts w:ascii="Arial" w:cs="Arial" w:eastAsia="Arial" w:hAnsi="Arial"/>
          <w:sz w:val="12"/>
          <w:szCs w:val="12"/>
          <w:color w:val="131313"/>
        </w:rPr>
        <w:t>you will forfeit (that is, g</w:t>
      </w:r>
      <w:r>
        <w:rPr>
          <w:rFonts w:ascii="Arial" w:cs="Arial" w:eastAsia="Arial" w:hAnsi="Arial"/>
          <w:sz w:val="12"/>
          <w:szCs w:val="12"/>
          <w:color w:val="2D2D2D"/>
        </w:rPr>
        <w:t>i</w:t>
      </w:r>
      <w:r>
        <w:rPr>
          <w:rFonts w:ascii="Arial" w:cs="Arial" w:eastAsia="Arial" w:hAnsi="Arial"/>
          <w:sz w:val="12"/>
          <w:szCs w:val="12"/>
          <w:color w:val="131313"/>
        </w:rPr>
        <w:t>ve up the right to claim) any money or deposits you have paid to us;</w:t>
      </w:r>
    </w:p>
    <w:p>
      <w:pPr>
        <w:spacing w:after="0" w:line="190" w:lineRule="exact"/>
        <w:rPr>
          <w:rFonts w:ascii="Arial" w:cs="Arial" w:eastAsia="Arial" w:hAnsi="Arial"/>
          <w:sz w:val="12"/>
          <w:szCs w:val="12"/>
          <w:color w:val="131313"/>
        </w:rPr>
      </w:pPr>
    </w:p>
    <w:p>
      <w:pPr>
        <w:jc w:val="both"/>
        <w:ind w:left="1740" w:hanging="253"/>
        <w:spacing w:after="0" w:line="245" w:lineRule="auto"/>
        <w:tabs>
          <w:tab w:leader="none" w:pos="1738" w:val="left"/>
        </w:tabs>
        <w:numPr>
          <w:ilvl w:val="0"/>
          <w:numId w:val="91"/>
        </w:numPr>
        <w:rPr>
          <w:rFonts w:ascii="Arial" w:cs="Arial" w:eastAsia="Arial" w:hAnsi="Arial"/>
          <w:sz w:val="12"/>
          <w:szCs w:val="12"/>
          <w:color w:val="auto"/>
        </w:rPr>
      </w:pPr>
      <w:r>
        <w:rPr>
          <w:rFonts w:ascii="Arial" w:cs="Arial" w:eastAsia="Arial" w:hAnsi="Arial"/>
          <w:sz w:val="12"/>
          <w:szCs w:val="12"/>
          <w:color w:val="131313"/>
        </w:rPr>
        <w:t>you must indemn</w:t>
      </w:r>
      <w:r>
        <w:rPr>
          <w:rFonts w:ascii="Arial" w:cs="Arial" w:eastAsia="Arial" w:hAnsi="Arial"/>
          <w:sz w:val="12"/>
          <w:szCs w:val="12"/>
          <w:color w:val="2D2D2D"/>
        </w:rPr>
        <w:t>i</w:t>
      </w:r>
      <w:r>
        <w:rPr>
          <w:rFonts w:ascii="Arial" w:cs="Arial" w:eastAsia="Arial" w:hAnsi="Arial"/>
          <w:sz w:val="12"/>
          <w:szCs w:val="12"/>
          <w:color w:val="131313"/>
        </w:rPr>
        <w:t>fy us (that is, pay all our losses in full without d</w:t>
      </w:r>
      <w:r>
        <w:rPr>
          <w:rFonts w:ascii="Arial" w:cs="Arial" w:eastAsia="Arial" w:hAnsi="Arial"/>
          <w:sz w:val="12"/>
          <w:szCs w:val="12"/>
          <w:color w:val="2D2D2D"/>
        </w:rPr>
        <w:t>i</w:t>
      </w:r>
      <w:r>
        <w:rPr>
          <w:rFonts w:ascii="Arial" w:cs="Arial" w:eastAsia="Arial" w:hAnsi="Arial"/>
          <w:sz w:val="12"/>
          <w:szCs w:val="12"/>
          <w:color w:val="131313"/>
        </w:rPr>
        <w:t>spute or claim that we should have minimised such losses) from and against all Losses we suffer as a result of re-entering the Premises</w:t>
      </w:r>
      <w:r>
        <w:rPr>
          <w:rFonts w:ascii="Arial" w:cs="Arial" w:eastAsia="Arial" w:hAnsi="Arial"/>
          <w:sz w:val="12"/>
          <w:szCs w:val="12"/>
          <w:color w:val="2D2D2D"/>
        </w:rPr>
        <w:t>,</w:t>
      </w:r>
      <w:r>
        <w:rPr>
          <w:rFonts w:ascii="Arial" w:cs="Arial" w:eastAsia="Arial" w:hAnsi="Arial"/>
          <w:sz w:val="12"/>
          <w:szCs w:val="12"/>
          <w:color w:val="131313"/>
        </w:rPr>
        <w:t xml:space="preserve"> including Gross Rent for the Rent-free Period, any Gross Rent which you would have pa</w:t>
      </w:r>
      <w:r>
        <w:rPr>
          <w:rFonts w:ascii="Arial" w:cs="Arial" w:eastAsia="Arial" w:hAnsi="Arial"/>
          <w:sz w:val="12"/>
          <w:szCs w:val="12"/>
          <w:color w:val="2D2D2D"/>
        </w:rPr>
        <w:t>i</w:t>
      </w:r>
      <w:r>
        <w:rPr>
          <w:rFonts w:ascii="Arial" w:cs="Arial" w:eastAsia="Arial" w:hAnsi="Arial"/>
          <w:sz w:val="12"/>
          <w:szCs w:val="12"/>
          <w:color w:val="131313"/>
        </w:rPr>
        <w:t>d if the Term had been completed, and all our costs and expenses of re-letting or trying to re-let the Premises); and</w:t>
      </w:r>
    </w:p>
    <w:p>
      <w:pPr>
        <w:spacing w:after="0" w:line="181" w:lineRule="exact"/>
        <w:rPr>
          <w:rFonts w:ascii="Arial" w:cs="Arial" w:eastAsia="Arial" w:hAnsi="Arial"/>
          <w:sz w:val="12"/>
          <w:szCs w:val="12"/>
          <w:color w:val="auto"/>
        </w:rPr>
      </w:pPr>
    </w:p>
    <w:p>
      <w:pPr>
        <w:ind w:left="1760" w:hanging="273"/>
        <w:spacing w:after="0"/>
        <w:tabs>
          <w:tab w:leader="none" w:pos="1760" w:val="left"/>
        </w:tabs>
        <w:numPr>
          <w:ilvl w:val="0"/>
          <w:numId w:val="91"/>
        </w:numPr>
        <w:rPr>
          <w:rFonts w:ascii="Arial" w:cs="Arial" w:eastAsia="Arial" w:hAnsi="Arial"/>
          <w:sz w:val="12"/>
          <w:szCs w:val="12"/>
          <w:color w:val="131313"/>
        </w:rPr>
      </w:pPr>
      <w:r>
        <w:rPr>
          <w:rFonts w:ascii="Arial" w:cs="Arial" w:eastAsia="Arial" w:hAnsi="Arial"/>
          <w:sz w:val="12"/>
          <w:szCs w:val="12"/>
          <w:color w:val="131313"/>
        </w:rPr>
        <w:t>you will not have any claim against us for any Losses you suffer due to us ending this Lease</w:t>
      </w:r>
      <w:r>
        <w:rPr>
          <w:rFonts w:ascii="Arial" w:cs="Arial" w:eastAsia="Arial" w:hAnsi="Arial"/>
          <w:sz w:val="12"/>
          <w:szCs w:val="12"/>
          <w:color w:val="2D2D2D"/>
        </w:rPr>
        <w:t>.</w:t>
      </w:r>
    </w:p>
    <w:p>
      <w:pPr>
        <w:spacing w:after="0" w:line="254" w:lineRule="exact"/>
        <w:rPr>
          <w:sz w:val="20"/>
          <w:szCs w:val="20"/>
          <w:color w:val="auto"/>
        </w:rPr>
      </w:pPr>
    </w:p>
    <w:p>
      <w:pPr>
        <w:ind w:left="1020"/>
        <w:spacing w:after="0"/>
        <w:tabs>
          <w:tab w:leader="none" w:pos="1460" w:val="left"/>
        </w:tabs>
        <w:rPr>
          <w:sz w:val="20"/>
          <w:szCs w:val="20"/>
          <w:color w:val="auto"/>
        </w:rPr>
      </w:pPr>
      <w:r>
        <w:rPr>
          <w:rFonts w:ascii="Arial" w:cs="Arial" w:eastAsia="Arial" w:hAnsi="Arial"/>
          <w:sz w:val="12"/>
          <w:szCs w:val="12"/>
          <w:color w:val="151515"/>
        </w:rPr>
        <w:t>6.5.</w:t>
      </w:r>
      <w:r>
        <w:rPr>
          <w:sz w:val="20"/>
          <w:szCs w:val="20"/>
          <w:color w:val="auto"/>
        </w:rPr>
        <w:tab/>
      </w:r>
      <w:r>
        <w:rPr>
          <w:rFonts w:ascii="Arial" w:cs="Arial" w:eastAsia="Arial" w:hAnsi="Arial"/>
          <w:sz w:val="11"/>
          <w:szCs w:val="11"/>
          <w:u w:val="single" w:color="auto"/>
          <w:color w:val="151515"/>
        </w:rPr>
        <w:t>Rem</w:t>
      </w:r>
      <w:r>
        <w:rPr>
          <w:rFonts w:ascii="Arial" w:cs="Arial" w:eastAsia="Arial" w:hAnsi="Arial"/>
          <w:sz w:val="11"/>
          <w:szCs w:val="11"/>
          <w:u w:val="single" w:color="auto"/>
          <w:color w:val="363636"/>
        </w:rPr>
        <w:t>o</w:t>
      </w:r>
      <w:r>
        <w:rPr>
          <w:rFonts w:ascii="Arial" w:cs="Arial" w:eastAsia="Arial" w:hAnsi="Arial"/>
          <w:sz w:val="11"/>
          <w:szCs w:val="11"/>
          <w:u w:val="single" w:color="auto"/>
          <w:color w:val="151515"/>
        </w:rPr>
        <w:t>vi</w:t>
      </w:r>
      <w:r>
        <w:rPr>
          <w:rFonts w:ascii="Arial" w:cs="Arial" w:eastAsia="Arial" w:hAnsi="Arial"/>
          <w:sz w:val="11"/>
          <w:szCs w:val="11"/>
          <w:u w:val="single" w:color="auto"/>
          <w:color w:val="363636"/>
        </w:rPr>
        <w:t>n</w:t>
      </w:r>
      <w:r>
        <w:rPr>
          <w:rFonts w:ascii="Arial" w:cs="Arial" w:eastAsia="Arial" w:hAnsi="Arial"/>
          <w:sz w:val="11"/>
          <w:szCs w:val="11"/>
          <w:u w:val="single" w:color="auto"/>
          <w:color w:val="151515"/>
        </w:rPr>
        <w:t>g yo</w:t>
      </w:r>
      <w:r>
        <w:rPr>
          <w:rFonts w:ascii="Arial" w:cs="Arial" w:eastAsia="Arial" w:hAnsi="Arial"/>
          <w:sz w:val="11"/>
          <w:szCs w:val="11"/>
          <w:u w:val="single" w:color="auto"/>
          <w:color w:val="363636"/>
        </w:rPr>
        <w:t>u</w:t>
      </w:r>
      <w:r>
        <w:rPr>
          <w:rFonts w:ascii="Arial" w:cs="Arial" w:eastAsia="Arial" w:hAnsi="Arial"/>
          <w:sz w:val="11"/>
          <w:szCs w:val="11"/>
          <w:u w:val="single" w:color="auto"/>
          <w:color w:val="151515"/>
        </w:rPr>
        <w:t>r prop</w:t>
      </w:r>
      <w:r>
        <w:rPr>
          <w:rFonts w:ascii="Arial" w:cs="Arial" w:eastAsia="Arial" w:hAnsi="Arial"/>
          <w:sz w:val="11"/>
          <w:szCs w:val="11"/>
          <w:u w:val="single" w:color="auto"/>
          <w:color w:val="363636"/>
        </w:rPr>
        <w:t>e</w:t>
      </w:r>
      <w:r>
        <w:rPr>
          <w:rFonts w:ascii="Arial" w:cs="Arial" w:eastAsia="Arial" w:hAnsi="Arial"/>
          <w:sz w:val="11"/>
          <w:szCs w:val="11"/>
          <w:u w:val="single" w:color="auto"/>
          <w:color w:val="151515"/>
        </w:rPr>
        <w:t>rty</w:t>
      </w:r>
    </w:p>
    <w:p>
      <w:pPr>
        <w:spacing w:after="0" w:line="190" w:lineRule="exact"/>
        <w:rPr>
          <w:sz w:val="20"/>
          <w:szCs w:val="20"/>
          <w:color w:val="auto"/>
        </w:rPr>
      </w:pPr>
    </w:p>
    <w:p>
      <w:pPr>
        <w:ind w:left="1500" w:hanging="480"/>
        <w:spacing w:after="0" w:line="250" w:lineRule="auto"/>
        <w:tabs>
          <w:tab w:leader="none" w:pos="1480" w:val="left"/>
        </w:tabs>
        <w:rPr>
          <w:sz w:val="20"/>
          <w:szCs w:val="20"/>
          <w:color w:val="auto"/>
        </w:rPr>
      </w:pPr>
      <w:r>
        <w:rPr>
          <w:rFonts w:ascii="Arial" w:cs="Arial" w:eastAsia="Arial" w:hAnsi="Arial"/>
          <w:sz w:val="12"/>
          <w:szCs w:val="12"/>
          <w:color w:val="151515"/>
        </w:rPr>
        <w:t>6.5.1</w:t>
      </w:r>
      <w:r>
        <w:rPr>
          <w:sz w:val="20"/>
          <w:szCs w:val="20"/>
          <w:color w:val="auto"/>
        </w:rPr>
        <w:tab/>
      </w:r>
      <w:r>
        <w:rPr>
          <w:rFonts w:ascii="Arial" w:cs="Arial" w:eastAsia="Arial" w:hAnsi="Arial"/>
          <w:sz w:val="12"/>
          <w:szCs w:val="12"/>
          <w:color w:val="151515"/>
        </w:rPr>
        <w:t>If you leave any of your property at the Premises when this Lease ends, we have the right to dispose of it in whatever way we consider appropriate, and you must pay any costs involved</w:t>
      </w:r>
      <w:r>
        <w:rPr>
          <w:rFonts w:ascii="Arial" w:cs="Arial" w:eastAsia="Arial" w:hAnsi="Arial"/>
          <w:sz w:val="12"/>
          <w:szCs w:val="12"/>
          <w:color w:val="5E5E5E"/>
        </w:rPr>
        <w:t>.</w:t>
      </w:r>
      <w:r>
        <w:rPr>
          <w:rFonts w:ascii="Arial" w:cs="Arial" w:eastAsia="Arial" w:hAnsi="Arial"/>
          <w:sz w:val="12"/>
          <w:szCs w:val="12"/>
          <w:color w:val="151515"/>
        </w:rPr>
        <w:t xml:space="preserve"> You will not have any claim against us for any Losses which you may suffer due to us removing any property from the Premises under this clause 6.5</w:t>
      </w:r>
      <w:r>
        <w:rPr>
          <w:rFonts w:ascii="Arial" w:cs="Arial" w:eastAsia="Arial" w:hAnsi="Arial"/>
          <w:sz w:val="12"/>
          <w:szCs w:val="12"/>
          <w:color w:val="363636"/>
        </w:rPr>
        <w:t>.</w:t>
      </w:r>
    </w:p>
    <w:p>
      <w:pPr>
        <w:spacing w:after="0" w:line="178" w:lineRule="exact"/>
        <w:rPr>
          <w:sz w:val="20"/>
          <w:szCs w:val="20"/>
          <w:color w:val="auto"/>
        </w:rPr>
      </w:pPr>
    </w:p>
    <w:p>
      <w:pPr>
        <w:ind w:left="1500" w:hanging="480"/>
        <w:spacing w:after="0" w:line="250" w:lineRule="auto"/>
        <w:tabs>
          <w:tab w:leader="none" w:pos="1480" w:val="left"/>
        </w:tabs>
        <w:rPr>
          <w:sz w:val="20"/>
          <w:szCs w:val="20"/>
          <w:color w:val="auto"/>
        </w:rPr>
      </w:pPr>
      <w:r>
        <w:rPr>
          <w:rFonts w:ascii="Arial" w:cs="Arial" w:eastAsia="Arial" w:hAnsi="Arial"/>
          <w:sz w:val="12"/>
          <w:szCs w:val="12"/>
          <w:color w:val="151515"/>
        </w:rPr>
        <w:t>6.5.2</w:t>
      </w:r>
      <w:r>
        <w:rPr>
          <w:sz w:val="20"/>
          <w:szCs w:val="20"/>
          <w:color w:val="auto"/>
        </w:rPr>
        <w:tab/>
      </w:r>
      <w:r>
        <w:rPr>
          <w:rFonts w:ascii="Arial" w:cs="Arial" w:eastAsia="Arial" w:hAnsi="Arial"/>
          <w:sz w:val="12"/>
          <w:szCs w:val="12"/>
          <w:color w:val="151515"/>
        </w:rPr>
        <w:t>If we sell your property under clause 6.5.1 above, we may use the proceeds from the sale to pay our costs, expenses, Interest and any other money you owe us under this Lease. If there is any money left over, we will return such monies to you</w:t>
      </w:r>
      <w:r>
        <w:rPr>
          <w:rFonts w:ascii="Arial" w:cs="Arial" w:eastAsia="Arial" w:hAnsi="Arial"/>
          <w:sz w:val="12"/>
          <w:szCs w:val="12"/>
          <w:color w:val="36363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29</w:t>
            </w:r>
          </w:p>
        </w:tc>
      </w:tr>
    </w:tbl>
    <w:p>
      <w:pPr>
        <w:sectPr>
          <w:pgSz w:w="11900" w:h="16838" w:orient="portrait"/>
          <w:cols w:equalWidth="0" w:num="1">
            <w:col w:w="11280"/>
          </w:cols>
          <w:pgMar w:left="300" w:top="1440" w:right="319" w:bottom="1440" w:gutter="0" w:footer="0" w:header="0"/>
        </w:sectPr>
      </w:pPr>
    </w:p>
    <w:bookmarkStart w:id="151" w:name="page152"/>
    <w:bookmarkEnd w:id="151"/>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9">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ind w:left="500" w:hanging="484"/>
        <w:spacing w:after="0" w:line="250" w:lineRule="auto"/>
        <w:tabs>
          <w:tab w:leader="none" w:pos="480" w:val="left"/>
        </w:tabs>
        <w:rPr>
          <w:sz w:val="20"/>
          <w:szCs w:val="20"/>
          <w:color w:val="auto"/>
        </w:rPr>
      </w:pPr>
      <w:r>
        <w:rPr>
          <w:rFonts w:ascii="Arial" w:cs="Arial" w:eastAsia="Arial" w:hAnsi="Arial"/>
          <w:sz w:val="12"/>
          <w:szCs w:val="12"/>
          <w:color w:val="151515"/>
        </w:rPr>
        <w:t>6.5.3</w:t>
        <w:tab/>
        <w:t>You must indemnify us (that is, pay all our losses in full without dispute or claim that we should have minimised such losses) against any Losses we have to any third party whose property we deal with or dispose of because we mistakenly believe it is yours.</w:t>
      </w:r>
    </w:p>
    <w:p>
      <w:pPr>
        <w:spacing w:after="0" w:line="189" w:lineRule="exact"/>
        <w:rPr>
          <w:sz w:val="20"/>
          <w:szCs w:val="20"/>
          <w:color w:val="auto"/>
        </w:rPr>
      </w:pPr>
    </w:p>
    <w:p>
      <w:pPr>
        <w:ind w:left="80"/>
        <w:spacing w:after="0"/>
        <w:tabs>
          <w:tab w:leader="none" w:pos="460" w:val="left"/>
        </w:tabs>
        <w:rPr>
          <w:sz w:val="20"/>
          <w:szCs w:val="20"/>
          <w:color w:val="auto"/>
        </w:rPr>
      </w:pPr>
      <w:r>
        <w:rPr>
          <w:rFonts w:ascii="Arial" w:cs="Arial" w:eastAsia="Arial" w:hAnsi="Arial"/>
          <w:sz w:val="12"/>
          <w:szCs w:val="12"/>
          <w:color w:val="151515"/>
        </w:rPr>
        <w:t>6.5.4</w:t>
      </w:r>
      <w:r>
        <w:rPr>
          <w:sz w:val="20"/>
          <w:szCs w:val="20"/>
          <w:color w:val="auto"/>
        </w:rPr>
        <w:tab/>
      </w:r>
      <w:r>
        <w:rPr>
          <w:rFonts w:ascii="Arial" w:cs="Arial" w:eastAsia="Arial" w:hAnsi="Arial"/>
          <w:sz w:val="11"/>
          <w:szCs w:val="11"/>
          <w:color w:val="151515"/>
        </w:rPr>
        <w:t>This clause 6.5 will not be affected by, and will survive</w:t>
      </w:r>
      <w:r>
        <w:rPr>
          <w:rFonts w:ascii="Arial" w:cs="Arial" w:eastAsia="Arial" w:hAnsi="Arial"/>
          <w:sz w:val="11"/>
          <w:szCs w:val="11"/>
          <w:color w:val="363636"/>
        </w:rPr>
        <w:t>,</w:t>
      </w:r>
      <w:r>
        <w:rPr>
          <w:rFonts w:ascii="Arial" w:cs="Arial" w:eastAsia="Arial" w:hAnsi="Arial"/>
          <w:sz w:val="11"/>
          <w:szCs w:val="11"/>
          <w:color w:val="151515"/>
        </w:rPr>
        <w:t xml:space="preserve"> the Term coming to an end or this Lease being brought to an end early</w:t>
      </w:r>
      <w:r>
        <w:rPr>
          <w:rFonts w:ascii="Arial" w:cs="Arial" w:eastAsia="Arial" w:hAnsi="Arial"/>
          <w:sz w:val="11"/>
          <w:szCs w:val="11"/>
          <w:color w:val="363636"/>
        </w:rPr>
        <w:t>.</w:t>
      </w:r>
    </w:p>
    <w:p>
      <w:pPr>
        <w:spacing w:after="0" w:line="190"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2"/>
          <w:szCs w:val="12"/>
          <w:color w:val="151515"/>
        </w:rPr>
        <w:t>6.6</w:t>
      </w:r>
      <w:r>
        <w:rPr>
          <w:sz w:val="20"/>
          <w:szCs w:val="20"/>
          <w:color w:val="auto"/>
        </w:rPr>
        <w:tab/>
      </w:r>
      <w:r>
        <w:rPr>
          <w:rFonts w:ascii="Arial" w:cs="Arial" w:eastAsia="Arial" w:hAnsi="Arial"/>
          <w:sz w:val="11"/>
          <w:szCs w:val="11"/>
          <w:u w:val="single" w:color="auto"/>
          <w:color w:val="151515"/>
        </w:rPr>
        <w:t>Government takeover under the Lan</w:t>
      </w:r>
      <w:r>
        <w:rPr>
          <w:rFonts w:ascii="Arial" w:cs="Arial" w:eastAsia="Arial" w:hAnsi="Arial"/>
          <w:sz w:val="11"/>
          <w:szCs w:val="11"/>
          <w:u w:val="single" w:color="auto"/>
          <w:color w:val="363636"/>
        </w:rPr>
        <w:t>d</w:t>
      </w:r>
      <w:r>
        <w:rPr>
          <w:rFonts w:ascii="Arial" w:cs="Arial" w:eastAsia="Arial" w:hAnsi="Arial"/>
          <w:sz w:val="11"/>
          <w:szCs w:val="11"/>
          <w:u w:val="single" w:color="auto"/>
          <w:color w:val="151515"/>
        </w:rPr>
        <w:t xml:space="preserve"> Acqu</w:t>
      </w:r>
      <w:r>
        <w:rPr>
          <w:rFonts w:ascii="Arial" w:cs="Arial" w:eastAsia="Arial" w:hAnsi="Arial"/>
          <w:sz w:val="11"/>
          <w:szCs w:val="11"/>
          <w:u w:val="single" w:color="auto"/>
          <w:color w:val="363636"/>
        </w:rPr>
        <w:t>i</w:t>
      </w:r>
      <w:r>
        <w:rPr>
          <w:rFonts w:ascii="Arial" w:cs="Arial" w:eastAsia="Arial" w:hAnsi="Arial"/>
          <w:sz w:val="11"/>
          <w:szCs w:val="11"/>
          <w:u w:val="single" w:color="auto"/>
          <w:color w:val="151515"/>
        </w:rPr>
        <w:t>si</w:t>
      </w:r>
      <w:r>
        <w:rPr>
          <w:rFonts w:ascii="Arial" w:cs="Arial" w:eastAsia="Arial" w:hAnsi="Arial"/>
          <w:sz w:val="11"/>
          <w:szCs w:val="11"/>
          <w:u w:val="single" w:color="auto"/>
          <w:color w:val="363636"/>
        </w:rPr>
        <w:t>t</w:t>
      </w:r>
      <w:r>
        <w:rPr>
          <w:rFonts w:ascii="Arial" w:cs="Arial" w:eastAsia="Arial" w:hAnsi="Arial"/>
          <w:sz w:val="11"/>
          <w:szCs w:val="11"/>
          <w:u w:val="single" w:color="auto"/>
          <w:color w:val="5E5E5E"/>
        </w:rPr>
        <w:t>i</w:t>
      </w:r>
      <w:r>
        <w:rPr>
          <w:rFonts w:ascii="Arial" w:cs="Arial" w:eastAsia="Arial" w:hAnsi="Arial"/>
          <w:sz w:val="11"/>
          <w:szCs w:val="11"/>
          <w:u w:val="single" w:color="auto"/>
          <w:color w:val="151515"/>
        </w:rPr>
        <w:t>on A</w:t>
      </w:r>
      <w:r>
        <w:rPr>
          <w:rFonts w:ascii="Arial" w:cs="Arial" w:eastAsia="Arial" w:hAnsi="Arial"/>
          <w:sz w:val="11"/>
          <w:szCs w:val="11"/>
          <w:u w:val="single" w:color="auto"/>
          <w:color w:val="363636"/>
        </w:rPr>
        <w:t>ct</w:t>
      </w:r>
      <w:r>
        <w:rPr>
          <w:rFonts w:ascii="Arial" w:cs="Arial" w:eastAsia="Arial" w:hAnsi="Arial"/>
          <w:sz w:val="11"/>
          <w:szCs w:val="11"/>
          <w:u w:val="single" w:color="auto"/>
          <w:color w:val="151515"/>
        </w:rPr>
        <w:t xml:space="preserve"> (C</w:t>
      </w:r>
      <w:r>
        <w:rPr>
          <w:rFonts w:ascii="Arial" w:cs="Arial" w:eastAsia="Arial" w:hAnsi="Arial"/>
          <w:sz w:val="11"/>
          <w:szCs w:val="11"/>
          <w:u w:val="single" w:color="auto"/>
          <w:color w:val="363636"/>
        </w:rPr>
        <w:t>h</w:t>
      </w:r>
      <w:r>
        <w:rPr>
          <w:rFonts w:ascii="Arial" w:cs="Arial" w:eastAsia="Arial" w:hAnsi="Arial"/>
          <w:sz w:val="11"/>
          <w:szCs w:val="11"/>
          <w:u w:val="single" w:color="auto"/>
          <w:color w:val="151515"/>
        </w:rPr>
        <w:t>ap</w:t>
      </w:r>
      <w:r>
        <w:rPr>
          <w:rFonts w:ascii="Arial" w:cs="Arial" w:eastAsia="Arial" w:hAnsi="Arial"/>
          <w:sz w:val="11"/>
          <w:szCs w:val="11"/>
          <w:u w:val="single" w:color="auto"/>
          <w:color w:val="363636"/>
        </w:rPr>
        <w:t>t</w:t>
      </w:r>
      <w:r>
        <w:rPr>
          <w:rFonts w:ascii="Arial" w:cs="Arial" w:eastAsia="Arial" w:hAnsi="Arial"/>
          <w:sz w:val="11"/>
          <w:szCs w:val="11"/>
          <w:u w:val="single" w:color="auto"/>
          <w:color w:val="151515"/>
        </w:rPr>
        <w:t xml:space="preserve">er </w:t>
      </w:r>
      <w:r>
        <w:rPr>
          <w:rFonts w:ascii="Arial" w:cs="Arial" w:eastAsia="Arial" w:hAnsi="Arial"/>
          <w:sz w:val="11"/>
          <w:szCs w:val="11"/>
          <w:u w:val="single" w:color="auto"/>
          <w:color w:val="363636"/>
        </w:rPr>
        <w:t>15</w:t>
      </w:r>
      <w:r>
        <w:rPr>
          <w:rFonts w:ascii="Arial" w:cs="Arial" w:eastAsia="Arial" w:hAnsi="Arial"/>
          <w:sz w:val="11"/>
          <w:szCs w:val="11"/>
          <w:u w:val="single" w:color="auto"/>
          <w:color w:val="151515"/>
        </w:rPr>
        <w:t>2</w:t>
      </w:r>
      <w:r>
        <w:rPr>
          <w:rFonts w:ascii="Arial" w:cs="Arial" w:eastAsia="Arial" w:hAnsi="Arial"/>
          <w:sz w:val="11"/>
          <w:szCs w:val="11"/>
          <w:u w:val="single" w:color="auto"/>
          <w:color w:val="363636"/>
        </w:rPr>
        <w:t>)</w:t>
      </w:r>
    </w:p>
    <w:p>
      <w:pPr>
        <w:spacing w:after="0" w:line="190" w:lineRule="exact"/>
        <w:rPr>
          <w:sz w:val="20"/>
          <w:szCs w:val="20"/>
          <w:color w:val="auto"/>
        </w:rPr>
      </w:pPr>
    </w:p>
    <w:p>
      <w:pPr>
        <w:ind w:left="560" w:right="80" w:firstLine="3"/>
        <w:spacing w:after="0" w:line="250" w:lineRule="auto"/>
        <w:rPr>
          <w:sz w:val="20"/>
          <w:szCs w:val="20"/>
          <w:color w:val="auto"/>
        </w:rPr>
      </w:pPr>
      <w:r>
        <w:rPr>
          <w:rFonts w:ascii="Arial" w:cs="Arial" w:eastAsia="Arial" w:hAnsi="Arial"/>
          <w:sz w:val="12"/>
          <w:szCs w:val="12"/>
          <w:color w:val="151515"/>
        </w:rPr>
        <w:t>If any Authority compulsorily takes over the Building or any part of it, or issues any notice, order or gazette notification to take over the Building or any part of it, we may give you notice and end this Lease without compensation. To avoid any doubt, this will not affect any rights or remedies we have relating to you not keeping to the terms of this Lease.</w:t>
      </w:r>
    </w:p>
    <w:p>
      <w:pPr>
        <w:spacing w:after="0" w:line="17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6.7</w:t>
      </w:r>
      <w:r>
        <w:rPr>
          <w:sz w:val="20"/>
          <w:szCs w:val="20"/>
          <w:color w:val="auto"/>
        </w:rPr>
        <w:tab/>
      </w:r>
      <w:r>
        <w:rPr>
          <w:rFonts w:ascii="Arial" w:cs="Arial" w:eastAsia="Arial" w:hAnsi="Arial"/>
          <w:sz w:val="11"/>
          <w:szCs w:val="11"/>
          <w:u w:val="single" w:color="auto"/>
          <w:color w:val="151515"/>
        </w:rPr>
        <w:t>W</w:t>
      </w:r>
      <w:r>
        <w:rPr>
          <w:rFonts w:ascii="Arial" w:cs="Arial" w:eastAsia="Arial" w:hAnsi="Arial"/>
          <w:sz w:val="11"/>
          <w:szCs w:val="11"/>
          <w:u w:val="single" w:color="auto"/>
          <w:color w:val="363636"/>
        </w:rPr>
        <w:t>e ma</w:t>
      </w:r>
      <w:r>
        <w:rPr>
          <w:rFonts w:ascii="Arial" w:cs="Arial" w:eastAsia="Arial" w:hAnsi="Arial"/>
          <w:sz w:val="11"/>
          <w:szCs w:val="11"/>
          <w:u w:val="single" w:color="auto"/>
          <w:color w:val="151515"/>
        </w:rPr>
        <w:t xml:space="preserve">y </w:t>
      </w:r>
      <w:r>
        <w:rPr>
          <w:rFonts w:ascii="Arial" w:cs="Arial" w:eastAsia="Arial" w:hAnsi="Arial"/>
          <w:sz w:val="11"/>
          <w:szCs w:val="11"/>
          <w:u w:val="single" w:color="auto"/>
          <w:color w:val="363636"/>
        </w:rPr>
        <w:t>t</w:t>
      </w:r>
      <w:r>
        <w:rPr>
          <w:rFonts w:ascii="Arial" w:cs="Arial" w:eastAsia="Arial" w:hAnsi="Arial"/>
          <w:sz w:val="11"/>
          <w:szCs w:val="11"/>
          <w:u w:val="single" w:color="auto"/>
          <w:color w:val="151515"/>
        </w:rPr>
        <w:t>ra</w:t>
      </w:r>
      <w:r>
        <w:rPr>
          <w:rFonts w:ascii="Arial" w:cs="Arial" w:eastAsia="Arial" w:hAnsi="Arial"/>
          <w:sz w:val="11"/>
          <w:szCs w:val="11"/>
          <w:u w:val="single" w:color="auto"/>
          <w:color w:val="363636"/>
        </w:rPr>
        <w:t>nsf</w:t>
      </w:r>
      <w:r>
        <w:rPr>
          <w:rFonts w:ascii="Arial" w:cs="Arial" w:eastAsia="Arial" w:hAnsi="Arial"/>
          <w:sz w:val="11"/>
          <w:szCs w:val="11"/>
          <w:u w:val="single" w:color="auto"/>
          <w:color w:val="151515"/>
        </w:rPr>
        <w:t>e</w:t>
      </w:r>
      <w:r>
        <w:rPr>
          <w:rFonts w:ascii="Arial" w:cs="Arial" w:eastAsia="Arial" w:hAnsi="Arial"/>
          <w:sz w:val="11"/>
          <w:szCs w:val="11"/>
          <w:u w:val="single" w:color="auto"/>
          <w:color w:val="363636"/>
        </w:rPr>
        <w:t>r thi</w:t>
      </w:r>
      <w:r>
        <w:rPr>
          <w:rFonts w:ascii="Arial" w:cs="Arial" w:eastAsia="Arial" w:hAnsi="Arial"/>
          <w:sz w:val="11"/>
          <w:szCs w:val="11"/>
          <w:u w:val="single" w:color="auto"/>
          <w:color w:val="151515"/>
        </w:rPr>
        <w:t xml:space="preserve">s </w:t>
      </w:r>
      <w:r>
        <w:rPr>
          <w:rFonts w:ascii="Arial" w:cs="Arial" w:eastAsia="Arial" w:hAnsi="Arial"/>
          <w:sz w:val="11"/>
          <w:szCs w:val="11"/>
          <w:u w:val="single" w:color="auto"/>
          <w:color w:val="363636"/>
        </w:rPr>
        <w:t>Leas</w:t>
      </w:r>
      <w:r>
        <w:rPr>
          <w:rFonts w:ascii="Arial" w:cs="Arial" w:eastAsia="Arial" w:hAnsi="Arial"/>
          <w:sz w:val="11"/>
          <w:szCs w:val="11"/>
          <w:u w:val="single" w:color="auto"/>
          <w:color w:val="151515"/>
        </w:rPr>
        <w:t>e</w:t>
      </w:r>
    </w:p>
    <w:p>
      <w:pPr>
        <w:spacing w:after="0" w:line="201" w:lineRule="exact"/>
        <w:rPr>
          <w:sz w:val="20"/>
          <w:szCs w:val="20"/>
          <w:color w:val="auto"/>
        </w:rPr>
      </w:pPr>
    </w:p>
    <w:p>
      <w:pPr>
        <w:ind w:left="560" w:right="100" w:firstLine="2"/>
        <w:spacing w:after="0" w:line="250" w:lineRule="auto"/>
        <w:rPr>
          <w:sz w:val="20"/>
          <w:szCs w:val="20"/>
          <w:color w:val="auto"/>
        </w:rPr>
      </w:pPr>
      <w:r>
        <w:rPr>
          <w:rFonts w:ascii="Arial" w:cs="Arial" w:eastAsia="Arial" w:hAnsi="Arial"/>
          <w:sz w:val="12"/>
          <w:szCs w:val="12"/>
          <w:color w:val="151515"/>
        </w:rPr>
        <w:t>We may novate (that is, transfer all or some of our rights and obligations) or assign (that is, transfer all or some of our rights) under this Lease to another party without your permission. Following such transfer</w:t>
      </w:r>
      <w:r>
        <w:rPr>
          <w:rFonts w:ascii="Arial" w:cs="Arial" w:eastAsia="Arial" w:hAnsi="Arial"/>
          <w:sz w:val="12"/>
          <w:szCs w:val="12"/>
          <w:color w:val="363636"/>
        </w:rPr>
        <w:t>,</w:t>
      </w:r>
      <w:r>
        <w:rPr>
          <w:rFonts w:ascii="Arial" w:cs="Arial" w:eastAsia="Arial" w:hAnsi="Arial"/>
          <w:sz w:val="12"/>
          <w:szCs w:val="12"/>
          <w:color w:val="151515"/>
        </w:rPr>
        <w:t xml:space="preserve"> you</w:t>
      </w:r>
      <w:r>
        <w:rPr>
          <w:rFonts w:ascii="Arial" w:cs="Arial" w:eastAsia="Arial" w:hAnsi="Arial"/>
          <w:sz w:val="12"/>
          <w:szCs w:val="12"/>
          <w:color w:val="363636"/>
        </w:rPr>
        <w:t>:</w:t>
      </w:r>
    </w:p>
    <w:p>
      <w:pPr>
        <w:spacing w:after="0" w:line="178" w:lineRule="exact"/>
        <w:rPr>
          <w:sz w:val="20"/>
          <w:szCs w:val="20"/>
          <w:color w:val="auto"/>
        </w:rPr>
      </w:pPr>
    </w:p>
    <w:p>
      <w:pPr>
        <w:ind w:left="800" w:hanging="237"/>
        <w:spacing w:after="0"/>
        <w:tabs>
          <w:tab w:leader="none" w:pos="800" w:val="left"/>
        </w:tabs>
        <w:numPr>
          <w:ilvl w:val="0"/>
          <w:numId w:val="92"/>
        </w:numPr>
        <w:rPr>
          <w:rFonts w:ascii="Arial" w:cs="Arial" w:eastAsia="Arial" w:hAnsi="Arial"/>
          <w:sz w:val="12"/>
          <w:szCs w:val="12"/>
          <w:color w:val="151515"/>
        </w:rPr>
      </w:pPr>
      <w:r>
        <w:rPr>
          <w:rFonts w:ascii="Arial" w:cs="Arial" w:eastAsia="Arial" w:hAnsi="Arial"/>
          <w:sz w:val="12"/>
          <w:szCs w:val="12"/>
          <w:color w:val="151515"/>
        </w:rPr>
        <w:t>will be considered as having agreed to such transfer and having accepted the new landlord;</w:t>
      </w:r>
    </w:p>
    <w:p>
      <w:pPr>
        <w:spacing w:after="0" w:line="190" w:lineRule="exact"/>
        <w:rPr>
          <w:rFonts w:ascii="Arial" w:cs="Arial" w:eastAsia="Arial" w:hAnsi="Arial"/>
          <w:sz w:val="12"/>
          <w:szCs w:val="12"/>
          <w:color w:val="151515"/>
        </w:rPr>
      </w:pPr>
    </w:p>
    <w:p>
      <w:pPr>
        <w:ind w:left="800" w:hanging="237"/>
        <w:spacing w:after="0"/>
        <w:tabs>
          <w:tab w:leader="none" w:pos="800" w:val="left"/>
        </w:tabs>
        <w:numPr>
          <w:ilvl w:val="0"/>
          <w:numId w:val="92"/>
        </w:numPr>
        <w:rPr>
          <w:rFonts w:ascii="Arial" w:cs="Arial" w:eastAsia="Arial" w:hAnsi="Arial"/>
          <w:sz w:val="12"/>
          <w:szCs w:val="12"/>
          <w:color w:val="151515"/>
        </w:rPr>
      </w:pPr>
      <w:r>
        <w:rPr>
          <w:rFonts w:ascii="Arial" w:cs="Arial" w:eastAsia="Arial" w:hAnsi="Arial"/>
          <w:sz w:val="12"/>
          <w:szCs w:val="12"/>
          <w:color w:val="151515"/>
        </w:rPr>
        <w:t>must release us from all our obligations under this Lease (including our obligation to refund the Security Deposit and any other amounts under this Lease</w:t>
      </w:r>
      <w:r>
        <w:rPr>
          <w:rFonts w:ascii="Arial" w:cs="Arial" w:eastAsia="Arial" w:hAnsi="Arial"/>
          <w:sz w:val="12"/>
          <w:szCs w:val="12"/>
          <w:color w:val="363636"/>
        </w:rPr>
        <w:t>;</w:t>
      </w:r>
    </w:p>
    <w:p>
      <w:pPr>
        <w:spacing w:after="0" w:line="200" w:lineRule="exact"/>
        <w:rPr>
          <w:rFonts w:ascii="Arial" w:cs="Arial" w:eastAsia="Arial" w:hAnsi="Arial"/>
          <w:sz w:val="12"/>
          <w:szCs w:val="12"/>
          <w:color w:val="151515"/>
        </w:rPr>
      </w:pPr>
    </w:p>
    <w:p>
      <w:pPr>
        <w:ind w:left="800" w:hanging="240"/>
        <w:spacing w:after="0"/>
        <w:tabs>
          <w:tab w:leader="none" w:pos="800" w:val="left"/>
        </w:tabs>
        <w:numPr>
          <w:ilvl w:val="0"/>
          <w:numId w:val="92"/>
        </w:numPr>
        <w:rPr>
          <w:rFonts w:ascii="Arial" w:cs="Arial" w:eastAsia="Arial" w:hAnsi="Arial"/>
          <w:sz w:val="12"/>
          <w:szCs w:val="12"/>
          <w:color w:val="151515"/>
        </w:rPr>
      </w:pPr>
      <w:r>
        <w:rPr>
          <w:rFonts w:ascii="Arial" w:cs="Arial" w:eastAsia="Arial" w:hAnsi="Arial"/>
          <w:sz w:val="12"/>
          <w:szCs w:val="12"/>
          <w:color w:val="151515"/>
        </w:rPr>
        <w:t>sign the novation agreement or the acknowledgement to the notice of assignment of this Lease, which we will prepare at our cost; and</w:t>
      </w:r>
    </w:p>
    <w:p>
      <w:pPr>
        <w:spacing w:after="0" w:line="179" w:lineRule="exact"/>
        <w:rPr>
          <w:rFonts w:ascii="Arial" w:cs="Arial" w:eastAsia="Arial" w:hAnsi="Arial"/>
          <w:sz w:val="12"/>
          <w:szCs w:val="12"/>
          <w:color w:val="151515"/>
        </w:rPr>
      </w:pPr>
    </w:p>
    <w:p>
      <w:pPr>
        <w:ind w:left="800" w:hanging="240"/>
        <w:spacing w:after="0"/>
        <w:tabs>
          <w:tab w:leader="none" w:pos="800" w:val="left"/>
        </w:tabs>
        <w:numPr>
          <w:ilvl w:val="0"/>
          <w:numId w:val="92"/>
        </w:numPr>
        <w:rPr>
          <w:rFonts w:ascii="Arial" w:cs="Arial" w:eastAsia="Arial" w:hAnsi="Arial"/>
          <w:sz w:val="12"/>
          <w:szCs w:val="12"/>
          <w:color w:val="151515"/>
        </w:rPr>
      </w:pPr>
      <w:r>
        <w:rPr>
          <w:rFonts w:ascii="Arial" w:cs="Arial" w:eastAsia="Arial" w:hAnsi="Arial"/>
          <w:sz w:val="12"/>
          <w:szCs w:val="12"/>
          <w:color w:val="151515"/>
        </w:rPr>
        <w:t>get a replacement bank guarantee for the new landlord, if we request this, to replace any bank guarantee you have given us.</w:t>
      </w:r>
    </w:p>
    <w:p>
      <w:pPr>
        <w:spacing w:after="0" w:line="176" w:lineRule="exact"/>
        <w:rPr>
          <w:sz w:val="20"/>
          <w:szCs w:val="20"/>
          <w:color w:val="auto"/>
        </w:rPr>
      </w:pPr>
    </w:p>
    <w:p>
      <w:pPr>
        <w:ind w:left="560" w:hanging="482"/>
        <w:spacing w:after="0"/>
        <w:tabs>
          <w:tab w:leader="none" w:pos="560" w:val="left"/>
        </w:tabs>
        <w:numPr>
          <w:ilvl w:val="0"/>
          <w:numId w:val="93"/>
        </w:numPr>
        <w:rPr>
          <w:rFonts w:ascii="Arial" w:cs="Arial" w:eastAsia="Arial" w:hAnsi="Arial"/>
          <w:sz w:val="12"/>
          <w:szCs w:val="12"/>
          <w:b w:val="1"/>
          <w:bCs w:val="1"/>
          <w:color w:val="363636"/>
        </w:rPr>
      </w:pPr>
      <w:r>
        <w:rPr>
          <w:rFonts w:ascii="Arial" w:cs="Arial" w:eastAsia="Arial" w:hAnsi="Arial"/>
          <w:sz w:val="12"/>
          <w:szCs w:val="12"/>
          <w:b w:val="1"/>
          <w:bCs w:val="1"/>
          <w:color w:val="151515"/>
        </w:rPr>
        <w:t>OTHER TERMS</w:t>
      </w:r>
    </w:p>
    <w:p>
      <w:pPr>
        <w:spacing w:after="0" w:line="215"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2"/>
          <w:szCs w:val="12"/>
          <w:color w:val="363636"/>
        </w:rPr>
        <w:t>7.1</w:t>
      </w:r>
      <w:r>
        <w:rPr>
          <w:sz w:val="20"/>
          <w:szCs w:val="20"/>
          <w:color w:val="auto"/>
        </w:rPr>
        <w:tab/>
      </w:r>
      <w:r>
        <w:rPr>
          <w:rFonts w:ascii="Arial" w:cs="Arial" w:eastAsia="Arial" w:hAnsi="Arial"/>
          <w:sz w:val="11"/>
          <w:szCs w:val="11"/>
          <w:u w:val="single" w:color="auto"/>
          <w:color w:val="151515"/>
        </w:rPr>
        <w:t>Notices</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363636"/>
        </w:rPr>
        <w:t>7.1.1</w:t>
      </w:r>
      <w:r>
        <w:rPr>
          <w:sz w:val="20"/>
          <w:szCs w:val="20"/>
          <w:color w:val="auto"/>
        </w:rPr>
        <w:tab/>
      </w:r>
      <w:r>
        <w:rPr>
          <w:rFonts w:ascii="Arial" w:cs="Arial" w:eastAsia="Arial" w:hAnsi="Arial"/>
          <w:sz w:val="12"/>
          <w:szCs w:val="12"/>
          <w:color w:val="151515"/>
        </w:rPr>
        <w:t>All notices relating to this Lease must be in writing.</w:t>
      </w:r>
    </w:p>
    <w:p>
      <w:pPr>
        <w:spacing w:after="0" w:line="201" w:lineRule="exact"/>
        <w:rPr>
          <w:sz w:val="20"/>
          <w:szCs w:val="20"/>
          <w:color w:val="auto"/>
        </w:rPr>
      </w:pPr>
    </w:p>
    <w:p>
      <w:pPr>
        <w:ind w:left="560" w:right="300" w:hanging="481"/>
        <w:spacing w:after="0" w:line="236" w:lineRule="auto"/>
        <w:tabs>
          <w:tab w:leader="none" w:pos="540" w:val="left"/>
        </w:tabs>
        <w:rPr>
          <w:sz w:val="20"/>
          <w:szCs w:val="20"/>
          <w:color w:val="auto"/>
        </w:rPr>
      </w:pPr>
      <w:r>
        <w:rPr>
          <w:rFonts w:ascii="Arial" w:cs="Arial" w:eastAsia="Arial" w:hAnsi="Arial"/>
          <w:sz w:val="12"/>
          <w:szCs w:val="12"/>
          <w:color w:val="363636"/>
        </w:rPr>
        <w:t>7.1.2</w:t>
      </w:r>
      <w:r>
        <w:rPr>
          <w:sz w:val="20"/>
          <w:szCs w:val="20"/>
          <w:color w:val="auto"/>
        </w:rPr>
        <w:tab/>
      </w:r>
      <w:r>
        <w:rPr>
          <w:rFonts w:ascii="Arial" w:cs="Arial" w:eastAsia="Arial" w:hAnsi="Arial"/>
          <w:sz w:val="12"/>
          <w:szCs w:val="12"/>
          <w:color w:val="151515"/>
        </w:rPr>
        <w:t>Any notice we give you is only valid if we post it on the Capitaland Business Park &amp; Industrial Tenant Portal, give it by hand or send it by post to the Premises or to your registered office or business address.</w:t>
      </w:r>
    </w:p>
    <w:p>
      <w:pPr>
        <w:spacing w:after="0" w:line="184"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7.1.3</w:t>
      </w:r>
      <w:r>
        <w:rPr>
          <w:sz w:val="20"/>
          <w:szCs w:val="20"/>
          <w:color w:val="auto"/>
        </w:rPr>
        <w:tab/>
      </w:r>
      <w:r>
        <w:rPr>
          <w:rFonts w:ascii="Arial" w:cs="Arial" w:eastAsia="Arial" w:hAnsi="Arial"/>
          <w:sz w:val="11"/>
          <w:szCs w:val="11"/>
          <w:color w:val="151515"/>
        </w:rPr>
        <w:t>Any notice you give to us is only valid if you send it by registered post to our registered office.</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7.1.4</w:t>
      </w:r>
      <w:r>
        <w:rPr>
          <w:sz w:val="20"/>
          <w:szCs w:val="20"/>
          <w:color w:val="auto"/>
        </w:rPr>
        <w:tab/>
      </w:r>
      <w:r>
        <w:rPr>
          <w:rFonts w:ascii="Arial" w:cs="Arial" w:eastAsia="Arial" w:hAnsi="Arial"/>
          <w:sz w:val="12"/>
          <w:szCs w:val="12"/>
          <w:color w:val="151515"/>
        </w:rPr>
        <w:t>Any notice will be considered as served:</w:t>
      </w:r>
    </w:p>
    <w:p>
      <w:pPr>
        <w:spacing w:after="0" w:line="190" w:lineRule="exact"/>
        <w:rPr>
          <w:sz w:val="20"/>
          <w:szCs w:val="20"/>
          <w:color w:val="auto"/>
        </w:rPr>
      </w:pPr>
    </w:p>
    <w:p>
      <w:pPr>
        <w:ind w:left="800" w:hanging="240"/>
        <w:spacing w:after="0"/>
        <w:tabs>
          <w:tab w:leader="none" w:pos="800" w:val="left"/>
        </w:tabs>
        <w:numPr>
          <w:ilvl w:val="0"/>
          <w:numId w:val="94"/>
        </w:numPr>
        <w:rPr>
          <w:rFonts w:ascii="Arial" w:cs="Arial" w:eastAsia="Arial" w:hAnsi="Arial"/>
          <w:sz w:val="12"/>
          <w:szCs w:val="12"/>
          <w:color w:val="151515"/>
        </w:rPr>
      </w:pPr>
      <w:r>
        <w:rPr>
          <w:rFonts w:ascii="Arial" w:cs="Arial" w:eastAsia="Arial" w:hAnsi="Arial"/>
          <w:sz w:val="12"/>
          <w:szCs w:val="12"/>
          <w:color w:val="151515"/>
        </w:rPr>
        <w:t>(for a notice given by hand) immediately on the day it is sent; and</w:t>
      </w:r>
    </w:p>
    <w:p>
      <w:pPr>
        <w:spacing w:after="0" w:line="126" w:lineRule="exact"/>
        <w:rPr>
          <w:rFonts w:ascii="Arial" w:cs="Arial" w:eastAsia="Arial" w:hAnsi="Arial"/>
          <w:sz w:val="12"/>
          <w:szCs w:val="12"/>
          <w:color w:val="151515"/>
        </w:rPr>
      </w:pPr>
    </w:p>
    <w:p>
      <w:pPr>
        <w:ind w:left="800" w:hanging="240"/>
        <w:spacing w:after="0"/>
        <w:tabs>
          <w:tab w:leader="none" w:pos="800" w:val="left"/>
        </w:tabs>
        <w:numPr>
          <w:ilvl w:val="0"/>
          <w:numId w:val="94"/>
        </w:numPr>
        <w:rPr>
          <w:rFonts w:ascii="Arial" w:cs="Arial" w:eastAsia="Arial" w:hAnsi="Arial"/>
          <w:sz w:val="12"/>
          <w:szCs w:val="12"/>
          <w:color w:val="auto"/>
        </w:rPr>
      </w:pPr>
      <w:r>
        <w:rPr>
          <w:rFonts w:ascii="Arial" w:cs="Arial" w:eastAsia="Arial" w:hAnsi="Arial"/>
          <w:sz w:val="12"/>
          <w:szCs w:val="12"/>
          <w:color w:val="151515"/>
        </w:rPr>
        <w:t>(for notice sent by registered post) 24 hours after it is posted as long as the sender can show that the envelope containing the notice was addressed</w:t>
      </w:r>
      <w:r>
        <w:rPr>
          <w:rFonts w:ascii="Arial" w:cs="Arial" w:eastAsia="Arial" w:hAnsi="Arial"/>
          <w:sz w:val="12"/>
          <w:szCs w:val="12"/>
          <w:color w:val="363636"/>
        </w:rPr>
        <w:t>,</w:t>
      </w:r>
      <w:r>
        <w:rPr>
          <w:rFonts w:ascii="Arial" w:cs="Arial" w:eastAsia="Arial" w:hAnsi="Arial"/>
          <w:sz w:val="12"/>
          <w:szCs w:val="12"/>
          <w:color w:val="151515"/>
        </w:rPr>
        <w:t xml:space="preserve"> stamped and posted.</w:t>
      </w:r>
    </w:p>
    <w:p>
      <w:pPr>
        <w:spacing w:after="0" w:line="190"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2"/>
          <w:szCs w:val="12"/>
          <w:color w:val="363636"/>
        </w:rPr>
        <w:t>7.2.</w:t>
      </w:r>
      <w:r>
        <w:rPr>
          <w:sz w:val="20"/>
          <w:szCs w:val="20"/>
          <w:color w:val="auto"/>
        </w:rPr>
        <w:tab/>
      </w:r>
      <w:r>
        <w:rPr>
          <w:rFonts w:ascii="Arial" w:cs="Arial" w:eastAsia="Arial" w:hAnsi="Arial"/>
          <w:sz w:val="12"/>
          <w:szCs w:val="12"/>
          <w:u w:val="single" w:color="auto"/>
          <w:color w:val="151515"/>
        </w:rPr>
        <w:t xml:space="preserve">Process </w:t>
      </w:r>
      <w:r>
        <w:rPr>
          <w:rFonts w:ascii="Arial" w:cs="Arial" w:eastAsia="Arial" w:hAnsi="Arial"/>
          <w:sz w:val="12"/>
          <w:szCs w:val="12"/>
          <w:color w:val="131313"/>
        </w:rPr>
        <w:t>o</w:t>
      </w:r>
      <w:r>
        <w:rPr>
          <w:rFonts w:ascii="Arial" w:cs="Arial" w:eastAsia="Arial" w:hAnsi="Arial"/>
          <w:sz w:val="12"/>
          <w:szCs w:val="12"/>
          <w:u w:val="single" w:color="auto"/>
          <w:color w:val="363636"/>
        </w:rPr>
        <w:t>f</w:t>
      </w:r>
      <w:r>
        <w:rPr>
          <w:rFonts w:ascii="Arial" w:cs="Arial" w:eastAsia="Arial" w:hAnsi="Arial"/>
          <w:sz w:val="12"/>
          <w:szCs w:val="12"/>
          <w:u w:val="single" w:color="auto"/>
          <w:color w:val="151515"/>
        </w:rPr>
        <w:t xml:space="preserve"> </w:t>
      </w:r>
      <w:r>
        <w:rPr>
          <w:rFonts w:ascii="Arial" w:cs="Arial" w:eastAsia="Arial" w:hAnsi="Arial"/>
          <w:sz w:val="12"/>
          <w:szCs w:val="12"/>
          <w:u w:val="single" w:color="auto"/>
          <w:color w:val="131313"/>
        </w:rPr>
        <w:t>serv</w:t>
      </w:r>
      <w:r>
        <w:rPr>
          <w:rFonts w:ascii="Arial" w:cs="Arial" w:eastAsia="Arial" w:hAnsi="Arial"/>
          <w:sz w:val="12"/>
          <w:szCs w:val="12"/>
          <w:u w:val="single" w:color="auto"/>
          <w:color w:val="363636"/>
        </w:rPr>
        <w:t>i</w:t>
      </w:r>
      <w:r>
        <w:rPr>
          <w:rFonts w:ascii="Arial" w:cs="Arial" w:eastAsia="Arial" w:hAnsi="Arial"/>
          <w:sz w:val="12"/>
          <w:szCs w:val="12"/>
          <w:u w:val="single" w:color="auto"/>
          <w:color w:val="131313"/>
        </w:rPr>
        <w:t>ng doc</w:t>
      </w:r>
      <w:r>
        <w:rPr>
          <w:rFonts w:ascii="Arial" w:cs="Arial" w:eastAsia="Arial" w:hAnsi="Arial"/>
          <w:sz w:val="12"/>
          <w:szCs w:val="12"/>
          <w:u w:val="single" w:color="auto"/>
          <w:color w:val="363636"/>
        </w:rPr>
        <w:t>u</w:t>
      </w:r>
      <w:r>
        <w:rPr>
          <w:rFonts w:ascii="Arial" w:cs="Arial" w:eastAsia="Arial" w:hAnsi="Arial"/>
          <w:sz w:val="12"/>
          <w:szCs w:val="12"/>
          <w:u w:val="single" w:color="auto"/>
          <w:color w:val="131313"/>
        </w:rPr>
        <w:t>men</w:t>
      </w:r>
      <w:r>
        <w:rPr>
          <w:rFonts w:ascii="Arial" w:cs="Arial" w:eastAsia="Arial" w:hAnsi="Arial"/>
          <w:sz w:val="12"/>
          <w:szCs w:val="12"/>
          <w:u w:val="single" w:color="auto"/>
          <w:color w:val="363636"/>
        </w:rPr>
        <w:t>ts i</w:t>
      </w:r>
      <w:r>
        <w:rPr>
          <w:rFonts w:ascii="Arial" w:cs="Arial" w:eastAsia="Arial" w:hAnsi="Arial"/>
          <w:sz w:val="12"/>
          <w:szCs w:val="12"/>
          <w:u w:val="single" w:color="auto"/>
          <w:color w:val="131313"/>
        </w:rPr>
        <w:t>n l</w:t>
      </w:r>
      <w:r>
        <w:rPr>
          <w:rFonts w:ascii="Arial" w:cs="Arial" w:eastAsia="Arial" w:hAnsi="Arial"/>
          <w:sz w:val="12"/>
          <w:szCs w:val="12"/>
          <w:u w:val="single" w:color="auto"/>
          <w:color w:val="363636"/>
        </w:rPr>
        <w:t>i</w:t>
      </w:r>
      <w:r>
        <w:rPr>
          <w:rFonts w:ascii="Arial" w:cs="Arial" w:eastAsia="Arial" w:hAnsi="Arial"/>
          <w:sz w:val="12"/>
          <w:szCs w:val="12"/>
          <w:u w:val="single" w:color="auto"/>
          <w:color w:val="131313"/>
        </w:rPr>
        <w:t>ne w</w:t>
      </w:r>
      <w:r>
        <w:rPr>
          <w:rFonts w:ascii="Arial" w:cs="Arial" w:eastAsia="Arial" w:hAnsi="Arial"/>
          <w:sz w:val="12"/>
          <w:szCs w:val="12"/>
          <w:u w:val="single" w:color="auto"/>
          <w:color w:val="363636"/>
        </w:rPr>
        <w:t>ith th</w:t>
      </w:r>
      <w:r>
        <w:rPr>
          <w:rFonts w:ascii="Arial" w:cs="Arial" w:eastAsia="Arial" w:hAnsi="Arial"/>
          <w:sz w:val="12"/>
          <w:szCs w:val="12"/>
          <w:u w:val="single" w:color="auto"/>
          <w:color w:val="131313"/>
        </w:rPr>
        <w: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-11430</wp:posOffset>
            </wp:positionV>
            <wp:extent cx="6350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0">
                      <a:extLst>
                        <a:ext uri="{28A0092B-C50C-407E-A947-70E740481C1C}"/>
                      </a:extLst>
                    </a:blip>
                    <a:srcRect/>
                    <a:stretch>
                      <a:fillRect/>
                    </a:stretch>
                  </pic:blipFill>
                  <pic:spPr bwMode="auto">
                    <a:xfrm>
                      <a:off x="0" y="0"/>
                      <a:ext cx="63500" cy="6985"/>
                    </a:xfrm>
                    <a:prstGeom prst="rect">
                      <a:avLst/>
                    </a:prstGeom>
                    <a:noFill/>
                  </pic:spPr>
                </pic:pic>
              </a:graphicData>
            </a:graphic>
          </wp:anchor>
        </w:drawing>
      </w:r>
    </w:p>
    <w:p>
      <w:pPr>
        <w:spacing w:after="0" w:line="17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7.2.1.</w:t>
      </w:r>
      <w:r>
        <w:rPr>
          <w:sz w:val="20"/>
          <w:szCs w:val="20"/>
          <w:color w:val="auto"/>
        </w:rPr>
        <w:tab/>
      </w:r>
      <w:r>
        <w:rPr>
          <w:rFonts w:ascii="Arial" w:cs="Arial" w:eastAsia="Arial" w:hAnsi="Arial"/>
          <w:sz w:val="11"/>
          <w:szCs w:val="11"/>
          <w:color w:val="151515"/>
        </w:rPr>
        <w:t xml:space="preserve">Any </w:t>
      </w:r>
      <w:r>
        <w:rPr>
          <w:rFonts w:ascii="Arial" w:cs="Arial" w:eastAsia="Arial" w:hAnsi="Arial"/>
          <w:sz w:val="11"/>
          <w:szCs w:val="11"/>
          <w:color w:val="131313"/>
        </w:rPr>
        <w:t>legal process will be considered as served if it is sent to:</w:t>
      </w:r>
    </w:p>
    <w:p>
      <w:pPr>
        <w:spacing w:after="0" w:line="190" w:lineRule="exact"/>
        <w:rPr>
          <w:sz w:val="20"/>
          <w:szCs w:val="20"/>
          <w:color w:val="auto"/>
        </w:rPr>
      </w:pPr>
    </w:p>
    <w:p>
      <w:pPr>
        <w:ind w:left="800" w:hanging="240"/>
        <w:spacing w:after="0"/>
        <w:tabs>
          <w:tab w:leader="none" w:pos="800" w:val="left"/>
        </w:tabs>
        <w:numPr>
          <w:ilvl w:val="0"/>
          <w:numId w:val="95"/>
        </w:numPr>
        <w:rPr>
          <w:rFonts w:ascii="Arial" w:cs="Arial" w:eastAsia="Arial" w:hAnsi="Arial"/>
          <w:sz w:val="12"/>
          <w:szCs w:val="12"/>
          <w:color w:val="151515"/>
        </w:rPr>
      </w:pPr>
      <w:r>
        <w:rPr>
          <w:rFonts w:ascii="Arial" w:cs="Arial" w:eastAsia="Arial" w:hAnsi="Arial"/>
          <w:sz w:val="12"/>
          <w:szCs w:val="12"/>
          <w:color w:val="131313"/>
        </w:rPr>
        <w:t>us by registered post to our business address;</w:t>
      </w:r>
    </w:p>
    <w:p>
      <w:pPr>
        <w:spacing w:after="0" w:line="190" w:lineRule="exact"/>
        <w:rPr>
          <w:rFonts w:ascii="Arial" w:cs="Arial" w:eastAsia="Arial" w:hAnsi="Arial"/>
          <w:sz w:val="12"/>
          <w:szCs w:val="12"/>
          <w:color w:val="151515"/>
        </w:rPr>
      </w:pPr>
    </w:p>
    <w:p>
      <w:pPr>
        <w:ind w:left="800" w:hanging="240"/>
        <w:spacing w:after="0"/>
        <w:tabs>
          <w:tab w:leader="none" w:pos="800" w:val="left"/>
        </w:tabs>
        <w:numPr>
          <w:ilvl w:val="0"/>
          <w:numId w:val="95"/>
        </w:numPr>
        <w:rPr>
          <w:rFonts w:ascii="Arial" w:cs="Arial" w:eastAsia="Arial" w:hAnsi="Arial"/>
          <w:sz w:val="12"/>
          <w:szCs w:val="12"/>
          <w:color w:val="151515"/>
        </w:rPr>
      </w:pPr>
      <w:r>
        <w:rPr>
          <w:rFonts w:ascii="Arial" w:cs="Arial" w:eastAsia="Arial" w:hAnsi="Arial"/>
          <w:sz w:val="12"/>
          <w:szCs w:val="12"/>
          <w:color w:val="131313"/>
        </w:rPr>
        <w:t>you by registered post to or by leaving it at your business address or the Premises; or</w:t>
      </w:r>
    </w:p>
    <w:p>
      <w:pPr>
        <w:spacing w:after="0" w:line="190" w:lineRule="exact"/>
        <w:rPr>
          <w:rFonts w:ascii="Arial" w:cs="Arial" w:eastAsia="Arial" w:hAnsi="Arial"/>
          <w:sz w:val="12"/>
          <w:szCs w:val="12"/>
          <w:color w:val="151515"/>
        </w:rPr>
      </w:pPr>
    </w:p>
    <w:p>
      <w:pPr>
        <w:ind w:left="800" w:hanging="240"/>
        <w:spacing w:after="0"/>
        <w:tabs>
          <w:tab w:leader="none" w:pos="800" w:val="left"/>
        </w:tabs>
        <w:numPr>
          <w:ilvl w:val="0"/>
          <w:numId w:val="95"/>
        </w:numPr>
        <w:rPr>
          <w:rFonts w:ascii="Arial" w:cs="Arial" w:eastAsia="Arial" w:hAnsi="Arial"/>
          <w:sz w:val="12"/>
          <w:szCs w:val="12"/>
          <w:color w:val="151515"/>
        </w:rPr>
      </w:pPr>
      <w:r>
        <w:rPr>
          <w:rFonts w:ascii="Arial" w:cs="Arial" w:eastAsia="Arial" w:hAnsi="Arial"/>
          <w:sz w:val="12"/>
          <w:szCs w:val="12"/>
          <w:color w:val="131313"/>
        </w:rPr>
        <w:t>your or our solicitor by registered post to or by leaving it at their business address</w:t>
      </w:r>
      <w:r>
        <w:rPr>
          <w:rFonts w:ascii="Arial" w:cs="Arial" w:eastAsia="Arial" w:hAnsi="Arial"/>
          <w:sz w:val="12"/>
          <w:szCs w:val="12"/>
          <w:color w:val="363636"/>
        </w:rPr>
        <w:t>.</w:t>
      </w:r>
    </w:p>
    <w:p>
      <w:pPr>
        <w:spacing w:after="0" w:line="307"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363636"/>
        </w:rPr>
        <w:t>7.2.2</w:t>
      </w:r>
      <w:r>
        <w:rPr>
          <w:sz w:val="20"/>
          <w:szCs w:val="20"/>
          <w:color w:val="auto"/>
        </w:rPr>
        <w:tab/>
      </w:r>
      <w:r>
        <w:rPr>
          <w:rFonts w:ascii="Arial" w:cs="Arial" w:eastAsia="Arial" w:hAnsi="Arial"/>
          <w:sz w:val="11"/>
          <w:szCs w:val="11"/>
          <w:color w:val="131313"/>
        </w:rPr>
        <w:t>If you are a company that is not incorporated or registered in Singapore</w:t>
      </w:r>
      <w:r>
        <w:rPr>
          <w:rFonts w:ascii="Arial" w:cs="Arial" w:eastAsia="Arial" w:hAnsi="Arial"/>
          <w:sz w:val="11"/>
          <w:szCs w:val="11"/>
          <w:color w:val="36363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r>
    </w:tbl>
    <w:p>
      <w:pPr>
        <w:sectPr>
          <w:pgSz w:w="11900" w:h="16838" w:orient="portrait"/>
          <w:cols w:equalWidth="0" w:num="1">
            <w:col w:w="11280"/>
          </w:cols>
          <w:pgMar w:left="300" w:top="1440" w:right="31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1">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0" w:hanging="240"/>
        <w:spacing w:after="0" w:line="250" w:lineRule="auto"/>
        <w:tabs>
          <w:tab w:leader="none" w:pos="799" w:val="left"/>
        </w:tabs>
        <w:numPr>
          <w:ilvl w:val="0"/>
          <w:numId w:val="96"/>
        </w:numPr>
        <w:rPr>
          <w:rFonts w:ascii="Arial" w:cs="Arial" w:eastAsia="Arial" w:hAnsi="Arial"/>
          <w:sz w:val="12"/>
          <w:szCs w:val="12"/>
          <w:color w:val="151515"/>
        </w:rPr>
      </w:pPr>
      <w:r>
        <w:rPr>
          <w:rFonts w:ascii="Arial" w:cs="Arial" w:eastAsia="Arial" w:hAnsi="Arial"/>
          <w:sz w:val="12"/>
          <w:szCs w:val="12"/>
          <w:color w:val="131313"/>
        </w:rPr>
        <w:t>you must deliver to us, within seven days of appointing the process agent, a copy of the letter (in a form we approve) issued by the process agent to us, agreeing (in a way that cannot be changed) to act as your process agent (that is, once they have agreed to act as your process agent, you or they cannot withdraw this agreement);</w:t>
      </w:r>
    </w:p>
    <w:p>
      <w:pPr>
        <w:spacing w:after="0" w:line="178" w:lineRule="exact"/>
        <w:rPr>
          <w:rFonts w:ascii="Arial" w:cs="Arial" w:eastAsia="Arial" w:hAnsi="Arial"/>
          <w:sz w:val="12"/>
          <w:szCs w:val="12"/>
          <w:color w:val="151515"/>
        </w:rPr>
      </w:pPr>
    </w:p>
    <w:p>
      <w:pPr>
        <w:ind w:left="800" w:hanging="240"/>
        <w:spacing w:after="0"/>
        <w:tabs>
          <w:tab w:leader="none" w:pos="800" w:val="left"/>
        </w:tabs>
        <w:numPr>
          <w:ilvl w:val="0"/>
          <w:numId w:val="96"/>
        </w:numPr>
        <w:rPr>
          <w:rFonts w:ascii="Arial" w:cs="Arial" w:eastAsia="Arial" w:hAnsi="Arial"/>
          <w:sz w:val="12"/>
          <w:szCs w:val="12"/>
          <w:color w:val="151515"/>
        </w:rPr>
      </w:pPr>
      <w:r>
        <w:rPr>
          <w:rFonts w:ascii="Arial" w:cs="Arial" w:eastAsia="Arial" w:hAnsi="Arial"/>
          <w:sz w:val="12"/>
          <w:szCs w:val="12"/>
          <w:color w:val="131313"/>
        </w:rPr>
        <w:t>serving documents on your process agent at their last known address will be considered as satisfactorily serving documents under the Law on you; and</w:t>
      </w:r>
    </w:p>
    <w:p>
      <w:pPr>
        <w:spacing w:after="0" w:line="190" w:lineRule="exact"/>
        <w:rPr>
          <w:rFonts w:ascii="Arial" w:cs="Arial" w:eastAsia="Arial" w:hAnsi="Arial"/>
          <w:sz w:val="12"/>
          <w:szCs w:val="12"/>
          <w:color w:val="151515"/>
        </w:rPr>
      </w:pPr>
    </w:p>
    <w:p>
      <w:pPr>
        <w:ind w:left="800" w:hanging="240"/>
        <w:spacing w:after="0"/>
        <w:tabs>
          <w:tab w:leader="none" w:pos="800" w:val="left"/>
        </w:tabs>
        <w:numPr>
          <w:ilvl w:val="0"/>
          <w:numId w:val="96"/>
        </w:numPr>
        <w:rPr>
          <w:rFonts w:ascii="Arial" w:cs="Arial" w:eastAsia="Arial" w:hAnsi="Arial"/>
          <w:sz w:val="12"/>
          <w:szCs w:val="12"/>
          <w:color w:val="151515"/>
        </w:rPr>
      </w:pPr>
      <w:r>
        <w:rPr>
          <w:rFonts w:ascii="Arial" w:cs="Arial" w:eastAsia="Arial" w:hAnsi="Arial"/>
          <w:sz w:val="12"/>
          <w:szCs w:val="12"/>
          <w:color w:val="131313"/>
        </w:rPr>
        <w:t>clauses 7</w:t>
      </w:r>
      <w:r>
        <w:rPr>
          <w:rFonts w:ascii="Arial" w:cs="Arial" w:eastAsia="Arial" w:hAnsi="Arial"/>
          <w:sz w:val="12"/>
          <w:szCs w:val="12"/>
          <w:color w:val="363636"/>
        </w:rPr>
        <w:t>.</w:t>
      </w:r>
      <w:r>
        <w:rPr>
          <w:rFonts w:ascii="Arial" w:cs="Arial" w:eastAsia="Arial" w:hAnsi="Arial"/>
          <w:sz w:val="12"/>
          <w:szCs w:val="12"/>
          <w:color w:val="131313"/>
        </w:rPr>
        <w:t>2</w:t>
      </w:r>
      <w:r>
        <w:rPr>
          <w:rFonts w:ascii="Arial" w:cs="Arial" w:eastAsia="Arial" w:hAnsi="Arial"/>
          <w:sz w:val="12"/>
          <w:szCs w:val="12"/>
          <w:color w:val="363636"/>
        </w:rPr>
        <w:t>.</w:t>
      </w:r>
      <w:r>
        <w:rPr>
          <w:rFonts w:ascii="Arial" w:cs="Arial" w:eastAsia="Arial" w:hAnsi="Arial"/>
          <w:sz w:val="12"/>
          <w:szCs w:val="12"/>
          <w:color w:val="131313"/>
        </w:rPr>
        <w:t>2(a) and 7</w:t>
      </w:r>
      <w:r>
        <w:rPr>
          <w:rFonts w:ascii="Arial" w:cs="Arial" w:eastAsia="Arial" w:hAnsi="Arial"/>
          <w:sz w:val="12"/>
          <w:szCs w:val="12"/>
          <w:color w:val="363636"/>
        </w:rPr>
        <w:t>.</w:t>
      </w:r>
      <w:r>
        <w:rPr>
          <w:rFonts w:ascii="Arial" w:cs="Arial" w:eastAsia="Arial" w:hAnsi="Arial"/>
          <w:sz w:val="12"/>
          <w:szCs w:val="12"/>
          <w:color w:val="131313"/>
        </w:rPr>
        <w:t>2</w:t>
      </w:r>
      <w:r>
        <w:rPr>
          <w:rFonts w:ascii="Arial" w:cs="Arial" w:eastAsia="Arial" w:hAnsi="Arial"/>
          <w:sz w:val="12"/>
          <w:szCs w:val="12"/>
          <w:color w:val="363636"/>
        </w:rPr>
        <w:t>.</w:t>
      </w:r>
      <w:r>
        <w:rPr>
          <w:rFonts w:ascii="Arial" w:cs="Arial" w:eastAsia="Arial" w:hAnsi="Arial"/>
          <w:sz w:val="12"/>
          <w:szCs w:val="12"/>
          <w:color w:val="131313"/>
        </w:rPr>
        <w:t>2(b) will not affect our right to serve process in any other manner allowed by Law.</w:t>
      </w:r>
    </w:p>
    <w:p>
      <w:pPr>
        <w:spacing w:after="0" w:line="190"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2"/>
          <w:szCs w:val="12"/>
          <w:color w:val="363636"/>
        </w:rPr>
        <w:t>7.3</w:t>
      </w:r>
      <w:r>
        <w:rPr>
          <w:sz w:val="20"/>
          <w:szCs w:val="20"/>
          <w:color w:val="auto"/>
        </w:rPr>
        <w:tab/>
      </w:r>
      <w:r>
        <w:rPr>
          <w:rFonts w:ascii="Arial" w:cs="Arial" w:eastAsia="Arial" w:hAnsi="Arial"/>
          <w:sz w:val="12"/>
          <w:szCs w:val="12"/>
          <w:u w:val="single" w:color="auto"/>
          <w:color w:val="131313"/>
        </w:rPr>
        <w:t>No waiver</w:t>
      </w:r>
    </w:p>
    <w:p>
      <w:pPr>
        <w:spacing w:after="0" w:line="190" w:lineRule="exact"/>
        <w:rPr>
          <w:sz w:val="20"/>
          <w:szCs w:val="20"/>
          <w:color w:val="auto"/>
        </w:rPr>
      </w:pPr>
    </w:p>
    <w:p>
      <w:pPr>
        <w:jc w:val="both"/>
        <w:ind w:left="560" w:hanging="482"/>
        <w:spacing w:after="0" w:line="245" w:lineRule="auto"/>
        <w:tabs>
          <w:tab w:leader="none" w:pos="540" w:val="left"/>
        </w:tabs>
        <w:rPr>
          <w:sz w:val="20"/>
          <w:szCs w:val="20"/>
          <w:color w:val="auto"/>
        </w:rPr>
      </w:pPr>
      <w:r>
        <w:rPr>
          <w:rFonts w:ascii="Arial" w:cs="Arial" w:eastAsia="Arial" w:hAnsi="Arial"/>
          <w:sz w:val="12"/>
          <w:szCs w:val="12"/>
          <w:color w:val="151515"/>
        </w:rPr>
        <w:t>7.3.1</w:t>
      </w:r>
      <w:r>
        <w:rPr>
          <w:sz w:val="20"/>
          <w:szCs w:val="20"/>
          <w:color w:val="auto"/>
        </w:rPr>
        <w:tab/>
      </w:r>
      <w:r>
        <w:rPr>
          <w:rFonts w:ascii="Arial" w:cs="Arial" w:eastAsia="Arial" w:hAnsi="Arial"/>
          <w:sz w:val="12"/>
          <w:szCs w:val="12"/>
          <w:color w:val="131313"/>
        </w:rPr>
        <w:t>If we give you permission not to keep to any of the terms of this Lease, or if we choose not to take action even if you are not keeping to any of the terms, this decision is only effective if we confirm it in writing</w:t>
      </w:r>
      <w:r>
        <w:rPr>
          <w:rFonts w:ascii="Arial" w:cs="Arial" w:eastAsia="Arial" w:hAnsi="Arial"/>
          <w:sz w:val="12"/>
          <w:szCs w:val="12"/>
          <w:color w:val="4B4B4B"/>
        </w:rPr>
        <w:t>.</w:t>
      </w:r>
      <w:r>
        <w:rPr>
          <w:rFonts w:ascii="Arial" w:cs="Arial" w:eastAsia="Arial" w:hAnsi="Arial"/>
          <w:sz w:val="12"/>
          <w:szCs w:val="12"/>
          <w:color w:val="131313"/>
        </w:rPr>
        <w:t xml:space="preserve"> If we know about you not keeping to any of the terms of this Lease, or we accept the Gross Rent or any amount due under this Lease, this does not mean that we do not require you to keep to the terms of this Lease or that we have chosen not to take action.</w:t>
      </w:r>
    </w:p>
    <w:p>
      <w:pPr>
        <w:spacing w:after="0" w:line="18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7.3.2</w:t>
      </w:r>
      <w:r>
        <w:rPr>
          <w:sz w:val="20"/>
          <w:szCs w:val="20"/>
          <w:color w:val="auto"/>
        </w:rPr>
        <w:tab/>
      </w:r>
      <w:r>
        <w:rPr>
          <w:rFonts w:ascii="Arial" w:cs="Arial" w:eastAsia="Arial" w:hAnsi="Arial"/>
          <w:sz w:val="11"/>
          <w:szCs w:val="11"/>
          <w:color w:val="131313"/>
        </w:rPr>
        <w:t>If we give written permission or confirmation as set out in clause 7.3</w:t>
      </w:r>
      <w:r>
        <w:rPr>
          <w:rFonts w:ascii="Arial" w:cs="Arial" w:eastAsia="Arial" w:hAnsi="Arial"/>
          <w:sz w:val="11"/>
          <w:szCs w:val="11"/>
          <w:color w:val="363636"/>
        </w:rPr>
        <w:t>.</w:t>
      </w:r>
      <w:r>
        <w:rPr>
          <w:rFonts w:ascii="Arial" w:cs="Arial" w:eastAsia="Arial" w:hAnsi="Arial"/>
          <w:sz w:val="11"/>
          <w:szCs w:val="11"/>
          <w:color w:val="131313"/>
        </w:rPr>
        <w:t>1 above, this does not mean that we have also given permission or agreed not to take action if you:</w:t>
      </w:r>
    </w:p>
    <w:p>
      <w:pPr>
        <w:spacing w:after="0" w:line="201" w:lineRule="exact"/>
        <w:rPr>
          <w:sz w:val="20"/>
          <w:szCs w:val="20"/>
          <w:color w:val="auto"/>
        </w:rPr>
      </w:pPr>
    </w:p>
    <w:p>
      <w:pPr>
        <w:ind w:left="800" w:hanging="240"/>
        <w:spacing w:after="0"/>
        <w:tabs>
          <w:tab w:leader="none" w:pos="800" w:val="left"/>
        </w:tabs>
        <w:numPr>
          <w:ilvl w:val="0"/>
          <w:numId w:val="97"/>
        </w:numPr>
        <w:rPr>
          <w:rFonts w:ascii="Arial" w:cs="Arial" w:eastAsia="Arial" w:hAnsi="Arial"/>
          <w:sz w:val="12"/>
          <w:szCs w:val="12"/>
          <w:color w:val="151515"/>
        </w:rPr>
      </w:pPr>
      <w:r>
        <w:rPr>
          <w:rFonts w:ascii="Arial" w:cs="Arial" w:eastAsia="Arial" w:hAnsi="Arial"/>
          <w:sz w:val="12"/>
          <w:szCs w:val="12"/>
          <w:color w:val="131313"/>
        </w:rPr>
        <w:t>do not keep to the same term of this Lease again</w:t>
      </w:r>
      <w:r>
        <w:rPr>
          <w:rFonts w:ascii="Arial" w:cs="Arial" w:eastAsia="Arial" w:hAnsi="Arial"/>
          <w:sz w:val="12"/>
          <w:szCs w:val="12"/>
          <w:color w:val="363636"/>
        </w:rPr>
        <w:t>;</w:t>
      </w:r>
      <w:r>
        <w:rPr>
          <w:rFonts w:ascii="Arial" w:cs="Arial" w:eastAsia="Arial" w:hAnsi="Arial"/>
          <w:sz w:val="12"/>
          <w:szCs w:val="12"/>
          <w:color w:val="131313"/>
        </w:rPr>
        <w:t xml:space="preserve"> or</w:t>
      </w:r>
    </w:p>
    <w:p>
      <w:pPr>
        <w:spacing w:after="0" w:line="190" w:lineRule="exact"/>
        <w:rPr>
          <w:rFonts w:ascii="Arial" w:cs="Arial" w:eastAsia="Arial" w:hAnsi="Arial"/>
          <w:sz w:val="12"/>
          <w:szCs w:val="12"/>
          <w:color w:val="151515"/>
        </w:rPr>
      </w:pPr>
    </w:p>
    <w:p>
      <w:pPr>
        <w:ind w:left="800" w:hanging="240"/>
        <w:spacing w:after="0"/>
        <w:tabs>
          <w:tab w:leader="none" w:pos="800" w:val="left"/>
        </w:tabs>
        <w:numPr>
          <w:ilvl w:val="0"/>
          <w:numId w:val="97"/>
        </w:numPr>
        <w:rPr>
          <w:rFonts w:ascii="Arial" w:cs="Arial" w:eastAsia="Arial" w:hAnsi="Arial"/>
          <w:sz w:val="12"/>
          <w:szCs w:val="12"/>
          <w:color w:val="151515"/>
        </w:rPr>
      </w:pPr>
      <w:r>
        <w:rPr>
          <w:rFonts w:ascii="Arial" w:cs="Arial" w:eastAsia="Arial" w:hAnsi="Arial"/>
          <w:sz w:val="12"/>
          <w:szCs w:val="12"/>
          <w:color w:val="131313"/>
        </w:rPr>
        <w:t>do not keep to another term of this Lease.</w:t>
      </w:r>
    </w:p>
    <w:p>
      <w:pPr>
        <w:spacing w:after="0" w:line="201"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2"/>
          <w:szCs w:val="12"/>
          <w:color w:val="363636"/>
        </w:rPr>
        <w:t>7.4</w:t>
      </w:r>
      <w:r>
        <w:rPr>
          <w:sz w:val="20"/>
          <w:szCs w:val="20"/>
          <w:color w:val="auto"/>
        </w:rPr>
        <w:tab/>
      </w:r>
      <w:r>
        <w:rPr>
          <w:rFonts w:ascii="Arial" w:cs="Arial" w:eastAsia="Arial" w:hAnsi="Arial"/>
          <w:sz w:val="12"/>
          <w:szCs w:val="12"/>
          <w:u w:val="single" w:color="auto"/>
          <w:color w:val="131313"/>
        </w:rPr>
        <w:t>En</w:t>
      </w:r>
      <w:r>
        <w:rPr>
          <w:rFonts w:ascii="Arial" w:cs="Arial" w:eastAsia="Arial" w:hAnsi="Arial"/>
          <w:sz w:val="12"/>
          <w:szCs w:val="12"/>
          <w:u w:val="single" w:color="auto"/>
          <w:color w:val="363636"/>
        </w:rPr>
        <w:t>ti</w:t>
      </w:r>
      <w:r>
        <w:rPr>
          <w:rFonts w:ascii="Arial" w:cs="Arial" w:eastAsia="Arial" w:hAnsi="Arial"/>
          <w:sz w:val="12"/>
          <w:szCs w:val="12"/>
          <w:u w:val="single" w:color="auto"/>
          <w:color w:val="131313"/>
        </w:rPr>
        <w:t>re Agre</w:t>
      </w:r>
      <w:r>
        <w:rPr>
          <w:rFonts w:ascii="Arial" w:cs="Arial" w:eastAsia="Arial" w:hAnsi="Arial"/>
          <w:sz w:val="12"/>
          <w:szCs w:val="12"/>
          <w:u w:val="single" w:color="auto"/>
          <w:color w:val="363636"/>
        </w:rPr>
        <w:t>em</w:t>
      </w:r>
      <w:r>
        <w:rPr>
          <w:rFonts w:ascii="Arial" w:cs="Arial" w:eastAsia="Arial" w:hAnsi="Arial"/>
          <w:sz w:val="12"/>
          <w:szCs w:val="12"/>
          <w:u w:val="single" w:color="auto"/>
          <w:color w:val="131313"/>
        </w:rPr>
        <w:t>e</w:t>
      </w:r>
      <w:r>
        <w:rPr>
          <w:rFonts w:ascii="Arial" w:cs="Arial" w:eastAsia="Arial" w:hAnsi="Arial"/>
          <w:sz w:val="12"/>
          <w:szCs w:val="12"/>
          <w:u w:val="single" w:color="auto"/>
          <w:color w:val="363636"/>
        </w:rPr>
        <w:t>nt</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7.4.1</w:t>
      </w:r>
      <w:r>
        <w:rPr>
          <w:sz w:val="20"/>
          <w:szCs w:val="20"/>
          <w:color w:val="auto"/>
        </w:rPr>
        <w:tab/>
      </w:r>
      <w:r>
        <w:rPr>
          <w:rFonts w:ascii="Arial" w:cs="Arial" w:eastAsia="Arial" w:hAnsi="Arial"/>
          <w:sz w:val="11"/>
          <w:szCs w:val="11"/>
          <w:color w:val="131313"/>
        </w:rPr>
        <w:t>This Lease forms the entire agreement between you and us for this lease of the Premises.</w:t>
      </w:r>
    </w:p>
    <w:p>
      <w:pPr>
        <w:spacing w:after="0" w:line="190" w:lineRule="exact"/>
        <w:rPr>
          <w:sz w:val="20"/>
          <w:szCs w:val="20"/>
          <w:color w:val="auto"/>
        </w:rPr>
      </w:pPr>
    </w:p>
    <w:p>
      <w:pPr>
        <w:ind w:left="560" w:hanging="482"/>
        <w:spacing w:after="0" w:line="250" w:lineRule="auto"/>
        <w:tabs>
          <w:tab w:leader="none" w:pos="540" w:val="left"/>
        </w:tabs>
        <w:rPr>
          <w:sz w:val="20"/>
          <w:szCs w:val="20"/>
          <w:color w:val="auto"/>
        </w:rPr>
      </w:pPr>
      <w:r>
        <w:rPr>
          <w:rFonts w:ascii="Arial" w:cs="Arial" w:eastAsia="Arial" w:hAnsi="Arial"/>
          <w:sz w:val="12"/>
          <w:szCs w:val="12"/>
          <w:color w:val="151515"/>
        </w:rPr>
        <w:t>7.4.2</w:t>
      </w:r>
      <w:r>
        <w:rPr>
          <w:sz w:val="20"/>
          <w:szCs w:val="20"/>
          <w:color w:val="auto"/>
        </w:rPr>
        <w:tab/>
      </w:r>
      <w:r>
        <w:rPr>
          <w:rFonts w:ascii="Arial" w:cs="Arial" w:eastAsia="Arial" w:hAnsi="Arial"/>
          <w:sz w:val="12"/>
          <w:szCs w:val="12"/>
          <w:color w:val="131313"/>
        </w:rPr>
        <w:t>We are not bound by any statement, conduct or promises (whether written or spoken, express or implied by common law, statute, custom or in any other way) relating to the Premises, Building or Park if they are not set out in this Lease.</w:t>
      </w:r>
    </w:p>
    <w:p>
      <w:pPr>
        <w:spacing w:after="0" w:line="178" w:lineRule="exact"/>
        <w:rPr>
          <w:sz w:val="20"/>
          <w:szCs w:val="20"/>
          <w:color w:val="auto"/>
        </w:rPr>
      </w:pPr>
    </w:p>
    <w:p>
      <w:pPr>
        <w:ind w:left="560" w:hanging="482"/>
        <w:spacing w:after="0" w:line="250" w:lineRule="auto"/>
        <w:tabs>
          <w:tab w:leader="none" w:pos="540" w:val="left"/>
        </w:tabs>
        <w:rPr>
          <w:sz w:val="20"/>
          <w:szCs w:val="20"/>
          <w:color w:val="auto"/>
        </w:rPr>
      </w:pPr>
      <w:r>
        <w:rPr>
          <w:rFonts w:ascii="Arial" w:cs="Arial" w:eastAsia="Arial" w:hAnsi="Arial"/>
          <w:sz w:val="12"/>
          <w:szCs w:val="12"/>
          <w:color w:val="151515"/>
        </w:rPr>
        <w:t>7.4.3</w:t>
      </w:r>
      <w:r>
        <w:rPr>
          <w:sz w:val="20"/>
          <w:szCs w:val="20"/>
          <w:color w:val="auto"/>
        </w:rPr>
        <w:tab/>
      </w:r>
      <w:r>
        <w:rPr>
          <w:rFonts w:ascii="Arial" w:cs="Arial" w:eastAsia="Arial" w:hAnsi="Arial"/>
          <w:sz w:val="12"/>
          <w:szCs w:val="12"/>
          <w:color w:val="131313"/>
        </w:rPr>
        <w:t>You confirm that you have not agreed to or signed this Lease as a result of relying on any statement, conduct or promise we have made (or which someone else has made on our behalf), which is not as set out in this Lease.</w:t>
      </w:r>
    </w:p>
    <w:p>
      <w:pPr>
        <w:spacing w:after="0" w:line="178"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7.4.4</w:t>
      </w:r>
      <w:r>
        <w:rPr>
          <w:sz w:val="20"/>
          <w:szCs w:val="20"/>
          <w:color w:val="auto"/>
        </w:rPr>
        <w:tab/>
      </w:r>
      <w:r>
        <w:rPr>
          <w:rFonts w:ascii="Arial" w:cs="Arial" w:eastAsia="Arial" w:hAnsi="Arial"/>
          <w:sz w:val="11"/>
          <w:szCs w:val="11"/>
          <w:color w:val="131313"/>
        </w:rPr>
        <w:t>You and we each state, guarantee, confirm and agree that each has full power and authority to enter into and carry out the obligations contained within this Lease, and this Lease is va</w:t>
      </w:r>
      <w:r>
        <w:rPr>
          <w:rFonts w:ascii="Arial" w:cs="Arial" w:eastAsia="Arial" w:hAnsi="Arial"/>
          <w:sz w:val="11"/>
          <w:szCs w:val="11"/>
          <w:color w:val="363636"/>
        </w:rPr>
        <w:t>l</w:t>
      </w:r>
      <w:r>
        <w:rPr>
          <w:rFonts w:ascii="Arial" w:cs="Arial" w:eastAsia="Arial" w:hAnsi="Arial"/>
          <w:sz w:val="11"/>
          <w:szCs w:val="11"/>
          <w:color w:val="131313"/>
        </w:rPr>
        <w:t>id and binding</w:t>
      </w:r>
      <w:r>
        <w:rPr>
          <w:rFonts w:ascii="Arial" w:cs="Arial" w:eastAsia="Arial" w:hAnsi="Arial"/>
          <w:sz w:val="11"/>
          <w:szCs w:val="11"/>
          <w:color w:val="363636"/>
        </w:rPr>
        <w:t>.</w:t>
      </w:r>
    </w:p>
    <w:p>
      <w:pPr>
        <w:spacing w:after="0" w:line="201"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2"/>
          <w:szCs w:val="12"/>
          <w:color w:val="363636"/>
        </w:rPr>
        <w:t>7.5</w:t>
      </w:r>
      <w:r>
        <w:rPr>
          <w:sz w:val="20"/>
          <w:szCs w:val="20"/>
          <w:color w:val="auto"/>
        </w:rPr>
        <w:tab/>
      </w:r>
      <w:r>
        <w:rPr>
          <w:rFonts w:ascii="Arial" w:cs="Arial" w:eastAsia="Arial" w:hAnsi="Arial"/>
          <w:sz w:val="11"/>
          <w:szCs w:val="11"/>
          <w:u w:val="single" w:color="auto"/>
          <w:color w:val="131313"/>
        </w:rPr>
        <w:t>S</w:t>
      </w:r>
      <w:r>
        <w:rPr>
          <w:rFonts w:ascii="Arial" w:cs="Arial" w:eastAsia="Arial" w:hAnsi="Arial"/>
          <w:sz w:val="11"/>
          <w:szCs w:val="11"/>
          <w:u w:val="single" w:color="auto"/>
          <w:color w:val="363636"/>
        </w:rPr>
        <w:t>e</w:t>
      </w:r>
      <w:r>
        <w:rPr>
          <w:rFonts w:ascii="Arial" w:cs="Arial" w:eastAsia="Arial" w:hAnsi="Arial"/>
          <w:sz w:val="11"/>
          <w:szCs w:val="11"/>
          <w:u w:val="single" w:color="auto"/>
          <w:color w:val="131313"/>
        </w:rPr>
        <w:t>v</w:t>
      </w:r>
      <w:r>
        <w:rPr>
          <w:rFonts w:ascii="Arial" w:cs="Arial" w:eastAsia="Arial" w:hAnsi="Arial"/>
          <w:sz w:val="11"/>
          <w:szCs w:val="11"/>
          <w:u w:val="single" w:color="auto"/>
          <w:color w:val="363636"/>
        </w:rPr>
        <w:t>era</w:t>
      </w:r>
      <w:r>
        <w:rPr>
          <w:rFonts w:ascii="Arial" w:cs="Arial" w:eastAsia="Arial" w:hAnsi="Arial"/>
          <w:sz w:val="11"/>
          <w:szCs w:val="11"/>
          <w:u w:val="single" w:color="auto"/>
          <w:color w:val="131313"/>
        </w:rPr>
        <w:t>b</w:t>
      </w:r>
      <w:r>
        <w:rPr>
          <w:rFonts w:ascii="Arial" w:cs="Arial" w:eastAsia="Arial" w:hAnsi="Arial"/>
          <w:sz w:val="11"/>
          <w:szCs w:val="11"/>
          <w:u w:val="single" w:color="auto"/>
          <w:color w:val="363636"/>
        </w:rPr>
        <w:t>ilit</w:t>
      </w:r>
      <w:r>
        <w:rPr>
          <w:rFonts w:ascii="Arial" w:cs="Arial" w:eastAsia="Arial" w:hAnsi="Arial"/>
          <w:sz w:val="11"/>
          <w:szCs w:val="11"/>
          <w:u w:val="single" w:color="auto"/>
          <w:color w:val="131313"/>
        </w:rPr>
        <w:t>y</w:t>
      </w:r>
    </w:p>
    <w:p>
      <w:pPr>
        <w:spacing w:after="0" w:line="190" w:lineRule="exact"/>
        <w:rPr>
          <w:sz w:val="20"/>
          <w:szCs w:val="20"/>
          <w:color w:val="auto"/>
        </w:rPr>
      </w:pPr>
    </w:p>
    <w:p>
      <w:pPr>
        <w:ind w:left="580" w:right="120" w:firstLine="1"/>
        <w:spacing w:after="0" w:line="250" w:lineRule="auto"/>
        <w:rPr>
          <w:sz w:val="20"/>
          <w:szCs w:val="20"/>
          <w:color w:val="auto"/>
        </w:rPr>
      </w:pPr>
      <w:r>
        <w:rPr>
          <w:rFonts w:ascii="Arial" w:cs="Arial" w:eastAsia="Arial" w:hAnsi="Arial"/>
          <w:sz w:val="12"/>
          <w:szCs w:val="12"/>
          <w:color w:val="131313"/>
        </w:rPr>
        <w:t>If any part of this Lease cannot be enforced or if all or part of any clause in this Lease is illegal or invalid or cannot be enforced by Law, this will not affect the legality, validity or enforceability of any other clause in this Lease.</w:t>
      </w:r>
    </w:p>
    <w:p>
      <w:pPr>
        <w:spacing w:after="0" w:line="178" w:lineRule="exact"/>
        <w:rPr>
          <w:sz w:val="20"/>
          <w:szCs w:val="20"/>
          <w:color w:val="auto"/>
        </w:rPr>
      </w:pPr>
    </w:p>
    <w:p>
      <w:pPr>
        <w:ind w:left="80"/>
        <w:spacing w:after="0"/>
        <w:tabs>
          <w:tab w:leader="none" w:pos="520" w:val="left"/>
        </w:tabs>
        <w:rPr>
          <w:sz w:val="20"/>
          <w:szCs w:val="20"/>
          <w:color w:val="auto"/>
        </w:rPr>
      </w:pPr>
      <w:r>
        <w:rPr>
          <w:rFonts w:ascii="Arial" w:cs="Arial" w:eastAsia="Arial" w:hAnsi="Arial"/>
          <w:sz w:val="12"/>
          <w:szCs w:val="12"/>
          <w:color w:val="363636"/>
        </w:rPr>
        <w:t>7.6</w:t>
      </w:r>
      <w:r>
        <w:rPr>
          <w:sz w:val="20"/>
          <w:szCs w:val="20"/>
          <w:color w:val="auto"/>
        </w:rPr>
        <w:tab/>
      </w:r>
      <w:r>
        <w:rPr>
          <w:rFonts w:ascii="Arial" w:cs="Arial" w:eastAsia="Arial" w:hAnsi="Arial"/>
          <w:sz w:val="11"/>
          <w:szCs w:val="11"/>
          <w:u w:val="single" w:color="auto"/>
          <w:color w:val="363636"/>
        </w:rPr>
        <w:t xml:space="preserve">Governing </w:t>
      </w:r>
      <w:r>
        <w:rPr>
          <w:rFonts w:ascii="Arial" w:cs="Arial" w:eastAsia="Arial" w:hAnsi="Arial"/>
          <w:sz w:val="11"/>
          <w:szCs w:val="11"/>
          <w:color w:val="131313"/>
        </w:rPr>
        <w:t>L</w:t>
      </w:r>
      <w:r>
        <w:rPr>
          <w:rFonts w:ascii="Arial" w:cs="Arial" w:eastAsia="Arial" w:hAnsi="Arial"/>
          <w:sz w:val="11"/>
          <w:szCs w:val="11"/>
          <w:u w:val="single" w:color="auto"/>
          <w:color w:val="363636"/>
        </w:rPr>
        <w:t>a</w:t>
      </w:r>
      <w:r>
        <w:rPr>
          <w:rFonts w:ascii="Arial" w:cs="Arial" w:eastAsia="Arial" w:hAnsi="Arial"/>
          <w:sz w:val="11"/>
          <w:szCs w:val="11"/>
          <w:u w:val="single" w:color="auto"/>
          <w:color w:val="131313"/>
        </w:rPr>
        <w:t>w</w:t>
      </w:r>
      <w:r>
        <w:rPr>
          <w:rFonts w:ascii="Arial" w:cs="Arial" w:eastAsia="Arial" w:hAnsi="Arial"/>
          <w:sz w:val="11"/>
          <w:szCs w:val="11"/>
          <w:u w:val="single" w:color="auto"/>
          <w:color w:val="363636"/>
        </w:rPr>
        <w:t xml:space="preserve"> and jurisdic</w:t>
      </w:r>
      <w:r>
        <w:rPr>
          <w:rFonts w:ascii="Arial" w:cs="Arial" w:eastAsia="Arial" w:hAnsi="Arial"/>
          <w:sz w:val="11"/>
          <w:szCs w:val="11"/>
          <w:u w:val="single" w:color="auto"/>
          <w:color w:val="131313"/>
        </w:rPr>
        <w:t>t</w:t>
      </w:r>
      <w:r>
        <w:rPr>
          <w:rFonts w:ascii="Arial" w:cs="Arial" w:eastAsia="Arial" w:hAnsi="Arial"/>
          <w:sz w:val="11"/>
          <w:szCs w:val="11"/>
          <w:u w:val="single" w:color="auto"/>
          <w:color w:val="363636"/>
        </w:rPr>
        <w:t>i</w:t>
      </w:r>
      <w:r>
        <w:rPr>
          <w:rFonts w:ascii="Arial" w:cs="Arial" w:eastAsia="Arial" w:hAnsi="Arial"/>
          <w:sz w:val="11"/>
          <w:szCs w:val="11"/>
          <w:u w:val="single" w:color="auto"/>
          <w:color w:val="131313"/>
        </w:rPr>
        <w:t>o</w:t>
      </w:r>
      <w:r>
        <w:rPr>
          <w:rFonts w:ascii="Arial" w:cs="Arial" w:eastAsia="Arial" w:hAnsi="Arial"/>
          <w:sz w:val="11"/>
          <w:szCs w:val="11"/>
          <w:u w:val="single" w:color="auto"/>
          <w:color w:val="363636"/>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-11430</wp:posOffset>
            </wp:positionV>
            <wp:extent cx="6350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2">
                      <a:extLst>
                        <a:ext uri="{28A0092B-C50C-407E-A947-70E740481C1C}"/>
                      </a:extLst>
                    </a:blip>
                    <a:srcRect/>
                    <a:stretch>
                      <a:fillRect/>
                    </a:stretch>
                  </pic:blipFill>
                  <pic:spPr bwMode="auto">
                    <a:xfrm>
                      <a:off x="0" y="0"/>
                      <a:ext cx="63500" cy="6985"/>
                    </a:xfrm>
                    <a:prstGeom prst="rect">
                      <a:avLst/>
                    </a:prstGeom>
                    <a:noFill/>
                  </pic:spPr>
                </pic:pic>
              </a:graphicData>
            </a:graphic>
          </wp:anchor>
        </w:drawing>
      </w:r>
    </w:p>
    <w:p>
      <w:pPr>
        <w:spacing w:after="0" w:line="181"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7.6.1</w:t>
      </w:r>
      <w:r>
        <w:rPr>
          <w:sz w:val="20"/>
          <w:szCs w:val="20"/>
          <w:color w:val="auto"/>
        </w:rPr>
        <w:tab/>
      </w:r>
      <w:r>
        <w:rPr>
          <w:rFonts w:ascii="Arial" w:cs="Arial" w:eastAsia="Arial" w:hAnsi="Arial"/>
          <w:sz w:val="11"/>
          <w:szCs w:val="11"/>
          <w:color w:val="151515"/>
        </w:rPr>
        <w:t xml:space="preserve">This </w:t>
      </w:r>
      <w:r>
        <w:rPr>
          <w:rFonts w:ascii="Arial" w:cs="Arial" w:eastAsia="Arial" w:hAnsi="Arial"/>
          <w:sz w:val="11"/>
          <w:szCs w:val="11"/>
          <w:color w:val="131313"/>
        </w:rPr>
        <w:t>Lease is governed by Singapore Law</w:t>
      </w:r>
      <w:r>
        <w:rPr>
          <w:rFonts w:ascii="Arial" w:cs="Arial" w:eastAsia="Arial" w:hAnsi="Arial"/>
          <w:sz w:val="11"/>
          <w:szCs w:val="11"/>
          <w:color w:val="363636"/>
        </w:rPr>
        <w:t>.</w:t>
      </w:r>
    </w:p>
    <w:p>
      <w:pPr>
        <w:spacing w:after="0" w:line="190" w:lineRule="exact"/>
        <w:rPr>
          <w:sz w:val="20"/>
          <w:szCs w:val="20"/>
          <w:color w:val="auto"/>
        </w:rPr>
      </w:pPr>
    </w:p>
    <w:p>
      <w:pPr>
        <w:ind w:left="80"/>
        <w:spacing w:after="0"/>
        <w:tabs>
          <w:tab w:leader="none" w:pos="540" w:val="left"/>
        </w:tabs>
        <w:rPr>
          <w:sz w:val="20"/>
          <w:szCs w:val="20"/>
          <w:color w:val="auto"/>
        </w:rPr>
      </w:pPr>
      <w:r>
        <w:rPr>
          <w:rFonts w:ascii="Arial" w:cs="Arial" w:eastAsia="Arial" w:hAnsi="Arial"/>
          <w:sz w:val="12"/>
          <w:szCs w:val="12"/>
          <w:color w:val="151515"/>
        </w:rPr>
        <w:t>7.6.2.</w:t>
      </w:r>
      <w:r>
        <w:rPr>
          <w:sz w:val="20"/>
          <w:szCs w:val="20"/>
          <w:color w:val="auto"/>
        </w:rPr>
        <w:tab/>
      </w:r>
      <w:r>
        <w:rPr>
          <w:rFonts w:ascii="Arial" w:cs="Arial" w:eastAsia="Arial" w:hAnsi="Arial"/>
          <w:sz w:val="11"/>
          <w:szCs w:val="11"/>
          <w:color w:val="131313"/>
        </w:rPr>
        <w:t>You and we agree that the appropriate legal forum for any disputes relating to this Lease will be the courts of Singapore.</w:t>
      </w:r>
    </w:p>
    <w:p>
      <w:pPr>
        <w:spacing w:after="0" w:line="201"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31313"/>
        </w:rPr>
        <w:t>7.7</w:t>
      </w:r>
      <w:r>
        <w:rPr>
          <w:sz w:val="20"/>
          <w:szCs w:val="20"/>
          <w:color w:val="auto"/>
        </w:rPr>
        <w:tab/>
      </w:r>
      <w:r>
        <w:rPr>
          <w:rFonts w:ascii="Arial" w:cs="Arial" w:eastAsia="Arial" w:hAnsi="Arial"/>
          <w:sz w:val="11"/>
          <w:szCs w:val="11"/>
          <w:u w:val="single" w:color="auto"/>
          <w:color w:val="131313"/>
        </w:rPr>
        <w:t xml:space="preserve">Contracts </w:t>
      </w:r>
      <w:r>
        <w:rPr>
          <w:rFonts w:ascii="Arial" w:cs="Arial" w:eastAsia="Arial" w:hAnsi="Arial"/>
          <w:sz w:val="11"/>
          <w:szCs w:val="11"/>
          <w:u w:val="single" w:color="auto"/>
          <w:color w:val="2B2B2B"/>
        </w:rPr>
        <w:t>(Rights</w:t>
      </w:r>
      <w:r>
        <w:rPr>
          <w:rFonts w:ascii="Arial" w:cs="Arial" w:eastAsia="Arial" w:hAnsi="Arial"/>
          <w:sz w:val="11"/>
          <w:szCs w:val="11"/>
          <w:u w:val="single" w:color="auto"/>
          <w:color w:val="131313"/>
        </w:rPr>
        <w:t xml:space="preserve"> of </w:t>
      </w:r>
      <w:r>
        <w:rPr>
          <w:rFonts w:ascii="Arial" w:cs="Arial" w:eastAsia="Arial" w:hAnsi="Arial"/>
          <w:sz w:val="11"/>
          <w:szCs w:val="11"/>
          <w:u w:val="single" w:color="auto"/>
          <w:color w:val="2B2B2B"/>
        </w:rPr>
        <w:t>Third</w:t>
      </w:r>
      <w:r>
        <w:rPr>
          <w:rFonts w:ascii="Arial" w:cs="Arial" w:eastAsia="Arial" w:hAnsi="Arial"/>
          <w:sz w:val="11"/>
          <w:szCs w:val="11"/>
          <w:u w:val="single" w:color="auto"/>
          <w:color w:val="131313"/>
        </w:rPr>
        <w:t xml:space="preserve"> Part</w:t>
      </w:r>
      <w:r>
        <w:rPr>
          <w:rFonts w:ascii="Arial" w:cs="Arial" w:eastAsia="Arial" w:hAnsi="Arial"/>
          <w:sz w:val="11"/>
          <w:szCs w:val="11"/>
          <w:u w:val="single" w:color="auto"/>
          <w:color w:val="3D3D3D"/>
        </w:rPr>
        <w:t>i</w:t>
      </w:r>
      <w:r>
        <w:rPr>
          <w:rFonts w:ascii="Arial" w:cs="Arial" w:eastAsia="Arial" w:hAnsi="Arial"/>
          <w:sz w:val="11"/>
          <w:szCs w:val="11"/>
          <w:u w:val="single" w:color="auto"/>
          <w:color w:val="131313"/>
        </w:rPr>
        <w:t>es) Act (C</w:t>
      </w:r>
      <w:r>
        <w:rPr>
          <w:rFonts w:ascii="Arial" w:cs="Arial" w:eastAsia="Arial" w:hAnsi="Arial"/>
          <w:sz w:val="11"/>
          <w:szCs w:val="11"/>
          <w:u w:val="single" w:color="auto"/>
          <w:color w:val="3D3D3D"/>
        </w:rPr>
        <w:t>h</w:t>
      </w:r>
      <w:r>
        <w:rPr>
          <w:rFonts w:ascii="Arial" w:cs="Arial" w:eastAsia="Arial" w:hAnsi="Arial"/>
          <w:sz w:val="11"/>
          <w:szCs w:val="11"/>
          <w:u w:val="single" w:color="auto"/>
          <w:color w:val="131313"/>
        </w:rPr>
        <w:t>apter 53 B)</w:t>
      </w:r>
    </w:p>
    <w:p>
      <w:pPr>
        <w:spacing w:after="0" w:line="190" w:lineRule="exact"/>
        <w:rPr>
          <w:sz w:val="20"/>
          <w:szCs w:val="20"/>
          <w:color w:val="auto"/>
        </w:rPr>
      </w:pPr>
    </w:p>
    <w:p>
      <w:pPr>
        <w:ind w:left="560" w:right="80" w:firstLine="3"/>
        <w:spacing w:after="0" w:line="250" w:lineRule="auto"/>
        <w:rPr>
          <w:sz w:val="20"/>
          <w:szCs w:val="20"/>
          <w:color w:val="auto"/>
        </w:rPr>
      </w:pPr>
      <w:r>
        <w:rPr>
          <w:rFonts w:ascii="Arial" w:cs="Arial" w:eastAsia="Arial" w:hAnsi="Arial"/>
          <w:sz w:val="12"/>
          <w:szCs w:val="12"/>
          <w:color w:val="131313"/>
        </w:rPr>
        <w:t>Apart from (i) the Head Landlord, (ii) any Authorities and (iii) any people authorised by us, the Head Landlord and/or the Authorities, no person who is not a party to this Lease has any right under the Contracts (Rights of Third Parties) Act (Chapter 53 B) to enforce or enjoy the benefit of any term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r>
    </w:tbl>
    <w:p>
      <w:pPr>
        <w:sectPr>
          <w:pgSz w:w="11900" w:h="16838" w:orient="portrait"/>
          <w:cols w:equalWidth="0" w:num="1">
            <w:col w:w="11280"/>
          </w:cols>
          <w:pgMar w:left="300" w:top="1440" w:right="31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3">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56"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2"/>
          <w:szCs w:val="12"/>
          <w:color w:val="131313"/>
        </w:rPr>
        <w:t>7.8</w:t>
      </w:r>
      <w:r>
        <w:rPr>
          <w:sz w:val="20"/>
          <w:szCs w:val="20"/>
          <w:color w:val="auto"/>
        </w:rPr>
        <w:tab/>
      </w:r>
      <w:r>
        <w:rPr>
          <w:rFonts w:ascii="Arial" w:cs="Arial" w:eastAsia="Arial" w:hAnsi="Arial"/>
          <w:sz w:val="12"/>
          <w:szCs w:val="12"/>
          <w:u w:val="single" w:color="auto"/>
          <w:color w:val="2B2B2B"/>
        </w:rPr>
        <w:t>Electron</w:t>
      </w:r>
      <w:r>
        <w:rPr>
          <w:rFonts w:ascii="Arial" w:cs="Arial" w:eastAsia="Arial" w:hAnsi="Arial"/>
          <w:sz w:val="12"/>
          <w:szCs w:val="12"/>
          <w:u w:val="single" w:color="auto"/>
          <w:color w:val="4B4B4B"/>
        </w:rPr>
        <w:t>ic</w:t>
      </w:r>
      <w:r>
        <w:rPr>
          <w:rFonts w:ascii="Arial" w:cs="Arial" w:eastAsia="Arial" w:hAnsi="Arial"/>
          <w:sz w:val="12"/>
          <w:szCs w:val="12"/>
          <w:u w:val="single" w:color="auto"/>
          <w:color w:val="2B2B2B"/>
        </w:rPr>
        <w:t xml:space="preserve"> </w:t>
      </w:r>
      <w:r>
        <w:rPr>
          <w:rFonts w:ascii="Arial" w:cs="Arial" w:eastAsia="Arial" w:hAnsi="Arial"/>
          <w:sz w:val="12"/>
          <w:szCs w:val="12"/>
          <w:u w:val="single" w:color="auto"/>
          <w:color w:val="131313"/>
        </w:rPr>
        <w:t>S</w:t>
      </w:r>
      <w:r>
        <w:rPr>
          <w:rFonts w:ascii="Arial" w:cs="Arial" w:eastAsia="Arial" w:hAnsi="Arial"/>
          <w:sz w:val="12"/>
          <w:szCs w:val="12"/>
          <w:u w:val="single" w:color="auto"/>
          <w:color w:val="3D3D3D"/>
        </w:rPr>
        <w:t>ignature</w:t>
      </w:r>
      <w:r>
        <w:rPr>
          <w:rFonts w:ascii="Arial" w:cs="Arial" w:eastAsia="Arial" w:hAnsi="Arial"/>
          <w:sz w:val="12"/>
          <w:szCs w:val="12"/>
          <w:u w:val="single" w:color="auto"/>
          <w:color w:val="131313"/>
        </w:rPr>
        <w:t>s</w:t>
      </w:r>
    </w:p>
    <w:p>
      <w:pPr>
        <w:spacing w:after="0" w:line="190" w:lineRule="exact"/>
        <w:rPr>
          <w:sz w:val="20"/>
          <w:szCs w:val="20"/>
          <w:color w:val="auto"/>
        </w:rPr>
      </w:pPr>
    </w:p>
    <w:p>
      <w:pPr>
        <w:jc w:val="both"/>
        <w:ind w:left="560" w:right="20" w:firstLine="1"/>
        <w:spacing w:after="0" w:line="241" w:lineRule="auto"/>
        <w:rPr>
          <w:sz w:val="20"/>
          <w:szCs w:val="20"/>
          <w:color w:val="auto"/>
        </w:rPr>
      </w:pPr>
      <w:r>
        <w:rPr>
          <w:rFonts w:ascii="Arial" w:cs="Arial" w:eastAsia="Arial" w:hAnsi="Arial"/>
          <w:sz w:val="12"/>
          <w:szCs w:val="12"/>
          <w:color w:val="131313"/>
        </w:rPr>
        <w:t xml:space="preserve">The Parties acknowledge and agree that we are authorised to rely upon and accept as an original for all purposes, this Lease, any other transaction document or other communication delivered by you or its solicitor by facsimile, telegraphic, .pdf, e-mail or other electronic transmission (each, a </w:t>
      </w:r>
      <w:r>
        <w:rPr>
          <w:rFonts w:ascii="Arial" w:cs="Arial" w:eastAsia="Arial" w:hAnsi="Arial"/>
          <w:sz w:val="12"/>
          <w:szCs w:val="12"/>
          <w:color w:val="2B2B2B"/>
        </w:rPr>
        <w:t>"Communication")</w:t>
      </w:r>
      <w:r>
        <w:rPr>
          <w:rFonts w:ascii="Arial" w:cs="Arial" w:eastAsia="Arial" w:hAnsi="Arial"/>
          <w:sz w:val="12"/>
          <w:szCs w:val="12"/>
          <w:color w:val="131313"/>
        </w:rPr>
        <w:t xml:space="preserve"> which we or our solicitor in good faith believes has been signed by you, including by electronic signature</w:t>
      </w:r>
      <w:r>
        <w:rPr>
          <w:rFonts w:ascii="Arial" w:cs="Arial" w:eastAsia="Arial" w:hAnsi="Arial"/>
          <w:sz w:val="12"/>
          <w:szCs w:val="12"/>
          <w:color w:val="3D3D3D"/>
        </w:rPr>
        <w:t>,</w:t>
      </w:r>
      <w:r>
        <w:rPr>
          <w:rFonts w:ascii="Arial" w:cs="Arial" w:eastAsia="Arial" w:hAnsi="Arial"/>
          <w:sz w:val="12"/>
          <w:szCs w:val="12"/>
          <w:color w:val="131313"/>
        </w:rPr>
        <w:t xml:space="preserve"> and which has been so delivered to us or our solicitor. Such Communication shall have the same force and effect as an original signature</w:t>
      </w:r>
      <w:r>
        <w:rPr>
          <w:rFonts w:ascii="Arial" w:cs="Arial" w:eastAsia="Arial" w:hAnsi="Arial"/>
          <w:sz w:val="12"/>
          <w:szCs w:val="12"/>
          <w:color w:val="606060"/>
        </w:rPr>
        <w:t>.</w:t>
      </w:r>
      <w:r>
        <w:rPr>
          <w:rFonts w:ascii="Arial" w:cs="Arial" w:eastAsia="Arial" w:hAnsi="Arial"/>
          <w:sz w:val="12"/>
          <w:szCs w:val="12"/>
          <w:color w:val="131313"/>
        </w:rPr>
        <w:t xml:space="preserve"> Without limitation, </w:t>
      </w:r>
      <w:r>
        <w:rPr>
          <w:rFonts w:ascii="Arial" w:cs="Arial" w:eastAsia="Arial" w:hAnsi="Arial"/>
          <w:sz w:val="12"/>
          <w:szCs w:val="12"/>
          <w:color w:val="2B2B2B"/>
        </w:rPr>
        <w:t>"electronic</w:t>
      </w:r>
      <w:r>
        <w:rPr>
          <w:rFonts w:ascii="Arial" w:cs="Arial" w:eastAsia="Arial" w:hAnsi="Arial"/>
          <w:sz w:val="12"/>
          <w:szCs w:val="12"/>
          <w:color w:val="131313"/>
        </w:rPr>
        <w:t xml:space="preserve"> signature" will include versions of an original signature on a document electronically scanned and transmitted versions (e.g., via pdf) of an original signature; it shall also include eSignatures </w:t>
      </w:r>
      <w:r>
        <w:rPr>
          <w:rFonts w:ascii="Arial" w:cs="Arial" w:eastAsia="Arial" w:hAnsi="Arial"/>
          <w:sz w:val="12"/>
          <w:szCs w:val="12"/>
          <w:color w:val="2B2B2B"/>
        </w:rPr>
        <w:t>included</w:t>
      </w:r>
      <w:r>
        <w:rPr>
          <w:rFonts w:ascii="Arial" w:cs="Arial" w:eastAsia="Arial" w:hAnsi="Arial"/>
          <w:sz w:val="12"/>
          <w:szCs w:val="12"/>
          <w:color w:val="131313"/>
        </w:rPr>
        <w:t xml:space="preserve"> on documents accessed from electronic and/or mobile devices via eSignature Services such as Docusign and AdobeSign. Notwithstanding the foregoing, we will in any instance require that an original document be submitted to us in lieu of, or in addition to, any such Communication.</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2"/>
          <w:szCs w:val="12"/>
          <w:u w:val="single" w:color="auto"/>
          <w:color w:val="2B2B2B"/>
        </w:rPr>
        <w:t>Counterparts</w:t>
      </w:r>
    </w:p>
    <w:p>
      <w:pPr>
        <w:spacing w:after="0" w:line="190" w:lineRule="exact"/>
        <w:rPr>
          <w:sz w:val="20"/>
          <w:szCs w:val="20"/>
          <w:color w:val="auto"/>
        </w:rPr>
      </w:pPr>
    </w:p>
    <w:p>
      <w:pPr>
        <w:jc w:val="both"/>
        <w:ind w:left="560" w:right="20" w:firstLine="1"/>
        <w:spacing w:after="0" w:line="250" w:lineRule="auto"/>
        <w:rPr>
          <w:sz w:val="20"/>
          <w:szCs w:val="20"/>
          <w:color w:val="auto"/>
        </w:rPr>
      </w:pPr>
      <w:r>
        <w:rPr>
          <w:rFonts w:ascii="Arial" w:cs="Arial" w:eastAsia="Arial" w:hAnsi="Arial"/>
          <w:sz w:val="12"/>
          <w:szCs w:val="12"/>
          <w:color w:val="131313"/>
        </w:rPr>
        <w:t>This Lease may be executed in two or more counterparts, each of which shall be deemed an original, but all of which shall constitute the same agreement. One or more counterparts of this Lease may be delivered by facsimile or pdf electronic transmission, with the intention that they shall have the same effect as an original counterpart</w:t>
      </w:r>
      <w:r>
        <w:rPr>
          <w:rFonts w:ascii="Arial" w:cs="Arial" w:eastAsia="Arial" w:hAnsi="Arial"/>
          <w:sz w:val="12"/>
          <w:szCs w:val="12"/>
          <w:color w:val="3D3D3D"/>
        </w:rPr>
        <w:t>.</w:t>
      </w:r>
    </w:p>
    <w:p>
      <w:pPr>
        <w:spacing w:after="0" w:line="164" w:lineRule="exact"/>
        <w:rPr>
          <w:sz w:val="20"/>
          <w:szCs w:val="20"/>
          <w:color w:val="auto"/>
        </w:rPr>
      </w:pPr>
    </w:p>
    <w:p>
      <w:pPr>
        <w:ind w:left="560" w:hanging="472"/>
        <w:spacing w:after="0"/>
        <w:tabs>
          <w:tab w:leader="none" w:pos="560" w:val="left"/>
        </w:tabs>
        <w:numPr>
          <w:ilvl w:val="0"/>
          <w:numId w:val="98"/>
        </w:numPr>
        <w:rPr>
          <w:rFonts w:ascii="Arial" w:cs="Arial" w:eastAsia="Arial" w:hAnsi="Arial"/>
          <w:sz w:val="12"/>
          <w:szCs w:val="12"/>
          <w:b w:val="1"/>
          <w:bCs w:val="1"/>
          <w:color w:val="131313"/>
        </w:rPr>
      </w:pPr>
      <w:r>
        <w:rPr>
          <w:rFonts w:ascii="Arial" w:cs="Arial" w:eastAsia="Arial" w:hAnsi="Arial"/>
          <w:sz w:val="12"/>
          <w:szCs w:val="12"/>
          <w:b w:val="1"/>
          <w:bCs w:val="1"/>
          <w:color w:val="131313"/>
        </w:rPr>
        <w:t>SUPPRESSION OF CORRUPT PRACTICE</w:t>
      </w:r>
    </w:p>
    <w:p>
      <w:pPr>
        <w:spacing w:after="0" w:line="215" w:lineRule="exact"/>
        <w:rPr>
          <w:sz w:val="20"/>
          <w:szCs w:val="20"/>
          <w:color w:val="auto"/>
        </w:rPr>
      </w:pPr>
    </w:p>
    <w:p>
      <w:pPr>
        <w:jc w:val="both"/>
        <w:ind w:left="560" w:hanging="472"/>
        <w:spacing w:after="0" w:line="250" w:lineRule="auto"/>
        <w:tabs>
          <w:tab w:leader="none" w:pos="540" w:val="left"/>
        </w:tabs>
        <w:rPr>
          <w:sz w:val="20"/>
          <w:szCs w:val="20"/>
          <w:color w:val="auto"/>
        </w:rPr>
      </w:pPr>
      <w:r>
        <w:rPr>
          <w:rFonts w:ascii="Arial" w:cs="Arial" w:eastAsia="Arial" w:hAnsi="Arial"/>
          <w:sz w:val="12"/>
          <w:szCs w:val="12"/>
          <w:color w:val="131313"/>
        </w:rPr>
        <w:t>8.1</w:t>
      </w:r>
      <w:r>
        <w:rPr>
          <w:sz w:val="20"/>
          <w:szCs w:val="20"/>
          <w:color w:val="auto"/>
        </w:rPr>
        <w:tab/>
      </w:r>
      <w:r>
        <w:rPr>
          <w:rFonts w:ascii="Arial" w:cs="Arial" w:eastAsia="Arial" w:hAnsi="Arial"/>
          <w:sz w:val="12"/>
          <w:szCs w:val="12"/>
          <w:color w:val="131313"/>
        </w:rPr>
        <w:t xml:space="preserve">The group of which we form part is committed to conducting its business in an ethical manner and expects all its employees and parties with which it has a contractual relationship to conduct themselves with high ethical standards and to comply with applicable laws for the suppression of corrupt practices </w:t>
      </w:r>
      <w:r>
        <w:rPr>
          <w:rFonts w:ascii="Arial" w:cs="Arial" w:eastAsia="Arial" w:hAnsi="Arial"/>
          <w:sz w:val="12"/>
          <w:szCs w:val="12"/>
          <w:b w:val="1"/>
          <w:bCs w:val="1"/>
          <w:color w:val="131313"/>
        </w:rPr>
        <w:t>("Anti-Corruption Laws").</w:t>
      </w:r>
    </w:p>
    <w:p>
      <w:pPr>
        <w:spacing w:after="0" w:line="178" w:lineRule="exact"/>
        <w:rPr>
          <w:sz w:val="20"/>
          <w:szCs w:val="20"/>
          <w:color w:val="auto"/>
        </w:rPr>
      </w:pPr>
    </w:p>
    <w:p>
      <w:pPr>
        <w:jc w:val="both"/>
        <w:ind w:left="560" w:right="20" w:hanging="470"/>
        <w:spacing w:after="0" w:line="245" w:lineRule="auto"/>
        <w:tabs>
          <w:tab w:leader="none" w:pos="540" w:val="left"/>
        </w:tabs>
        <w:rPr>
          <w:sz w:val="20"/>
          <w:szCs w:val="20"/>
          <w:color w:val="auto"/>
        </w:rPr>
      </w:pPr>
      <w:r>
        <w:rPr>
          <w:rFonts w:ascii="Arial" w:cs="Arial" w:eastAsia="Arial" w:hAnsi="Arial"/>
          <w:sz w:val="12"/>
          <w:szCs w:val="12"/>
          <w:color w:val="131313"/>
        </w:rPr>
        <w:t>8.2</w:t>
      </w:r>
      <w:r>
        <w:rPr>
          <w:sz w:val="20"/>
          <w:szCs w:val="20"/>
          <w:color w:val="auto"/>
        </w:rPr>
        <w:tab/>
      </w:r>
      <w:r>
        <w:rPr>
          <w:rFonts w:ascii="Arial" w:cs="Arial" w:eastAsia="Arial" w:hAnsi="Arial"/>
          <w:sz w:val="12"/>
          <w:szCs w:val="12"/>
          <w:color w:val="131313"/>
        </w:rPr>
        <w:t>You represent and warrant that, to the best of your knowledge, neither you nor any person who (by reference to all relevant circumstances) performs services or acts for or on behalf of you in any capacity (including, without limitation, employees</w:t>
      </w:r>
      <w:r>
        <w:rPr>
          <w:rFonts w:ascii="Arial" w:cs="Arial" w:eastAsia="Arial" w:hAnsi="Arial"/>
          <w:sz w:val="12"/>
          <w:szCs w:val="12"/>
          <w:color w:val="3D3D3D"/>
        </w:rPr>
        <w:t>,</w:t>
      </w:r>
      <w:r>
        <w:rPr>
          <w:rFonts w:ascii="Arial" w:cs="Arial" w:eastAsia="Arial" w:hAnsi="Arial"/>
          <w:sz w:val="12"/>
          <w:szCs w:val="12"/>
          <w:color w:val="131313"/>
        </w:rPr>
        <w:t xml:space="preserve"> agents, related corporations and subcontractors) </w:t>
      </w:r>
      <w:r>
        <w:rPr>
          <w:rFonts w:ascii="Arial" w:cs="Arial" w:eastAsia="Arial" w:hAnsi="Arial"/>
          <w:sz w:val="11"/>
          <w:szCs w:val="11"/>
          <w:b w:val="1"/>
          <w:bCs w:val="1"/>
          <w:color w:val="131313"/>
        </w:rPr>
        <w:t>("</w:t>
      </w:r>
      <w:r>
        <w:rPr>
          <w:rFonts w:ascii="Arial" w:cs="Arial" w:eastAsia="Arial" w:hAnsi="Arial"/>
          <w:sz w:val="12"/>
          <w:szCs w:val="12"/>
          <w:b w:val="1"/>
          <w:bCs w:val="1"/>
          <w:color w:val="131313"/>
        </w:rPr>
        <w:t>Representatives</w:t>
      </w:r>
      <w:r>
        <w:rPr>
          <w:rFonts w:ascii="Arial" w:cs="Arial" w:eastAsia="Arial" w:hAnsi="Arial"/>
          <w:sz w:val="12"/>
          <w:szCs w:val="12"/>
          <w:b w:val="1"/>
          <w:bCs w:val="1"/>
          <w:color w:val="3D3D3D"/>
        </w:rPr>
        <w:t>"</w:t>
      </w:r>
      <w:r>
        <w:rPr>
          <w:rFonts w:ascii="Arial" w:cs="Arial" w:eastAsia="Arial" w:hAnsi="Arial"/>
          <w:sz w:val="12"/>
          <w:szCs w:val="12"/>
          <w:color w:val="131313"/>
        </w:rPr>
        <w:t xml:space="preserve"> </w:t>
      </w:r>
      <w:r>
        <w:rPr>
          <w:rFonts w:ascii="Arial" w:cs="Arial" w:eastAsia="Arial" w:hAnsi="Arial"/>
          <w:sz w:val="12"/>
          <w:szCs w:val="12"/>
          <w:b w:val="1"/>
          <w:bCs w:val="1"/>
          <w:color w:val="131313"/>
        </w:rPr>
        <w:t>)</w:t>
      </w:r>
      <w:r>
        <w:rPr>
          <w:rFonts w:ascii="Arial" w:cs="Arial" w:eastAsia="Arial" w:hAnsi="Arial"/>
          <w:sz w:val="12"/>
          <w:szCs w:val="12"/>
          <w:color w:val="131313"/>
        </w:rPr>
        <w:t xml:space="preserve"> has contravened</w:t>
      </w:r>
      <w:r>
        <w:rPr>
          <w:rFonts w:ascii="Arial" w:cs="Arial" w:eastAsia="Arial" w:hAnsi="Arial"/>
          <w:sz w:val="12"/>
          <w:szCs w:val="12"/>
          <w:color w:val="3D3D3D"/>
        </w:rPr>
        <w:t>,</w:t>
      </w:r>
      <w:r>
        <w:rPr>
          <w:rFonts w:ascii="Arial" w:cs="Arial" w:eastAsia="Arial" w:hAnsi="Arial"/>
          <w:sz w:val="12"/>
          <w:szCs w:val="12"/>
          <w:color w:val="131313"/>
        </w:rPr>
        <w:t xml:space="preserve"> or procured or encouraged third parties (including</w:t>
      </w:r>
      <w:r>
        <w:rPr>
          <w:rFonts w:ascii="Arial" w:cs="Arial" w:eastAsia="Arial" w:hAnsi="Arial"/>
          <w:sz w:val="12"/>
          <w:szCs w:val="12"/>
          <w:color w:val="3D3D3D"/>
        </w:rPr>
        <w:t>,</w:t>
      </w:r>
      <w:r>
        <w:rPr>
          <w:rFonts w:ascii="Arial" w:cs="Arial" w:eastAsia="Arial" w:hAnsi="Arial"/>
          <w:sz w:val="12"/>
          <w:szCs w:val="12"/>
          <w:color w:val="131313"/>
        </w:rPr>
        <w:t xml:space="preserve"> to avoid any doubt, the employees of or any person acting on our behalf) to contravene, any Anti-Corruption Laws in connection with this Lease and/or any arrangements under this Lease.</w:t>
      </w:r>
    </w:p>
    <w:p>
      <w:pPr>
        <w:spacing w:after="0" w:line="181" w:lineRule="exact"/>
        <w:rPr>
          <w:sz w:val="20"/>
          <w:szCs w:val="20"/>
          <w:color w:val="auto"/>
        </w:rPr>
      </w:pPr>
    </w:p>
    <w:p>
      <w:pPr>
        <w:jc w:val="both"/>
        <w:ind w:left="560" w:right="20" w:hanging="471"/>
        <w:spacing w:after="0" w:line="239" w:lineRule="auto"/>
        <w:tabs>
          <w:tab w:leader="none" w:pos="540" w:val="left"/>
        </w:tabs>
        <w:rPr>
          <w:sz w:val="20"/>
          <w:szCs w:val="20"/>
          <w:color w:val="auto"/>
        </w:rPr>
      </w:pPr>
      <w:r>
        <w:rPr>
          <w:rFonts w:ascii="Arial" w:cs="Arial" w:eastAsia="Arial" w:hAnsi="Arial"/>
          <w:sz w:val="12"/>
          <w:szCs w:val="12"/>
          <w:color w:val="131313"/>
        </w:rPr>
        <w:t>8.3</w:t>
      </w:r>
      <w:r>
        <w:rPr>
          <w:sz w:val="20"/>
          <w:szCs w:val="20"/>
          <w:color w:val="auto"/>
        </w:rPr>
        <w:tab/>
      </w:r>
      <w:r>
        <w:rPr>
          <w:rFonts w:ascii="Arial" w:cs="Arial" w:eastAsia="Arial" w:hAnsi="Arial"/>
          <w:sz w:val="12"/>
          <w:szCs w:val="12"/>
          <w:color w:val="131313"/>
        </w:rPr>
        <w:t xml:space="preserve">You must immediately notify us if any person employed by us or acting on our behalf or any of your Representatives, has contravened or attempted to contravene any Anti-Corruption Laws </w:t>
      </w:r>
      <w:r>
        <w:rPr>
          <w:rFonts w:ascii="Arial" w:cs="Arial" w:eastAsia="Arial" w:hAnsi="Arial"/>
          <w:sz w:val="12"/>
          <w:szCs w:val="12"/>
          <w:color w:val="2B2B2B"/>
        </w:rPr>
        <w:t>in</w:t>
      </w:r>
      <w:r>
        <w:rPr>
          <w:rFonts w:ascii="Arial" w:cs="Arial" w:eastAsia="Arial" w:hAnsi="Arial"/>
          <w:sz w:val="12"/>
          <w:szCs w:val="12"/>
          <w:color w:val="131313"/>
        </w:rPr>
        <w:t xml:space="preserve"> connection with this Lease and/or any arrangements under this Lease, and must take adequate steps to protect the interests of both you and us. All such notices to us should be sent to the Chairman of the Audit Committee (“AC”) C/O Head of Group Internal Audit of CapitaLand Limited at the following email address: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2"/>
          <w:szCs w:val="12"/>
          <w:color w:val="131313"/>
        </w:rPr>
        <w:t>Wh</w:t>
      </w:r>
      <w:r>
        <w:rPr>
          <w:rFonts w:ascii="Arial" w:cs="Arial" w:eastAsia="Arial" w:hAnsi="Arial"/>
          <w:sz w:val="12"/>
          <w:szCs w:val="12"/>
          <w:color w:val="3D3D3D"/>
        </w:rPr>
        <w:t>ist</w:t>
      </w:r>
      <w:r>
        <w:rPr>
          <w:rFonts w:ascii="Arial" w:cs="Arial" w:eastAsia="Arial" w:hAnsi="Arial"/>
          <w:sz w:val="12"/>
          <w:szCs w:val="12"/>
          <w:color w:val="131313"/>
        </w:rPr>
        <w:t>leblow</w:t>
      </w:r>
      <w:r>
        <w:rPr>
          <w:rFonts w:ascii="Arial" w:cs="Arial" w:eastAsia="Arial" w:hAnsi="Arial"/>
          <w:sz w:val="12"/>
          <w:szCs w:val="12"/>
          <w:color w:val="3D3D3D"/>
        </w:rPr>
        <w:t>ing</w:t>
      </w:r>
      <w:r>
        <w:rPr>
          <w:rFonts w:ascii="Arial" w:cs="Arial" w:eastAsia="Arial" w:hAnsi="Arial"/>
          <w:sz w:val="12"/>
          <w:szCs w:val="12"/>
          <w:color w:val="606060"/>
        </w:rPr>
        <w:t>.</w:t>
      </w:r>
      <w:r>
        <w:rPr>
          <w:rFonts w:ascii="Arial" w:cs="Arial" w:eastAsia="Arial" w:hAnsi="Arial"/>
          <w:sz w:val="12"/>
          <w:szCs w:val="12"/>
          <w:color w:val="2B2B2B"/>
        </w:rPr>
        <w:t>ACChair@capitaland</w:t>
      </w:r>
      <w:r>
        <w:rPr>
          <w:rFonts w:ascii="Arial" w:cs="Arial" w:eastAsia="Arial" w:hAnsi="Arial"/>
          <w:sz w:val="12"/>
          <w:szCs w:val="12"/>
          <w:color w:val="606060"/>
        </w:rPr>
        <w:t>.</w:t>
      </w:r>
      <w:r>
        <w:rPr>
          <w:rFonts w:ascii="Arial" w:cs="Arial" w:eastAsia="Arial" w:hAnsi="Arial"/>
          <w:sz w:val="12"/>
          <w:szCs w:val="12"/>
          <w:color w:val="2B2B2B"/>
        </w:rPr>
        <w:t>com.</w:t>
      </w:r>
    </w:p>
    <w:p>
      <w:pPr>
        <w:spacing w:after="0" w:line="116" w:lineRule="exact"/>
        <w:rPr>
          <w:sz w:val="20"/>
          <w:szCs w:val="20"/>
          <w:color w:val="auto"/>
        </w:rPr>
      </w:pPr>
    </w:p>
    <w:p>
      <w:pPr>
        <w:jc w:val="both"/>
        <w:ind w:left="560" w:right="20" w:hanging="470"/>
        <w:spacing w:after="0" w:line="250" w:lineRule="auto"/>
        <w:tabs>
          <w:tab w:leader="none" w:pos="540" w:val="left"/>
        </w:tabs>
        <w:rPr>
          <w:sz w:val="20"/>
          <w:szCs w:val="20"/>
          <w:color w:val="auto"/>
        </w:rPr>
      </w:pPr>
      <w:r>
        <w:rPr>
          <w:rFonts w:ascii="Arial" w:cs="Arial" w:eastAsia="Arial" w:hAnsi="Arial"/>
          <w:sz w:val="12"/>
          <w:szCs w:val="12"/>
          <w:color w:val="131313"/>
        </w:rPr>
        <w:t>8.4</w:t>
      </w:r>
      <w:r>
        <w:rPr>
          <w:sz w:val="20"/>
          <w:szCs w:val="20"/>
          <w:color w:val="auto"/>
        </w:rPr>
        <w:tab/>
      </w:r>
      <w:r>
        <w:rPr>
          <w:rFonts w:ascii="Arial" w:cs="Arial" w:eastAsia="Arial" w:hAnsi="Arial"/>
          <w:sz w:val="12"/>
          <w:szCs w:val="12"/>
          <w:color w:val="131313"/>
        </w:rPr>
        <w:t>We may terminate this Lease and all arrangements under this Lease forthwith if you or any of your Representatives has contravened or attempted to contravene any Anti-Corruption Laws, whether in connection with this Lease and/or any arrangements under this Lease or otherwise. Such termination shall not affect our other rights and remedies whether under this Lease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32</w:t>
            </w:r>
          </w:p>
        </w:tc>
      </w:tr>
    </w:tbl>
    <w:p>
      <w:pPr>
        <w:sectPr>
          <w:pgSz w:w="11900" w:h="16838" w:orient="portrait"/>
          <w:cols w:equalWidth="0" w:num="1">
            <w:col w:w="11220"/>
          </w:cols>
          <w:pgMar w:left="300" w:top="1440" w:right="37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4">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305"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131313"/>
        </w:rPr>
        <w:t>SCHEDULE 5</w:t>
      </w:r>
    </w:p>
    <w:p>
      <w:pPr>
        <w:spacing w:after="0" w:line="2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131313"/>
        </w:rPr>
        <w:t>PLAN OF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33</w:t>
            </w:r>
          </w:p>
        </w:tc>
      </w:tr>
    </w:tbl>
    <w:p>
      <w:pPr>
        <w:sectPr>
          <w:pgSz w:w="11900" w:h="16838" w:orient="portrait"/>
          <w:cols w:equalWidth="0" w:num="1">
            <w:col w:w="10159"/>
          </w:cols>
          <w:pgMar w:left="300" w:top="1440" w:right="1440"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5359400" cy="637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5">
                      <a:extLst>
                        <a:ext uri="{28A0092B-C50C-407E-A947-70E740481C1C}"/>
                      </a:extLst>
                    </a:blip>
                    <a:srcRect/>
                    <a:stretch>
                      <a:fillRect/>
                    </a:stretch>
                  </pic:blipFill>
                  <pic:spPr bwMode="auto">
                    <a:xfrm>
                      <a:off x="0" y="0"/>
                      <a:ext cx="5359400" cy="637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34</w:t>
            </w:r>
          </w:p>
        </w:tc>
      </w:tr>
    </w:tbl>
    <w:p>
      <w:pPr>
        <w:sectPr>
          <w:pgSz w:w="11900" w:h="16838" w:orient="portrait"/>
          <w:cols w:equalWidth="0" w:num="1">
            <w:col w:w="10159"/>
          </w:cols>
          <w:pgMar w:left="300" w:top="1440" w:right="1440" w:bottom="1440" w:gutter="0" w:footer="0" w:header="0"/>
        </w:sectPr>
      </w:pPr>
    </w:p>
    <w:bookmarkStart w:id="156" w:name="page157"/>
    <w:bookmarkEnd w:id="15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6">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4"/>
          <w:szCs w:val="14"/>
          <w:b w:val="1"/>
          <w:bCs w:val="1"/>
          <w:color w:val="auto"/>
        </w:rPr>
        <w:t>SCHEDULE 6 DECLARATION FORM</w:t>
      </w:r>
    </w:p>
    <w:p>
      <w:pPr>
        <w:spacing w:after="0" w:line="277" w:lineRule="exact"/>
        <w:rPr>
          <w:sz w:val="20"/>
          <w:szCs w:val="20"/>
          <w:color w:val="auto"/>
        </w:rPr>
      </w:pPr>
    </w:p>
    <w:p>
      <w:pPr>
        <w:ind w:left="320" w:hanging="236"/>
        <w:spacing w:after="0"/>
        <w:tabs>
          <w:tab w:leader="none" w:pos="32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Details (see note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142875</wp:posOffset>
            </wp:positionV>
            <wp:extent cx="7054215" cy="1062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7">
                      <a:extLst>
                        <a:ext uri="{28A0092B-C50C-407E-A947-70E740481C1C}"/>
                      </a:extLst>
                    </a:blip>
                    <a:srcRect/>
                    <a:stretch>
                      <a:fillRect/>
                    </a:stretch>
                  </pic:blipFill>
                  <pic:spPr bwMode="auto">
                    <a:xfrm>
                      <a:off x="0" y="0"/>
                      <a:ext cx="7054215" cy="1062355"/>
                    </a:xfrm>
                    <a:prstGeom prst="rect">
                      <a:avLst/>
                    </a:prstGeom>
                    <a:noFill/>
                  </pic:spPr>
                </pic:pic>
              </a:graphicData>
            </a:graphic>
          </wp:anchor>
        </w:drawing>
      </w:r>
    </w:p>
    <w:p>
      <w:pPr>
        <w:spacing w:after="0" w:line="23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Name of company or firm (as in ACRA): </w:t>
      </w:r>
      <w:r>
        <w:rPr>
          <w:rFonts w:ascii="Arial" w:cs="Arial" w:eastAsia="Arial" w:hAnsi="Arial"/>
          <w:sz w:val="13"/>
          <w:szCs w:val="13"/>
          <w:b w:val="1"/>
          <w:bCs w:val="1"/>
          <w:color w:val="auto"/>
        </w:rPr>
        <w:t>FLUIDIGM SINGAPORE PTE. LTD.</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Premises: </w:t>
      </w:r>
      <w:r>
        <w:rPr>
          <w:rFonts w:ascii="Arial" w:cs="Arial" w:eastAsia="Arial" w:hAnsi="Arial"/>
          <w:sz w:val="14"/>
          <w:szCs w:val="14"/>
          <w:b w:val="1"/>
          <w:bCs w:val="1"/>
          <w:color w:val="auto"/>
        </w:rPr>
        <w:t>Block 5008 Ang Mo Kio Avenue 5 #07-11 &amp; #07-15 TECHplace II Singapore 569874</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35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Company’s mailing address:</w:t>
            </w:r>
          </w:p>
        </w:tc>
        <w:tc>
          <w:tcPr>
            <w:tcW w:w="758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Block 5008 Ang Mo Kio Avenue 5 #08-08 TECHplace II Singapore 569874</w:t>
            </w:r>
          </w:p>
        </w:tc>
      </w:tr>
      <w:tr>
        <w:trPr>
          <w:trHeight w:val="26"/>
        </w:trPr>
        <w:tc>
          <w:tcPr>
            <w:tcW w:w="35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119"/>
        </w:trPr>
        <w:tc>
          <w:tcPr>
            <w:tcW w:w="3520" w:type="dxa"/>
            <w:vAlign w:val="bottom"/>
          </w:tcPr>
          <w:p>
            <w:pPr>
              <w:ind w:left="20"/>
              <w:spacing w:after="0" w:line="119" w:lineRule="exact"/>
              <w:rPr>
                <w:sz w:val="20"/>
                <w:szCs w:val="20"/>
                <w:color w:val="auto"/>
              </w:rPr>
            </w:pPr>
            <w:r>
              <w:rPr>
                <w:rFonts w:ascii="Arial" w:cs="Arial" w:eastAsia="Arial" w:hAnsi="Arial"/>
                <w:sz w:val="13"/>
                <w:szCs w:val="13"/>
                <w:color w:val="auto"/>
              </w:rPr>
              <w:t>Phone: +65 6320 1610</w:t>
            </w:r>
          </w:p>
        </w:tc>
        <w:tc>
          <w:tcPr>
            <w:tcW w:w="2820" w:type="dxa"/>
            <w:vAlign w:val="bottom"/>
            <w:tcBorders>
              <w:right w:val="single" w:sz="8" w:color="auto"/>
            </w:tcBorders>
          </w:tcPr>
          <w:p>
            <w:pPr>
              <w:spacing w:after="0"/>
              <w:rPr>
                <w:sz w:val="10"/>
                <w:szCs w:val="10"/>
                <w:color w:val="auto"/>
              </w:rPr>
            </w:pPr>
          </w:p>
        </w:tc>
        <w:tc>
          <w:tcPr>
            <w:tcW w:w="4760" w:type="dxa"/>
            <w:vAlign w:val="bottom"/>
          </w:tcPr>
          <w:p>
            <w:pPr>
              <w:ind w:left="80"/>
              <w:spacing w:after="0" w:line="119" w:lineRule="exact"/>
              <w:rPr>
                <w:sz w:val="20"/>
                <w:szCs w:val="20"/>
                <w:color w:val="auto"/>
              </w:rPr>
            </w:pPr>
            <w:r>
              <w:rPr>
                <w:rFonts w:ascii="Arial" w:cs="Arial" w:eastAsia="Arial" w:hAnsi="Arial"/>
                <w:sz w:val="13"/>
                <w:szCs w:val="13"/>
                <w:color w:val="auto"/>
              </w:rPr>
              <w:t>Email address:</w:t>
            </w:r>
          </w:p>
        </w:tc>
      </w:tr>
      <w:tr>
        <w:trPr>
          <w:trHeight w:val="160"/>
        </w:trPr>
        <w:tc>
          <w:tcPr>
            <w:tcW w:w="3520" w:type="dxa"/>
            <w:vAlign w:val="bottom"/>
            <w:tcBorders>
              <w:bottom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0000FF"/>
              </w:rPr>
              <w:t>Cheng-Han.Phoa@Fluidigm.com</w:t>
            </w:r>
          </w:p>
        </w:tc>
      </w:tr>
      <w:tr>
        <w:trPr>
          <w:trHeight w:val="148"/>
        </w:trPr>
        <w:tc>
          <w:tcPr>
            <w:tcW w:w="3520" w:type="dxa"/>
            <w:vAlign w:val="bottom"/>
          </w:tcPr>
          <w:p>
            <w:pPr>
              <w:ind w:left="80"/>
              <w:spacing w:after="0" w:line="148" w:lineRule="exact"/>
              <w:rPr>
                <w:sz w:val="20"/>
                <w:szCs w:val="20"/>
                <w:color w:val="auto"/>
              </w:rPr>
            </w:pPr>
            <w:r>
              <w:rPr>
                <w:rFonts w:ascii="Arial" w:cs="Arial" w:eastAsia="Arial" w:hAnsi="Arial"/>
                <w:sz w:val="14"/>
                <w:szCs w:val="14"/>
                <w:color w:val="auto"/>
              </w:rPr>
              <w:t>Company registration number:</w:t>
            </w:r>
          </w:p>
        </w:tc>
        <w:tc>
          <w:tcPr>
            <w:tcW w:w="2820" w:type="dxa"/>
            <w:vAlign w:val="bottom"/>
            <w:tcBorders>
              <w:right w:val="single" w:sz="8" w:color="auto"/>
            </w:tcBorders>
          </w:tcPr>
          <w:p>
            <w:pPr>
              <w:spacing w:after="0"/>
              <w:rPr>
                <w:sz w:val="12"/>
                <w:szCs w:val="12"/>
                <w:color w:val="auto"/>
              </w:rPr>
            </w:pPr>
          </w:p>
        </w:tc>
        <w:tc>
          <w:tcPr>
            <w:tcW w:w="4760" w:type="dxa"/>
            <w:vAlign w:val="bottom"/>
          </w:tcPr>
          <w:p>
            <w:pPr>
              <w:ind w:left="80"/>
              <w:spacing w:after="0" w:line="148" w:lineRule="exact"/>
              <w:rPr>
                <w:sz w:val="20"/>
                <w:szCs w:val="20"/>
                <w:color w:val="auto"/>
              </w:rPr>
            </w:pPr>
            <w:r>
              <w:rPr>
                <w:rFonts w:ascii="Arial" w:cs="Arial" w:eastAsia="Arial" w:hAnsi="Arial"/>
                <w:sz w:val="13"/>
                <w:szCs w:val="13"/>
                <w:color w:val="auto"/>
              </w:rPr>
              <w:t>Country where the company is incorporated:</w:t>
            </w:r>
          </w:p>
        </w:tc>
      </w:tr>
      <w:tr>
        <w:trPr>
          <w:trHeight w:val="182"/>
        </w:trPr>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200311994M</w:t>
            </w:r>
          </w:p>
        </w:tc>
        <w:tc>
          <w:tcPr>
            <w:tcW w:w="2820" w:type="dxa"/>
            <w:vAlign w:val="bottom"/>
            <w:tcBorders>
              <w:bottom w:val="single" w:sz="8" w:color="auto"/>
              <w:right w:val="single" w:sz="8" w:color="auto"/>
            </w:tcBorders>
          </w:tcPr>
          <w:p>
            <w:pPr>
              <w:spacing w:after="0"/>
              <w:rPr>
                <w:sz w:val="15"/>
                <w:szCs w:val="15"/>
                <w:color w:val="auto"/>
              </w:rPr>
            </w:pPr>
          </w:p>
        </w:tc>
        <w:tc>
          <w:tcPr>
            <w:tcW w:w="47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Singapore</w:t>
            </w:r>
          </w:p>
        </w:tc>
      </w:tr>
      <w:tr>
        <w:trPr>
          <w:trHeight w:val="163"/>
        </w:trPr>
        <w:tc>
          <w:tcPr>
            <w:tcW w:w="3520" w:type="dxa"/>
            <w:vAlign w:val="bottom"/>
          </w:tcPr>
          <w:p>
            <w:pPr>
              <w:ind w:left="100"/>
              <w:spacing w:after="0"/>
              <w:rPr>
                <w:sz w:val="20"/>
                <w:szCs w:val="20"/>
                <w:color w:val="auto"/>
              </w:rPr>
            </w:pPr>
            <w:r>
              <w:rPr>
                <w:rFonts w:ascii="Arial" w:cs="Arial" w:eastAsia="Arial" w:hAnsi="Arial"/>
                <w:sz w:val="13"/>
                <w:szCs w:val="13"/>
                <w:color w:val="auto"/>
              </w:rPr>
              <w:t>Company’s principal activity:</w:t>
            </w:r>
          </w:p>
        </w:tc>
        <w:tc>
          <w:tcPr>
            <w:tcW w:w="2820" w:type="dxa"/>
            <w:vAlign w:val="bottom"/>
          </w:tcPr>
          <w:p>
            <w:pPr>
              <w:spacing w:after="0"/>
              <w:rPr>
                <w:sz w:val="14"/>
                <w:szCs w:val="14"/>
                <w:color w:val="auto"/>
              </w:rPr>
            </w:pPr>
          </w:p>
        </w:tc>
        <w:tc>
          <w:tcPr>
            <w:tcW w:w="4760" w:type="dxa"/>
            <w:vAlign w:val="bottom"/>
          </w:tcPr>
          <w:p>
            <w:pPr>
              <w:spacing w:after="0"/>
              <w:rPr>
                <w:sz w:val="14"/>
                <w:szCs w:val="14"/>
                <w:color w:val="auto"/>
              </w:rPr>
            </w:pPr>
          </w:p>
        </w:tc>
      </w:tr>
    </w:tbl>
    <w:p>
      <w:pPr>
        <w:spacing w:after="0" w:line="2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Research and experimental development on biotechnology, life and medical science with manufacture and repair of and scientific instruments.</w:t>
      </w:r>
    </w:p>
    <w:p>
      <w:pPr>
        <w:spacing w:after="0" w:line="369" w:lineRule="exact"/>
        <w:rPr>
          <w:sz w:val="20"/>
          <w:szCs w:val="20"/>
          <w:color w:val="auto"/>
        </w:rPr>
      </w:pPr>
    </w:p>
    <w:p>
      <w:pPr>
        <w:ind w:left="80"/>
        <w:spacing w:after="0"/>
        <w:rPr>
          <w:sz w:val="20"/>
          <w:szCs w:val="20"/>
          <w:color w:val="auto"/>
        </w:rPr>
      </w:pPr>
      <w:r>
        <w:rPr>
          <w:rFonts w:ascii="Arial" w:cs="Arial" w:eastAsia="Arial" w:hAnsi="Arial"/>
          <w:sz w:val="13"/>
          <w:szCs w:val="13"/>
          <w:color w:val="auto"/>
        </w:rPr>
        <w:t>Note: If you are a foreign firm or new company in the process of being set up, please provide a local contact address and phone number, where possible.</w:t>
      </w:r>
    </w:p>
    <w:p>
      <w:pPr>
        <w:spacing w:after="0" w:line="163" w:lineRule="exact"/>
        <w:rPr>
          <w:sz w:val="20"/>
          <w:szCs w:val="20"/>
          <w:color w:val="auto"/>
        </w:rPr>
      </w:pPr>
    </w:p>
    <w:p>
      <w:pPr>
        <w:ind w:left="320" w:hanging="236"/>
        <w:spacing w:after="0"/>
        <w:tabs>
          <w:tab w:leader="none" w:pos="32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Using the Premises</w:t>
      </w:r>
    </w:p>
    <w:p>
      <w:pPr>
        <w:spacing w:after="0" w:line="199" w:lineRule="exact"/>
        <w:rPr>
          <w:rFonts w:ascii="Arial" w:cs="Arial" w:eastAsia="Arial" w:hAnsi="Arial"/>
          <w:sz w:val="13"/>
          <w:szCs w:val="13"/>
          <w:b w:val="1"/>
          <w:bCs w:val="1"/>
          <w:color w:val="auto"/>
        </w:rPr>
      </w:pPr>
    </w:p>
    <w:p>
      <w:pPr>
        <w:ind w:left="3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R&amp;D and manufacturing of fluidic chips and microfluidic system</w:t>
      </w: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5420" w:type="dxa"/>
            <w:vAlign w:val="bottom"/>
          </w:tcPr>
          <w:p>
            <w:pPr>
              <w:spacing w:after="0"/>
              <w:rPr>
                <w:sz w:val="20"/>
                <w:szCs w:val="20"/>
                <w:color w:val="auto"/>
              </w:rPr>
            </w:pPr>
            <w:r>
              <w:rPr>
                <w:rFonts w:ascii="Arial" w:cs="Arial" w:eastAsia="Arial" w:hAnsi="Arial"/>
                <w:sz w:val="13"/>
                <w:szCs w:val="13"/>
                <w:b w:val="1"/>
                <w:bCs w:val="1"/>
                <w:color w:val="auto"/>
              </w:rPr>
              <w:t>2.1 Urban Redevelopment Agency’s 60:40 requirements</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5420" w:type="dxa"/>
            <w:vAlign w:val="bottom"/>
          </w:tcPr>
          <w:p>
            <w:pPr>
              <w:spacing w:after="0"/>
              <w:rPr>
                <w:sz w:val="20"/>
                <w:szCs w:val="20"/>
                <w:color w:val="auto"/>
              </w:rPr>
            </w:pPr>
            <w:r>
              <w:rPr>
                <w:rFonts w:ascii="Arial" w:cs="Arial" w:eastAsia="Arial" w:hAnsi="Arial"/>
                <w:sz w:val="13"/>
                <w:szCs w:val="13"/>
                <w:color w:val="auto"/>
              </w:rPr>
              <w:t>Do your activities in the Premises meet the Urban Redevelopment Authority’s (URA)</w:t>
            </w:r>
          </w:p>
        </w:tc>
        <w:tc>
          <w:tcPr>
            <w:tcW w:w="1520" w:type="dxa"/>
            <w:vAlign w:val="bottom"/>
            <w:vMerge w:val="restart"/>
          </w:tcPr>
          <w:p>
            <w:pPr>
              <w:ind w:left="680"/>
              <w:spacing w:after="0" w:line="219" w:lineRule="exact"/>
              <w:rPr>
                <w:sz w:val="20"/>
                <w:szCs w:val="20"/>
                <w:color w:val="auto"/>
              </w:rPr>
            </w:pPr>
            <w:r>
              <w:rPr>
                <w:rFonts w:ascii="Arial" w:cs="Arial" w:eastAsia="Arial" w:hAnsi="Arial"/>
                <w:sz w:val="13"/>
                <w:szCs w:val="13"/>
                <w:color w:val="auto"/>
                <w:w w:val="96"/>
              </w:rPr>
              <w:t xml:space="preserve">Yes </w:t>
            </w:r>
            <w:r>
              <w:rPr>
                <w:rFonts w:ascii="MS PGothic" w:cs="MS PGothic" w:eastAsia="MS PGothic" w:hAnsi="MS PGothic"/>
                <w:sz w:val="19"/>
                <w:szCs w:val="19"/>
                <w:color w:val="auto"/>
                <w:w w:val="96"/>
              </w:rPr>
              <w:t>☒</w:t>
            </w:r>
            <w:r>
              <w:rPr>
                <w:rFonts w:ascii="Arial" w:cs="Arial" w:eastAsia="Arial" w:hAnsi="Arial"/>
                <w:sz w:val="13"/>
                <w:szCs w:val="13"/>
                <w:color w:val="auto"/>
                <w:w w:val="96"/>
              </w:rPr>
              <w:t xml:space="preserve"> </w:t>
            </w:r>
            <w:r>
              <w:rPr>
                <w:rFonts w:ascii="Arial" w:cs="Arial" w:eastAsia="Arial" w:hAnsi="Arial"/>
                <w:sz w:val="11"/>
                <w:szCs w:val="11"/>
                <w:color w:val="auto"/>
                <w:w w:val="96"/>
              </w:rPr>
              <w:t>No</w:t>
            </w:r>
            <w:r>
              <w:rPr>
                <w:rFonts w:ascii="Arial" w:cs="Arial" w:eastAsia="Arial" w:hAnsi="Arial"/>
                <w:sz w:val="13"/>
                <w:szCs w:val="13"/>
                <w:color w:val="auto"/>
                <w:w w:val="96"/>
              </w:rPr>
              <w:t xml:space="preserve"> </w:t>
            </w:r>
            <w:r>
              <w:rPr>
                <w:rFonts w:ascii="MS PGothic" w:cs="MS PGothic" w:eastAsia="MS PGothic" w:hAnsi="MS PGothic"/>
                <w:sz w:val="19"/>
                <w:szCs w:val="19"/>
                <w:color w:val="auto"/>
                <w:w w:val="96"/>
              </w:rPr>
              <w:t>☐</w:t>
            </w:r>
          </w:p>
        </w:tc>
        <w:tc>
          <w:tcPr>
            <w:tcW w:w="0" w:type="dxa"/>
            <w:vAlign w:val="bottom"/>
          </w:tcPr>
          <w:p>
            <w:pPr>
              <w:spacing w:after="0"/>
              <w:rPr>
                <w:sz w:val="1"/>
                <w:szCs w:val="1"/>
                <w:color w:val="auto"/>
              </w:rPr>
            </w:pPr>
          </w:p>
        </w:tc>
      </w:tr>
      <w:tr>
        <w:trPr>
          <w:trHeight w:val="195"/>
        </w:trPr>
        <w:tc>
          <w:tcPr>
            <w:tcW w:w="5420" w:type="dxa"/>
            <w:vAlign w:val="bottom"/>
          </w:tcPr>
          <w:p>
            <w:pPr>
              <w:spacing w:after="0"/>
              <w:rPr>
                <w:sz w:val="20"/>
                <w:szCs w:val="20"/>
                <w:color w:val="auto"/>
              </w:rPr>
            </w:pPr>
            <w:r>
              <w:rPr>
                <w:rFonts w:ascii="Arial" w:cs="Arial" w:eastAsia="Arial" w:hAnsi="Arial"/>
                <w:sz w:val="13"/>
                <w:szCs w:val="13"/>
                <w:color w:val="auto"/>
              </w:rPr>
              <w:t>60:40 requirements (set out below) for use of space?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104140</wp:posOffset>
            </wp:positionV>
            <wp:extent cx="3947160" cy="8070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8">
                      <a:extLst>
                        <a:ext uri="{28A0092B-C50C-407E-A947-70E740481C1C}"/>
                      </a:extLst>
                    </a:blip>
                    <a:srcRect/>
                    <a:stretch>
                      <a:fillRect/>
                    </a:stretch>
                  </pic:blipFill>
                  <pic:spPr bwMode="auto">
                    <a:xfrm>
                      <a:off x="0" y="0"/>
                      <a:ext cx="3947160"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2.2 Application to the Central Building Plan Department of the National Environment Agency (NEA) relating to the use of the Premises</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04"/>
        </w:trPr>
        <w:tc>
          <w:tcPr>
            <w:tcW w:w="5000" w:type="dxa"/>
            <w:vAlign w:val="bottom"/>
          </w:tcPr>
          <w:p>
            <w:pPr>
              <w:spacing w:after="0"/>
              <w:rPr>
                <w:sz w:val="20"/>
                <w:szCs w:val="20"/>
                <w:color w:val="auto"/>
              </w:rPr>
            </w:pPr>
            <w:r>
              <w:rPr>
                <w:rFonts w:ascii="Arial" w:cs="Arial" w:eastAsia="Arial" w:hAnsi="Arial"/>
                <w:sz w:val="13"/>
                <w:szCs w:val="13"/>
                <w:color w:val="auto"/>
              </w:rPr>
              <w:t>Do you intend to change the use of the Premises that is to be renewed?</w:t>
            </w:r>
          </w:p>
        </w:tc>
        <w:tc>
          <w:tcPr>
            <w:tcW w:w="1800" w:type="dxa"/>
            <w:vAlign w:val="bottom"/>
            <w:vMerge w:val="restart"/>
          </w:tcPr>
          <w:p>
            <w:pPr>
              <w:ind w:left="940"/>
              <w:spacing w:after="0" w:line="219" w:lineRule="exact"/>
              <w:rPr>
                <w:sz w:val="20"/>
                <w:szCs w:val="20"/>
                <w:color w:val="auto"/>
              </w:rPr>
            </w:pPr>
            <w:r>
              <w:rPr>
                <w:rFonts w:ascii="Arial" w:cs="Arial" w:eastAsia="Arial" w:hAnsi="Arial"/>
                <w:sz w:val="13"/>
                <w:szCs w:val="13"/>
                <w:color w:val="auto"/>
                <w:w w:val="95"/>
              </w:rPr>
              <w:t xml:space="preserve">Yes </w:t>
            </w:r>
            <w:r>
              <w:rPr>
                <w:rFonts w:ascii="MS PGothic" w:cs="MS PGothic" w:eastAsia="MS PGothic" w:hAnsi="MS PGothic"/>
                <w:sz w:val="19"/>
                <w:szCs w:val="19"/>
                <w:color w:val="auto"/>
                <w:w w:val="95"/>
              </w:rPr>
              <w:t>☐</w:t>
            </w:r>
            <w:r>
              <w:rPr>
                <w:rFonts w:ascii="Arial" w:cs="Arial" w:eastAsia="Arial" w:hAnsi="Arial"/>
                <w:sz w:val="13"/>
                <w:szCs w:val="13"/>
                <w:color w:val="auto"/>
                <w:w w:val="95"/>
              </w:rPr>
              <w:t xml:space="preserve"> No </w:t>
            </w:r>
            <w:r>
              <w:rPr>
                <w:rFonts w:ascii="MS PGothic" w:cs="MS PGothic" w:eastAsia="MS PGothic" w:hAnsi="MS PGothic"/>
                <w:sz w:val="19"/>
                <w:szCs w:val="19"/>
                <w:color w:val="auto"/>
                <w:w w:val="95"/>
              </w:rPr>
              <w:t>☒</w:t>
            </w:r>
          </w:p>
        </w:tc>
        <w:tc>
          <w:tcPr>
            <w:tcW w:w="0" w:type="dxa"/>
            <w:vAlign w:val="bottom"/>
          </w:tcPr>
          <w:p>
            <w:pPr>
              <w:spacing w:after="0"/>
              <w:rPr>
                <w:sz w:val="1"/>
                <w:szCs w:val="1"/>
                <w:color w:val="auto"/>
              </w:rPr>
            </w:pPr>
          </w:p>
        </w:tc>
      </w:tr>
      <w:tr>
        <w:trPr>
          <w:trHeight w:val="106"/>
        </w:trPr>
        <w:tc>
          <w:tcPr>
            <w:tcW w:w="50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line="229" w:lineRule="auto"/>
        <w:rPr>
          <w:sz w:val="20"/>
          <w:szCs w:val="20"/>
          <w:color w:val="auto"/>
        </w:rPr>
      </w:pPr>
      <w:r>
        <w:rPr>
          <w:rFonts w:ascii="Arial" w:cs="Arial" w:eastAsia="Arial" w:hAnsi="Arial"/>
          <w:sz w:val="13"/>
          <w:szCs w:val="13"/>
          <w:color w:val="auto"/>
        </w:rPr>
        <w:t>If ‘yes’, you will need to submit your application online at https://e-services.nea.gov.sg/ias/. You must state in the application that the Premises are used for the purposes as set out in paragraph 2 of this declaration form. You must let us have a copy of the acknowledgement that your application has been accepted. When you receive the NEA’s clearance letter, please let us have a copy of the letter allowing you to use the Premises for your operations.</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2.3 Applying for drinkable water or non-drinkable water</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You must apply to the Authorities for drinkable or non-drinkable water if you use more than 500 cubic metres of water per month.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1">
            <w:col w:w="11260"/>
          </w:cols>
          <w:pgMar w:left="300" w:top="1440" w:right="33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9">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181818"/>
        </w:rPr>
        <w:t>Declaration</w:t>
      </w:r>
    </w:p>
    <w:p>
      <w:pPr>
        <w:spacing w:after="0" w:line="130" w:lineRule="exact"/>
        <w:rPr>
          <w:sz w:val="20"/>
          <w:szCs w:val="20"/>
          <w:color w:val="auto"/>
        </w:rPr>
      </w:pPr>
    </w:p>
    <w:p>
      <w:pPr>
        <w:ind w:left="100"/>
        <w:spacing w:after="0" w:line="250" w:lineRule="auto"/>
        <w:rPr>
          <w:sz w:val="20"/>
          <w:szCs w:val="20"/>
          <w:color w:val="auto"/>
        </w:rPr>
      </w:pPr>
      <w:r>
        <w:rPr>
          <w:rFonts w:ascii="Arial" w:cs="Arial" w:eastAsia="Arial" w:hAnsi="Arial"/>
          <w:sz w:val="12"/>
          <w:szCs w:val="12"/>
          <w:color w:val="181818"/>
        </w:rPr>
        <w:t>I declare that all the information and details I have provided on this form are true, correct and complete, and that we will not change the activities to be carried out in the Premises without first getting your approval.</w:t>
      </w:r>
    </w:p>
    <w:p>
      <w:pPr>
        <w:sectPr>
          <w:pgSz w:w="11900" w:h="16838" w:orient="portrait"/>
          <w:cols w:equalWidth="0" w:num="1">
            <w:col w:w="10800"/>
          </w:cols>
          <w:pgMar w:left="300" w:top="1440" w:right="79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Phoa Cheng Han</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01739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0">
                      <a:extLst>
                        <a:ext uri="{28A0092B-C50C-407E-A947-70E740481C1C}"/>
                      </a:extLst>
                    </a:blip>
                    <a:srcRect/>
                    <a:stretch>
                      <a:fillRect/>
                    </a:stretch>
                  </pic:blipFill>
                  <pic:spPr bwMode="auto">
                    <a:xfrm>
                      <a:off x="0" y="0"/>
                      <a:ext cx="2017395" cy="698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and job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201739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1">
                      <a:extLst>
                        <a:ext uri="{28A0092B-C50C-407E-A947-70E740481C1C}"/>
                      </a:extLst>
                    </a:blip>
                    <a:srcRect/>
                    <a:stretch>
                      <a:fillRect/>
                    </a:stretch>
                  </pic:blipFill>
                  <pic:spPr bwMode="auto">
                    <a:xfrm>
                      <a:off x="0" y="0"/>
                      <a:ext cx="2017395" cy="6985"/>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Company stamp</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 Phoa Cheng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26670</wp:posOffset>
            </wp:positionV>
            <wp:extent cx="20243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2">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Signature</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13-Dec-21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wp:posOffset>
            </wp:positionV>
            <wp:extent cx="202438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3">
                      <a:extLst>
                        <a:ext uri="{28A0092B-C50C-407E-A947-70E740481C1C}"/>
                      </a:extLst>
                    </a:blip>
                    <a:srcRect/>
                    <a:stretch>
                      <a:fillRect/>
                    </a:stretch>
                  </pic:blipFill>
                  <pic:spPr bwMode="auto">
                    <a:xfrm>
                      <a:off x="0" y="0"/>
                      <a:ext cx="2024380" cy="698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0" w:lineRule="exact"/>
        <w:rPr>
          <w:sz w:val="20"/>
          <w:szCs w:val="20"/>
          <w:color w:val="auto"/>
        </w:rPr>
      </w:pPr>
    </w:p>
    <w:p>
      <w:pPr>
        <w:sectPr>
          <w:pgSz w:w="11900" w:h="16838" w:orient="portrait"/>
          <w:cols w:equalWidth="0" w:num="2">
            <w:col w:w="4000" w:space="720"/>
            <w:col w:w="6080"/>
          </w:cols>
          <w:pgMar w:left="300" w:top="1440"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36</w:t>
            </w:r>
          </w:p>
        </w:tc>
      </w:tr>
    </w:tbl>
    <w:p>
      <w:pPr>
        <w:sectPr>
          <w:pgSz w:w="11900" w:h="16838" w:orient="portrait"/>
          <w:cols w:equalWidth="0" w:num="1">
            <w:col w:w="10800"/>
          </w:cols>
          <w:pgMar w:left="300" w:top="1440" w:right="799" w:bottom="1440" w:gutter="0" w:footer="0" w:header="0"/>
          <w:type w:val="continuous"/>
        </w:sectPr>
      </w:pPr>
    </w:p>
    <w:bookmarkStart w:id="158" w:name="page159"/>
    <w:bookmarkEnd w:id="158"/>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4">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3"/>
          <w:szCs w:val="13"/>
          <w:b w:val="1"/>
          <w:bCs w:val="1"/>
          <w:color w:val="151515"/>
        </w:rPr>
        <w:t>SCHEDULE 7</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151515"/>
        </w:rPr>
        <w:t>JTC SUBLETTING APPLICATION DOCUMENTS</w:t>
      </w:r>
    </w:p>
    <w:p>
      <w:pPr>
        <w:spacing w:after="0" w:line="203" w:lineRule="exact"/>
        <w:rPr>
          <w:sz w:val="20"/>
          <w:szCs w:val="20"/>
          <w:color w:val="auto"/>
        </w:rPr>
      </w:pPr>
    </w:p>
    <w:p>
      <w:pPr>
        <w:ind w:left="4500"/>
        <w:spacing w:after="0"/>
        <w:rPr>
          <w:sz w:val="20"/>
          <w:szCs w:val="20"/>
          <w:color w:val="auto"/>
        </w:rPr>
      </w:pPr>
      <w:r>
        <w:rPr>
          <w:rFonts w:ascii="Arial" w:cs="Arial" w:eastAsia="Arial" w:hAnsi="Arial"/>
          <w:sz w:val="12"/>
          <w:szCs w:val="12"/>
          <w:color w:val="151515"/>
        </w:rPr>
        <w:t>This schedule does not apply to this Lease</w:t>
      </w:r>
      <w:r>
        <w:rPr>
          <w:rFonts w:ascii="Arial" w:cs="Arial" w:eastAsia="Arial" w:hAnsi="Arial"/>
          <w:sz w:val="12"/>
          <w:szCs w:val="12"/>
          <w:color w:val="42424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37</w:t>
            </w:r>
          </w:p>
        </w:tc>
      </w:tr>
    </w:tbl>
    <w:p>
      <w:pPr>
        <w:sectPr>
          <w:pgSz w:w="11900" w:h="16838" w:orient="portrait"/>
          <w:cols w:equalWidth="0" w:num="1">
            <w:col w:w="10159"/>
          </w:cols>
          <w:pgMar w:left="300" w:top="1440" w:right="1440"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452120</wp:posOffset>
            </wp:positionV>
            <wp:extent cx="1876425" cy="4641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5">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right"/>
        <w:ind w:right="3579"/>
        <w:spacing w:after="0"/>
        <w:rPr>
          <w:sz w:val="20"/>
          <w:szCs w:val="20"/>
          <w:color w:val="auto"/>
        </w:rPr>
      </w:pPr>
      <w:r>
        <w:rPr>
          <w:rFonts w:ascii="Arial" w:cs="Arial" w:eastAsia="Arial" w:hAnsi="Arial"/>
          <w:sz w:val="12"/>
          <w:szCs w:val="12"/>
          <w:color w:val="151515"/>
        </w:rPr>
        <w:t>This page is intentionally left blank</w:t>
      </w:r>
      <w:r>
        <w:rPr>
          <w:rFonts w:ascii="Arial" w:cs="Arial" w:eastAsia="Arial" w:hAnsi="Arial"/>
          <w:sz w:val="12"/>
          <w:szCs w:val="12"/>
          <w:color w:val="42424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r>
    </w:tbl>
    <w:p>
      <w:pPr>
        <w:sectPr>
          <w:pgSz w:w="11900" w:h="16838" w:orient="portrait"/>
          <w:cols w:equalWidth="0" w:num="1">
            <w:col w:w="10159"/>
          </w:cols>
          <w:pgMar w:left="300" w:top="1440" w:right="1440"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88900</wp:posOffset>
            </wp:positionV>
            <wp:extent cx="1876425" cy="4641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6">
                      <a:extLst>
                        <a:ext uri="{28A0092B-C50C-407E-A947-70E740481C1C}"/>
                      </a:extLst>
                    </a:blip>
                    <a:srcRect/>
                    <a:stretch>
                      <a:fillRect/>
                    </a:stretch>
                  </pic:blipFill>
                  <pic:spPr bwMode="auto">
                    <a:xfrm>
                      <a:off x="0" y="0"/>
                      <a:ext cx="1876425" cy="464185"/>
                    </a:xfrm>
                    <a:prstGeom prst="rect">
                      <a:avLst/>
                    </a:prstGeom>
                    <a:noFill/>
                  </pic:spPr>
                </pic:pic>
              </a:graphicData>
            </a:graphic>
          </wp:anchor>
        </w:drawing>
      </w:r>
    </w:p>
    <w:p>
      <w:pPr>
        <w:spacing w:after="0" w:line="310" w:lineRule="exact"/>
        <w:rPr>
          <w:sz w:val="20"/>
          <w:szCs w:val="20"/>
          <w:color w:val="auto"/>
        </w:rPr>
      </w:pPr>
    </w:p>
    <w:p>
      <w:pPr>
        <w:ind w:left="80"/>
        <w:spacing w:after="0"/>
        <w:rPr>
          <w:sz w:val="20"/>
          <w:szCs w:val="20"/>
          <w:color w:val="auto"/>
        </w:rPr>
      </w:pPr>
      <w:r>
        <w:rPr>
          <w:rFonts w:ascii="Arial" w:cs="Arial" w:eastAsia="Arial" w:hAnsi="Arial"/>
          <w:sz w:val="14"/>
          <w:szCs w:val="14"/>
          <w:color w:val="auto"/>
        </w:rPr>
        <w:t>We and you confirm our entry into this Lease, as signed and witnessed below.</w:t>
      </w:r>
    </w:p>
    <w:p>
      <w:pPr>
        <w:spacing w:after="0" w:line="4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Landlord (us)</w:t>
      </w:r>
    </w:p>
    <w:p>
      <w:pPr>
        <w:spacing w:after="0" w:line="29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Signed</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color w:val="auto"/>
        </w:rPr>
        <w:t>for and on behalf of us</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HSBC Institutional Trust Services (Singapore) Limited</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its capacity as trustee of Ascendas Real Estate Investment Trust), in line with the power of attorney dated 3 June 2013</w:t>
      </w: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4"/>
          <w:szCs w:val="14"/>
          <w:u w:val="single" w:color="auto"/>
          <w:color w:val="auto"/>
        </w:rPr>
        <w:t>/s/ Felicia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-13970</wp:posOffset>
            </wp:positionV>
            <wp:extent cx="29845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7">
                      <a:extLst>
                        <a:ext uri="{28A0092B-C50C-407E-A947-70E740481C1C}"/>
                      </a:extLst>
                    </a:blip>
                    <a:srcRect/>
                    <a:stretch>
                      <a:fillRect/>
                    </a:stretch>
                  </pic:blipFill>
                  <pic:spPr bwMode="auto">
                    <a:xfrm>
                      <a:off x="0" y="0"/>
                      <a:ext cx="298450" cy="6985"/>
                    </a:xfrm>
                    <a:prstGeom prst="rect">
                      <a:avLst/>
                    </a:prstGeom>
                    <a:noFill/>
                  </pic:spPr>
                </pic:pic>
              </a:graphicData>
            </a:graphic>
          </wp:anchor>
        </w:drawing>
      </w:r>
    </w:p>
    <w:p>
      <w:pPr>
        <w:ind w:left="80"/>
        <w:spacing w:after="0"/>
        <w:tabs>
          <w:tab w:leader="none" w:pos="2860" w:val="left"/>
        </w:tabs>
        <w:rPr>
          <w:sz w:val="20"/>
          <w:szCs w:val="20"/>
          <w:color w:val="auto"/>
        </w:rPr>
      </w:pPr>
      <w:r>
        <w:rPr>
          <w:rFonts w:ascii="Arial" w:cs="Arial" w:eastAsia="Arial" w:hAnsi="Arial"/>
          <w:sz w:val="14"/>
          <w:szCs w:val="14"/>
          <w:color w:val="auto"/>
        </w:rPr>
        <w:t>Name of authorised signatory: Felicia KOH</w:t>
        <w:tab/>
        <w:t>Name of authorised signatory:</w:t>
      </w:r>
    </w:p>
    <w:p>
      <w:pPr>
        <w:spacing w:after="0" w:line="8" w:lineRule="exact"/>
        <w:rPr>
          <w:sz w:val="20"/>
          <w:szCs w:val="20"/>
          <w:color w:val="auto"/>
        </w:rPr>
      </w:pPr>
    </w:p>
    <w:p>
      <w:pPr>
        <w:spacing w:after="0"/>
        <w:tabs>
          <w:tab w:leader="none" w:pos="2020" w:val="left"/>
        </w:tabs>
        <w:rPr>
          <w:sz w:val="20"/>
          <w:szCs w:val="20"/>
          <w:color w:val="auto"/>
        </w:rPr>
      </w:pPr>
      <w:r>
        <w:rPr>
          <w:rFonts w:ascii="Arial" w:cs="Arial" w:eastAsia="Arial" w:hAnsi="Arial"/>
          <w:sz w:val="14"/>
          <w:szCs w:val="14"/>
          <w:color w:val="auto"/>
        </w:rPr>
        <w:t>Designation: Senior Executive</w:t>
        <w:tab/>
        <w:t>Designation:</w:t>
      </w:r>
    </w:p>
    <w:p>
      <w:pPr>
        <w:spacing w:after="0" w:line="8"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Lease Management</w:t>
      </w: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Arial" w:cs="Arial" w:eastAsia="Arial" w:hAnsi="Arial"/>
          <w:sz w:val="14"/>
          <w:szCs w:val="14"/>
          <w:color w:val="auto"/>
        </w:rPr>
        <w:t>Tenant (you)</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4"/>
          <w:szCs w:val="14"/>
          <w:color w:val="auto"/>
        </w:rPr>
        <w:t>Signed by</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color w:val="auto"/>
        </w:rPr>
        <w:t>for and on behalf of you</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FLUIDIGM SINGAPORE PTE. LTD.</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4"/>
          <w:szCs w:val="14"/>
          <w:u w:val="single" w:color="auto"/>
          <w:color w:val="auto"/>
        </w:rPr>
        <w:t>/s/ Phoa Cheng Han</w:t>
      </w:r>
    </w:p>
    <w:p>
      <w:pPr>
        <w:ind w:left="80"/>
        <w:spacing w:after="0" w:line="236" w:lineRule="auto"/>
        <w:rPr>
          <w:sz w:val="20"/>
          <w:szCs w:val="20"/>
          <w:color w:val="auto"/>
        </w:rPr>
      </w:pPr>
      <w:r>
        <w:rPr>
          <w:rFonts w:ascii="Arial" w:cs="Arial" w:eastAsia="Arial" w:hAnsi="Arial"/>
          <w:sz w:val="14"/>
          <w:szCs w:val="14"/>
          <w:color w:val="auto"/>
        </w:rPr>
        <w:t>Name: Phoa Cheng Han</w:t>
      </w:r>
    </w:p>
    <w:p>
      <w:pPr>
        <w:ind w:left="80"/>
        <w:spacing w:after="0" w:line="237" w:lineRule="auto"/>
        <w:rPr>
          <w:sz w:val="20"/>
          <w:szCs w:val="20"/>
          <w:color w:val="auto"/>
        </w:rPr>
      </w:pPr>
      <w:r>
        <w:rPr>
          <w:rFonts w:ascii="Arial" w:cs="Arial" w:eastAsia="Arial" w:hAnsi="Arial"/>
          <w:sz w:val="14"/>
          <w:szCs w:val="14"/>
          <w:color w:val="auto"/>
        </w:rPr>
        <w:t>Title: Managing Director</w:t>
      </w:r>
    </w:p>
    <w:p>
      <w:pPr>
        <w:ind w:left="80"/>
        <w:spacing w:after="0"/>
        <w:rPr>
          <w:sz w:val="20"/>
          <w:szCs w:val="20"/>
          <w:color w:val="auto"/>
        </w:rPr>
      </w:pPr>
      <w:r>
        <w:rPr>
          <w:rFonts w:ascii="Arial" w:cs="Arial" w:eastAsia="Arial" w:hAnsi="Arial"/>
          <w:sz w:val="14"/>
          <w:szCs w:val="14"/>
          <w:color w:val="auto"/>
        </w:rPr>
        <w:t>Company Stamp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Arial" w:cs="Arial" w:eastAsia="Arial" w:hAnsi="Arial"/>
          <w:sz w:val="14"/>
          <w:szCs w:val="14"/>
          <w:color w:val="auto"/>
        </w:rPr>
        <w:t>As witnessed in the presence of:</w:t>
      </w: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Arial" w:cs="Arial" w:eastAsia="Arial" w:hAnsi="Arial"/>
          <w:sz w:val="14"/>
          <w:szCs w:val="14"/>
          <w:u w:val="single" w:color="auto"/>
          <w:color w:val="auto"/>
        </w:rPr>
        <w:t>/s/ Herry Effendi</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4"/>
          <w:szCs w:val="14"/>
          <w:color w:val="auto"/>
        </w:rPr>
        <w:t>Witness</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4"/>
          <w:szCs w:val="14"/>
          <w:color w:val="auto"/>
        </w:rPr>
        <w:t>Name: Herry Effendi</w:t>
      </w:r>
    </w:p>
    <w:p>
      <w:pPr>
        <w:ind w:left="80"/>
        <w:spacing w:after="0" w:line="221" w:lineRule="auto"/>
        <w:rPr>
          <w:sz w:val="20"/>
          <w:szCs w:val="20"/>
          <w:color w:val="auto"/>
        </w:rPr>
      </w:pPr>
      <w:r>
        <w:rPr>
          <w:rFonts w:ascii="Arial" w:cs="Arial" w:eastAsia="Arial" w:hAnsi="Arial"/>
          <w:sz w:val="14"/>
          <w:szCs w:val="14"/>
          <w:color w:val="auto"/>
        </w:rPr>
        <w:t>Title: Senior Supply Chain Manager</w:t>
      </w:r>
    </w:p>
    <w:p>
      <w:pPr>
        <w:ind w:left="80"/>
        <w:spacing w:after="0"/>
        <w:rPr>
          <w:sz w:val="20"/>
          <w:szCs w:val="20"/>
          <w:color w:val="auto"/>
        </w:rPr>
      </w:pPr>
      <w:r>
        <w:rPr>
          <w:rFonts w:ascii="Arial" w:cs="Arial" w:eastAsia="Arial" w:hAnsi="Arial"/>
          <w:sz w:val="14"/>
          <w:szCs w:val="14"/>
          <w:color w:val="auto"/>
        </w:rPr>
        <w:t>Address: 5008, Ang Mo Kio Avenue 5</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#08-08, Techplace II</w:t>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Singapore 569874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Arial" w:cs="Arial" w:eastAsia="Arial" w:hAnsi="Arial"/>
                <w:sz w:val="10"/>
                <w:szCs w:val="10"/>
                <w:color w:val="auto"/>
              </w:rPr>
              <w:t>Plain English Standard Covenants Lease Template (Revised 190421)</w:t>
            </w:r>
          </w:p>
        </w:tc>
        <w:tc>
          <w:tcPr>
            <w:tcW w:w="500" w:type="dxa"/>
            <w:vAlign w:val="bottom"/>
          </w:tcPr>
          <w:p>
            <w:pPr>
              <w:jc w:val="right"/>
              <w:spacing w:after="0"/>
              <w:rPr>
                <w:sz w:val="20"/>
                <w:szCs w:val="20"/>
                <w:color w:val="auto"/>
              </w:rPr>
            </w:pPr>
            <w:r>
              <w:rPr>
                <w:rFonts w:ascii="Arial" w:cs="Arial" w:eastAsia="Arial" w:hAnsi="Arial"/>
                <w:sz w:val="14"/>
                <w:szCs w:val="14"/>
                <w:color w:val="auto"/>
              </w:rPr>
              <w:t>39</w:t>
            </w:r>
          </w:p>
        </w:tc>
      </w:tr>
    </w:tbl>
    <w:p>
      <w:pPr>
        <w:sectPr>
          <w:pgSz w:w="11900" w:h="16838" w:orient="portrait"/>
          <w:cols w:equalWidth="0" w:num="1">
            <w:col w:w="10159"/>
          </w:cols>
          <w:pgMar w:left="300" w:top="1440"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i w:val="1"/>
          <w:iCs w:val="1"/>
          <w:color w:val="auto"/>
        </w:rPr>
        <w:t>Exhibit 10.19E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FIFTH AMENDMENT</w:t>
      </w:r>
    </w:p>
    <w:p>
      <w:pPr>
        <w:jc w:val="center"/>
        <w:spacing w:after="0" w:line="193" w:lineRule="auto"/>
        <w:rPr>
          <w:sz w:val="20"/>
          <w:szCs w:val="20"/>
          <w:color w:val="auto"/>
        </w:rPr>
      </w:pPr>
      <w:r>
        <w:rPr>
          <w:rFonts w:ascii="Arial" w:cs="Arial" w:eastAsia="Arial" w:hAnsi="Arial"/>
          <w:sz w:val="16"/>
          <w:szCs w:val="16"/>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LOAN AND SECURITY AGREEMENT</w:t>
      </w:r>
    </w:p>
    <w:p>
      <w:pPr>
        <w:spacing w:after="0" w:line="137" w:lineRule="exact"/>
        <w:rPr>
          <w:sz w:val="20"/>
          <w:szCs w:val="20"/>
          <w:color w:val="auto"/>
        </w:rPr>
      </w:pPr>
    </w:p>
    <w:p>
      <w:pPr>
        <w:ind w:firstLine="508"/>
        <w:spacing w:after="0" w:line="203" w:lineRule="auto"/>
        <w:rPr>
          <w:sz w:val="20"/>
          <w:szCs w:val="20"/>
          <w:color w:val="auto"/>
        </w:rPr>
      </w:pPr>
      <w:r>
        <w:rPr>
          <w:rFonts w:ascii="Arial" w:cs="Arial" w:eastAsia="Arial" w:hAnsi="Arial"/>
          <w:sz w:val="16"/>
          <w:szCs w:val="16"/>
          <w:color w:val="auto"/>
        </w:rPr>
        <w:t>This Fifth Amendment to Loan and Security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this 27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December, 2021, by and among </w:t>
      </w:r>
      <w:r>
        <w:rPr>
          <w:rFonts w:ascii="Arial" w:cs="Arial" w:eastAsia="Arial" w:hAnsi="Arial"/>
          <w:sz w:val="16"/>
          <w:szCs w:val="16"/>
          <w:b w:val="1"/>
          <w:bCs w:val="1"/>
          <w:color w:val="auto"/>
        </w:rPr>
        <w:t>SILICON VALLEY BANK</w:t>
      </w:r>
      <w:r>
        <w:rPr>
          <w:rFonts w:ascii="Arial" w:cs="Arial" w:eastAsia="Arial" w:hAnsi="Arial"/>
          <w:sz w:val="16"/>
          <w:szCs w:val="16"/>
          <w:color w:val="auto"/>
        </w:rPr>
        <w:t xml:space="preserve"> (“</w:t>
      </w:r>
      <w:r>
        <w:rPr>
          <w:rFonts w:ascii="Arial" w:cs="Arial" w:eastAsia="Arial" w:hAnsi="Arial"/>
          <w:sz w:val="16"/>
          <w:szCs w:val="16"/>
          <w:b w:val="1"/>
          <w:bCs w:val="1"/>
          <w:color w:val="auto"/>
        </w:rPr>
        <w:t>Bank</w:t>
      </w:r>
      <w:r>
        <w:rPr>
          <w:rFonts w:ascii="Arial" w:cs="Arial" w:eastAsia="Arial" w:hAnsi="Arial"/>
          <w:sz w:val="16"/>
          <w:szCs w:val="16"/>
          <w:color w:val="auto"/>
        </w:rPr>
        <w:t xml:space="preserve">”), and </w:t>
      </w:r>
      <w:r>
        <w:rPr>
          <w:rFonts w:ascii="Arial" w:cs="Arial" w:eastAsia="Arial" w:hAnsi="Arial"/>
          <w:sz w:val="16"/>
          <w:szCs w:val="16"/>
          <w:b w:val="1"/>
          <w:bCs w:val="1"/>
          <w:color w:val="auto"/>
        </w:rPr>
        <w:t>FLUIDIGM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Borrower</w:t>
      </w:r>
      <w:r>
        <w:rPr>
          <w:rFonts w:ascii="Arial" w:cs="Arial" w:eastAsia="Arial" w:hAnsi="Arial"/>
          <w:sz w:val="16"/>
          <w:szCs w:val="16"/>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40" w:lineRule="exact"/>
        <w:rPr>
          <w:sz w:val="20"/>
          <w:szCs w:val="20"/>
          <w:color w:val="auto"/>
        </w:rPr>
      </w:pPr>
    </w:p>
    <w:p>
      <w:pPr>
        <w:jc w:val="both"/>
        <w:ind w:firstLine="513"/>
        <w:spacing w:after="0" w:line="238" w:lineRule="auto"/>
        <w:tabs>
          <w:tab w:leader="none" w:pos="842" w:val="left"/>
        </w:tabs>
        <w:numPr>
          <w:ilvl w:val="0"/>
          <w:numId w:val="101"/>
        </w:numPr>
        <w:rPr>
          <w:rFonts w:ascii="Arial" w:cs="Arial" w:eastAsia="Arial" w:hAnsi="Arial"/>
          <w:sz w:val="14"/>
          <w:szCs w:val="14"/>
          <w:b w:val="1"/>
          <w:bCs w:val="1"/>
          <w:color w:val="auto"/>
        </w:rPr>
      </w:pPr>
      <w:r>
        <w:rPr>
          <w:rFonts w:ascii="Arial" w:cs="Arial" w:eastAsia="Arial" w:hAnsi="Arial"/>
          <w:sz w:val="14"/>
          <w:szCs w:val="14"/>
          <w:color w:val="auto"/>
        </w:rPr>
        <w:t>Bank and Borrower have entered into that certain Loan and Security Agreement dated as of August 2, 2018 (as may from time to time be further amended, modified, supplemented or restated, including, without limitation, by that certain Default Waiver and First Amendment to Loan and Security Agreement dated as of September 7, 2018, that certain Second Amendment to Loan and Security Agreement dated as of November 20, 2019, that certain Third Amendment to Loan and Security Agreement dated as of April 21, 2020, and that certain Fourth Amendment to Loan and Security Agreement dated as of August 2, 2021, collectively, the “</w:t>
      </w:r>
      <w:r>
        <w:rPr>
          <w:rFonts w:ascii="Arial" w:cs="Arial" w:eastAsia="Arial" w:hAnsi="Arial"/>
          <w:sz w:val="14"/>
          <w:szCs w:val="14"/>
          <w:b w:val="1"/>
          <w:bCs w:val="1"/>
          <w:color w:val="auto"/>
        </w:rPr>
        <w:t>Loan Agreement</w:t>
      </w:r>
      <w:r>
        <w:rPr>
          <w:rFonts w:ascii="Arial" w:cs="Arial" w:eastAsia="Arial" w:hAnsi="Arial"/>
          <w:sz w:val="14"/>
          <w:szCs w:val="14"/>
          <w:color w:val="auto"/>
        </w:rPr>
        <w:t>”).</w:t>
      </w:r>
    </w:p>
    <w:p>
      <w:pPr>
        <w:spacing w:after="0" w:line="123" w:lineRule="exact"/>
        <w:rPr>
          <w:rFonts w:ascii="Arial" w:cs="Arial" w:eastAsia="Arial" w:hAnsi="Arial"/>
          <w:sz w:val="14"/>
          <w:szCs w:val="14"/>
          <w:b w:val="1"/>
          <w:bCs w:val="1"/>
          <w:color w:val="auto"/>
        </w:rPr>
      </w:pPr>
    </w:p>
    <w:p>
      <w:pPr>
        <w:ind w:left="820" w:hanging="307"/>
        <w:spacing w:after="0"/>
        <w:tabs>
          <w:tab w:leader="none" w:pos="820"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Bank has extended credit to Borrower for the purposes permitted in the Loan Agreement.</w:t>
      </w:r>
    </w:p>
    <w:p>
      <w:pPr>
        <w:spacing w:after="0" w:line="133" w:lineRule="exact"/>
        <w:rPr>
          <w:rFonts w:ascii="Arial" w:cs="Arial" w:eastAsia="Arial" w:hAnsi="Arial"/>
          <w:sz w:val="16"/>
          <w:szCs w:val="16"/>
          <w:b w:val="1"/>
          <w:bCs w:val="1"/>
          <w:color w:val="auto"/>
        </w:rPr>
      </w:pPr>
    </w:p>
    <w:p>
      <w:pPr>
        <w:ind w:left="820" w:hanging="307"/>
        <w:spacing w:after="0"/>
        <w:tabs>
          <w:tab w:leader="none" w:pos="820"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Borrower has requested that Bank amend the Loan Agreement to make certain revisions to the Loan Agreement as more fully set forth herein.</w:t>
      </w:r>
    </w:p>
    <w:p>
      <w:pPr>
        <w:spacing w:after="0" w:line="133" w:lineRule="exact"/>
        <w:rPr>
          <w:rFonts w:ascii="Arial" w:cs="Arial" w:eastAsia="Arial" w:hAnsi="Arial"/>
          <w:sz w:val="16"/>
          <w:szCs w:val="16"/>
          <w:b w:val="1"/>
          <w:bCs w:val="1"/>
          <w:color w:val="auto"/>
        </w:rPr>
      </w:pPr>
    </w:p>
    <w:p>
      <w:pPr>
        <w:ind w:firstLine="513"/>
        <w:spacing w:after="0" w:line="224" w:lineRule="auto"/>
        <w:tabs>
          <w:tab w:leader="none" w:pos="841"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34" w:lineRule="exact"/>
        <w:rPr>
          <w:sz w:val="20"/>
          <w:szCs w:val="20"/>
          <w:color w:val="auto"/>
        </w:rPr>
      </w:pPr>
    </w:p>
    <w:p>
      <w:pPr>
        <w:ind w:firstLine="172"/>
        <w:spacing w:after="0" w:line="228"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recitals and other good and valuable consideration, the receipt and adequacy of which is hereby acknowledged, and intending</w:t>
      </w:r>
      <w:r>
        <w:rPr>
          <w:rFonts w:ascii="Arial" w:cs="Arial" w:eastAsia="Arial" w:hAnsi="Arial"/>
          <w:sz w:val="16"/>
          <w:szCs w:val="16"/>
          <w:b w:val="1"/>
          <w:bCs w:val="1"/>
          <w:color w:val="auto"/>
        </w:rPr>
        <w:t xml:space="preserve"> </w:t>
      </w:r>
      <w:r>
        <w:rPr>
          <w:rFonts w:ascii="Arial" w:cs="Arial" w:eastAsia="Arial" w:hAnsi="Arial"/>
          <w:sz w:val="16"/>
          <w:szCs w:val="16"/>
          <w:color w:val="auto"/>
        </w:rPr>
        <w:t>to be legally bound, the parties hereto agree as follows:</w:t>
      </w:r>
    </w:p>
    <w:p>
      <w:pPr>
        <w:spacing w:after="0" w:line="116" w:lineRule="exact"/>
        <w:rPr>
          <w:sz w:val="20"/>
          <w:szCs w:val="20"/>
          <w:color w:val="auto"/>
        </w:rPr>
      </w:pPr>
    </w:p>
    <w:p>
      <w:pPr>
        <w:ind w:left="1020" w:hanging="507"/>
        <w:spacing w:after="0"/>
        <w:tabs>
          <w:tab w:leader="none" w:pos="102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Amendment shall have the meanings given to them in the Loan Agreement.</w:t>
      </w:r>
    </w:p>
    <w:p>
      <w:pPr>
        <w:spacing w:after="0" w:line="133" w:lineRule="exact"/>
        <w:rPr>
          <w:rFonts w:ascii="Arial" w:cs="Arial" w:eastAsia="Arial" w:hAnsi="Arial"/>
          <w:sz w:val="16"/>
          <w:szCs w:val="16"/>
          <w:b w:val="1"/>
          <w:bCs w:val="1"/>
          <w:color w:val="auto"/>
        </w:rPr>
      </w:pPr>
    </w:p>
    <w:p>
      <w:pPr>
        <w:ind w:left="1020" w:hanging="507"/>
        <w:spacing w:after="0"/>
        <w:tabs>
          <w:tab w:leader="none" w:pos="102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to Loan Agreement.</w:t>
      </w:r>
    </w:p>
    <w:p>
      <w:pPr>
        <w:spacing w:after="0" w:line="48"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w:t>
      </w:r>
      <w:r>
        <w:rPr>
          <w:rFonts w:ascii="Arial" w:cs="Arial" w:eastAsia="Arial" w:hAnsi="Arial"/>
          <w:sz w:val="13"/>
          <w:szCs w:val="13"/>
          <w:b w:val="1"/>
          <w:bCs w:val="1"/>
          <w:color w:val="auto"/>
        </w:rPr>
        <w:t>Section 2.2.1 (Revolving Line)</w:t>
      </w:r>
      <w:r>
        <w:rPr>
          <w:rFonts w:ascii="Arial" w:cs="Arial" w:eastAsia="Arial" w:hAnsi="Arial"/>
          <w:sz w:val="13"/>
          <w:szCs w:val="13"/>
          <w:color w:val="auto"/>
        </w:rPr>
        <w:t>. Section 2.2.1(a) of the Loan Agreement is hereby amended and restated to read as follows:</w:t>
      </w:r>
    </w:p>
    <w:p>
      <w:pPr>
        <w:spacing w:after="0" w:line="140" w:lineRule="exact"/>
        <w:rPr>
          <w:sz w:val="20"/>
          <w:szCs w:val="20"/>
          <w:color w:val="auto"/>
        </w:rPr>
      </w:pPr>
    </w:p>
    <w:p>
      <w:pPr>
        <w:jc w:val="both"/>
        <w:ind w:left="1020" w:right="500"/>
        <w:spacing w:after="0" w:line="21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and to deduction of Reserves, Bank shall make Advances not exceeding the Availability Amount. Amounts borrowed under the Revolving Line may be repaid and, prior to the Revolving Line Maturity Date, reborrowed, subject to the applicable terms and conditions precedent herein.”</w:t>
      </w:r>
    </w:p>
    <w:p>
      <w:pPr>
        <w:spacing w:after="0" w:line="12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Section 2.5 (Fees)</w:t>
      </w:r>
      <w:r>
        <w:rPr>
          <w:rFonts w:ascii="Arial" w:cs="Arial" w:eastAsia="Arial" w:hAnsi="Arial"/>
          <w:sz w:val="14"/>
          <w:szCs w:val="14"/>
          <w:color w:val="auto"/>
        </w:rPr>
        <w:t>. Section 2.5 of the Loan Agreement hereby is amended by (i) amending and restating clauses (g) and (h), and (ii) adding new clauses (i)</w:t>
      </w:r>
    </w:p>
    <w:p>
      <w:pPr>
        <w:spacing w:after="0"/>
        <w:rPr>
          <w:sz w:val="20"/>
          <w:szCs w:val="20"/>
          <w:color w:val="auto"/>
        </w:rPr>
      </w:pPr>
      <w:r>
        <w:rPr>
          <w:rFonts w:ascii="Arial" w:cs="Arial" w:eastAsia="Arial" w:hAnsi="Arial"/>
          <w:sz w:val="16"/>
          <w:szCs w:val="16"/>
          <w:color w:val="auto"/>
        </w:rPr>
        <w:t>and (j) to read as follows:</w:t>
      </w:r>
    </w:p>
    <w:p>
      <w:pPr>
        <w:sectPr>
          <w:pgSz w:w="11900" w:h="16838" w:orient="portrait"/>
          <w:cols w:equalWidth="0" w:num="1">
            <w:col w:w="11280"/>
          </w:cols>
          <w:pgMar w:left="300" w:top="118" w:right="319" w:bottom="1440" w:gutter="0" w:footer="0" w:header="0"/>
        </w:sectPr>
      </w:pPr>
    </w:p>
    <w:bookmarkStart w:id="162" w:name="page163"/>
    <w:bookmarkEnd w:id="162"/>
    <w:p>
      <w:pPr>
        <w:ind w:left="1020" w:right="500"/>
        <w:spacing w:after="0" w:line="224"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Fifth Amendment Fee</w:t>
      </w:r>
      <w:r>
        <w:rPr>
          <w:rFonts w:ascii="Arial" w:cs="Arial" w:eastAsia="Arial" w:hAnsi="Arial"/>
          <w:sz w:val="16"/>
          <w:szCs w:val="16"/>
          <w:color w:val="auto"/>
        </w:rPr>
        <w:t>. A fully earned, non-refundable fee in an amount equal to Twenty-Five Thousand Dollars ($25,000), due on the Fifth Amendment Effective Date.</w:t>
      </w:r>
    </w:p>
    <w:p>
      <w:pPr>
        <w:spacing w:after="0" w:line="144" w:lineRule="exact"/>
        <w:rPr>
          <w:sz w:val="20"/>
          <w:szCs w:val="20"/>
          <w:color w:val="auto"/>
        </w:rPr>
      </w:pPr>
    </w:p>
    <w:p>
      <w:pPr>
        <w:ind w:left="1020" w:right="500" w:firstLine="1"/>
        <w:spacing w:after="0" w:line="224" w:lineRule="auto"/>
        <w:tabs>
          <w:tab w:leader="none" w:pos="136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Success Fee</w:t>
      </w:r>
      <w:r>
        <w:rPr>
          <w:rFonts w:ascii="Arial" w:cs="Arial" w:eastAsia="Arial" w:hAnsi="Arial"/>
          <w:sz w:val="16"/>
          <w:szCs w:val="16"/>
          <w:color w:val="auto"/>
        </w:rPr>
        <w:t>. The Success Fee due on the earliest to occur of (i) the Financing Milestone, (ii) February 28, 2022 or (iii) the earlier date all Obligations are repaid in full.</w:t>
      </w:r>
    </w:p>
    <w:p>
      <w:pPr>
        <w:spacing w:after="0" w:line="143" w:lineRule="exact"/>
        <w:rPr>
          <w:rFonts w:ascii="Arial" w:cs="Arial" w:eastAsia="Arial" w:hAnsi="Arial"/>
          <w:sz w:val="16"/>
          <w:szCs w:val="16"/>
          <w:color w:val="auto"/>
        </w:rPr>
      </w:pPr>
    </w:p>
    <w:p>
      <w:pPr>
        <w:ind w:left="1020" w:right="520" w:firstLine="1"/>
        <w:spacing w:after="0" w:line="224" w:lineRule="auto"/>
        <w:tabs>
          <w:tab w:leader="none" w:pos="133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Bank Expenses</w:t>
      </w:r>
      <w:r>
        <w:rPr>
          <w:rFonts w:ascii="Arial" w:cs="Arial" w:eastAsia="Arial" w:hAnsi="Arial"/>
          <w:sz w:val="16"/>
          <w:szCs w:val="16"/>
          <w:color w:val="auto"/>
        </w:rPr>
        <w:t>. All Bank Expenses (including reasonable attorneys’ fees and expenses for documentation and negotiation of this Agreement) incurred through and after the Fifth Amendment Effective Date, when due (or, if no stated due date, upon demand by Bank).</w:t>
      </w:r>
    </w:p>
    <w:p>
      <w:pPr>
        <w:spacing w:after="0" w:line="101" w:lineRule="exact"/>
        <w:rPr>
          <w:rFonts w:ascii="Arial" w:cs="Arial" w:eastAsia="Arial" w:hAnsi="Arial"/>
          <w:sz w:val="16"/>
          <w:szCs w:val="16"/>
          <w:color w:val="auto"/>
        </w:rPr>
      </w:pPr>
    </w:p>
    <w:p>
      <w:pPr>
        <w:jc w:val="both"/>
        <w:ind w:left="1020" w:right="500" w:firstLine="1"/>
        <w:spacing w:after="0" w:line="205" w:lineRule="auto"/>
        <w:tabs>
          <w:tab w:leader="none" w:pos="134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Fees Fully Earned</w:t>
      </w:r>
      <w:r>
        <w:rPr>
          <w:rFonts w:ascii="Arial" w:cs="Arial" w:eastAsia="Arial" w:hAnsi="Arial"/>
          <w:sz w:val="16"/>
          <w:szCs w:val="16"/>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2.5 pursuant to the terms of Section 2.6(c). Bank shall provide Borrower written notice of deductions made from the Designated Deposit Account pursuant to the terms of the clauses of this Section 2.5.”</w:t>
      </w:r>
    </w:p>
    <w:p>
      <w:pPr>
        <w:spacing w:after="0" w:line="14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3"/>
          <w:szCs w:val="13"/>
          <w:b w:val="1"/>
          <w:bCs w:val="1"/>
          <w:color w:val="auto"/>
        </w:rPr>
        <w:t>Section 3.1 (Conditions Precedent to Initial Credit Extension)</w:t>
      </w:r>
      <w:r>
        <w:rPr>
          <w:rFonts w:ascii="Arial" w:cs="Arial" w:eastAsia="Arial" w:hAnsi="Arial"/>
          <w:sz w:val="13"/>
          <w:szCs w:val="13"/>
          <w:color w:val="auto"/>
        </w:rPr>
        <w:t>. Section 3.1(h) of the Loan Agreement hereby is amended and restated to read as follows:</w:t>
      </w:r>
    </w:p>
    <w:p>
      <w:pPr>
        <w:spacing w:after="0" w:line="140"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6"/>
          <w:szCs w:val="16"/>
          <w:color w:val="auto"/>
        </w:rPr>
        <w:t>“(h)</w:t>
      </w:r>
      <w:r>
        <w:rPr>
          <w:sz w:val="20"/>
          <w:szCs w:val="20"/>
          <w:color w:val="auto"/>
        </w:rPr>
        <w:tab/>
      </w:r>
      <w:r>
        <w:rPr>
          <w:rFonts w:ascii="Arial" w:cs="Arial" w:eastAsia="Arial" w:hAnsi="Arial"/>
          <w:sz w:val="14"/>
          <w:szCs w:val="14"/>
          <w:color w:val="auto"/>
        </w:rPr>
        <w:t>Reserved;”</w:t>
      </w:r>
    </w:p>
    <w:p>
      <w:pPr>
        <w:spacing w:after="0" w:line="131"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4"/>
          <w:szCs w:val="14"/>
          <w:b w:val="1"/>
          <w:bCs w:val="1"/>
          <w:color w:val="auto"/>
        </w:rPr>
        <w:t>Section 6.2 (Financial Statements, Reports, Certificates)</w:t>
      </w:r>
      <w:r>
        <w:rPr>
          <w:rFonts w:ascii="Arial" w:cs="Arial" w:eastAsia="Arial" w:hAnsi="Arial"/>
          <w:sz w:val="14"/>
          <w:szCs w:val="14"/>
          <w:color w:val="auto"/>
        </w:rPr>
        <w:t>. Section 6.2 of the Loan Agreement hereby is amended by (i) amending and restating clauses (i)</w:t>
      </w:r>
    </w:p>
    <w:p>
      <w:pPr>
        <w:spacing w:after="0"/>
        <w:rPr>
          <w:sz w:val="20"/>
          <w:szCs w:val="20"/>
          <w:color w:val="auto"/>
        </w:rPr>
      </w:pPr>
      <w:r>
        <w:rPr>
          <w:rFonts w:ascii="Arial" w:cs="Arial" w:eastAsia="Arial" w:hAnsi="Arial"/>
          <w:sz w:val="16"/>
          <w:szCs w:val="16"/>
          <w:color w:val="auto"/>
        </w:rPr>
        <w:t>and (j), and (ii) adding new clause (k) to read as follows:</w:t>
      </w:r>
    </w:p>
    <w:p>
      <w:pPr>
        <w:spacing w:after="0" w:line="122" w:lineRule="exact"/>
        <w:rPr>
          <w:sz w:val="20"/>
          <w:szCs w:val="20"/>
          <w:color w:val="auto"/>
        </w:rPr>
      </w:pPr>
    </w:p>
    <w:p>
      <w:pPr>
        <w:ind w:left="1020" w:right="500"/>
        <w:spacing w:after="0" w:line="224" w:lineRule="auto"/>
        <w:rPr>
          <w:sz w:val="20"/>
          <w:szCs w:val="20"/>
          <w:color w:val="auto"/>
        </w:rPr>
      </w:pPr>
      <w:r>
        <w:rPr>
          <w:rFonts w:ascii="Arial" w:cs="Arial" w:eastAsia="Arial" w:hAnsi="Arial"/>
          <w:sz w:val="16"/>
          <w:szCs w:val="16"/>
          <w:color w:val="auto"/>
        </w:rPr>
        <w:t>“(i) within seven (7) days of the end of each month, bank statements for Borrower’s (i) Bank of America Lockbox Accounts, (ii) Bank of America Deposit Accounts and (iii) Bank of America Payroll Account (the “</w:t>
      </w:r>
      <w:r>
        <w:rPr>
          <w:rFonts w:ascii="Arial" w:cs="Arial" w:eastAsia="Arial" w:hAnsi="Arial"/>
          <w:sz w:val="16"/>
          <w:szCs w:val="16"/>
          <w:b w:val="1"/>
          <w:bCs w:val="1"/>
          <w:color w:val="auto"/>
        </w:rPr>
        <w:t>Bank of America Bank Statements</w:t>
      </w:r>
      <w:r>
        <w:rPr>
          <w:rFonts w:ascii="Arial" w:cs="Arial" w:eastAsia="Arial" w:hAnsi="Arial"/>
          <w:sz w:val="16"/>
          <w:szCs w:val="16"/>
          <w:color w:val="auto"/>
        </w:rPr>
        <w:t>”);</w:t>
      </w:r>
    </w:p>
    <w:p>
      <w:pPr>
        <w:spacing w:after="0" w:line="144" w:lineRule="exact"/>
        <w:rPr>
          <w:sz w:val="20"/>
          <w:szCs w:val="20"/>
          <w:color w:val="auto"/>
        </w:rPr>
      </w:pPr>
    </w:p>
    <w:p>
      <w:pPr>
        <w:jc w:val="both"/>
        <w:ind w:left="1020" w:right="500" w:firstLine="1"/>
        <w:spacing w:after="0" w:line="214" w:lineRule="auto"/>
        <w:tabs>
          <w:tab w:leader="none" w:pos="134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prompt written notice of any changes to the beneficial ownership information set out in Section 13 to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and</w:t>
      </w:r>
    </w:p>
    <w:p>
      <w:pPr>
        <w:spacing w:after="0" w:line="143" w:lineRule="exact"/>
        <w:rPr>
          <w:rFonts w:ascii="Arial" w:cs="Arial" w:eastAsia="Arial" w:hAnsi="Arial"/>
          <w:sz w:val="16"/>
          <w:szCs w:val="16"/>
          <w:color w:val="auto"/>
        </w:rPr>
      </w:pPr>
    </w:p>
    <w:p>
      <w:pPr>
        <w:ind w:left="1020" w:right="500" w:firstLine="1"/>
        <w:spacing w:after="0" w:line="224" w:lineRule="auto"/>
        <w:tabs>
          <w:tab w:leader="none" w:pos="136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promptly, from time to time, such other information regarding Borrower or compliance with the terms of any Loan Documents as reasonably requested by Bank.”</w:t>
      </w:r>
    </w:p>
    <w:p>
      <w:pPr>
        <w:spacing w:after="0" w:line="138" w:lineRule="exact"/>
        <w:rPr>
          <w:sz w:val="20"/>
          <w:szCs w:val="20"/>
          <w:color w:val="auto"/>
        </w:rPr>
      </w:pPr>
    </w:p>
    <w:p>
      <w:pPr>
        <w:ind w:firstLine="1017"/>
        <w:spacing w:after="0" w:line="228" w:lineRule="auto"/>
        <w:rPr>
          <w:sz w:val="20"/>
          <w:szCs w:val="20"/>
          <w:color w:val="auto"/>
        </w:rPr>
      </w:pPr>
      <w:r>
        <w:rPr>
          <w:rFonts w:ascii="Arial" w:cs="Arial" w:eastAsia="Arial" w:hAnsi="Arial"/>
          <w:sz w:val="16"/>
          <w:szCs w:val="16"/>
          <w:b w:val="1"/>
          <w:bCs w:val="1"/>
          <w:color w:val="auto"/>
        </w:rPr>
        <w:t>2.5 Section 13 (Definitions)</w:t>
      </w:r>
      <w:r>
        <w:rPr>
          <w:rFonts w:ascii="Arial" w:cs="Arial" w:eastAsia="Arial" w:hAnsi="Arial"/>
          <w:sz w:val="16"/>
          <w:szCs w:val="16"/>
          <w:color w:val="auto"/>
        </w:rPr>
        <w:t>. The following terms and their respective definitions set forth in Section 13.1 of the Loan Agreement hereby are added or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restated in their entirety, as appropriate,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33" w:right="319" w:bottom="1440" w:gutter="0" w:footer="0" w:header="0"/>
        </w:sectPr>
      </w:pPr>
    </w:p>
    <w:bookmarkStart w:id="163" w:name="page164"/>
    <w:bookmarkEnd w:id="163"/>
    <w:p>
      <w:pPr>
        <w:jc w:val="both"/>
        <w:ind w:firstLine="508"/>
        <w:spacing w:after="0" w:line="2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Quick Ratio</w:t>
      </w:r>
      <w:r>
        <w:rPr>
          <w:rFonts w:ascii="Arial" w:cs="Arial" w:eastAsia="Arial" w:hAnsi="Arial"/>
          <w:sz w:val="16"/>
          <w:szCs w:val="16"/>
          <w:color w:val="auto"/>
        </w:rPr>
        <w:t xml:space="preserve">” means a ratio of (a) the sum of (i) Borrower’s unrestricted cash and Cash Equivalents held at Bank and Bank Affiliates subject to a Control Agreement,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 unrestricted and unencumbered cash in Deposit Accounts maintained outside of Bank but subject to a Control Agreement in favor of Bank,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(iii) Borrower’s net Accounts receivable, </w:t>
      </w:r>
      <w:r>
        <w:rPr>
          <w:rFonts w:ascii="Arial" w:cs="Arial" w:eastAsia="Arial" w:hAnsi="Arial"/>
          <w:sz w:val="16"/>
          <w:szCs w:val="16"/>
          <w:i w:val="1"/>
          <w:iCs w:val="1"/>
          <w:u w:val="single" w:color="auto"/>
          <w:color w:val="auto"/>
        </w:rPr>
        <w:t>divided by</w:t>
      </w:r>
      <w:r>
        <w:rPr>
          <w:rFonts w:ascii="Arial" w:cs="Arial" w:eastAsia="Arial" w:hAnsi="Arial"/>
          <w:sz w:val="16"/>
          <w:szCs w:val="16"/>
          <w:color w:val="auto"/>
        </w:rPr>
        <w:t xml:space="preserve"> (b) the difference of (i) Borrower’s Current Liabilities,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without duplication, (ii) the current portion of Borrower’s Deferred Revenue; provided however for the period of time from the Fifth Amendment Effective Date through the earlier to occur of (i) the Financing Milestone or (ii) February 28, 2022, Indebtedness under the Revolving Line shall be excluded from the calculation of Current Liabilities.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of America Bank Statements</w:t>
      </w:r>
      <w:r>
        <w:rPr>
          <w:rFonts w:ascii="Arial" w:cs="Arial" w:eastAsia="Arial" w:hAnsi="Arial"/>
          <w:sz w:val="16"/>
          <w:szCs w:val="16"/>
          <w:color w:val="auto"/>
        </w:rPr>
        <w:t>” is defined in Section 6.2(i) of this Agreement.</w:t>
      </w:r>
    </w:p>
    <w:p>
      <w:pPr>
        <w:spacing w:after="0" w:line="155" w:lineRule="exact"/>
        <w:rPr>
          <w:sz w:val="20"/>
          <w:szCs w:val="20"/>
          <w:color w:val="auto"/>
        </w:rPr>
      </w:pPr>
    </w:p>
    <w:p>
      <w:pPr>
        <w:jc w:val="both"/>
        <w:ind w:firstLine="508"/>
        <w:spacing w:after="0" w:line="22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Borrowing Base</w:t>
      </w:r>
      <w:r>
        <w:rPr>
          <w:rFonts w:ascii="Arial" w:cs="Arial" w:eastAsia="Arial" w:hAnsi="Arial"/>
          <w:sz w:val="14"/>
          <w:szCs w:val="14"/>
          <w:color w:val="auto"/>
        </w:rPr>
        <w:t>” is (A) commencing on the Fifth Amendment Effective Date until Bank’s satisfactory completion of the Initial Audit, seventy-five percent (75%) of Eligible Accounts as determined by Bank from Borrower’s most recent Borrowing Base Statement (and as may subsequently be updated by Bank based upon information received by Bank including, without limitation, Accounts that are paid and/or billed following the date of the Borrowing Base Statement); and (B) upon Bank’s satisfactory completion of the Initial Audit, eighty-five percent (85%) of Eligible Accounts plus the least of (i) fifty percent (50%) of Eligible Inventory (valued at the lower of cost or wholesale fair market value), (ii) Five Million Dollars ($5,000,000) or (iii) an amount that would represent twenty-five percent (25%) of the total Availability Amount, all as determined by Bank from Borrower’s most recent Borrowing Base Statement (and as may subsequently be updated by Bank based upon information received by Bank including, without limitation, Accounts that are paid and/or billed following the date of the Borrowing Base Statement); provided, however, that Bank has the right to decrease the foregoing amounts and percentages in its good faith business judgment to mitigate the impact of events, conditions, contingencies, or risks which may materially and adversely affect the Collateral or its value. Bank shall use commercially reasonable efforts to notify Borrower of any such decrease.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Fifth Amendment Effective Date</w:t>
      </w:r>
      <w:r>
        <w:rPr>
          <w:rFonts w:ascii="Arial" w:cs="Arial" w:eastAsia="Arial" w:hAnsi="Arial"/>
          <w:sz w:val="16"/>
          <w:szCs w:val="16"/>
          <w:color w:val="auto"/>
        </w:rPr>
        <w:t>” is December 27, 2021.</w:t>
      </w:r>
    </w:p>
    <w:p>
      <w:pPr>
        <w:spacing w:after="0" w:line="134" w:lineRule="exact"/>
        <w:rPr>
          <w:sz w:val="20"/>
          <w:szCs w:val="20"/>
          <w:color w:val="auto"/>
        </w:rPr>
      </w:pPr>
    </w:p>
    <w:p>
      <w:pPr>
        <w:jc w:val="both"/>
        <w:ind w:right="20" w:firstLine="508"/>
        <w:spacing w:after="0" w:line="28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Financing Milestone</w:t>
      </w:r>
      <w:r>
        <w:rPr>
          <w:rFonts w:ascii="Arial" w:cs="Arial" w:eastAsia="Arial" w:hAnsi="Arial"/>
          <w:sz w:val="14"/>
          <w:szCs w:val="14"/>
          <w:color w:val="auto"/>
        </w:rPr>
        <w:t>” means the receipt by Borrower of at least Twenty-Five Million Dollars ($25,000,000) from the proceeds of the issuance of equity securities or Subordinated Debt into Borrower’s accounts at Bank after the Fifth Amendment Effective Date but on or prior to February 28, 2022.</w:t>
      </w:r>
    </w:p>
    <w:p>
      <w:pPr>
        <w:spacing w:after="0" w:line="88" w:lineRule="exact"/>
        <w:rPr>
          <w:sz w:val="20"/>
          <w:szCs w:val="20"/>
          <w:color w:val="auto"/>
        </w:rPr>
      </w:pPr>
    </w:p>
    <w:p>
      <w:pPr>
        <w:jc w:val="both"/>
        <w:ind w:firstLine="508"/>
        <w:spacing w:after="0" w:line="23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Streamline Period</w:t>
      </w:r>
      <w:r>
        <w:rPr>
          <w:rFonts w:ascii="Arial" w:cs="Arial" w:eastAsia="Arial" w:hAnsi="Arial"/>
          <w:sz w:val="14"/>
          <w:szCs w:val="14"/>
          <w:color w:val="auto"/>
        </w:rPr>
        <w:t>” is, after the completion of the Initial Audit and upon the earlier to occur of (i) the Financing Milestone or (ii) February 28, 2022, provided no Event of Default has occurred and is continuing, the period (a) commencing on the first day of the month following the day that Borrower provides to Bank evidence, satisfactory to Bank in its sole discretion, confirming that Borrower has maintained Liquidity of greater than Twenty Million Dollars ($20,000,000) at all times during the prior month (the “</w:t>
      </w:r>
      <w:r>
        <w:rPr>
          <w:rFonts w:ascii="Arial" w:cs="Arial" w:eastAsia="Arial" w:hAnsi="Arial"/>
          <w:sz w:val="14"/>
          <w:szCs w:val="14"/>
          <w:b w:val="1"/>
          <w:bCs w:val="1"/>
          <w:color w:val="auto"/>
        </w:rPr>
        <w:t>Streamline Balance</w:t>
      </w:r>
      <w:r>
        <w:rPr>
          <w:rFonts w:ascii="Arial" w:cs="Arial" w:eastAsia="Arial" w:hAnsi="Arial"/>
          <w:sz w:val="14"/>
          <w:szCs w:val="14"/>
          <w:color w:val="auto"/>
        </w:rPr>
        <w:t>”); and (b) terminating on the earlier to occur of (i) the occurrence of an Event of Default, and (ii) the first day of the first month following any month in which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760"/>
          </w:cols>
          <w:pgMar w:left="1320" w:top="1127" w:right="819" w:bottom="1440" w:gutter="0" w:footer="0" w:header="0"/>
        </w:sectPr>
      </w:pPr>
    </w:p>
    <w:bookmarkStart w:id="164" w:name="page165"/>
    <w:bookmarkEnd w:id="164"/>
    <w:p>
      <w:pPr>
        <w:jc w:val="both"/>
        <w:ind w:left="1020" w:right="500"/>
        <w:spacing w:after="0" w:line="238" w:lineRule="auto"/>
        <w:rPr>
          <w:sz w:val="20"/>
          <w:szCs w:val="20"/>
          <w:color w:val="auto"/>
        </w:rPr>
      </w:pPr>
      <w:r>
        <w:rPr>
          <w:rFonts w:ascii="Arial" w:cs="Arial" w:eastAsia="Arial" w:hAnsi="Arial"/>
          <w:sz w:val="14"/>
          <w:szCs w:val="14"/>
          <w:color w:val="auto"/>
        </w:rPr>
        <w:t>fails to maintain the Streamline Balance, as determined by Bank in its discretion. Upon the termination of a Streamline Period, Borrower must maintain the Streamline Balance as of the last day of each calendar month for one (1) fiscal quarter prior to entering into a subsequent Streamline Period. Borrower shall give Bank prior written notice of Borrower’s election to enter into any such Streamline Period, and each such Streamline Period shall commence on the first day of the monthly period following the date Bank determines, in its reasonable discretion, that the Streamline Balance has been achieved.</w:t>
      </w:r>
    </w:p>
    <w:p>
      <w:pPr>
        <w:spacing w:after="0" w:line="13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 Fee</w:t>
      </w:r>
      <w:r>
        <w:rPr>
          <w:rFonts w:ascii="Arial" w:cs="Arial" w:eastAsia="Arial" w:hAnsi="Arial"/>
          <w:sz w:val="16"/>
          <w:szCs w:val="16"/>
          <w:color w:val="auto"/>
        </w:rPr>
        <w:t>” is a fully earned, non-refundable fee in an amount equal to One Hundred Twenty-Five Thousand Dollars ($125,000).</w:t>
      </w:r>
    </w:p>
    <w:p>
      <w:pPr>
        <w:spacing w:after="0" w:line="155" w:lineRule="exact"/>
        <w:rPr>
          <w:sz w:val="20"/>
          <w:szCs w:val="20"/>
          <w:color w:val="auto"/>
        </w:rPr>
      </w:pPr>
    </w:p>
    <w:p>
      <w:pPr>
        <w:ind w:firstLine="1017"/>
        <w:spacing w:after="0" w:line="228" w:lineRule="auto"/>
        <w:rPr>
          <w:sz w:val="20"/>
          <w:szCs w:val="20"/>
          <w:color w:val="auto"/>
        </w:rPr>
      </w:pPr>
      <w:r>
        <w:rPr>
          <w:rFonts w:ascii="Arial" w:cs="Arial" w:eastAsia="Arial" w:hAnsi="Arial"/>
          <w:sz w:val="16"/>
          <w:szCs w:val="16"/>
          <w:b w:val="1"/>
          <w:bCs w:val="1"/>
          <w:color w:val="auto"/>
        </w:rPr>
        <w:t>2.6 Section 13 (Definitions)</w:t>
      </w:r>
      <w:r>
        <w:rPr>
          <w:rFonts w:ascii="Arial" w:cs="Arial" w:eastAsia="Arial" w:hAnsi="Arial"/>
          <w:sz w:val="16"/>
          <w:szCs w:val="16"/>
          <w:color w:val="auto"/>
        </w:rPr>
        <w:t>. Subsection (x) of the defined term “Eligible Accounts” set forth in Section 13.1 of the Loan Agreement hereby is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in its entirety as follows:</w:t>
      </w:r>
    </w:p>
    <w:p>
      <w:pPr>
        <w:spacing w:after="0" w:line="122" w:lineRule="exact"/>
        <w:rPr>
          <w:sz w:val="20"/>
          <w:szCs w:val="20"/>
          <w:color w:val="auto"/>
        </w:rPr>
      </w:pPr>
    </w:p>
    <w:p>
      <w:pPr>
        <w:ind w:left="1520"/>
        <w:spacing w:after="0"/>
        <w:tabs>
          <w:tab w:leader="none" w:pos="192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Intentionally Omitted.”</w:t>
      </w:r>
    </w:p>
    <w:p>
      <w:pPr>
        <w:spacing w:after="0" w:line="128"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4"/>
          <w:szCs w:val="14"/>
          <w:u w:val="single" w:color="auto"/>
          <w:color w:val="auto"/>
        </w:rPr>
        <w:t xml:space="preserve">Exhibit B </w:t>
      </w:r>
      <w:r>
        <w:rPr>
          <w:rFonts w:ascii="Arial" w:cs="Arial" w:eastAsia="Arial" w:hAnsi="Arial"/>
          <w:sz w:val="14"/>
          <w:szCs w:val="14"/>
          <w:color w:val="auto"/>
        </w:rPr>
        <w:t>of the Loan Agreement hereby is replaced with</w:t>
      </w:r>
      <w:r>
        <w:rPr>
          <w:rFonts w:ascii="Arial" w:cs="Arial" w:eastAsia="Arial" w:hAnsi="Arial"/>
          <w:sz w:val="14"/>
          <w:szCs w:val="14"/>
          <w:u w:val="single" w:color="auto"/>
          <w:color w:val="auto"/>
        </w:rPr>
        <w:t xml:space="preserve"> Exhibit B </w:t>
      </w:r>
      <w:r>
        <w:rPr>
          <w:rFonts w:ascii="Arial" w:cs="Arial" w:eastAsia="Arial" w:hAnsi="Arial"/>
          <w:sz w:val="14"/>
          <w:szCs w:val="14"/>
          <w:color w:val="auto"/>
        </w:rPr>
        <w:t>(including Schedule 1) attached hereto.</w:t>
      </w:r>
    </w:p>
    <w:p>
      <w:pPr>
        <w:spacing w:after="0" w:line="134"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4"/>
          <w:szCs w:val="14"/>
          <w:color w:val="auto"/>
        </w:rPr>
        <w:t>Borrower hereby agrees that the Initial Audit must be completed no later than sixty (60) days after the Fifth Amendment Effective Date.</w:t>
      </w:r>
    </w:p>
    <w:p>
      <w:pPr>
        <w:spacing w:after="0" w:line="134" w:lineRule="exact"/>
        <w:rPr>
          <w:sz w:val="20"/>
          <w:szCs w:val="20"/>
          <w:color w:val="auto"/>
        </w:rPr>
      </w:pPr>
    </w:p>
    <w:p>
      <w:pPr>
        <w:ind w:left="1020" w:hanging="507"/>
        <w:spacing w:after="0"/>
        <w:tabs>
          <w:tab w:leader="none" w:pos="102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of Amendment.</w:t>
      </w:r>
    </w:p>
    <w:p>
      <w:pPr>
        <w:spacing w:after="0" w:line="134"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color w:val="auto"/>
        </w:rPr>
        <w:t>This Amendment is effective for the purposes set forth herein and shall be limited precisely as written and shall not be deemed to (a) be a consent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waiver or modification of any other term or condition of any Loan Document, or (b) otherwise prejudice any right or remedy which Bank may now have or may have in the future under or in connection with any Loan Document.</w:t>
      </w:r>
    </w:p>
    <w:p>
      <w:pPr>
        <w:spacing w:after="0" w:line="117" w:lineRule="exact"/>
        <w:rPr>
          <w:sz w:val="20"/>
          <w:szCs w:val="20"/>
          <w:color w:val="auto"/>
        </w:rPr>
      </w:pPr>
    </w:p>
    <w:p>
      <w:pPr>
        <w:jc w:val="both"/>
        <w:ind w:firstLine="1017"/>
        <w:spacing w:after="0" w:line="228"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color w:val="auto"/>
        </w:rPr>
        <w:t>This Amendment shall be construed in connection with and as part of the Loan Documents, and all terms, conditions, representations, warranties,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and agreements set forth in the Loan Documents are hereby ratified and confirmed and shall remain in full force and effect.</w:t>
      </w:r>
    </w:p>
    <w:p>
      <w:pPr>
        <w:spacing w:after="0" w:line="116" w:lineRule="exact"/>
        <w:rPr>
          <w:sz w:val="20"/>
          <w:szCs w:val="20"/>
          <w:color w:val="auto"/>
        </w:rPr>
      </w:pPr>
    </w:p>
    <w:p>
      <w:pPr>
        <w:ind w:left="1020" w:hanging="507"/>
        <w:spacing w:after="0"/>
        <w:tabs>
          <w:tab w:leader="none" w:pos="102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Borrower represents and warrants to Bank as follows:</w:t>
      </w:r>
    </w:p>
    <w:p>
      <w:pPr>
        <w:spacing w:after="0" w:line="134"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(a) the representations and warranties contained in the Loan Documents are true, accurate and complete in all material respects as of the date hereof (except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such representations and warranties relate to an earlier date, in which case they are true and correct as of such date), and (b) no Event of Default has occurred and is continuing;</w:t>
      </w:r>
    </w:p>
    <w:p>
      <w:pPr>
        <w:spacing w:after="0" w:line="117"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4"/>
          <w:szCs w:val="14"/>
          <w:color w:val="auto"/>
        </w:rPr>
        <w:t>Borrower has the power and authority to execute and deliver this Amendment and to perform its obligations under the Loan Agreement;</w:t>
      </w:r>
    </w:p>
    <w:p>
      <w:pPr>
        <w:spacing w:after="0" w:line="134" w:lineRule="exact"/>
        <w:rPr>
          <w:sz w:val="20"/>
          <w:szCs w:val="20"/>
          <w:color w:val="auto"/>
        </w:rPr>
      </w:pPr>
    </w:p>
    <w:p>
      <w:pPr>
        <w:jc w:val="both"/>
        <w:ind w:firstLine="1017"/>
        <w:spacing w:after="0" w:line="228"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color w:val="auto"/>
        </w:rPr>
        <w:t>The organizational documents of Borrower delivered to Bank on the Effective Date remain true, accurate and complete and have not been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or restated and are and continue to be in full force and effect;</w:t>
      </w:r>
    </w:p>
    <w:p>
      <w:pPr>
        <w:spacing w:after="0" w:line="116" w:lineRule="exact"/>
        <w:rPr>
          <w:sz w:val="20"/>
          <w:szCs w:val="20"/>
          <w:color w:val="auto"/>
        </w:rPr>
      </w:pPr>
    </w:p>
    <w:p>
      <w:pPr>
        <w:jc w:val="both"/>
        <w:ind w:firstLine="1017"/>
        <w:spacing w:after="0" w:line="228"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color w:val="auto"/>
        </w:rPr>
        <w:t>The execution and delivery by Borrower of this Amendment and the performance by Borrower of its obligations under the Loan Agreement have been duly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by all necessary action on the part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33" w:right="319" w:bottom="1440" w:gutter="0" w:footer="0" w:header="0"/>
        </w:sectPr>
      </w:pPr>
    </w:p>
    <w:bookmarkStart w:id="165" w:name="page166"/>
    <w:bookmarkEnd w:id="165"/>
    <w:p>
      <w:pPr>
        <w:jc w:val="both"/>
        <w:ind w:firstLine="1017"/>
        <w:spacing w:after="0" w:line="251" w:lineRule="auto"/>
        <w:rPr>
          <w:sz w:val="20"/>
          <w:szCs w:val="20"/>
          <w:color w:val="auto"/>
        </w:rPr>
      </w:pPr>
      <w:r>
        <w:rPr>
          <w:rFonts w:ascii="Arial" w:cs="Arial" w:eastAsia="Arial" w:hAnsi="Arial"/>
          <w:sz w:val="14"/>
          <w:szCs w:val="14"/>
          <w:b w:val="1"/>
          <w:bCs w:val="1"/>
          <w:color w:val="auto"/>
        </w:rPr>
        <w:t xml:space="preserve">4.5 </w:t>
      </w:r>
      <w:r>
        <w:rPr>
          <w:rFonts w:ascii="Arial" w:cs="Arial" w:eastAsia="Arial" w:hAnsi="Arial"/>
          <w:sz w:val="14"/>
          <w:szCs w:val="14"/>
          <w:color w:val="auto"/>
        </w:rPr>
        <w:t>The execution and delivery by Borrower of this Amendment and the performance by Borrower of its obligations under the Loan Agreement do not and will</w:t>
      </w:r>
      <w:r>
        <w:rPr>
          <w:rFonts w:ascii="Arial" w:cs="Arial" w:eastAsia="Arial" w:hAnsi="Arial"/>
          <w:sz w:val="14"/>
          <w:szCs w:val="14"/>
          <w:b w:val="1"/>
          <w:bCs w:val="1"/>
          <w:color w:val="auto"/>
        </w:rPr>
        <w:t xml:space="preserve"> </w:t>
      </w:r>
      <w:r>
        <w:rPr>
          <w:rFonts w:ascii="Arial" w:cs="Arial" w:eastAsia="Arial" w:hAnsi="Arial"/>
          <w:sz w:val="14"/>
          <w:szCs w:val="14"/>
          <w:color w:val="auto"/>
        </w:rPr>
        <w:t>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09"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color w:val="auto"/>
        </w:rPr>
        <w:t>The execution and delivery by Borrower of this Amendment and the performance by Borrower of its obligations under the Loan Agreement do not require</w:t>
      </w:r>
      <w:r>
        <w:rPr>
          <w:rFonts w:ascii="Arial" w:cs="Arial" w:eastAsia="Arial" w:hAnsi="Arial"/>
          <w:sz w:val="16"/>
          <w:szCs w:val="16"/>
          <w:b w:val="1"/>
          <w:bCs w:val="1"/>
          <w:color w:val="auto"/>
        </w:rPr>
        <w:t xml:space="preserve"> </w:t>
      </w:r>
      <w:r>
        <w:rPr>
          <w:rFonts w:ascii="Arial" w:cs="Arial" w:eastAsia="Arial" w:hAnsi="Arial"/>
          <w:sz w:val="16"/>
          <w:szCs w:val="16"/>
          <w:color w:val="auto"/>
        </w:rPr>
        <w:t>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17"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color w:val="auto"/>
        </w:rPr>
        <w:t>This Amendment has been duly executed and delivered by Borrower and is the binding obligation of Borrower, enforceable against Borrower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its terms, except as such enforceability may be limited by bankruptcy, insolvency, reorganization, liquidation, moratorium or other similar laws of general application and equitable principles relating to or affecting creditors’ rights.</w:t>
      </w:r>
    </w:p>
    <w:p>
      <w:pPr>
        <w:spacing w:after="0" w:line="117" w:lineRule="exact"/>
        <w:rPr>
          <w:sz w:val="20"/>
          <w:szCs w:val="20"/>
          <w:color w:val="auto"/>
        </w:rPr>
      </w:pPr>
    </w:p>
    <w:p>
      <w:pPr>
        <w:jc w:val="both"/>
        <w:ind w:firstLine="513"/>
        <w:spacing w:after="0" w:line="234" w:lineRule="auto"/>
        <w:tabs>
          <w:tab w:leader="none" w:pos="1016"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Ratification of Perfection Certificate</w:t>
      </w:r>
      <w:r>
        <w:rPr>
          <w:rFonts w:ascii="Arial" w:cs="Arial" w:eastAsia="Arial" w:hAnsi="Arial"/>
          <w:sz w:val="14"/>
          <w:szCs w:val="14"/>
          <w:color w:val="auto"/>
        </w:rPr>
        <w:t>. Borrower hereby ratifies, confirms and reaffirms, all and singular, the terms and disclosures contained in a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Perfection Certificate dated on or prior to the Effective Date, as supplemented by a First Supplement, dated as of July 25, 2018, a Second Supplement, dated as of July 25, 2018 a Third Supplement, dated as of August 28, 2019, a Fourth Supplement, dated as of April 21, 2020, and a Fifth Supplement, dated as of July 20, 2021 and as supplemented by all other notices to the Bank under the Loan Agreement changing any such information previously provided, and acknowledges, confirms and agrees that the disclosures and information Borrower provided to Bank in such Perfection Certificate, as supplemented, have not changed, as of the date hereof, in any material respect except for (i) average monthly bank balances which change from time to time, and (ii) changes in litigation set forth in Borrower’s periodic filings with the Securities and Exchange Commission from time to time.</w:t>
      </w:r>
    </w:p>
    <w:p>
      <w:pPr>
        <w:spacing w:after="0" w:line="117" w:lineRule="exact"/>
        <w:rPr>
          <w:rFonts w:ascii="Arial" w:cs="Arial" w:eastAsia="Arial" w:hAnsi="Arial"/>
          <w:sz w:val="14"/>
          <w:szCs w:val="14"/>
          <w:b w:val="1"/>
          <w:bCs w:val="1"/>
          <w:color w:val="auto"/>
        </w:rPr>
      </w:pPr>
    </w:p>
    <w:p>
      <w:pPr>
        <w:jc w:val="both"/>
        <w:ind w:firstLine="513"/>
        <w:spacing w:after="0" w:line="216" w:lineRule="auto"/>
        <w:tabs>
          <w:tab w:leader="none" w:pos="1016"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Integration</w:t>
      </w:r>
      <w:r>
        <w:rPr>
          <w:rFonts w:ascii="Arial" w:cs="Arial" w:eastAsia="Arial" w:hAnsi="Arial"/>
          <w:sz w:val="16"/>
          <w:szCs w:val="16"/>
          <w:color w:val="auto"/>
        </w:rPr>
        <w:t>. This Amendment and the Loan Documents represent the entire agreement about this subject matter and supersede prior negotiations or agreements. All</w:t>
      </w:r>
      <w:r>
        <w:rPr>
          <w:rFonts w:ascii="Arial" w:cs="Arial" w:eastAsia="Arial" w:hAnsi="Arial"/>
          <w:sz w:val="16"/>
          <w:szCs w:val="16"/>
          <w:b w:val="1"/>
          <w:bCs w:val="1"/>
          <w:color w:val="auto"/>
        </w:rPr>
        <w:t xml:space="preserve"> </w:t>
      </w:r>
      <w:r>
        <w:rPr>
          <w:rFonts w:ascii="Arial" w:cs="Arial" w:eastAsia="Arial" w:hAnsi="Arial"/>
          <w:sz w:val="16"/>
          <w:szCs w:val="16"/>
          <w:color w:val="auto"/>
        </w:rPr>
        <w:t>prior agreements, understandings, representations, warranties, and negotiations between the parties about the subject matter of this Amendment and the Loan Documents merge into this Amendment and the Loan Documents.</w:t>
      </w:r>
    </w:p>
    <w:p>
      <w:pPr>
        <w:spacing w:after="0" w:line="117" w:lineRule="exact"/>
        <w:rPr>
          <w:rFonts w:ascii="Arial" w:cs="Arial" w:eastAsia="Arial" w:hAnsi="Arial"/>
          <w:sz w:val="16"/>
          <w:szCs w:val="16"/>
          <w:b w:val="1"/>
          <w:bCs w:val="1"/>
          <w:color w:val="auto"/>
        </w:rPr>
      </w:pPr>
    </w:p>
    <w:p>
      <w:pPr>
        <w:ind w:firstLine="513"/>
        <w:spacing w:after="0" w:line="228" w:lineRule="auto"/>
        <w:tabs>
          <w:tab w:leader="none" w:pos="1016"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Amendment may be executed in any number of counterparts and all of such counterparts taken together shall be deemed to constitute one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instrument.</w:t>
      </w:r>
    </w:p>
    <w:p>
      <w:pPr>
        <w:spacing w:after="0" w:line="116" w:lineRule="exact"/>
        <w:rPr>
          <w:rFonts w:ascii="Arial" w:cs="Arial" w:eastAsia="Arial" w:hAnsi="Arial"/>
          <w:sz w:val="16"/>
          <w:szCs w:val="16"/>
          <w:b w:val="1"/>
          <w:bCs w:val="1"/>
          <w:color w:val="auto"/>
        </w:rPr>
      </w:pPr>
    </w:p>
    <w:p>
      <w:pPr>
        <w:jc w:val="both"/>
        <w:ind w:firstLine="513"/>
        <w:spacing w:after="0" w:line="216" w:lineRule="auto"/>
        <w:tabs>
          <w:tab w:leader="none" w:pos="1016"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to Effectiveness</w:t>
      </w:r>
      <w:r>
        <w:rPr>
          <w:rFonts w:ascii="Arial" w:cs="Arial" w:eastAsia="Arial" w:hAnsi="Arial"/>
          <w:sz w:val="16"/>
          <w:szCs w:val="16"/>
          <w:color w:val="auto"/>
        </w:rPr>
        <w:t>. The parties agree that this amendment shall be effective upon (a) the due execution and delivery to Bank of this Amendment by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hereto, (b) an updated Corporate Borrowing Certificate, and (c) Borrower’s payment of all Bank Expenses due and owing as of the date hereof, which may be debited from any of Borrower’s accounts at Bank.</w:t>
      </w:r>
    </w:p>
    <w:p>
      <w:pPr>
        <w:spacing w:after="0" w:line="117" w:lineRule="exact"/>
        <w:rPr>
          <w:rFonts w:ascii="Arial" w:cs="Arial" w:eastAsia="Arial" w:hAnsi="Arial"/>
          <w:sz w:val="16"/>
          <w:szCs w:val="16"/>
          <w:b w:val="1"/>
          <w:bCs w:val="1"/>
          <w:color w:val="auto"/>
        </w:rPr>
      </w:pPr>
    </w:p>
    <w:p>
      <w:pPr>
        <w:ind w:left="1020" w:hanging="507"/>
        <w:spacing w:after="0"/>
        <w:tabs>
          <w:tab w:leader="none" w:pos="102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134"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color w:val="auto"/>
        </w:rPr>
        <w:t>This Amendment shall constitute a Loan Document under the Loan Agreement; the failure to comply with the covenants contained herein shall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Default under the Loan Agreement; and all obligations included in this Amendment (including, without limitation, all obligations for the payment of principal, interest, fees, and other amounts and expenses) shall constitute obligations under the Loan Agreement and secured by the Collateral.</w:t>
      </w:r>
    </w:p>
    <w:p>
      <w:pPr>
        <w:spacing w:after="0" w:line="117"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9.2</w:t>
      </w:r>
      <w:r>
        <w:rPr>
          <w:sz w:val="20"/>
          <w:szCs w:val="20"/>
          <w:color w:val="auto"/>
        </w:rPr>
        <w:tab/>
      </w:r>
      <w:r>
        <w:rPr>
          <w:rFonts w:ascii="Arial" w:cs="Arial" w:eastAsia="Arial" w:hAnsi="Arial"/>
          <w:sz w:val="14"/>
          <w:szCs w:val="14"/>
          <w:color w:val="auto"/>
        </w:rPr>
        <w:t>Each provision of this Amendment is severable from every other provision in determining the enforceability of any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27" w:right="319" w:bottom="1440" w:gutter="0" w:footer="0" w:header="0"/>
        </w:sectPr>
      </w:pPr>
    </w:p>
    <w:bookmarkStart w:id="166" w:name="page167"/>
    <w:bookmarkEnd w:id="166"/>
    <w:p>
      <w:pPr>
        <w:ind w:left="1020" w:hanging="507"/>
        <w:spacing w:after="0"/>
        <w:tabs>
          <w:tab w:leader="none" w:pos="1020" w:val="left"/>
        </w:tabs>
        <w:numPr>
          <w:ilvl w:val="0"/>
          <w:numId w:val="10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Governing Law. </w:t>
      </w:r>
      <w:r>
        <w:rPr>
          <w:rFonts w:ascii="Arial" w:cs="Arial" w:eastAsia="Arial" w:hAnsi="Arial"/>
          <w:sz w:val="14"/>
          <w:szCs w:val="14"/>
          <w:color w:val="auto"/>
        </w:rPr>
        <w:t>This Amendment and the rights and obligations of the parties hereto shall be governed by and construed in accordance with the laws of the State of</w:t>
      </w:r>
    </w:p>
    <w:p>
      <w:pPr>
        <w:spacing w:after="0" w:line="5"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6"/>
          <w:szCs w:val="16"/>
          <w:color w:val="auto"/>
        </w:rPr>
        <w:t>California.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Balance of Page Intentionally Left Blank</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27" w:right="319" w:bottom="1440" w:gutter="0" w:footer="0" w:header="0"/>
        </w:sectPr>
      </w:pPr>
    </w:p>
    <w:bookmarkStart w:id="167" w:name="page168"/>
    <w:bookmarkEnd w:id="167"/>
    <w:p>
      <w:pPr>
        <w:ind w:left="520"/>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parties hereto have caused this Amendment to be duly executed and delivered as of the date first written above.</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560" w:type="dxa"/>
            <w:vAlign w:val="bottom"/>
            <w:gridSpan w:val="6"/>
          </w:tcPr>
          <w:p>
            <w:pPr>
              <w:spacing w:after="0"/>
              <w:rPr>
                <w:sz w:val="20"/>
                <w:szCs w:val="20"/>
                <w:color w:val="auto"/>
              </w:rPr>
            </w:pPr>
            <w:r>
              <w:rPr>
                <w:rFonts w:ascii="Arial" w:cs="Arial" w:eastAsia="Arial" w:hAnsi="Arial"/>
                <w:sz w:val="16"/>
                <w:szCs w:val="16"/>
                <w:b w:val="1"/>
                <w:bCs w:val="1"/>
                <w:color w:val="auto"/>
              </w:rPr>
              <w:t>BANK</w:t>
            </w:r>
          </w:p>
        </w:tc>
        <w:tc>
          <w:tcPr>
            <w:tcW w:w="3800" w:type="dxa"/>
            <w:vAlign w:val="bottom"/>
            <w:gridSpan w:val="6"/>
          </w:tcPr>
          <w:p>
            <w:pPr>
              <w:ind w:left="1740"/>
              <w:spacing w:after="0"/>
              <w:rPr>
                <w:sz w:val="20"/>
                <w:szCs w:val="20"/>
                <w:color w:val="auto"/>
              </w:rPr>
            </w:pPr>
            <w:r>
              <w:rPr>
                <w:rFonts w:ascii="Arial" w:cs="Arial" w:eastAsia="Arial" w:hAnsi="Arial"/>
                <w:sz w:val="16"/>
                <w:szCs w:val="16"/>
                <w:b w:val="1"/>
                <w:bCs w:val="1"/>
                <w:color w:val="auto"/>
              </w:rPr>
              <w:t>BORROWER</w:t>
            </w:r>
          </w:p>
        </w:tc>
      </w:tr>
      <w:tr>
        <w:trPr>
          <w:trHeight w:val="381"/>
        </w:trPr>
        <w:tc>
          <w:tcPr>
            <w:tcW w:w="3560" w:type="dxa"/>
            <w:vAlign w:val="bottom"/>
            <w:gridSpan w:val="6"/>
          </w:tcPr>
          <w:p>
            <w:pPr>
              <w:ind w:left="40"/>
              <w:spacing w:after="0"/>
              <w:rPr>
                <w:sz w:val="20"/>
                <w:szCs w:val="20"/>
                <w:color w:val="auto"/>
              </w:rPr>
            </w:pPr>
            <w:r>
              <w:rPr>
                <w:rFonts w:ascii="Arial" w:cs="Arial" w:eastAsia="Arial" w:hAnsi="Arial"/>
                <w:sz w:val="16"/>
                <w:szCs w:val="16"/>
                <w:b w:val="1"/>
                <w:bCs w:val="1"/>
                <w:color w:val="auto"/>
              </w:rPr>
              <w:t>SILICON VALLEY BANK</w:t>
            </w:r>
          </w:p>
        </w:tc>
        <w:tc>
          <w:tcPr>
            <w:tcW w:w="3800" w:type="dxa"/>
            <w:vAlign w:val="bottom"/>
            <w:gridSpan w:val="6"/>
          </w:tcPr>
          <w:p>
            <w:pPr>
              <w:ind w:left="1780"/>
              <w:spacing w:after="0"/>
              <w:rPr>
                <w:sz w:val="20"/>
                <w:szCs w:val="20"/>
                <w:color w:val="auto"/>
              </w:rPr>
            </w:pPr>
            <w:r>
              <w:rPr>
                <w:rFonts w:ascii="Arial" w:cs="Arial" w:eastAsia="Arial" w:hAnsi="Arial"/>
                <w:sz w:val="16"/>
                <w:szCs w:val="16"/>
                <w:b w:val="1"/>
                <w:bCs w:val="1"/>
                <w:color w:val="auto"/>
                <w:w w:val="99"/>
              </w:rPr>
              <w:t>FLUIDIGM CORPORATION</w:t>
            </w:r>
          </w:p>
        </w:tc>
      </w:tr>
      <w:tr>
        <w:trPr>
          <w:trHeight w:val="388"/>
        </w:trPr>
        <w:tc>
          <w:tcPr>
            <w:tcW w:w="3560" w:type="dxa"/>
            <w:vAlign w:val="bottom"/>
            <w:gridSpan w:val="6"/>
          </w:tcPr>
          <w:p>
            <w:pPr>
              <w:ind w:left="40"/>
              <w:spacing w:after="0"/>
              <w:rPr>
                <w:sz w:val="20"/>
                <w:szCs w:val="20"/>
                <w:color w:val="auto"/>
              </w:rPr>
            </w:pPr>
            <w:r>
              <w:rPr>
                <w:rFonts w:ascii="Arial" w:cs="Arial" w:eastAsia="Arial" w:hAnsi="Arial"/>
                <w:sz w:val="16"/>
                <w:szCs w:val="16"/>
                <w:color w:val="auto"/>
              </w:rPr>
              <w:t>By: /s/ Kristina Peralta</w:t>
            </w:r>
          </w:p>
        </w:tc>
        <w:tc>
          <w:tcPr>
            <w:tcW w:w="3800" w:type="dxa"/>
            <w:vAlign w:val="bottom"/>
            <w:gridSpan w:val="6"/>
          </w:tcPr>
          <w:p>
            <w:pPr>
              <w:ind w:left="1780"/>
              <w:spacing w:after="0"/>
              <w:rPr>
                <w:sz w:val="20"/>
                <w:szCs w:val="20"/>
                <w:color w:val="auto"/>
              </w:rPr>
            </w:pPr>
            <w:r>
              <w:rPr>
                <w:rFonts w:ascii="Arial" w:cs="Arial" w:eastAsia="Arial" w:hAnsi="Arial"/>
                <w:sz w:val="16"/>
                <w:szCs w:val="16"/>
                <w:color w:val="auto"/>
              </w:rPr>
              <w:t>By: /s/ Vikram Jog</w:t>
            </w:r>
          </w:p>
        </w:tc>
      </w:tr>
      <w:tr>
        <w:trPr>
          <w:trHeight w:val="20"/>
        </w:trPr>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3560" w:type="dxa"/>
            <w:vAlign w:val="bottom"/>
            <w:gridSpan w:val="6"/>
          </w:tcPr>
          <w:p>
            <w:pPr>
              <w:ind w:left="40"/>
              <w:spacing w:after="0"/>
              <w:rPr>
                <w:sz w:val="20"/>
                <w:szCs w:val="20"/>
                <w:color w:val="auto"/>
              </w:rPr>
            </w:pPr>
            <w:r>
              <w:rPr>
                <w:rFonts w:ascii="Arial" w:cs="Arial" w:eastAsia="Arial" w:hAnsi="Arial"/>
                <w:sz w:val="16"/>
                <w:szCs w:val="16"/>
                <w:color w:val="auto"/>
              </w:rPr>
              <w:t>Name: Kristina Peralta</w:t>
            </w:r>
          </w:p>
        </w:tc>
        <w:tc>
          <w:tcPr>
            <w:tcW w:w="3800" w:type="dxa"/>
            <w:vAlign w:val="bottom"/>
            <w:gridSpan w:val="6"/>
          </w:tcPr>
          <w:p>
            <w:pPr>
              <w:ind w:left="1780"/>
              <w:spacing w:after="0"/>
              <w:rPr>
                <w:sz w:val="20"/>
                <w:szCs w:val="20"/>
                <w:color w:val="auto"/>
              </w:rPr>
            </w:pPr>
            <w:r>
              <w:rPr>
                <w:rFonts w:ascii="Arial" w:cs="Arial" w:eastAsia="Arial" w:hAnsi="Arial"/>
                <w:sz w:val="16"/>
                <w:szCs w:val="16"/>
                <w:color w:val="auto"/>
              </w:rPr>
              <w:t>Name: Vikram Jog</w:t>
            </w:r>
          </w:p>
        </w:tc>
      </w:tr>
      <w:tr>
        <w:trPr>
          <w:trHeight w:val="20"/>
        </w:trPr>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3560" w:type="dxa"/>
            <w:vAlign w:val="bottom"/>
            <w:gridSpan w:val="6"/>
          </w:tcPr>
          <w:p>
            <w:pPr>
              <w:ind w:left="40"/>
              <w:spacing w:after="0"/>
              <w:rPr>
                <w:sz w:val="20"/>
                <w:szCs w:val="20"/>
                <w:color w:val="auto"/>
              </w:rPr>
            </w:pPr>
            <w:r>
              <w:rPr>
                <w:rFonts w:ascii="Arial" w:cs="Arial" w:eastAsia="Arial" w:hAnsi="Arial"/>
                <w:sz w:val="16"/>
                <w:szCs w:val="16"/>
                <w:color w:val="auto"/>
              </w:rPr>
              <w:t>Title: Vice President</w:t>
            </w:r>
          </w:p>
        </w:tc>
        <w:tc>
          <w:tcPr>
            <w:tcW w:w="3800" w:type="dxa"/>
            <w:vAlign w:val="bottom"/>
            <w:gridSpan w:val="6"/>
          </w:tcPr>
          <w:p>
            <w:pPr>
              <w:ind w:left="1780"/>
              <w:spacing w:after="0"/>
              <w:rPr>
                <w:sz w:val="20"/>
                <w:szCs w:val="20"/>
                <w:color w:val="auto"/>
              </w:rPr>
            </w:pPr>
            <w:r>
              <w:rPr>
                <w:rFonts w:ascii="Arial" w:cs="Arial" w:eastAsia="Arial" w:hAnsi="Arial"/>
                <w:sz w:val="16"/>
                <w:szCs w:val="16"/>
                <w:color w:val="auto"/>
              </w:rPr>
              <w:t>Title: Chief Financial Officer</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Signature Page to Fifth Amendment to Loan and Security Agreement</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WEST\296736839.3</w:t>
      </w:r>
    </w:p>
    <w:p>
      <w:pPr>
        <w:sectPr>
          <w:pgSz w:w="11900" w:h="16838" w:orient="portrait"/>
          <w:cols w:equalWidth="0" w:num="1">
            <w:col w:w="10159"/>
          </w:cols>
          <w:pgMar w:left="300" w:top="1127" w:right="1440" w:bottom="1440" w:gutter="0" w:footer="0" w:header="0"/>
        </w:sectPr>
      </w:pPr>
    </w:p>
    <w:bookmarkStart w:id="168" w:name="page169"/>
    <w:bookmarkEnd w:id="168"/>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EXHIBIT 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COMPLIANCE STATEMENT</w:t>
      </w:r>
    </w:p>
    <w:p>
      <w:pPr>
        <w:sectPr>
          <w:pgSz w:w="11900" w:h="16838" w:orient="portrait"/>
          <w:cols w:equalWidth="0" w:num="1">
            <w:col w:w="11280"/>
          </w:cols>
          <w:pgMar w:left="300" w:top="1440" w:right="319" w:bottom="1440" w:gutter="0" w:footer="0" w:header="0"/>
        </w:sectPr>
      </w:pPr>
    </w:p>
    <w:p>
      <w:pPr>
        <w:spacing w:after="0" w:line="308"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TO:</w:t>
        <w:tab/>
        <w:t>SILICON VALLEY BANK</w:t>
      </w:r>
    </w:p>
    <w:p>
      <w:pPr>
        <w:spacing w:after="0"/>
        <w:rPr>
          <w:sz w:val="20"/>
          <w:szCs w:val="20"/>
          <w:color w:val="auto"/>
        </w:rPr>
      </w:pPr>
      <w:r>
        <w:rPr>
          <w:rFonts w:ascii="Arial" w:cs="Arial" w:eastAsia="Arial" w:hAnsi="Arial"/>
          <w:sz w:val="13"/>
          <w:szCs w:val="13"/>
          <w:color w:val="auto"/>
        </w:rPr>
        <w:t>FROM: FLUIDIGM CORPORATION</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6350</wp:posOffset>
            </wp:positionV>
            <wp:extent cx="35877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8">
                      <a:extLst>
                        <a:ext uri="{28A0092B-C50C-407E-A947-70E740481C1C}"/>
                      </a:extLst>
                    </a:blip>
                    <a:srcRect/>
                    <a:stretch>
                      <a:fillRect/>
                    </a:stretch>
                  </pic:blipFill>
                  <pic:spPr bwMode="auto">
                    <a:xfrm>
                      <a:off x="0" y="0"/>
                      <a:ext cx="358775" cy="6985"/>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2200" w:space="460"/>
            <w:col w:w="8620"/>
          </w:cols>
          <w:pgMar w:left="300" w:top="1440" w:right="319" w:bottom="1440" w:gutter="0" w:footer="0" w:header="0"/>
          <w:type w:val="continuous"/>
        </w:sectPr>
      </w:pPr>
    </w:p>
    <w:p>
      <w:pPr>
        <w:ind w:left="1020"/>
        <w:spacing w:after="0"/>
        <w:rPr>
          <w:sz w:val="20"/>
          <w:szCs w:val="20"/>
          <w:color w:val="auto"/>
        </w:rPr>
      </w:pPr>
      <w:r>
        <w:rPr>
          <w:rFonts w:ascii="Arial" w:cs="Arial" w:eastAsia="Arial" w:hAnsi="Arial"/>
          <w:sz w:val="13"/>
          <w:szCs w:val="13"/>
          <w:color w:val="auto"/>
        </w:rPr>
        <w:t>Under the terms and conditions of the Loan and Security Agreement between Borrower and Bank (the “Agreement”): Borrower is in complete compliance for the period ending</w:t>
      </w:r>
    </w:p>
    <w:p>
      <w:pPr>
        <w:spacing w:after="0"/>
        <w:rPr>
          <w:sz w:val="20"/>
          <w:szCs w:val="20"/>
          <w:color w:val="auto"/>
        </w:rPr>
      </w:pPr>
      <w:r>
        <w:rPr>
          <w:rFonts w:ascii="Arial" w:cs="Arial" w:eastAsia="Arial" w:hAnsi="Arial"/>
          <w:sz w:val="12"/>
          <w:szCs w:val="12"/>
          <w:color w:val="auto"/>
        </w:rPr>
        <w:t>_______________ with all required covenants except as noted below. Attached are the required documents evidencing such compliance, setting forth calculations prepared in accordance with GAAP</w:t>
      </w:r>
    </w:p>
    <w:p>
      <w:pPr>
        <w:spacing w:after="0" w:line="227" w:lineRule="auto"/>
        <w:rPr>
          <w:sz w:val="20"/>
          <w:szCs w:val="20"/>
          <w:color w:val="auto"/>
        </w:rPr>
      </w:pPr>
      <w:r>
        <w:rPr>
          <w:rFonts w:ascii="Arial" w:cs="Arial" w:eastAsia="Arial" w:hAnsi="Arial"/>
          <w:sz w:val="14"/>
          <w:szCs w:val="14"/>
          <w:color w:val="auto"/>
        </w:rPr>
        <w:t>consistently applied from one period to the next except as explained in an accompanying letter or footnotes. Capitalized terms used but not otherwise defined herein shall have the meanings given them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WEST\296736839.3</w:t>
      </w:r>
    </w:p>
    <w:p>
      <w:pPr>
        <w:sectPr>
          <w:pgSz w:w="11900" w:h="16838" w:orient="portrait"/>
          <w:cols w:equalWidth="0" w:num="1">
            <w:col w:w="11280"/>
          </w:cols>
          <w:pgMar w:left="300" w:top="1440" w:right="319" w:bottom="1440" w:gutter="0" w:footer="0" w:header="0"/>
          <w:type w:val="continuous"/>
        </w:sectPr>
      </w:pPr>
    </w:p>
    <w:bookmarkStart w:id="169" w:name="page170"/>
    <w:bookmarkEnd w:id="169"/>
    <w:p>
      <w:pPr>
        <w:ind w:left="20"/>
        <w:spacing w:after="0"/>
        <w:rPr>
          <w:sz w:val="20"/>
          <w:szCs w:val="20"/>
          <w:color w:val="auto"/>
        </w:rPr>
      </w:pPr>
      <w:r>
        <w:rPr>
          <w:rFonts w:ascii="Arial" w:cs="Arial" w:eastAsia="Arial" w:hAnsi="Arial"/>
          <w:sz w:val="14"/>
          <w:szCs w:val="14"/>
          <w:b w:val="1"/>
          <w:bCs w:val="1"/>
          <w:color w:val="auto"/>
        </w:rPr>
        <w:t>Please indicate compliance status by circling Yes/No under “Complies”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68515" cy="30930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9">
                      <a:extLst>
                        <a:ext uri="{28A0092B-C50C-407E-A947-70E740481C1C}"/>
                      </a:extLst>
                    </a:blip>
                    <a:srcRect/>
                    <a:stretch>
                      <a:fillRect/>
                    </a:stretch>
                  </pic:blipFill>
                  <pic:spPr bwMode="auto">
                    <a:xfrm>
                      <a:off x="0" y="0"/>
                      <a:ext cx="7168515" cy="309308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60" w:type="dxa"/>
            <w:vAlign w:val="bottom"/>
            <w:tcBorders>
              <w:top w:val="single" w:sz="8" w:color="auto"/>
            </w:tcBorders>
          </w:tcPr>
          <w:p>
            <w:pPr>
              <w:spacing w:after="0"/>
              <w:rPr>
                <w:sz w:val="13"/>
                <w:szCs w:val="13"/>
                <w:color w:val="auto"/>
              </w:rPr>
            </w:pPr>
          </w:p>
        </w:tc>
        <w:tc>
          <w:tcPr>
            <w:tcW w:w="3060" w:type="dxa"/>
            <w:vAlign w:val="bottom"/>
            <w:tcBorders>
              <w:top w:val="single" w:sz="8" w:color="auto"/>
              <w:right w:val="single" w:sz="8" w:color="auto"/>
            </w:tcBorders>
            <w:gridSpan w:val="2"/>
          </w:tcPr>
          <w:p>
            <w:pPr>
              <w:spacing w:after="0" w:line="159" w:lineRule="exact"/>
              <w:rPr>
                <w:sz w:val="20"/>
                <w:szCs w:val="20"/>
                <w:color w:val="auto"/>
              </w:rPr>
            </w:pPr>
            <w:r>
              <w:rPr>
                <w:rFonts w:ascii="Arial" w:cs="Arial" w:eastAsia="Arial" w:hAnsi="Arial"/>
                <w:sz w:val="14"/>
                <w:szCs w:val="14"/>
                <w:b w:val="1"/>
                <w:bCs w:val="1"/>
                <w:color w:val="auto"/>
              </w:rPr>
              <w:t>Reporting Covenants</w:t>
            </w:r>
          </w:p>
        </w:tc>
        <w:tc>
          <w:tcPr>
            <w:tcW w:w="4680" w:type="dxa"/>
            <w:vAlign w:val="bottom"/>
            <w:tcBorders>
              <w:top w:val="single" w:sz="8" w:color="auto"/>
              <w:right w:val="single" w:sz="8" w:color="auto"/>
            </w:tcBorders>
            <w:gridSpan w:val="3"/>
          </w:tcPr>
          <w:p>
            <w:pPr>
              <w:ind w:left="2040"/>
              <w:spacing w:after="0" w:line="159" w:lineRule="exact"/>
              <w:rPr>
                <w:sz w:val="20"/>
                <w:szCs w:val="20"/>
                <w:color w:val="auto"/>
              </w:rPr>
            </w:pPr>
            <w:r>
              <w:rPr>
                <w:rFonts w:ascii="Arial" w:cs="Arial" w:eastAsia="Arial" w:hAnsi="Arial"/>
                <w:sz w:val="14"/>
                <w:szCs w:val="14"/>
                <w:b w:val="1"/>
                <w:bCs w:val="1"/>
                <w:color w:val="auto"/>
              </w:rPr>
              <w:t>Required</w:t>
            </w:r>
          </w:p>
        </w:tc>
        <w:tc>
          <w:tcPr>
            <w:tcW w:w="1800" w:type="dxa"/>
            <w:vAlign w:val="bottom"/>
            <w:tcBorders>
              <w:top w:val="single" w:sz="8" w:color="auto"/>
            </w:tcBorders>
            <w:gridSpan w:val="3"/>
          </w:tcPr>
          <w:p>
            <w:pPr>
              <w:jc w:val="center"/>
              <w:ind w:right="40"/>
              <w:spacing w:after="0" w:line="159" w:lineRule="exact"/>
              <w:rPr>
                <w:sz w:val="20"/>
                <w:szCs w:val="20"/>
                <w:color w:val="auto"/>
              </w:rPr>
            </w:pPr>
            <w:r>
              <w:rPr>
                <w:rFonts w:ascii="Arial" w:cs="Arial" w:eastAsia="Arial" w:hAnsi="Arial"/>
                <w:sz w:val="14"/>
                <w:szCs w:val="14"/>
                <w:b w:val="1"/>
                <w:bCs w:val="1"/>
                <w:color w:val="auto"/>
                <w:w w:val="88"/>
              </w:rPr>
              <w:t>Complies</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41"/>
        </w:trPr>
        <w:tc>
          <w:tcPr>
            <w:tcW w:w="17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70"/>
        </w:trPr>
        <w:tc>
          <w:tcPr>
            <w:tcW w:w="48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4"/>
                <w:szCs w:val="14"/>
                <w:color w:val="auto"/>
              </w:rPr>
              <w:t>Quarterly Financial Statements*</w:t>
            </w:r>
          </w:p>
        </w:tc>
        <w:tc>
          <w:tcPr>
            <w:tcW w:w="46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Within 45 days after the end of each fiscal quarter</w:t>
            </w: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color w:val="auto"/>
                <w:w w:val="87"/>
              </w:rPr>
              <w:t>Yes No</w:t>
            </w:r>
          </w:p>
        </w:tc>
      </w:tr>
      <w:tr>
        <w:trPr>
          <w:trHeight w:val="128"/>
        </w:trPr>
        <w:tc>
          <w:tcPr>
            <w:tcW w:w="4820" w:type="dxa"/>
            <w:vAlign w:val="bottom"/>
            <w:tcBorders>
              <w:right w:val="single" w:sz="8" w:color="auto"/>
            </w:tcBorders>
            <w:gridSpan w:val="3"/>
          </w:tcPr>
          <w:p>
            <w:pPr>
              <w:ind w:left="60"/>
              <w:spacing w:after="0" w:line="129" w:lineRule="exact"/>
              <w:rPr>
                <w:sz w:val="20"/>
                <w:szCs w:val="20"/>
                <w:color w:val="auto"/>
              </w:rPr>
            </w:pPr>
            <w:r>
              <w:rPr>
                <w:rFonts w:ascii="Arial" w:cs="Arial" w:eastAsia="Arial" w:hAnsi="Arial"/>
                <w:sz w:val="14"/>
                <w:szCs w:val="14"/>
                <w:color w:val="auto"/>
              </w:rPr>
              <w:t>Compliance Statement</w:t>
            </w:r>
          </w:p>
        </w:tc>
        <w:tc>
          <w:tcPr>
            <w:tcW w:w="4680" w:type="dxa"/>
            <w:vAlign w:val="bottom"/>
            <w:tcBorders>
              <w:right w:val="single" w:sz="8" w:color="auto"/>
            </w:tcBorders>
            <w:gridSpan w:val="3"/>
          </w:tcPr>
          <w:p>
            <w:pPr>
              <w:ind w:left="40"/>
              <w:spacing w:after="0" w:line="129" w:lineRule="exact"/>
              <w:rPr>
                <w:sz w:val="20"/>
                <w:szCs w:val="20"/>
                <w:color w:val="auto"/>
              </w:rPr>
            </w:pPr>
            <w:r>
              <w:rPr>
                <w:rFonts w:ascii="Arial" w:cs="Arial" w:eastAsia="Arial" w:hAnsi="Arial"/>
                <w:sz w:val="14"/>
                <w:szCs w:val="14"/>
                <w:color w:val="auto"/>
                <w:w w:val="94"/>
              </w:rPr>
              <w:t>(i) within 45 days after the end of each fiscal quarter when the principal amount</w:t>
            </w:r>
          </w:p>
        </w:tc>
        <w:tc>
          <w:tcPr>
            <w:tcW w:w="600" w:type="dxa"/>
            <w:vAlign w:val="bottom"/>
          </w:tcPr>
          <w:p>
            <w:pPr>
              <w:spacing w:after="0"/>
              <w:rPr>
                <w:sz w:val="11"/>
                <w:szCs w:val="11"/>
                <w:color w:val="auto"/>
              </w:rPr>
            </w:pPr>
          </w:p>
        </w:tc>
        <w:tc>
          <w:tcPr>
            <w:tcW w:w="1200" w:type="dxa"/>
            <w:vAlign w:val="bottom"/>
            <w:gridSpan w:val="2"/>
          </w:tcPr>
          <w:p>
            <w:pPr>
              <w:jc w:val="center"/>
              <w:ind w:right="640"/>
              <w:spacing w:after="0" w:line="129" w:lineRule="exact"/>
              <w:rPr>
                <w:sz w:val="20"/>
                <w:szCs w:val="20"/>
                <w:color w:val="auto"/>
              </w:rPr>
            </w:pPr>
            <w:r>
              <w:rPr>
                <w:rFonts w:ascii="Arial" w:cs="Arial" w:eastAsia="Arial" w:hAnsi="Arial"/>
                <w:sz w:val="14"/>
                <w:szCs w:val="14"/>
                <w:color w:val="auto"/>
                <w:w w:val="87"/>
              </w:rPr>
              <w:t>Yes No</w:t>
            </w: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8"/>
              </w:rPr>
              <w:t>outstanding under the Revolving Line = $0.00 at all times during such fiscal</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5"/>
              </w:rPr>
              <w:t>quarter, and (ii) within 30 days after the end of each month when the principal</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2"/>
              </w:rPr>
              <w:t>amount outstanding under the Revolving Line is &gt; $0.00 at any time during such</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80"/>
        </w:trPr>
        <w:tc>
          <w:tcPr>
            <w:tcW w:w="1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46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calendar month</w:t>
            </w: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71"/>
        </w:trPr>
        <w:tc>
          <w:tcPr>
            <w:tcW w:w="48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4"/>
                <w:szCs w:val="14"/>
                <w:color w:val="auto"/>
              </w:rPr>
              <w:t>10-Q, 10-K and 8-K</w:t>
            </w:r>
          </w:p>
        </w:tc>
        <w:tc>
          <w:tcPr>
            <w:tcW w:w="46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Within 5 days</w:t>
            </w: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color w:val="auto"/>
                <w:w w:val="87"/>
              </w:rPr>
              <w:t>Yes No</w:t>
            </w:r>
          </w:p>
        </w:tc>
      </w:tr>
      <w:tr>
        <w:trPr>
          <w:trHeight w:val="139"/>
        </w:trPr>
        <w:tc>
          <w:tcPr>
            <w:tcW w:w="4820" w:type="dxa"/>
            <w:vAlign w:val="bottom"/>
            <w:tcBorders>
              <w:right w:val="single" w:sz="8" w:color="auto"/>
            </w:tcBorders>
            <w:gridSpan w:val="3"/>
          </w:tcPr>
          <w:p>
            <w:pPr>
              <w:ind w:left="60"/>
              <w:spacing w:after="0" w:line="139" w:lineRule="exact"/>
              <w:rPr>
                <w:sz w:val="20"/>
                <w:szCs w:val="20"/>
                <w:color w:val="auto"/>
              </w:rPr>
            </w:pPr>
            <w:r>
              <w:rPr>
                <w:rFonts w:ascii="Arial" w:cs="Arial" w:eastAsia="Arial" w:hAnsi="Arial"/>
                <w:sz w:val="14"/>
                <w:szCs w:val="14"/>
                <w:color w:val="auto"/>
              </w:rPr>
              <w:t>A/R &amp; A/P Agings and</w:t>
            </w:r>
          </w:p>
        </w:tc>
        <w:tc>
          <w:tcPr>
            <w:tcW w:w="4680" w:type="dxa"/>
            <w:vAlign w:val="bottom"/>
            <w:tcBorders>
              <w:right w:val="single" w:sz="8" w:color="auto"/>
            </w:tcBorders>
            <w:gridSpan w:val="3"/>
          </w:tcPr>
          <w:p>
            <w:pPr>
              <w:ind w:left="40"/>
              <w:spacing w:after="0" w:line="139" w:lineRule="exact"/>
              <w:rPr>
                <w:sz w:val="20"/>
                <w:szCs w:val="20"/>
                <w:color w:val="auto"/>
              </w:rPr>
            </w:pPr>
            <w:r>
              <w:rPr>
                <w:rFonts w:ascii="Arial" w:cs="Arial" w:eastAsia="Arial" w:hAnsi="Arial"/>
                <w:sz w:val="14"/>
                <w:szCs w:val="14"/>
                <w:color w:val="auto"/>
                <w:w w:val="94"/>
              </w:rPr>
              <w:t>(i) within 30 days after the end of each fiscal quarter when the principal amount</w:t>
            </w:r>
          </w:p>
        </w:tc>
        <w:tc>
          <w:tcPr>
            <w:tcW w:w="600" w:type="dxa"/>
            <w:vAlign w:val="bottom"/>
          </w:tcPr>
          <w:p>
            <w:pPr>
              <w:spacing w:after="0"/>
              <w:rPr>
                <w:sz w:val="12"/>
                <w:szCs w:val="12"/>
                <w:color w:val="auto"/>
              </w:rPr>
            </w:pPr>
          </w:p>
        </w:tc>
        <w:tc>
          <w:tcPr>
            <w:tcW w:w="1200" w:type="dxa"/>
            <w:vAlign w:val="bottom"/>
            <w:gridSpan w:val="2"/>
          </w:tcPr>
          <w:p>
            <w:pPr>
              <w:jc w:val="center"/>
              <w:ind w:right="640"/>
              <w:spacing w:after="0" w:line="139" w:lineRule="exact"/>
              <w:rPr>
                <w:sz w:val="20"/>
                <w:szCs w:val="20"/>
                <w:color w:val="auto"/>
              </w:rPr>
            </w:pPr>
            <w:r>
              <w:rPr>
                <w:rFonts w:ascii="Arial" w:cs="Arial" w:eastAsia="Arial" w:hAnsi="Arial"/>
                <w:sz w:val="14"/>
                <w:szCs w:val="14"/>
                <w:color w:val="auto"/>
                <w:w w:val="87"/>
              </w:rPr>
              <w:t>Yes No</w:t>
            </w:r>
          </w:p>
        </w:tc>
      </w:tr>
      <w:tr>
        <w:trPr>
          <w:trHeight w:val="169"/>
        </w:trPr>
        <w:tc>
          <w:tcPr>
            <w:tcW w:w="48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color w:val="auto"/>
              </w:rPr>
              <w:t>Monthly Perpetual Inventory Reports</w:t>
            </w:r>
          </w:p>
        </w:tc>
        <w:tc>
          <w:tcPr>
            <w:tcW w:w="46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98"/>
              </w:rPr>
              <w:t>outstanding under the Revolving Line = $0.00 at all times during such fiscal</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95"/>
        </w:trPr>
        <w:tc>
          <w:tcPr>
            <w:tcW w:w="1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gridSpan w:val="3"/>
          </w:tcPr>
          <w:p>
            <w:pPr>
              <w:ind w:left="40"/>
              <w:spacing w:after="0" w:line="95" w:lineRule="exact"/>
              <w:rPr>
                <w:sz w:val="20"/>
                <w:szCs w:val="20"/>
                <w:color w:val="auto"/>
              </w:rPr>
            </w:pPr>
            <w:r>
              <w:rPr>
                <w:rFonts w:ascii="Arial" w:cs="Arial" w:eastAsia="Arial" w:hAnsi="Arial"/>
                <w:sz w:val="11"/>
                <w:szCs w:val="11"/>
                <w:color w:val="auto"/>
              </w:rPr>
              <w:t>quarter, and (ii) within 30 days after the end of each month when the principal</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2"/>
              </w:rPr>
              <w:t>amount outstanding under the Revolving Line is &gt; $0.00 at any time during such</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80"/>
        </w:trPr>
        <w:tc>
          <w:tcPr>
            <w:tcW w:w="1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46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calendar month</w:t>
            </w: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28"/>
        </w:trPr>
        <w:tc>
          <w:tcPr>
            <w:tcW w:w="4820" w:type="dxa"/>
            <w:vAlign w:val="bottom"/>
            <w:tcBorders>
              <w:right w:val="single" w:sz="8" w:color="auto"/>
            </w:tcBorders>
            <w:gridSpan w:val="3"/>
          </w:tcPr>
          <w:p>
            <w:pPr>
              <w:ind w:left="60"/>
              <w:spacing w:after="0" w:line="129" w:lineRule="exact"/>
              <w:rPr>
                <w:sz w:val="20"/>
                <w:szCs w:val="20"/>
                <w:color w:val="auto"/>
              </w:rPr>
            </w:pPr>
            <w:r>
              <w:rPr>
                <w:rFonts w:ascii="Arial" w:cs="Arial" w:eastAsia="Arial" w:hAnsi="Arial"/>
                <w:sz w:val="14"/>
                <w:szCs w:val="14"/>
                <w:color w:val="auto"/>
              </w:rPr>
              <w:t>Borrowing Base Statement</w:t>
            </w:r>
          </w:p>
        </w:tc>
        <w:tc>
          <w:tcPr>
            <w:tcW w:w="4680" w:type="dxa"/>
            <w:vAlign w:val="bottom"/>
            <w:tcBorders>
              <w:right w:val="single" w:sz="8" w:color="auto"/>
            </w:tcBorders>
            <w:gridSpan w:val="3"/>
          </w:tcPr>
          <w:p>
            <w:pPr>
              <w:ind w:left="40"/>
              <w:spacing w:after="0" w:line="129" w:lineRule="exact"/>
              <w:rPr>
                <w:sz w:val="20"/>
                <w:szCs w:val="20"/>
                <w:color w:val="auto"/>
              </w:rPr>
            </w:pPr>
            <w:r>
              <w:rPr>
                <w:rFonts w:ascii="Arial" w:cs="Arial" w:eastAsia="Arial" w:hAnsi="Arial"/>
                <w:sz w:val="14"/>
                <w:szCs w:val="14"/>
                <w:color w:val="auto"/>
                <w:w w:val="96"/>
              </w:rPr>
              <w:t>(i) no later than Friday of each week when a Streamline Period is not in effect</w:t>
            </w:r>
          </w:p>
        </w:tc>
        <w:tc>
          <w:tcPr>
            <w:tcW w:w="600" w:type="dxa"/>
            <w:vAlign w:val="bottom"/>
          </w:tcPr>
          <w:p>
            <w:pPr>
              <w:spacing w:after="0"/>
              <w:rPr>
                <w:sz w:val="11"/>
                <w:szCs w:val="11"/>
                <w:color w:val="auto"/>
              </w:rPr>
            </w:pPr>
          </w:p>
        </w:tc>
        <w:tc>
          <w:tcPr>
            <w:tcW w:w="1200" w:type="dxa"/>
            <w:vAlign w:val="bottom"/>
            <w:gridSpan w:val="2"/>
          </w:tcPr>
          <w:p>
            <w:pPr>
              <w:jc w:val="center"/>
              <w:ind w:right="640"/>
              <w:spacing w:after="0" w:line="129" w:lineRule="exact"/>
              <w:rPr>
                <w:sz w:val="20"/>
                <w:szCs w:val="20"/>
                <w:color w:val="auto"/>
              </w:rPr>
            </w:pPr>
            <w:r>
              <w:rPr>
                <w:rFonts w:ascii="Arial" w:cs="Arial" w:eastAsia="Arial" w:hAnsi="Arial"/>
                <w:sz w:val="14"/>
                <w:szCs w:val="14"/>
                <w:color w:val="auto"/>
                <w:w w:val="87"/>
              </w:rPr>
              <w:t>Yes No</w:t>
            </w: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6"/>
              </w:rPr>
              <w:t>and the principal amount outstanding under the Revolving Line is &gt; $0.00, (ii)</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2"/>
              </w:rPr>
              <w:t>within 7 days after the end of each month (provided however that if such seventh</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rPr>
              <w:t>day is not a Business Day, then such Borrowing Base Statement shall be</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2"/>
              </w:rPr>
              <w:t>delivered on next Business Day) when a Streamline Period is in effect and when</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2"/>
              </w:rPr>
              <w:t>the principal amount outstanding under the Revolving Line is &gt; $0.00 at any time</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5"/>
              </w:rPr>
              <w:t>during such calendar month, and (iii) within 7 days after the end of each fiscal</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8"/>
        </w:trPr>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gridSpan w:val="3"/>
          </w:tcPr>
          <w:p>
            <w:pPr>
              <w:ind w:left="40"/>
              <w:spacing w:after="0" w:line="138" w:lineRule="exact"/>
              <w:rPr>
                <w:sz w:val="20"/>
                <w:szCs w:val="20"/>
                <w:color w:val="auto"/>
              </w:rPr>
            </w:pPr>
            <w:r>
              <w:rPr>
                <w:rFonts w:ascii="Arial" w:cs="Arial" w:eastAsia="Arial" w:hAnsi="Arial"/>
                <w:sz w:val="14"/>
                <w:szCs w:val="14"/>
                <w:color w:val="auto"/>
                <w:w w:val="92"/>
              </w:rPr>
              <w:t>quarter when the principal amount outstanding under the Revolving Line = $0.00</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80"/>
        </w:trPr>
        <w:tc>
          <w:tcPr>
            <w:tcW w:w="1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46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at all times during such fiscal quarter</w:t>
            </w: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28"/>
        </w:trPr>
        <w:tc>
          <w:tcPr>
            <w:tcW w:w="4820" w:type="dxa"/>
            <w:vAlign w:val="bottom"/>
            <w:tcBorders>
              <w:right w:val="single" w:sz="8" w:color="auto"/>
            </w:tcBorders>
            <w:gridSpan w:val="3"/>
          </w:tcPr>
          <w:p>
            <w:pPr>
              <w:ind w:left="60"/>
              <w:spacing w:after="0" w:line="129" w:lineRule="exact"/>
              <w:rPr>
                <w:sz w:val="20"/>
                <w:szCs w:val="20"/>
                <w:color w:val="auto"/>
              </w:rPr>
            </w:pPr>
            <w:r>
              <w:rPr>
                <w:rFonts w:ascii="Arial" w:cs="Arial" w:eastAsia="Arial" w:hAnsi="Arial"/>
                <w:sz w:val="14"/>
                <w:szCs w:val="14"/>
                <w:color w:val="auto"/>
              </w:rPr>
              <w:t>Board Approved Projections</w:t>
            </w:r>
          </w:p>
        </w:tc>
        <w:tc>
          <w:tcPr>
            <w:tcW w:w="4680" w:type="dxa"/>
            <w:vAlign w:val="bottom"/>
            <w:tcBorders>
              <w:right w:val="single" w:sz="8" w:color="auto"/>
            </w:tcBorders>
            <w:gridSpan w:val="3"/>
          </w:tcPr>
          <w:p>
            <w:pPr>
              <w:ind w:left="40"/>
              <w:spacing w:after="0" w:line="129" w:lineRule="exact"/>
              <w:rPr>
                <w:sz w:val="20"/>
                <w:szCs w:val="20"/>
                <w:color w:val="auto"/>
              </w:rPr>
            </w:pPr>
            <w:r>
              <w:rPr>
                <w:rFonts w:ascii="Arial" w:cs="Arial" w:eastAsia="Arial" w:hAnsi="Arial"/>
                <w:sz w:val="14"/>
                <w:szCs w:val="14"/>
                <w:color w:val="auto"/>
              </w:rPr>
              <w:t>Within 30 days of each fiscal year of Borrower, and within 7 days of any</w:t>
            </w:r>
          </w:p>
        </w:tc>
        <w:tc>
          <w:tcPr>
            <w:tcW w:w="600" w:type="dxa"/>
            <w:vAlign w:val="bottom"/>
          </w:tcPr>
          <w:p>
            <w:pPr>
              <w:spacing w:after="0"/>
              <w:rPr>
                <w:sz w:val="11"/>
                <w:szCs w:val="11"/>
                <w:color w:val="auto"/>
              </w:rPr>
            </w:pPr>
          </w:p>
        </w:tc>
        <w:tc>
          <w:tcPr>
            <w:tcW w:w="1200" w:type="dxa"/>
            <w:vAlign w:val="bottom"/>
            <w:gridSpan w:val="2"/>
          </w:tcPr>
          <w:p>
            <w:pPr>
              <w:jc w:val="center"/>
              <w:ind w:right="640"/>
              <w:spacing w:after="0" w:line="129" w:lineRule="exact"/>
              <w:rPr>
                <w:sz w:val="20"/>
                <w:szCs w:val="20"/>
                <w:color w:val="auto"/>
              </w:rPr>
            </w:pPr>
            <w:r>
              <w:rPr>
                <w:rFonts w:ascii="Arial" w:cs="Arial" w:eastAsia="Arial" w:hAnsi="Arial"/>
                <w:sz w:val="14"/>
                <w:szCs w:val="14"/>
                <w:color w:val="auto"/>
                <w:w w:val="87"/>
              </w:rPr>
              <w:t>Yes No</w:t>
            </w:r>
          </w:p>
        </w:tc>
      </w:tr>
      <w:tr>
        <w:trPr>
          <w:trHeight w:val="180"/>
        </w:trPr>
        <w:tc>
          <w:tcPr>
            <w:tcW w:w="1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46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updates/amendments</w:t>
            </w: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28"/>
        </w:trPr>
        <w:tc>
          <w:tcPr>
            <w:tcW w:w="4820" w:type="dxa"/>
            <w:vAlign w:val="bottom"/>
            <w:tcBorders>
              <w:right w:val="single" w:sz="8" w:color="auto"/>
            </w:tcBorders>
            <w:gridSpan w:val="3"/>
          </w:tcPr>
          <w:p>
            <w:pPr>
              <w:ind w:left="60"/>
              <w:spacing w:after="0" w:line="129" w:lineRule="exact"/>
              <w:rPr>
                <w:sz w:val="20"/>
                <w:szCs w:val="20"/>
                <w:color w:val="auto"/>
              </w:rPr>
            </w:pPr>
            <w:r>
              <w:rPr>
                <w:rFonts w:ascii="Arial" w:cs="Arial" w:eastAsia="Arial" w:hAnsi="Arial"/>
                <w:sz w:val="14"/>
                <w:szCs w:val="14"/>
                <w:color w:val="auto"/>
              </w:rPr>
              <w:t>Field Exams</w:t>
            </w:r>
          </w:p>
        </w:tc>
        <w:tc>
          <w:tcPr>
            <w:tcW w:w="4680" w:type="dxa"/>
            <w:vAlign w:val="bottom"/>
            <w:tcBorders>
              <w:right w:val="single" w:sz="8" w:color="auto"/>
            </w:tcBorders>
            <w:gridSpan w:val="3"/>
          </w:tcPr>
          <w:p>
            <w:pPr>
              <w:ind w:left="40"/>
              <w:spacing w:after="0" w:line="129" w:lineRule="exact"/>
              <w:rPr>
                <w:sz w:val="20"/>
                <w:szCs w:val="20"/>
                <w:color w:val="auto"/>
              </w:rPr>
            </w:pPr>
            <w:r>
              <w:rPr>
                <w:rFonts w:ascii="Arial" w:cs="Arial" w:eastAsia="Arial" w:hAnsi="Arial"/>
                <w:sz w:val="14"/>
                <w:szCs w:val="14"/>
                <w:color w:val="auto"/>
                <w:w w:val="98"/>
              </w:rPr>
              <w:t>Annually, provided that the Initial Audit is to occur within 60 days of the Fifth</w:t>
            </w:r>
          </w:p>
        </w:tc>
        <w:tc>
          <w:tcPr>
            <w:tcW w:w="600" w:type="dxa"/>
            <w:vAlign w:val="bottom"/>
          </w:tcPr>
          <w:p>
            <w:pPr>
              <w:spacing w:after="0"/>
              <w:rPr>
                <w:sz w:val="11"/>
                <w:szCs w:val="11"/>
                <w:color w:val="auto"/>
              </w:rPr>
            </w:pPr>
          </w:p>
        </w:tc>
        <w:tc>
          <w:tcPr>
            <w:tcW w:w="1200" w:type="dxa"/>
            <w:vAlign w:val="bottom"/>
            <w:gridSpan w:val="2"/>
          </w:tcPr>
          <w:p>
            <w:pPr>
              <w:jc w:val="center"/>
              <w:ind w:right="640"/>
              <w:spacing w:after="0" w:line="129" w:lineRule="exact"/>
              <w:rPr>
                <w:sz w:val="20"/>
                <w:szCs w:val="20"/>
                <w:color w:val="auto"/>
              </w:rPr>
            </w:pPr>
            <w:r>
              <w:rPr>
                <w:rFonts w:ascii="Arial" w:cs="Arial" w:eastAsia="Arial" w:hAnsi="Arial"/>
                <w:sz w:val="14"/>
                <w:szCs w:val="14"/>
                <w:color w:val="auto"/>
                <w:w w:val="87"/>
              </w:rPr>
              <w:t>Yes No</w:t>
            </w:r>
          </w:p>
        </w:tc>
      </w:tr>
      <w:tr>
        <w:trPr>
          <w:trHeight w:val="180"/>
        </w:trPr>
        <w:tc>
          <w:tcPr>
            <w:tcW w:w="1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46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Amendment Effective Date</w:t>
            </w: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71"/>
        </w:trPr>
        <w:tc>
          <w:tcPr>
            <w:tcW w:w="482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4"/>
                <w:szCs w:val="14"/>
                <w:color w:val="auto"/>
              </w:rPr>
              <w:t>Bank of America Bank Statements</w:t>
            </w:r>
          </w:p>
        </w:tc>
        <w:tc>
          <w:tcPr>
            <w:tcW w:w="46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Within 7 days after the end of each month</w:t>
            </w: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color w:val="auto"/>
                <w:w w:val="87"/>
              </w:rPr>
              <w:t>Yes No</w:t>
            </w:r>
          </w:p>
        </w:tc>
      </w:tr>
    </w:tbl>
    <w:p>
      <w:pPr>
        <w:ind w:left="60" w:right="340"/>
        <w:spacing w:after="0" w:line="236" w:lineRule="auto"/>
        <w:rPr>
          <w:sz w:val="20"/>
          <w:szCs w:val="20"/>
          <w:color w:val="auto"/>
        </w:rPr>
      </w:pPr>
      <w:r>
        <w:rPr>
          <w:rFonts w:ascii="Arial" w:cs="Arial" w:eastAsia="Arial" w:hAnsi="Arial"/>
          <w:sz w:val="14"/>
          <w:szCs w:val="14"/>
          <w:i w:val="1"/>
          <w:iCs w:val="1"/>
          <w:color w:val="auto"/>
        </w:rPr>
        <w:t>*Provided, however, notwithstanding the foregoing, the Quarterly Financial Statements for Borrower’s fourth (4th) quarter of each fiscal year, shall be due within ninety (90) days of such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WEST\296736839.3</w:t>
      </w:r>
    </w:p>
    <w:p>
      <w:pPr>
        <w:sectPr>
          <w:pgSz w:w="11900" w:h="16838" w:orient="portrait"/>
          <w:cols w:equalWidth="0" w:num="1">
            <w:col w:w="11300"/>
          </w:cols>
          <w:pgMar w:left="300" w:top="1173" w:right="299" w:bottom="1440" w:gutter="0" w:footer="0" w:header="0"/>
        </w:sectPr>
      </w:pPr>
    </w:p>
    <w:bookmarkStart w:id="170" w:name="page171"/>
    <w:bookmarkEnd w:id="170"/>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520" w:type="dxa"/>
            <w:vAlign w:val="bottom"/>
            <w:tcBorders>
              <w:top w:val="single" w:sz="8" w:color="auto"/>
              <w:left w:val="single" w:sz="8" w:color="auto"/>
              <w:right w:val="single" w:sz="8" w:color="auto"/>
            </w:tcBorders>
            <w:gridSpan w:val="6"/>
          </w:tcPr>
          <w:p>
            <w:pPr>
              <w:ind w:left="2160"/>
              <w:spacing w:after="0" w:line="149" w:lineRule="exact"/>
              <w:rPr>
                <w:sz w:val="20"/>
                <w:szCs w:val="20"/>
                <w:color w:val="auto"/>
              </w:rPr>
            </w:pPr>
            <w:r>
              <w:rPr>
                <w:rFonts w:ascii="Arial" w:cs="Arial" w:eastAsia="Arial" w:hAnsi="Arial"/>
                <w:sz w:val="14"/>
                <w:szCs w:val="14"/>
                <w:b w:val="1"/>
                <w:bCs w:val="1"/>
                <w:color w:val="auto"/>
              </w:rPr>
              <w:t>Financial Covenant</w:t>
            </w:r>
          </w:p>
        </w:tc>
        <w:tc>
          <w:tcPr>
            <w:tcW w:w="2160" w:type="dxa"/>
            <w:vAlign w:val="bottom"/>
            <w:tcBorders>
              <w:top w:val="single" w:sz="8" w:color="auto"/>
              <w:right w:val="single" w:sz="8" w:color="auto"/>
            </w:tcBorders>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Required</w:t>
            </w:r>
          </w:p>
        </w:tc>
        <w:tc>
          <w:tcPr>
            <w:tcW w:w="1680" w:type="dxa"/>
            <w:vAlign w:val="bottom"/>
            <w:tcBorders>
              <w:top w:val="single" w:sz="8" w:color="auto"/>
              <w:right w:val="single" w:sz="8" w:color="auto"/>
            </w:tcBorders>
            <w:gridSpan w:val="6"/>
          </w:tcPr>
          <w:p>
            <w:pPr>
              <w:ind w:left="500"/>
              <w:spacing w:after="0" w:line="149" w:lineRule="exact"/>
              <w:rPr>
                <w:sz w:val="20"/>
                <w:szCs w:val="20"/>
                <w:color w:val="auto"/>
              </w:rPr>
            </w:pPr>
            <w:r>
              <w:rPr>
                <w:rFonts w:ascii="Arial" w:cs="Arial" w:eastAsia="Arial" w:hAnsi="Arial"/>
                <w:sz w:val="14"/>
                <w:szCs w:val="14"/>
                <w:b w:val="1"/>
                <w:bCs w:val="1"/>
                <w:color w:val="auto"/>
              </w:rPr>
              <w:t>Actual</w:t>
            </w: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Complies</w:t>
            </w:r>
          </w:p>
        </w:tc>
      </w:tr>
      <w:tr>
        <w:trPr>
          <w:trHeight w:val="24"/>
        </w:trPr>
        <w:tc>
          <w:tcPr>
            <w:tcW w:w="2160" w:type="dxa"/>
            <w:vAlign w:val="bottom"/>
            <w:tcBorders>
              <w:left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149"/>
        </w:trPr>
        <w:tc>
          <w:tcPr>
            <w:tcW w:w="216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171"/>
        </w:trPr>
        <w:tc>
          <w:tcPr>
            <w:tcW w:w="5520" w:type="dxa"/>
            <w:vAlign w:val="bottom"/>
            <w:tcBorders>
              <w:left w:val="single" w:sz="8" w:color="auto"/>
              <w:bottom w:val="single" w:sz="8" w:color="auto"/>
              <w:right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Maintain as indicated:</w:t>
            </w: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r>
      <w:tr>
        <w:trPr>
          <w:trHeight w:val="181"/>
        </w:trPr>
        <w:tc>
          <w:tcPr>
            <w:tcW w:w="552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4"/>
                <w:szCs w:val="14"/>
                <w:color w:val="auto"/>
              </w:rPr>
              <w:t>Minimum Adjusted Quick Ratio</w:t>
            </w:r>
          </w:p>
        </w:tc>
        <w:tc>
          <w:tcPr>
            <w:tcW w:w="2160" w:type="dxa"/>
            <w:vAlign w:val="bottom"/>
            <w:tcBorders>
              <w:right w:val="single" w:sz="8" w:color="auto"/>
            </w:tcBorders>
            <w:gridSpan w:val="3"/>
          </w:tcPr>
          <w:p>
            <w:pPr>
              <w:ind w:left="300"/>
              <w:spacing w:after="0"/>
              <w:rPr>
                <w:sz w:val="20"/>
                <w:szCs w:val="20"/>
                <w:color w:val="auto"/>
              </w:rPr>
            </w:pPr>
            <w:r>
              <w:rPr>
                <w:rFonts w:ascii="Arial" w:cs="Arial" w:eastAsia="Arial" w:hAnsi="Arial"/>
                <w:sz w:val="14"/>
                <w:szCs w:val="14"/>
                <w:color w:val="auto"/>
              </w:rPr>
              <w:t>≥1.25:1.00</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$_______</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color w:val="auto"/>
              </w:rPr>
              <w:t>Yes No</w:t>
            </w:r>
          </w:p>
        </w:tc>
      </w:tr>
      <w:tr>
        <w:trPr>
          <w:trHeight w:val="22"/>
        </w:trPr>
        <w:tc>
          <w:tcPr>
            <w:tcW w:w="21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r>
      <w:tr>
        <w:trPr>
          <w:trHeight w:val="277"/>
        </w:trPr>
        <w:tc>
          <w:tcPr>
            <w:tcW w:w="2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r>
      <w:tr>
        <w:trPr>
          <w:trHeight w:val="159"/>
        </w:trPr>
        <w:tc>
          <w:tcPr>
            <w:tcW w:w="2160" w:type="dxa"/>
            <w:vAlign w:val="bottom"/>
            <w:tcBorders>
              <w:left w:val="single" w:sz="8" w:color="auto"/>
            </w:tcBorders>
          </w:tcPr>
          <w:p>
            <w:pPr>
              <w:spacing w:after="0"/>
              <w:rPr>
                <w:sz w:val="13"/>
                <w:szCs w:val="13"/>
                <w:color w:val="auto"/>
              </w:rPr>
            </w:pPr>
          </w:p>
        </w:tc>
        <w:tc>
          <w:tcPr>
            <w:tcW w:w="3140" w:type="dxa"/>
            <w:vAlign w:val="bottom"/>
            <w:tcBorders>
              <w:right w:val="single" w:sz="8" w:color="auto"/>
            </w:tcBorders>
            <w:gridSpan w:val="4"/>
          </w:tcPr>
          <w:p>
            <w:pPr>
              <w:ind w:left="160"/>
              <w:spacing w:after="0" w:line="129" w:lineRule="exact"/>
              <w:rPr>
                <w:sz w:val="20"/>
                <w:szCs w:val="20"/>
                <w:color w:val="auto"/>
              </w:rPr>
            </w:pPr>
            <w:r>
              <w:rPr>
                <w:rFonts w:ascii="Arial" w:cs="Arial" w:eastAsia="Arial" w:hAnsi="Arial"/>
                <w:sz w:val="14"/>
                <w:szCs w:val="14"/>
                <w:b w:val="1"/>
                <w:bCs w:val="1"/>
                <w:color w:val="auto"/>
              </w:rPr>
              <w:t>Streamline</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Borders>
              <w:right w:val="single" w:sz="8" w:color="auto"/>
            </w:tcBorders>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92"/>
              </w:rPr>
              <w:t>Required</w:t>
            </w:r>
          </w:p>
        </w:tc>
        <w:tc>
          <w:tcPr>
            <w:tcW w:w="500" w:type="dxa"/>
            <w:vAlign w:val="bottom"/>
          </w:tcPr>
          <w:p>
            <w:pPr>
              <w:spacing w:after="0"/>
              <w:rPr>
                <w:sz w:val="13"/>
                <w:szCs w:val="13"/>
                <w:color w:val="auto"/>
              </w:rPr>
            </w:pPr>
          </w:p>
        </w:tc>
        <w:tc>
          <w:tcPr>
            <w:tcW w:w="1020" w:type="dxa"/>
            <w:vAlign w:val="bottom"/>
            <w:tcBorders>
              <w:right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Borders>
              <w:right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Applies</w:t>
            </w:r>
          </w:p>
        </w:tc>
      </w:tr>
      <w:tr>
        <w:trPr>
          <w:trHeight w:val="24"/>
        </w:trPr>
        <w:tc>
          <w:tcPr>
            <w:tcW w:w="21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149"/>
        </w:trPr>
        <w:tc>
          <w:tcPr>
            <w:tcW w:w="216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171"/>
        </w:trPr>
        <w:tc>
          <w:tcPr>
            <w:tcW w:w="5300" w:type="dxa"/>
            <w:vAlign w:val="bottom"/>
            <w:tcBorders>
              <w:left w:val="single" w:sz="8" w:color="auto"/>
              <w:bottom w:val="single" w:sz="8" w:color="auto"/>
              <w:right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Maintain as indicated:</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r>
      <w:tr>
        <w:trPr>
          <w:trHeight w:val="181"/>
        </w:trPr>
        <w:tc>
          <w:tcPr>
            <w:tcW w:w="53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Liquidity</w:t>
            </w:r>
          </w:p>
        </w:tc>
        <w:tc>
          <w:tcPr>
            <w:tcW w:w="220" w:type="dxa"/>
            <w:vAlign w:val="bottom"/>
          </w:tcPr>
          <w:p>
            <w:pPr>
              <w:spacing w:after="0"/>
              <w:rPr>
                <w:sz w:val="15"/>
                <w:szCs w:val="15"/>
                <w:color w:val="auto"/>
              </w:rPr>
            </w:pPr>
          </w:p>
        </w:tc>
        <w:tc>
          <w:tcPr>
            <w:tcW w:w="21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&gt; $20,000,000</w:t>
            </w: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$_________</w:t>
            </w:r>
          </w:p>
        </w:tc>
        <w:tc>
          <w:tcPr>
            <w:tcW w:w="4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Borders>
              <w:right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Yes No</w:t>
            </w:r>
          </w:p>
        </w:tc>
      </w:tr>
      <w:tr>
        <w:trPr>
          <w:trHeight w:val="22"/>
        </w:trPr>
        <w:tc>
          <w:tcPr>
            <w:tcW w:w="21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WEST\296736839.3</w:t>
      </w:r>
    </w:p>
    <w:p>
      <w:pPr>
        <w:sectPr>
          <w:pgSz w:w="11900" w:h="16838" w:orient="portrait"/>
          <w:cols w:equalWidth="0" w:num="1">
            <w:col w:w="11300"/>
          </w:cols>
          <w:pgMar w:left="300" w:top="1440" w:right="299" w:bottom="1440" w:gutter="0" w:footer="0" w:header="0"/>
        </w:sectPr>
      </w:pPr>
    </w:p>
    <w:bookmarkStart w:id="171" w:name="page172"/>
    <w:bookmarkEnd w:id="171"/>
    <w:p>
      <w:pPr>
        <w:ind w:left="4440"/>
        <w:spacing w:after="0"/>
        <w:rPr>
          <w:sz w:val="20"/>
          <w:szCs w:val="20"/>
          <w:color w:val="auto"/>
        </w:rPr>
      </w:pPr>
      <w:r>
        <w:rPr>
          <w:rFonts w:ascii="Arial" w:cs="Arial" w:eastAsia="Arial" w:hAnsi="Arial"/>
          <w:sz w:val="16"/>
          <w:szCs w:val="16"/>
          <w:b w:val="1"/>
          <w:bCs w:val="1"/>
          <w:u w:val="single" w:color="auto"/>
          <w:color w:val="auto"/>
        </w:rPr>
        <w:t>Schedule 1 to Compliance Statement</w:t>
      </w:r>
    </w:p>
    <w:p>
      <w:pPr>
        <w:spacing w:after="0" w:line="30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In the event of a conflict between this Schedule and the Agreement, the terms of the Agreement shall govern.</w:t>
      </w:r>
    </w:p>
    <w:p>
      <w:pPr>
        <w:spacing w:after="0" w:line="30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3"/>
          <w:szCs w:val="13"/>
          <w:color w:val="auto"/>
        </w:rPr>
        <w:t>____________________</w:t>
      </w:r>
    </w:p>
    <w:p>
      <w:pPr>
        <w:spacing w:after="0" w:line="138" w:lineRule="exact"/>
        <w:rPr>
          <w:sz w:val="20"/>
          <w:szCs w:val="20"/>
          <w:color w:val="auto"/>
        </w:rPr>
      </w:pPr>
    </w:p>
    <w:p>
      <w:pPr>
        <w:ind w:right="6700" w:firstLine="513"/>
        <w:spacing w:after="0" w:line="452" w:lineRule="auto"/>
        <w:tabs>
          <w:tab w:leader="none" w:pos="1001"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Minimum Adjusted Quick Ratio </w:t>
      </w:r>
      <w:r>
        <w:rPr>
          <w:rFonts w:ascii="Arial" w:cs="Arial" w:eastAsia="Arial" w:hAnsi="Arial"/>
          <w:sz w:val="16"/>
          <w:szCs w:val="16"/>
          <w:color w:val="auto"/>
        </w:rPr>
        <w:t>(Section 6.9)</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≥1.25 to 1.00</w:t>
      </w:r>
    </w:p>
    <w:p>
      <w:pPr>
        <w:spacing w:after="0" w:line="23" w:lineRule="exact"/>
        <w:rPr>
          <w:sz w:val="20"/>
          <w:szCs w:val="20"/>
          <w:color w:val="auto"/>
        </w:rPr>
      </w:pPr>
    </w:p>
    <w:p>
      <w:pPr>
        <w:ind w:left="800"/>
        <w:spacing w:after="0"/>
        <w:tabs>
          <w:tab w:leader="none" w:pos="10060" w:val="left"/>
        </w:tabs>
        <w:rPr>
          <w:sz w:val="20"/>
          <w:szCs w:val="20"/>
          <w:color w:val="auto"/>
        </w:rPr>
      </w:pPr>
      <w:r>
        <w:rPr>
          <w:rFonts w:ascii="Arial" w:cs="Arial" w:eastAsia="Arial" w:hAnsi="Arial"/>
          <w:sz w:val="16"/>
          <w:szCs w:val="16"/>
          <w:color w:val="auto"/>
        </w:rPr>
        <w:t>Aggregate value of Borrower’s unrestricted cash and Cash Equivalents held at Bank and Bank Affiliates subject to a Control Agreement.</w:t>
      </w:r>
      <w:r>
        <w:rPr>
          <w:sz w:val="20"/>
          <w:szCs w:val="20"/>
          <w:color w:val="auto"/>
        </w:rPr>
        <w:tab/>
      </w:r>
      <w:r>
        <w:rPr>
          <w:rFonts w:ascii="Arial" w:cs="Arial" w:eastAsia="Arial" w:hAnsi="Arial"/>
          <w:sz w:val="13"/>
          <w:szCs w:val="13"/>
          <w:color w:val="auto"/>
        </w:rPr>
        <w:t>$_______</w:t>
      </w:r>
    </w:p>
    <w:p>
      <w:pPr>
        <w:spacing w:after="0" w:line="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Aggregate value of the unrestricted and unencumbered cash of Borrower in Deposit Accounts maintained outside of Bank but subject to a Control $_______</w:t>
      </w:r>
    </w:p>
    <w:p>
      <w:pPr>
        <w:ind w:left="800"/>
        <w:spacing w:after="0"/>
        <w:rPr>
          <w:sz w:val="20"/>
          <w:szCs w:val="20"/>
          <w:color w:val="auto"/>
        </w:rPr>
      </w:pPr>
      <w:r>
        <w:rPr>
          <w:rFonts w:ascii="Arial" w:cs="Arial" w:eastAsia="Arial" w:hAnsi="Arial"/>
          <w:sz w:val="16"/>
          <w:szCs w:val="16"/>
          <w:color w:val="auto"/>
        </w:rPr>
        <w:t>Agreement in favor of Bank</w:t>
      </w:r>
    </w:p>
    <w:p>
      <w:pPr>
        <w:sectPr>
          <w:pgSz w:w="11900" w:h="16838" w:orient="portrait"/>
          <w:cols w:equalWidth="0" w:num="1">
            <w:col w:w="10700"/>
          </w:cols>
          <w:pgMar w:left="300" w:top="1127" w:right="899" w:bottom="1440" w:gutter="0" w:footer="0" w:header="0"/>
        </w:sectPr>
      </w:pPr>
    </w:p>
    <w:p>
      <w:pPr>
        <w:ind w:left="800"/>
        <w:spacing w:after="0"/>
        <w:rPr>
          <w:sz w:val="20"/>
          <w:szCs w:val="20"/>
          <w:color w:val="auto"/>
        </w:rPr>
      </w:pPr>
      <w:r>
        <w:rPr>
          <w:rFonts w:ascii="Arial" w:cs="Arial" w:eastAsia="Arial" w:hAnsi="Arial"/>
          <w:sz w:val="14"/>
          <w:szCs w:val="14"/>
          <w:color w:val="auto"/>
        </w:rPr>
        <w:t>Aggregate value of Borrower’s net Accounts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w:t>
      </w:r>
    </w:p>
    <w:p>
      <w:pPr>
        <w:spacing w:after="0" w:line="204" w:lineRule="exact"/>
        <w:rPr>
          <w:sz w:val="20"/>
          <w:szCs w:val="20"/>
          <w:color w:val="auto"/>
        </w:rPr>
      </w:pPr>
    </w:p>
    <w:p>
      <w:pPr>
        <w:sectPr>
          <w:pgSz w:w="11900" w:h="16838" w:orient="portrait"/>
          <w:cols w:equalWidth="0" w:num="2">
            <w:col w:w="9360" w:space="720"/>
            <w:col w:w="620"/>
          </w:cols>
          <w:pgMar w:left="300" w:top="1127" w:right="899" w:bottom="1440" w:gutter="0" w:footer="0" w:header="0"/>
          <w:type w:val="continuous"/>
        </w:sectPr>
      </w:pPr>
    </w:p>
    <w:p>
      <w:pPr>
        <w:ind w:left="800"/>
        <w:spacing w:after="0"/>
        <w:rPr>
          <w:sz w:val="20"/>
          <w:szCs w:val="20"/>
          <w:color w:val="auto"/>
        </w:rPr>
      </w:pPr>
      <w:r>
        <w:rPr>
          <w:rFonts w:ascii="Arial" w:cs="Arial" w:eastAsia="Arial" w:hAnsi="Arial"/>
          <w:sz w:val="14"/>
          <w:szCs w:val="14"/>
          <w:color w:val="auto"/>
        </w:rPr>
        <w:t>Quick Assets (the sum of lines A, B and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w:t>
      </w:r>
    </w:p>
    <w:p>
      <w:pPr>
        <w:spacing w:after="0" w:line="40" w:lineRule="exact"/>
        <w:rPr>
          <w:sz w:val="20"/>
          <w:szCs w:val="20"/>
          <w:color w:val="auto"/>
        </w:rPr>
      </w:pPr>
    </w:p>
    <w:p>
      <w:pPr>
        <w:sectPr>
          <w:pgSz w:w="11900" w:h="16838" w:orient="portrait"/>
          <w:cols w:equalWidth="0" w:num="2">
            <w:col w:w="9360" w:space="720"/>
            <w:col w:w="620"/>
          </w:cols>
          <w:pgMar w:left="300" w:top="1127" w:right="899" w:bottom="1440" w:gutter="0" w:footer="0" w:header="0"/>
          <w:type w:val="continuous"/>
        </w:sectPr>
      </w:pPr>
    </w:p>
    <w:p>
      <w:pPr>
        <w:ind w:left="800"/>
        <w:spacing w:after="0"/>
        <w:rPr>
          <w:sz w:val="20"/>
          <w:szCs w:val="20"/>
          <w:color w:val="auto"/>
        </w:rPr>
      </w:pPr>
      <w:r>
        <w:rPr>
          <w:rFonts w:ascii="Arial" w:cs="Arial" w:eastAsia="Arial" w:hAnsi="Arial"/>
          <w:sz w:val="14"/>
          <w:szCs w:val="14"/>
          <w:color w:val="auto"/>
        </w:rPr>
        <w:t>Aggregate value of Obligations owing from Borrower to Bank (provided however for the period of time from the Fifth Amendment Effective Date $_______</w:t>
      </w:r>
    </w:p>
    <w:p>
      <w:pPr>
        <w:ind w:left="800" w:right="680"/>
        <w:spacing w:after="0" w:line="216" w:lineRule="auto"/>
        <w:rPr>
          <w:sz w:val="20"/>
          <w:szCs w:val="20"/>
          <w:color w:val="auto"/>
        </w:rPr>
      </w:pPr>
      <w:r>
        <w:rPr>
          <w:rFonts w:ascii="Arial" w:cs="Arial" w:eastAsia="Arial" w:hAnsi="Arial"/>
          <w:sz w:val="16"/>
          <w:szCs w:val="16"/>
          <w:color w:val="auto"/>
        </w:rPr>
        <w:t>through the earlier to occur of (i) the Financing Milestone or (ii) February 28, 2022, Indebtedness under the Revolving Line shall be excluded from the calculation of Current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40" w:type="dxa"/>
            <w:vAlign w:val="bottom"/>
            <w:gridSpan w:val="3"/>
          </w:tcPr>
          <w:p>
            <w:pPr>
              <w:ind w:left="480"/>
              <w:spacing w:after="0"/>
              <w:rPr>
                <w:sz w:val="20"/>
                <w:szCs w:val="20"/>
                <w:color w:val="auto"/>
              </w:rPr>
            </w:pPr>
            <w:r>
              <w:rPr>
                <w:rFonts w:ascii="Arial" w:cs="Arial" w:eastAsia="Arial" w:hAnsi="Arial"/>
                <w:sz w:val="16"/>
                <w:szCs w:val="16"/>
                <w:color w:val="auto"/>
              </w:rPr>
              <w:t>Aggregate value of liabilities of Borrower that mature within one (1) year (without duplication with line E above)</w:t>
            </w:r>
          </w:p>
        </w:tc>
        <w:tc>
          <w:tcPr>
            <w:tcW w:w="1740" w:type="dxa"/>
            <w:vAlign w:val="bottom"/>
          </w:tcPr>
          <w:p>
            <w:pPr>
              <w:jc w:val="right"/>
              <w:spacing w:after="0"/>
              <w:rPr>
                <w:sz w:val="20"/>
                <w:szCs w:val="20"/>
                <w:color w:val="auto"/>
              </w:rPr>
            </w:pPr>
            <w:r>
              <w:rPr>
                <w:rFonts w:ascii="Arial" w:cs="Arial" w:eastAsia="Arial" w:hAnsi="Arial"/>
                <w:sz w:val="16"/>
                <w:szCs w:val="16"/>
                <w:color w:val="auto"/>
              </w:rPr>
              <w:t>$_______</w:t>
            </w:r>
          </w:p>
        </w:tc>
      </w:tr>
      <w:tr>
        <w:trPr>
          <w:trHeight w:val="191"/>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40" w:type="dxa"/>
            <w:vAlign w:val="bottom"/>
            <w:gridSpan w:val="3"/>
          </w:tcPr>
          <w:p>
            <w:pPr>
              <w:ind w:left="480"/>
              <w:spacing w:after="0"/>
              <w:rPr>
                <w:sz w:val="20"/>
                <w:szCs w:val="20"/>
                <w:color w:val="auto"/>
              </w:rPr>
            </w:pPr>
            <w:r>
              <w:rPr>
                <w:rFonts w:ascii="Arial" w:cs="Arial" w:eastAsia="Arial" w:hAnsi="Arial"/>
                <w:sz w:val="16"/>
                <w:szCs w:val="16"/>
                <w:color w:val="auto"/>
              </w:rPr>
              <w:t>Current Liabilities (the sum of lines E and F)</w:t>
            </w:r>
          </w:p>
        </w:tc>
        <w:tc>
          <w:tcPr>
            <w:tcW w:w="1740" w:type="dxa"/>
            <w:vAlign w:val="bottom"/>
          </w:tcPr>
          <w:p>
            <w:pPr>
              <w:jc w:val="right"/>
              <w:spacing w:after="0"/>
              <w:rPr>
                <w:sz w:val="20"/>
                <w:szCs w:val="20"/>
                <w:color w:val="auto"/>
              </w:rPr>
            </w:pPr>
            <w:r>
              <w:rPr>
                <w:rFonts w:ascii="Arial" w:cs="Arial" w:eastAsia="Arial" w:hAnsi="Arial"/>
                <w:sz w:val="16"/>
                <w:szCs w:val="16"/>
                <w:color w:val="auto"/>
              </w:rPr>
              <w:t>$_______</w:t>
            </w:r>
          </w:p>
        </w:tc>
      </w:tr>
      <w:tr>
        <w:trPr>
          <w:trHeight w:val="191"/>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40" w:type="dxa"/>
            <w:vAlign w:val="bottom"/>
            <w:gridSpan w:val="3"/>
          </w:tcPr>
          <w:p>
            <w:pPr>
              <w:ind w:left="480"/>
              <w:spacing w:after="0"/>
              <w:rPr>
                <w:sz w:val="20"/>
                <w:szCs w:val="20"/>
                <w:color w:val="auto"/>
              </w:rPr>
            </w:pPr>
            <w:r>
              <w:rPr>
                <w:rFonts w:ascii="Arial" w:cs="Arial" w:eastAsia="Arial" w:hAnsi="Arial"/>
                <w:sz w:val="16"/>
                <w:szCs w:val="16"/>
                <w:color w:val="auto"/>
              </w:rPr>
              <w:t>Current portion of Borrower’s Deferred Revenue</w:t>
            </w:r>
          </w:p>
        </w:tc>
        <w:tc>
          <w:tcPr>
            <w:tcW w:w="1740" w:type="dxa"/>
            <w:vAlign w:val="bottom"/>
          </w:tcPr>
          <w:p>
            <w:pPr>
              <w:jc w:val="right"/>
              <w:spacing w:after="0"/>
              <w:rPr>
                <w:sz w:val="20"/>
                <w:szCs w:val="20"/>
                <w:color w:val="auto"/>
              </w:rPr>
            </w:pPr>
            <w:r>
              <w:rPr>
                <w:rFonts w:ascii="Arial" w:cs="Arial" w:eastAsia="Arial" w:hAnsi="Arial"/>
                <w:sz w:val="16"/>
                <w:szCs w:val="16"/>
                <w:color w:val="auto"/>
              </w:rPr>
              <w:t>$_______</w:t>
            </w:r>
          </w:p>
        </w:tc>
      </w:tr>
      <w:tr>
        <w:trPr>
          <w:trHeight w:val="196"/>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40" w:type="dxa"/>
            <w:vAlign w:val="bottom"/>
            <w:gridSpan w:val="3"/>
          </w:tcPr>
          <w:p>
            <w:pPr>
              <w:ind w:left="480"/>
              <w:spacing w:after="0"/>
              <w:rPr>
                <w:sz w:val="20"/>
                <w:szCs w:val="20"/>
                <w:color w:val="auto"/>
              </w:rPr>
            </w:pPr>
            <w:r>
              <w:rPr>
                <w:rFonts w:ascii="Arial" w:cs="Arial" w:eastAsia="Arial" w:hAnsi="Arial"/>
                <w:sz w:val="16"/>
                <w:szCs w:val="16"/>
                <w:color w:val="auto"/>
              </w:rPr>
              <w:t>Adjusted Quick Ratio (line D divided by the difference of line G, minus line H)</w:t>
            </w:r>
          </w:p>
        </w:tc>
        <w:tc>
          <w:tcPr>
            <w:tcW w:w="1740" w:type="dxa"/>
            <w:vAlign w:val="bottom"/>
          </w:tcPr>
          <w:p>
            <w:pPr>
              <w:spacing w:after="0"/>
              <w:rPr>
                <w:sz w:val="17"/>
                <w:szCs w:val="17"/>
                <w:color w:val="auto"/>
              </w:rPr>
            </w:pPr>
          </w:p>
        </w:tc>
      </w:tr>
      <w:tr>
        <w:trPr>
          <w:trHeight w:val="434"/>
        </w:trPr>
        <w:tc>
          <w:tcPr>
            <w:tcW w:w="2400" w:type="dxa"/>
            <w:vAlign w:val="bottom"/>
            <w:gridSpan w:val="3"/>
          </w:tcPr>
          <w:p>
            <w:pPr>
              <w:spacing w:after="0"/>
              <w:rPr>
                <w:sz w:val="20"/>
                <w:szCs w:val="20"/>
                <w:color w:val="auto"/>
              </w:rPr>
            </w:pPr>
            <w:r>
              <w:rPr>
                <w:rFonts w:ascii="Arial" w:cs="Arial" w:eastAsia="Arial" w:hAnsi="Arial"/>
                <w:sz w:val="16"/>
                <w:szCs w:val="16"/>
                <w:color w:val="auto"/>
              </w:rPr>
              <w:t>Actual:</w:t>
            </w:r>
          </w:p>
        </w:tc>
        <w:tc>
          <w:tcPr>
            <w:tcW w:w="1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9"/>
        </w:trPr>
        <w:tc>
          <w:tcPr>
            <w:tcW w:w="8960" w:type="dxa"/>
            <w:vAlign w:val="bottom"/>
            <w:gridSpan w:val="5"/>
          </w:tcPr>
          <w:p>
            <w:pPr>
              <w:spacing w:after="0"/>
              <w:rPr>
                <w:sz w:val="20"/>
                <w:szCs w:val="20"/>
                <w:color w:val="auto"/>
              </w:rPr>
            </w:pPr>
            <w:r>
              <w:rPr>
                <w:rFonts w:ascii="Arial" w:cs="Arial" w:eastAsia="Arial" w:hAnsi="Arial"/>
                <w:sz w:val="16"/>
                <w:szCs w:val="16"/>
                <w:color w:val="auto"/>
              </w:rPr>
              <w:t>Is line I greater than or equal to 1.25 to 1:00?</w:t>
            </w:r>
          </w:p>
        </w:tc>
        <w:tc>
          <w:tcPr>
            <w:tcW w:w="1740" w:type="dxa"/>
            <w:vAlign w:val="bottom"/>
          </w:tcPr>
          <w:p>
            <w:pPr>
              <w:spacing w:after="0"/>
              <w:rPr>
                <w:sz w:val="24"/>
                <w:szCs w:val="24"/>
                <w:color w:val="auto"/>
              </w:rPr>
            </w:pPr>
          </w:p>
        </w:tc>
      </w:tr>
      <w:tr>
        <w:trPr>
          <w:trHeight w:val="303"/>
        </w:trPr>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No, not in compliance</w:t>
            </w:r>
          </w:p>
        </w:tc>
        <w:tc>
          <w:tcPr>
            <w:tcW w:w="140" w:type="dxa"/>
            <w:vAlign w:val="bottom"/>
            <w:tcBorders>
              <w:bottom w:val="single" w:sz="8" w:color="auto"/>
            </w:tcBorders>
          </w:tcPr>
          <w:p>
            <w:pPr>
              <w:spacing w:after="0"/>
              <w:rPr>
                <w:sz w:val="24"/>
                <w:szCs w:val="24"/>
                <w:color w:val="auto"/>
              </w:rPr>
            </w:pPr>
          </w:p>
        </w:tc>
        <w:tc>
          <w:tcPr>
            <w:tcW w:w="6420" w:type="dxa"/>
            <w:vAlign w:val="bottom"/>
          </w:tcPr>
          <w:p>
            <w:pPr>
              <w:ind w:left="80"/>
              <w:spacing w:after="0"/>
              <w:rPr>
                <w:sz w:val="20"/>
                <w:szCs w:val="20"/>
                <w:color w:val="auto"/>
              </w:rPr>
            </w:pPr>
            <w:r>
              <w:rPr>
                <w:rFonts w:ascii="Arial" w:cs="Arial" w:eastAsia="Arial" w:hAnsi="Arial"/>
                <w:sz w:val="16"/>
                <w:szCs w:val="16"/>
                <w:color w:val="auto"/>
              </w:rPr>
              <w:t>Yes, in compliance</w:t>
            </w:r>
          </w:p>
        </w:tc>
        <w:tc>
          <w:tcPr>
            <w:tcW w:w="1740" w:type="dxa"/>
            <w:vAlign w:val="bottom"/>
          </w:tcPr>
          <w:p>
            <w:pPr>
              <w:spacing w:after="0"/>
              <w:rPr>
                <w:sz w:val="24"/>
                <w:szCs w:val="24"/>
                <w:color w:val="auto"/>
              </w:rPr>
            </w:pPr>
          </w:p>
        </w:tc>
      </w:tr>
    </w:tbl>
    <w:p>
      <w:pPr>
        <w:spacing w:after="0" w:line="331" w:lineRule="exact"/>
        <w:rPr>
          <w:sz w:val="20"/>
          <w:szCs w:val="20"/>
          <w:color w:val="auto"/>
        </w:rPr>
      </w:pPr>
    </w:p>
    <w:p>
      <w:pPr>
        <w:ind w:right="8000" w:firstLine="5"/>
        <w:spacing w:after="0" w:line="535" w:lineRule="auto"/>
        <w:tabs>
          <w:tab w:leader="none" w:pos="503" w:val="left"/>
        </w:tabs>
        <w:numPr>
          <w:ilvl w:val="0"/>
          <w:numId w:val="110"/>
        </w:numPr>
        <w:rPr>
          <w:rFonts w:ascii="Arial" w:cs="Arial" w:eastAsia="Arial" w:hAnsi="Arial"/>
          <w:sz w:val="14"/>
          <w:szCs w:val="14"/>
          <w:color w:val="auto"/>
        </w:rPr>
      </w:pPr>
      <w:r>
        <w:rPr>
          <w:rFonts w:ascii="Arial" w:cs="Arial" w:eastAsia="Arial" w:hAnsi="Arial"/>
          <w:sz w:val="14"/>
          <w:szCs w:val="14"/>
          <w:b w:val="1"/>
          <w:bCs w:val="1"/>
          <w:color w:val="auto"/>
        </w:rPr>
        <w:t xml:space="preserve">Liquidity </w:t>
      </w:r>
      <w:r>
        <w:rPr>
          <w:rFonts w:ascii="Arial" w:cs="Arial" w:eastAsia="Arial" w:hAnsi="Arial"/>
          <w:sz w:val="14"/>
          <w:szCs w:val="14"/>
          <w:color w:val="auto"/>
        </w:rPr>
        <w:t>(</w:t>
      </w:r>
      <w:r>
        <w:rPr>
          <w:rFonts w:ascii="Arial" w:cs="Arial" w:eastAsia="Arial" w:hAnsi="Arial"/>
          <w:sz w:val="14"/>
          <w:szCs w:val="14"/>
          <w:i w:val="1"/>
          <w:iCs w:val="1"/>
          <w:color w:val="auto"/>
        </w:rPr>
        <w:t>Streamline Calculation</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Liquidity &gt; $20,000,000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WEST\296736839.3</w:t>
      </w:r>
    </w:p>
    <w:p>
      <w:pPr>
        <w:sectPr>
          <w:pgSz w:w="11900" w:h="16838" w:orient="portrait"/>
          <w:cols w:equalWidth="0" w:num="1">
            <w:col w:w="10700"/>
          </w:cols>
          <w:pgMar w:left="300" w:top="1127" w:right="899"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6"/>
          <w:szCs w:val="16"/>
          <w:color w:val="auto"/>
        </w:rPr>
        <w:t>Actual:</w:t>
      </w:r>
    </w:p>
    <w:p>
      <w:pPr>
        <w:spacing w:after="0" w:line="197" w:lineRule="exact"/>
        <w:rPr>
          <w:sz w:val="20"/>
          <w:szCs w:val="20"/>
          <w:color w:val="auto"/>
        </w:rPr>
      </w:pPr>
    </w:p>
    <w:p>
      <w:pPr>
        <w:ind w:left="800"/>
        <w:spacing w:after="0"/>
        <w:tabs>
          <w:tab w:leader="none" w:pos="10060" w:val="left"/>
        </w:tabs>
        <w:rPr>
          <w:sz w:val="20"/>
          <w:szCs w:val="20"/>
          <w:color w:val="auto"/>
        </w:rPr>
      </w:pPr>
      <w:r>
        <w:rPr>
          <w:rFonts w:ascii="Arial" w:cs="Arial" w:eastAsia="Arial" w:hAnsi="Arial"/>
          <w:sz w:val="16"/>
          <w:szCs w:val="16"/>
          <w:color w:val="auto"/>
        </w:rPr>
        <w:t>Aggregate value of Borrower’s unrestricted cash and Cash Equivalents held at Bank</w:t>
      </w:r>
      <w:r>
        <w:rPr>
          <w:sz w:val="20"/>
          <w:szCs w:val="20"/>
          <w:color w:val="auto"/>
        </w:rPr>
        <w:tab/>
      </w:r>
      <w:r>
        <w:rPr>
          <w:rFonts w:ascii="Arial" w:cs="Arial" w:eastAsia="Arial" w:hAnsi="Arial"/>
          <w:sz w:val="13"/>
          <w:szCs w:val="13"/>
          <w:color w:val="auto"/>
        </w:rPr>
        <w:t>$_______</w:t>
      </w:r>
    </w:p>
    <w:p>
      <w:pPr>
        <w:spacing w:after="0" w:line="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Aggregate value of Borrower’s unrestricted and unencumbered cash in Deposit Accounts maintained outside of Bank but subject to a Control $_______</w:t>
      </w:r>
    </w:p>
    <w:p>
      <w:pPr>
        <w:ind w:left="800"/>
        <w:spacing w:after="0"/>
        <w:rPr>
          <w:sz w:val="20"/>
          <w:szCs w:val="20"/>
          <w:color w:val="auto"/>
        </w:rPr>
      </w:pPr>
      <w:r>
        <w:rPr>
          <w:rFonts w:ascii="Arial" w:cs="Arial" w:eastAsia="Arial" w:hAnsi="Arial"/>
          <w:sz w:val="16"/>
          <w:szCs w:val="16"/>
          <w:color w:val="auto"/>
        </w:rPr>
        <w:t>Agreement in favor of Bank</w:t>
      </w:r>
    </w:p>
    <w:tbl>
      <w:tblPr>
        <w:tblLayout w:type="fixed"/>
        <w:tblInd w:w="0" w:type="dxa"/>
        <w:tblCellMar>
          <w:top w:w="0" w:type="dxa"/>
          <w:left w:w="0" w:type="dxa"/>
          <w:bottom w:w="0" w:type="dxa"/>
          <w:right w:w="0" w:type="dxa"/>
        </w:tblCellMar>
      </w:tblPr>
      <w:tr>
        <w:trPr>
          <w:trHeight w:val="185"/>
        </w:trPr>
        <w:tc>
          <w:tcPr>
            <w:tcW w:w="3320" w:type="dxa"/>
            <w:vAlign w:val="bottom"/>
            <w:gridSpan w:val="5"/>
          </w:tcPr>
          <w:p>
            <w:pPr>
              <w:ind w:left="800"/>
              <w:spacing w:after="0"/>
              <w:rPr>
                <w:sz w:val="20"/>
                <w:szCs w:val="20"/>
                <w:color w:val="auto"/>
              </w:rPr>
            </w:pPr>
            <w:r>
              <w:rPr>
                <w:rFonts w:ascii="Arial" w:cs="Arial" w:eastAsia="Arial" w:hAnsi="Arial"/>
                <w:sz w:val="16"/>
                <w:szCs w:val="16"/>
                <w:color w:val="auto"/>
              </w:rPr>
              <w:t>Availability Amount</w:t>
            </w:r>
          </w:p>
        </w:tc>
        <w:tc>
          <w:tcPr>
            <w:tcW w:w="7380" w:type="dxa"/>
            <w:vAlign w:val="bottom"/>
            <w:gridSpan w:val="3"/>
          </w:tcPr>
          <w:p>
            <w:pPr>
              <w:jc w:val="right"/>
              <w:spacing w:after="0"/>
              <w:rPr>
                <w:sz w:val="20"/>
                <w:szCs w:val="20"/>
                <w:color w:val="auto"/>
              </w:rPr>
            </w:pPr>
            <w:r>
              <w:rPr>
                <w:rFonts w:ascii="Arial" w:cs="Arial" w:eastAsia="Arial" w:hAnsi="Arial"/>
                <w:sz w:val="16"/>
                <w:szCs w:val="16"/>
                <w:color w:val="auto"/>
              </w:rPr>
              <w:t>$_______</w:t>
            </w:r>
          </w:p>
        </w:tc>
      </w:tr>
      <w:tr>
        <w:trPr>
          <w:trHeight w:val="196"/>
        </w:trPr>
        <w:tc>
          <w:tcPr>
            <w:tcW w:w="3320" w:type="dxa"/>
            <w:vAlign w:val="bottom"/>
            <w:gridSpan w:val="5"/>
          </w:tcPr>
          <w:p>
            <w:pPr>
              <w:ind w:left="800"/>
              <w:spacing w:after="0"/>
              <w:rPr>
                <w:sz w:val="20"/>
                <w:szCs w:val="20"/>
                <w:color w:val="auto"/>
              </w:rPr>
            </w:pPr>
            <w:r>
              <w:rPr>
                <w:rFonts w:ascii="Arial" w:cs="Arial" w:eastAsia="Arial" w:hAnsi="Arial"/>
                <w:sz w:val="16"/>
                <w:szCs w:val="16"/>
                <w:color w:val="auto"/>
                <w:w w:val="91"/>
              </w:rPr>
              <w:t>Liquidity (the sum of lines A, B, and C)</w:t>
            </w:r>
          </w:p>
        </w:tc>
        <w:tc>
          <w:tcPr>
            <w:tcW w:w="7380" w:type="dxa"/>
            <w:vAlign w:val="bottom"/>
            <w:gridSpan w:val="3"/>
          </w:tcPr>
          <w:p>
            <w:pPr>
              <w:jc w:val="right"/>
              <w:spacing w:after="0"/>
              <w:rPr>
                <w:sz w:val="20"/>
                <w:szCs w:val="20"/>
                <w:color w:val="auto"/>
              </w:rPr>
            </w:pPr>
            <w:r>
              <w:rPr>
                <w:rFonts w:ascii="Arial" w:cs="Arial" w:eastAsia="Arial" w:hAnsi="Arial"/>
                <w:sz w:val="16"/>
                <w:szCs w:val="16"/>
                <w:color w:val="auto"/>
              </w:rPr>
              <w:t>$_______</w:t>
            </w:r>
          </w:p>
        </w:tc>
      </w:tr>
      <w:tr>
        <w:trPr>
          <w:trHeight w:val="434"/>
        </w:trPr>
        <w:tc>
          <w:tcPr>
            <w:tcW w:w="3320" w:type="dxa"/>
            <w:vAlign w:val="bottom"/>
            <w:gridSpan w:val="5"/>
          </w:tcPr>
          <w:p>
            <w:pPr>
              <w:spacing w:after="0"/>
              <w:rPr>
                <w:sz w:val="20"/>
                <w:szCs w:val="20"/>
                <w:color w:val="auto"/>
              </w:rPr>
            </w:pPr>
            <w:r>
              <w:rPr>
                <w:rFonts w:ascii="Arial" w:cs="Arial" w:eastAsia="Arial" w:hAnsi="Arial"/>
                <w:sz w:val="16"/>
                <w:szCs w:val="16"/>
                <w:color w:val="auto"/>
              </w:rPr>
              <w:t>Is line D greater than $20,000,000?</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03"/>
        </w:trPr>
        <w:tc>
          <w:tcPr>
            <w:tcW w:w="3320" w:type="dxa"/>
            <w:vAlign w:val="bottom"/>
            <w:gridSpan w:val="5"/>
          </w:tcPr>
          <w:p>
            <w:pPr>
              <w:spacing w:after="0"/>
              <w:rPr>
                <w:sz w:val="20"/>
                <w:szCs w:val="20"/>
                <w:color w:val="auto"/>
              </w:rPr>
            </w:pPr>
            <w:r>
              <w:rPr>
                <w:rFonts w:ascii="Arial" w:cs="Arial" w:eastAsia="Arial" w:hAnsi="Arial"/>
                <w:sz w:val="16"/>
                <w:szCs w:val="16"/>
                <w:color w:val="auto"/>
              </w:rPr>
              <w:t>_______ No (Streamline does NOT apply)</w:t>
            </w:r>
          </w:p>
        </w:tc>
        <w:tc>
          <w:tcPr>
            <w:tcW w:w="7380" w:type="dxa"/>
            <w:vAlign w:val="bottom"/>
            <w:gridSpan w:val="3"/>
          </w:tcPr>
          <w:p>
            <w:pPr>
              <w:jc w:val="right"/>
              <w:ind w:right="5600"/>
              <w:spacing w:after="0"/>
              <w:rPr>
                <w:sz w:val="20"/>
                <w:szCs w:val="20"/>
                <w:color w:val="auto"/>
              </w:rPr>
            </w:pPr>
            <w:r>
              <w:rPr>
                <w:rFonts w:ascii="Arial" w:cs="Arial" w:eastAsia="Arial" w:hAnsi="Arial"/>
                <w:sz w:val="16"/>
                <w:szCs w:val="16"/>
                <w:color w:val="auto"/>
                <w:w w:val="87"/>
              </w:rPr>
              <w:t>Yes (Streamline does apply)</w:t>
            </w:r>
          </w:p>
        </w:tc>
      </w:tr>
      <w:tr>
        <w:trPr>
          <w:trHeight w:val="20"/>
        </w:trPr>
        <w:tc>
          <w:tcPr>
            <w:tcW w:w="1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WEST\296736839.3</w:t>
      </w:r>
    </w:p>
    <w:p>
      <w:pPr>
        <w:sectPr>
          <w:pgSz w:w="11900" w:h="16838" w:orient="portrait"/>
          <w:cols w:equalWidth="0" w:num="1">
            <w:col w:w="10700"/>
          </w:cols>
          <w:pgMar w:left="300" w:top="1133" w:right="899" w:bottom="1440" w:gutter="0" w:footer="0" w:header="0"/>
        </w:sectPr>
      </w:pPr>
    </w:p>
    <w:bookmarkStart w:id="173" w:name="page174"/>
    <w:bookmarkEnd w:id="173"/>
    <w:p>
      <w:pPr>
        <w:jc w:val="right"/>
        <w:spacing w:after="0"/>
        <w:rPr>
          <w:sz w:val="20"/>
          <w:szCs w:val="20"/>
          <w:color w:val="auto"/>
        </w:rPr>
      </w:pPr>
      <w:r>
        <w:rPr>
          <w:rFonts w:ascii="Arial" w:cs="Arial" w:eastAsia="Arial" w:hAnsi="Arial"/>
          <w:sz w:val="14"/>
          <w:szCs w:val="14"/>
          <w:b w:val="1"/>
          <w:bCs w:val="1"/>
          <w:i w:val="1"/>
          <w:iCs w:val="1"/>
          <w:color w:val="auto"/>
        </w:rPr>
        <w:t>Exhibit 10.19F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DEFAULT WAIVER AND CONSENT</w:t>
      </w:r>
    </w:p>
    <w:p>
      <w:pPr>
        <w:jc w:val="center"/>
        <w:spacing w:after="0" w:line="193" w:lineRule="auto"/>
        <w:rPr>
          <w:sz w:val="20"/>
          <w:szCs w:val="20"/>
          <w:color w:val="auto"/>
        </w:rPr>
      </w:pPr>
      <w:r>
        <w:rPr>
          <w:rFonts w:ascii="Arial" w:cs="Arial" w:eastAsia="Arial" w:hAnsi="Arial"/>
          <w:sz w:val="16"/>
          <w:szCs w:val="16"/>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LOAN AND SECURITY AGREEMENT</w:t>
      </w:r>
    </w:p>
    <w:p>
      <w:pPr>
        <w:spacing w:after="0" w:line="137" w:lineRule="exact"/>
        <w:rPr>
          <w:sz w:val="20"/>
          <w:szCs w:val="20"/>
          <w:color w:val="auto"/>
        </w:rPr>
      </w:pPr>
    </w:p>
    <w:p>
      <w:pPr>
        <w:ind w:firstLine="508"/>
        <w:spacing w:after="0" w:line="203" w:lineRule="auto"/>
        <w:rPr>
          <w:sz w:val="20"/>
          <w:szCs w:val="20"/>
          <w:color w:val="auto"/>
        </w:rPr>
      </w:pPr>
      <w:r>
        <w:rPr>
          <w:rFonts w:ascii="Arial" w:cs="Arial" w:eastAsia="Arial" w:hAnsi="Arial"/>
          <w:sz w:val="16"/>
          <w:szCs w:val="16"/>
          <w:color w:val="auto"/>
        </w:rPr>
        <w:t>This Default Waiver and Consent to Loan and Security Agreement (this “</w:t>
      </w:r>
      <w:r>
        <w:rPr>
          <w:rFonts w:ascii="Arial" w:cs="Arial" w:eastAsia="Arial" w:hAnsi="Arial"/>
          <w:sz w:val="16"/>
          <w:szCs w:val="16"/>
          <w:b w:val="1"/>
          <w:bCs w:val="1"/>
          <w:color w:val="auto"/>
        </w:rPr>
        <w:t>Default Waiver and Consent</w:t>
      </w:r>
      <w:r>
        <w:rPr>
          <w:rFonts w:ascii="Arial" w:cs="Arial" w:eastAsia="Arial" w:hAnsi="Arial"/>
          <w:sz w:val="16"/>
          <w:szCs w:val="16"/>
          <w:color w:val="auto"/>
        </w:rPr>
        <w:t>”) is entered into this 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March, 2022, by and among </w:t>
      </w:r>
      <w:r>
        <w:rPr>
          <w:rFonts w:ascii="Arial" w:cs="Arial" w:eastAsia="Arial" w:hAnsi="Arial"/>
          <w:sz w:val="16"/>
          <w:szCs w:val="16"/>
          <w:b w:val="1"/>
          <w:bCs w:val="1"/>
          <w:color w:val="auto"/>
        </w:rPr>
        <w:t xml:space="preserve">SILICON VALLEY BANK </w:t>
      </w:r>
      <w:r>
        <w:rPr>
          <w:rFonts w:ascii="Arial" w:cs="Arial" w:eastAsia="Arial" w:hAnsi="Arial"/>
          <w:sz w:val="16"/>
          <w:szCs w:val="16"/>
          <w:color w:val="auto"/>
        </w:rPr>
        <w:t>(“</w:t>
      </w:r>
      <w:r>
        <w:rPr>
          <w:rFonts w:ascii="Arial" w:cs="Arial" w:eastAsia="Arial" w:hAnsi="Arial"/>
          <w:sz w:val="16"/>
          <w:szCs w:val="16"/>
          <w:b w:val="1"/>
          <w:bCs w:val="1"/>
          <w:color w:val="auto"/>
        </w:rPr>
        <w:t>Bank</w:t>
      </w:r>
      <w:r>
        <w:rPr>
          <w:rFonts w:ascii="Arial" w:cs="Arial" w:eastAsia="Arial" w:hAnsi="Arial"/>
          <w:sz w:val="16"/>
          <w:szCs w:val="16"/>
          <w:color w:val="auto"/>
        </w:rPr>
        <w:t>”), and</w:t>
      </w:r>
      <w:r>
        <w:rPr>
          <w:rFonts w:ascii="Arial" w:cs="Arial" w:eastAsia="Arial" w:hAnsi="Arial"/>
          <w:sz w:val="16"/>
          <w:szCs w:val="16"/>
          <w:b w:val="1"/>
          <w:bCs w:val="1"/>
          <w:color w:val="auto"/>
        </w:rPr>
        <w:t xml:space="preserve"> FLUIDIGM CORPORATION</w:t>
      </w:r>
      <w:r>
        <w:rPr>
          <w:rFonts w:ascii="Arial" w:cs="Arial" w:eastAsia="Arial" w:hAnsi="Arial"/>
          <w:sz w:val="16"/>
          <w:szCs w:val="16"/>
          <w:color w:val="auto"/>
        </w:rPr>
        <w:t>, a Delaware corporation (“</w:t>
      </w:r>
      <w:r>
        <w:rPr>
          <w:rFonts w:ascii="Arial" w:cs="Arial" w:eastAsia="Arial" w:hAnsi="Arial"/>
          <w:sz w:val="16"/>
          <w:szCs w:val="16"/>
          <w:b w:val="1"/>
          <w:bCs w:val="1"/>
          <w:color w:val="auto"/>
        </w:rPr>
        <w:t>Borrower</w:t>
      </w:r>
      <w:r>
        <w:rPr>
          <w:rFonts w:ascii="Arial" w:cs="Arial" w:eastAsia="Arial" w:hAnsi="Arial"/>
          <w:sz w:val="16"/>
          <w:szCs w:val="16"/>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40" w:lineRule="exact"/>
        <w:rPr>
          <w:sz w:val="20"/>
          <w:szCs w:val="20"/>
          <w:color w:val="auto"/>
        </w:rPr>
      </w:pPr>
    </w:p>
    <w:p>
      <w:pPr>
        <w:jc w:val="both"/>
        <w:ind w:firstLine="513"/>
        <w:spacing w:after="0" w:line="205" w:lineRule="auto"/>
        <w:tabs>
          <w:tab w:leader="none" w:pos="842"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Bank and Borrower have entered into that certain Loan and Security Agreement dated as of August 2, 2018 (as may from time to time be further amended, modified, supplemented or restated, including, without limitation, by that certain Default Waiver and First Amendment to Loan and Security Agreement dated as of September 7, 2018, that certain Second Amendment to Loan and Security Agreement dated as of November 20, 2019, that certain Third Amendment to Loan and Security Agreement dated as of April 21, 2020, that certain Fourth Amendment to Loan and Security Agreement dated as of August 2, 2021, and that certain Fifth Amendment to Loan and Security Agreement dated as of December 27, 2021 collectively, the “</w:t>
      </w:r>
      <w:r>
        <w:rPr>
          <w:rFonts w:ascii="Arial" w:cs="Arial" w:eastAsia="Arial" w:hAnsi="Arial"/>
          <w:sz w:val="16"/>
          <w:szCs w:val="16"/>
          <w:b w:val="1"/>
          <w:bCs w:val="1"/>
          <w:color w:val="auto"/>
        </w:rPr>
        <w:t>Loan Agreement</w:t>
      </w:r>
      <w:r>
        <w:rPr>
          <w:rFonts w:ascii="Arial" w:cs="Arial" w:eastAsia="Arial" w:hAnsi="Arial"/>
          <w:sz w:val="16"/>
          <w:szCs w:val="16"/>
          <w:color w:val="auto"/>
        </w:rPr>
        <w:t>”).</w:t>
      </w:r>
    </w:p>
    <w:p>
      <w:pPr>
        <w:spacing w:after="0" w:line="124" w:lineRule="exact"/>
        <w:rPr>
          <w:rFonts w:ascii="Arial" w:cs="Arial" w:eastAsia="Arial" w:hAnsi="Arial"/>
          <w:sz w:val="16"/>
          <w:szCs w:val="16"/>
          <w:b w:val="1"/>
          <w:bCs w:val="1"/>
          <w:color w:val="auto"/>
        </w:rPr>
      </w:pPr>
    </w:p>
    <w:p>
      <w:pPr>
        <w:jc w:val="both"/>
        <w:ind w:firstLine="513"/>
        <w:spacing w:after="0" w:line="209" w:lineRule="auto"/>
        <w:tabs>
          <w:tab w:leader="none" w:pos="813"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Borrower acknowledges it is currently in default of Sections 7.4 and 7.7 of the Loan Agreement for entering into that certain promissory note between Borrower and its wholly owned Subsidiary, Fluidigm Singapore Pte. Ltd. (“</w:t>
      </w:r>
      <w:r>
        <w:rPr>
          <w:rFonts w:ascii="Arial" w:cs="Arial" w:eastAsia="Arial" w:hAnsi="Arial"/>
          <w:sz w:val="16"/>
          <w:szCs w:val="16"/>
          <w:b w:val="1"/>
          <w:bCs w:val="1"/>
          <w:color w:val="auto"/>
        </w:rPr>
        <w:t>Fluidigm Singapore</w:t>
      </w:r>
      <w:r>
        <w:rPr>
          <w:rFonts w:ascii="Arial" w:cs="Arial" w:eastAsia="Arial" w:hAnsi="Arial"/>
          <w:sz w:val="16"/>
          <w:szCs w:val="16"/>
          <w:color w:val="auto"/>
        </w:rPr>
        <w:t>”) dated as of December 30, 2021 and attached hereto as Annex I (the “</w:t>
      </w:r>
      <w:r>
        <w:rPr>
          <w:rFonts w:ascii="Arial" w:cs="Arial" w:eastAsia="Arial" w:hAnsi="Arial"/>
          <w:sz w:val="16"/>
          <w:szCs w:val="16"/>
          <w:b w:val="1"/>
          <w:bCs w:val="1"/>
          <w:color w:val="auto"/>
        </w:rPr>
        <w:t>2021 Promissory Note</w:t>
      </w:r>
      <w:r>
        <w:rPr>
          <w:rFonts w:ascii="Arial" w:cs="Arial" w:eastAsia="Arial" w:hAnsi="Arial"/>
          <w:sz w:val="16"/>
          <w:szCs w:val="16"/>
          <w:color w:val="auto"/>
        </w:rPr>
        <w:t>”), pursuant to which Borrower has lent to Fluidigm Singapore a total amount not to exceed Ten Million Dollars ($10,000,000), and for entering into a predecessor promissory note, dated as of September 1, 2020 (collectively, the “</w:t>
      </w:r>
      <w:r>
        <w:rPr>
          <w:rFonts w:ascii="Arial" w:cs="Arial" w:eastAsia="Arial" w:hAnsi="Arial"/>
          <w:sz w:val="16"/>
          <w:szCs w:val="16"/>
          <w:b w:val="1"/>
          <w:bCs w:val="1"/>
          <w:color w:val="auto"/>
        </w:rPr>
        <w:t>Waived Default</w:t>
      </w:r>
      <w:r>
        <w:rPr>
          <w:rFonts w:ascii="Arial" w:cs="Arial" w:eastAsia="Arial" w:hAnsi="Arial"/>
          <w:sz w:val="16"/>
          <w:szCs w:val="16"/>
          <w:color w:val="auto"/>
        </w:rPr>
        <w:t>”).</w:t>
      </w:r>
    </w:p>
    <w:p>
      <w:pPr>
        <w:spacing w:after="0" w:line="121" w:lineRule="exact"/>
        <w:rPr>
          <w:rFonts w:ascii="Arial" w:cs="Arial" w:eastAsia="Arial" w:hAnsi="Arial"/>
          <w:sz w:val="16"/>
          <w:szCs w:val="16"/>
          <w:b w:val="1"/>
          <w:bCs w:val="1"/>
          <w:color w:val="auto"/>
        </w:rPr>
      </w:pPr>
    </w:p>
    <w:p>
      <w:pPr>
        <w:jc w:val="both"/>
        <w:ind w:firstLine="513"/>
        <w:spacing w:after="0" w:line="247" w:lineRule="auto"/>
        <w:tabs>
          <w:tab w:leader="none" w:pos="869"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Borrower has requested that Bank waive its rights and remedies against Borrower, limited specifically to the Waived Default. Although Bank is under no obligation to do so, Bank is willing to not exercise its rights and remedies against Borrower related to the specific Waived Default on the terms and conditions set forth in this Default Waiver and Consent, so long as Borrower complies with the terms, covenants and conditions set forth in this Default Waiver and Consent.</w:t>
      </w:r>
    </w:p>
    <w:p>
      <w:pPr>
        <w:spacing w:after="0" w:line="117" w:lineRule="exact"/>
        <w:rPr>
          <w:rFonts w:ascii="Arial" w:cs="Arial" w:eastAsia="Arial" w:hAnsi="Arial"/>
          <w:sz w:val="14"/>
          <w:szCs w:val="14"/>
          <w:b w:val="1"/>
          <w:bCs w:val="1"/>
          <w:color w:val="auto"/>
        </w:rPr>
      </w:pPr>
    </w:p>
    <w:p>
      <w:pPr>
        <w:ind w:firstLine="513"/>
        <w:spacing w:after="0" w:line="273" w:lineRule="auto"/>
        <w:tabs>
          <w:tab w:leader="none" w:pos="834"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Finally, Borrower has requested that Bank consent to Borrower’s entry into and the existence of the 2021 Promissory Note. Bank has agreed to so consent to the 2021 Promissory Note, but only to the extent, in accordance with the terms, subject to the conditions and in reliance upon the representations and warranties set forth below.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34" w:lineRule="exact"/>
        <w:rPr>
          <w:sz w:val="20"/>
          <w:szCs w:val="20"/>
          <w:color w:val="auto"/>
        </w:rPr>
      </w:pPr>
    </w:p>
    <w:p>
      <w:pPr>
        <w:ind w:firstLine="172"/>
        <w:spacing w:after="0" w:line="228"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recitals and other good and valuable consideration, the receipt and adequacy of which is hereby acknowledged, and intending</w:t>
      </w:r>
      <w:r>
        <w:rPr>
          <w:rFonts w:ascii="Arial" w:cs="Arial" w:eastAsia="Arial" w:hAnsi="Arial"/>
          <w:sz w:val="16"/>
          <w:szCs w:val="16"/>
          <w:b w:val="1"/>
          <w:bCs w:val="1"/>
          <w:color w:val="auto"/>
        </w:rPr>
        <w:t xml:space="preserve"> </w:t>
      </w:r>
      <w:r>
        <w:rPr>
          <w:rFonts w:ascii="Arial" w:cs="Arial" w:eastAsia="Arial" w:hAnsi="Arial"/>
          <w:sz w:val="16"/>
          <w:szCs w:val="16"/>
          <w:color w:val="auto"/>
        </w:rPr>
        <w:t>to be legally bound, the parties hereto agree as follows:</w:t>
      </w:r>
    </w:p>
    <w:p>
      <w:pPr>
        <w:spacing w:after="0" w:line="116" w:lineRule="exact"/>
        <w:rPr>
          <w:sz w:val="20"/>
          <w:szCs w:val="20"/>
          <w:color w:val="auto"/>
        </w:rPr>
      </w:pPr>
    </w:p>
    <w:p>
      <w:pPr>
        <w:ind w:left="1020" w:hanging="507"/>
        <w:spacing w:after="0"/>
        <w:tabs>
          <w:tab w:leader="none" w:pos="1020"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Definitions. </w:t>
      </w:r>
      <w:r>
        <w:rPr>
          <w:rFonts w:ascii="Arial" w:cs="Arial" w:eastAsia="Arial" w:hAnsi="Arial"/>
          <w:sz w:val="14"/>
          <w:szCs w:val="14"/>
          <w:color w:val="auto"/>
        </w:rPr>
        <w:t>Capitalized terms used but not defined in this Default Waiver and Consent shall have the meanings given to them in the Loan Agreement.</w:t>
      </w:r>
    </w:p>
    <w:p>
      <w:pPr>
        <w:spacing w:after="0" w:line="156" w:lineRule="exact"/>
        <w:rPr>
          <w:rFonts w:ascii="Arial" w:cs="Arial" w:eastAsia="Arial" w:hAnsi="Arial"/>
          <w:sz w:val="14"/>
          <w:szCs w:val="14"/>
          <w:b w:val="1"/>
          <w:bCs w:val="1"/>
          <w:color w:val="auto"/>
        </w:rPr>
      </w:pPr>
    </w:p>
    <w:p>
      <w:pPr>
        <w:jc w:val="both"/>
        <w:ind w:firstLine="513"/>
        <w:spacing w:after="0" w:line="207" w:lineRule="auto"/>
        <w:tabs>
          <w:tab w:leader="none" w:pos="1016"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Default. </w:t>
      </w:r>
      <w:r>
        <w:rPr>
          <w:rFonts w:ascii="Arial" w:cs="Arial" w:eastAsia="Arial" w:hAnsi="Arial"/>
          <w:sz w:val="16"/>
          <w:szCs w:val="16"/>
          <w:color w:val="auto"/>
        </w:rPr>
        <w:t>Bank hereby waives filing any legal action or instituting or enforcing any rights and remedies it may have against Borrower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Waived Default. Bank’s waiver of Borrower’s compliance with Sections 7.4 and 7.7 of the Loan Agreement shall apply only with respect to the Waived Default. Accordingly, hereinafter, Borrower shall be in compliance with such sections. Bank’s agreement to waive the Waived Default (a) in no way shall be deemed an agreement by Bank to waive Borrower’s compliance with the above-referenced sections as of all other dates after the date hereof, and (b) shall not limit or impair the Bank’s right to demand strict performance of such sections as of all other dates after the date hereof.</w:t>
      </w:r>
    </w:p>
    <w:p>
      <w:pPr>
        <w:spacing w:after="0" w:line="32" w:lineRule="exact"/>
        <w:rPr>
          <w:rFonts w:ascii="Arial" w:cs="Arial" w:eastAsia="Arial" w:hAnsi="Arial"/>
          <w:sz w:val="16"/>
          <w:szCs w:val="16"/>
          <w:b w:val="1"/>
          <w:bCs w:val="1"/>
          <w:color w:val="auto"/>
        </w:rPr>
      </w:pPr>
    </w:p>
    <w:p>
      <w:pPr>
        <w:ind w:firstLine="513"/>
        <w:spacing w:after="0" w:line="228" w:lineRule="auto"/>
        <w:tabs>
          <w:tab w:leader="none" w:pos="1016"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Subject to the terms of Section 9 below, Bank hereby consents to Borrower’s entry into and the existence of the 2021 Promissory Note and agrees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2021 Promissory Note constitutes Permitted Indebtedness under Section 7.4 and a Permitted Investment under Section 7.7.</w:t>
      </w:r>
    </w:p>
    <w:p>
      <w:pPr>
        <w:sectPr>
          <w:pgSz w:w="11900" w:h="16838" w:orient="portrait"/>
          <w:cols w:equalWidth="0" w:num="1">
            <w:col w:w="11280"/>
          </w:cols>
          <w:pgMar w:left="300" w:top="118" w:right="319" w:bottom="1440" w:gutter="0" w:footer="0" w:header="0"/>
        </w:sectPr>
      </w:pPr>
    </w:p>
    <w:bookmarkStart w:id="174" w:name="page175"/>
    <w:bookmarkEnd w:id="174"/>
    <w:p>
      <w:pPr>
        <w:ind w:left="1020" w:hanging="507"/>
        <w:spacing w:after="0"/>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of Default Waiver and Consent.</w:t>
      </w:r>
    </w:p>
    <w:p>
      <w:pPr>
        <w:spacing w:after="0" w:line="134"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This Default Waiver and Consent is effective for the purposes set forth herein and shall be limited precisely as written and shall not be deemed to (a) be a</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17" w:lineRule="exact"/>
        <w:rPr>
          <w:sz w:val="20"/>
          <w:szCs w:val="20"/>
          <w:color w:val="auto"/>
        </w:rPr>
      </w:pPr>
    </w:p>
    <w:p>
      <w:pPr>
        <w:jc w:val="both"/>
        <w:ind w:firstLine="1017"/>
        <w:spacing w:after="0" w:line="282" w:lineRule="auto"/>
        <w:rPr>
          <w:sz w:val="20"/>
          <w:szCs w:val="20"/>
          <w:color w:val="auto"/>
        </w:rPr>
      </w:pPr>
      <w:r>
        <w:rPr>
          <w:rFonts w:ascii="Arial" w:cs="Arial" w:eastAsia="Arial" w:hAnsi="Arial"/>
          <w:sz w:val="14"/>
          <w:szCs w:val="14"/>
          <w:b w:val="1"/>
          <w:bCs w:val="1"/>
          <w:color w:val="auto"/>
        </w:rPr>
        <w:t xml:space="preserve">4.2 </w:t>
      </w:r>
      <w:r>
        <w:rPr>
          <w:rFonts w:ascii="Arial" w:cs="Arial" w:eastAsia="Arial" w:hAnsi="Arial"/>
          <w:sz w:val="14"/>
          <w:szCs w:val="14"/>
          <w:color w:val="auto"/>
        </w:rPr>
        <w:t>This Default Waiver and Consent shall be construed in connection with and as part of the Loan Documents, and all terms, conditions, representations,</w:t>
      </w:r>
      <w:r>
        <w:rPr>
          <w:rFonts w:ascii="Arial" w:cs="Arial" w:eastAsia="Arial" w:hAnsi="Arial"/>
          <w:sz w:val="14"/>
          <w:szCs w:val="14"/>
          <w:b w:val="1"/>
          <w:bCs w:val="1"/>
          <w:color w:val="auto"/>
        </w:rPr>
        <w:t xml:space="preserve"> </w:t>
      </w:r>
      <w:r>
        <w:rPr>
          <w:rFonts w:ascii="Arial" w:cs="Arial" w:eastAsia="Arial" w:hAnsi="Arial"/>
          <w:sz w:val="14"/>
          <w:szCs w:val="14"/>
          <w:color w:val="auto"/>
        </w:rPr>
        <w:t>warranties, covenants and agreements set forth in the Loan Documents are hereby ratified and confirmed and shall remain in full force and effect.</w:t>
      </w:r>
    </w:p>
    <w:p>
      <w:pPr>
        <w:spacing w:after="0" w:line="88" w:lineRule="exact"/>
        <w:rPr>
          <w:sz w:val="20"/>
          <w:szCs w:val="20"/>
          <w:color w:val="auto"/>
        </w:rPr>
      </w:pPr>
    </w:p>
    <w:p>
      <w:pPr>
        <w:ind w:left="1020" w:hanging="507"/>
        <w:spacing w:after="0"/>
        <w:tabs>
          <w:tab w:leader="none" w:pos="10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Representations and Warranties. </w:t>
      </w:r>
      <w:r>
        <w:rPr>
          <w:rFonts w:ascii="Arial" w:cs="Arial" w:eastAsia="Arial" w:hAnsi="Arial"/>
          <w:sz w:val="16"/>
          <w:szCs w:val="16"/>
          <w:color w:val="auto"/>
        </w:rPr>
        <w:t>Borrower represents and warrants to Bank as follows:</w:t>
      </w:r>
    </w:p>
    <w:p>
      <w:pPr>
        <w:spacing w:after="0" w:line="134"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color w:val="auto"/>
        </w:rPr>
        <w:t>(a) the representations and warranties contained in the Loan Documents are true, accurate and complete in all material respects as of the date hereof (except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such representations and warranties relate to an earlier date, in which case they are true and correct as of such date), and (b) no Event of Default other than the Waived Default has occurred and is continuing;</w:t>
      </w:r>
    </w:p>
    <w:p>
      <w:pPr>
        <w:spacing w:after="0" w:line="117"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color w:val="auto"/>
        </w:rPr>
        <w:t>Borrower has the power and authority to execute and deliver this Default Waiver and Consent and to perform its obligations under the Loan Agreement;</w:t>
      </w:r>
    </w:p>
    <w:p>
      <w:pPr>
        <w:spacing w:after="0" w:line="134" w:lineRule="exact"/>
        <w:rPr>
          <w:sz w:val="20"/>
          <w:szCs w:val="20"/>
          <w:color w:val="auto"/>
        </w:rPr>
      </w:pPr>
    </w:p>
    <w:p>
      <w:pPr>
        <w:jc w:val="both"/>
        <w:ind w:firstLine="1017"/>
        <w:spacing w:after="0" w:line="228"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color w:val="auto"/>
        </w:rPr>
        <w:t>The organizational documents of Borrower delivered to Bank on or prior to the date hereof remain true, accurate and complete and have not been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or restated and are and continue to be in full force and effect;</w:t>
      </w:r>
    </w:p>
    <w:p>
      <w:pPr>
        <w:spacing w:after="0" w:line="116" w:lineRule="exact"/>
        <w:rPr>
          <w:sz w:val="20"/>
          <w:szCs w:val="20"/>
          <w:color w:val="auto"/>
        </w:rPr>
      </w:pPr>
    </w:p>
    <w:p>
      <w:pPr>
        <w:jc w:val="both"/>
        <w:ind w:firstLine="1017"/>
        <w:spacing w:after="0" w:line="228"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color w:val="auto"/>
        </w:rPr>
        <w:t>The execution and delivery by Borrower of this Default Waiver and Consent and the performance by Borrower of its obligations under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authorized by all necessary action on the part of Borrower;</w:t>
      </w:r>
    </w:p>
    <w:p>
      <w:pPr>
        <w:spacing w:after="0" w:line="116" w:lineRule="exact"/>
        <w:rPr>
          <w:sz w:val="20"/>
          <w:szCs w:val="20"/>
          <w:color w:val="auto"/>
        </w:rPr>
      </w:pPr>
    </w:p>
    <w:p>
      <w:pPr>
        <w:jc w:val="both"/>
        <w:ind w:firstLine="1017"/>
        <w:spacing w:after="0" w:line="251" w:lineRule="auto"/>
        <w:rPr>
          <w:sz w:val="20"/>
          <w:szCs w:val="20"/>
          <w:color w:val="auto"/>
        </w:rPr>
      </w:pPr>
      <w:r>
        <w:rPr>
          <w:rFonts w:ascii="Arial" w:cs="Arial" w:eastAsia="Arial" w:hAnsi="Arial"/>
          <w:sz w:val="14"/>
          <w:szCs w:val="14"/>
          <w:b w:val="1"/>
          <w:bCs w:val="1"/>
          <w:color w:val="auto"/>
        </w:rPr>
        <w:t xml:space="preserve">5.5 </w:t>
      </w:r>
      <w:r>
        <w:rPr>
          <w:rFonts w:ascii="Arial" w:cs="Arial" w:eastAsia="Arial" w:hAnsi="Arial"/>
          <w:sz w:val="14"/>
          <w:szCs w:val="14"/>
          <w:color w:val="auto"/>
        </w:rPr>
        <w:t>The execution and delivery by Borrower of this Default Waiver and Consent and the performance by Borrower of its obligations under the Loan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09"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color w:val="auto"/>
        </w:rPr>
        <w:t>The execution and delivery by Borrower of this Default Waiver and Consent and the performance by Borrower of its obligations under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17" w:lineRule="exact"/>
        <w:rPr>
          <w:sz w:val="20"/>
          <w:szCs w:val="20"/>
          <w:color w:val="auto"/>
        </w:rPr>
      </w:pPr>
    </w:p>
    <w:p>
      <w:pPr>
        <w:jc w:val="both"/>
        <w:ind w:firstLine="1017"/>
        <w:spacing w:after="0" w:line="216"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color w:val="auto"/>
        </w:rPr>
        <w:t>This Default Waiver and Consent has been duly executed and delivered by Borrower and is the binding obligation of Borrower, enforceable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17" w:lineRule="exact"/>
        <w:rPr>
          <w:sz w:val="20"/>
          <w:szCs w:val="20"/>
          <w:color w:val="auto"/>
        </w:rPr>
      </w:pPr>
    </w:p>
    <w:p>
      <w:pPr>
        <w:jc w:val="both"/>
        <w:ind w:firstLine="513"/>
        <w:spacing w:after="0" w:line="241" w:lineRule="auto"/>
        <w:tabs>
          <w:tab w:leader="none" w:pos="1016"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Ratification of Perfection Certificate</w:t>
      </w:r>
      <w:r>
        <w:rPr>
          <w:rFonts w:ascii="Arial" w:cs="Arial" w:eastAsia="Arial" w:hAnsi="Arial"/>
          <w:sz w:val="14"/>
          <w:szCs w:val="14"/>
          <w:color w:val="auto"/>
        </w:rPr>
        <w:t>. Borrower hereby ratifies, confirms and reaffirms, all and singular, the terms and disclosures contained in a certain</w:t>
      </w:r>
      <w:r>
        <w:rPr>
          <w:rFonts w:ascii="Arial" w:cs="Arial" w:eastAsia="Arial" w:hAnsi="Arial"/>
          <w:sz w:val="14"/>
          <w:szCs w:val="14"/>
          <w:b w:val="1"/>
          <w:bCs w:val="1"/>
          <w:color w:val="auto"/>
        </w:rPr>
        <w:t xml:space="preserve"> </w:t>
      </w:r>
      <w:r>
        <w:rPr>
          <w:rFonts w:ascii="Arial" w:cs="Arial" w:eastAsia="Arial" w:hAnsi="Arial"/>
          <w:sz w:val="14"/>
          <w:szCs w:val="14"/>
          <w:color w:val="auto"/>
        </w:rPr>
        <w:t>Perfection Certificate dated on or prior to the Effective Date, as supplemented by a First Supplement, dated as of July 25, 2018, a Second Supplement, dated as of July 25, 2018 a Third Supplement, dated as of August 28, 2019, a Fourth Supplement, dated as of April 21, 2020, and a Fifth Supplement, dated as of July 20, 2021 and as supplemented by all other notices to the Bank under the Loan Agreement changing any such information previously provided, and acknowledges, confirms and agrees that the disclosures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27" w:right="319" w:bottom="1440" w:gutter="0" w:footer="0" w:header="0"/>
        </w:sectPr>
      </w:pPr>
    </w:p>
    <w:bookmarkStart w:id="175" w:name="page176"/>
    <w:bookmarkEnd w:id="175"/>
    <w:p>
      <w:pPr>
        <w:spacing w:after="0" w:line="273" w:lineRule="auto"/>
        <w:rPr>
          <w:sz w:val="20"/>
          <w:szCs w:val="20"/>
          <w:color w:val="auto"/>
        </w:rPr>
      </w:pPr>
      <w:r>
        <w:rPr>
          <w:rFonts w:ascii="Arial" w:cs="Arial" w:eastAsia="Arial" w:hAnsi="Arial"/>
          <w:sz w:val="14"/>
          <w:szCs w:val="14"/>
          <w:color w:val="auto"/>
        </w:rPr>
        <w:t>Borrower provided to Bank in such Perfection Certificate, as supplemented, have not changed, as of the date hereof, in any material respect except for (i) average monthly bank balances which change from time to time, and (ii) changes in litigation set forth in Borrower’s periodic filings with the Securities and Exchange Commission from time to time.</w:t>
      </w:r>
    </w:p>
    <w:p>
      <w:pPr>
        <w:spacing w:after="0" w:line="94" w:lineRule="exact"/>
        <w:rPr>
          <w:sz w:val="20"/>
          <w:szCs w:val="20"/>
          <w:color w:val="auto"/>
        </w:rPr>
      </w:pPr>
    </w:p>
    <w:p>
      <w:pPr>
        <w:jc w:val="both"/>
        <w:ind w:firstLine="513"/>
        <w:spacing w:after="0" w:line="216" w:lineRule="auto"/>
        <w:tabs>
          <w:tab w:leader="none" w:pos="1016"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Integration</w:t>
      </w:r>
      <w:r>
        <w:rPr>
          <w:rFonts w:ascii="Arial" w:cs="Arial" w:eastAsia="Arial" w:hAnsi="Arial"/>
          <w:sz w:val="16"/>
          <w:szCs w:val="16"/>
          <w:color w:val="auto"/>
        </w:rPr>
        <w:t>. This Default Waiver and Consent and the Loan Documents represent the entire agreement about this subject matter and supersede prior negotiations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All prior agreements, understandings, representations, warranties, and negotiations between the parties about the subject matter of this Default Waiver and Consent and the Loan Documents merge into this Default Waiver and Consent and the Loan Documents.</w:t>
      </w:r>
    </w:p>
    <w:p>
      <w:pPr>
        <w:spacing w:after="0" w:line="117" w:lineRule="exact"/>
        <w:rPr>
          <w:rFonts w:ascii="Arial" w:cs="Arial" w:eastAsia="Arial" w:hAnsi="Arial"/>
          <w:sz w:val="16"/>
          <w:szCs w:val="16"/>
          <w:b w:val="1"/>
          <w:bCs w:val="1"/>
          <w:color w:val="auto"/>
        </w:rPr>
      </w:pPr>
    </w:p>
    <w:p>
      <w:pPr>
        <w:ind w:firstLine="513"/>
        <w:spacing w:after="0" w:line="228" w:lineRule="auto"/>
        <w:tabs>
          <w:tab w:leader="none" w:pos="1016"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Default Waiver and Consent may be executed in any number of counterparts and all of such counterparts taken together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and the same instrument.</w:t>
      </w:r>
    </w:p>
    <w:p>
      <w:pPr>
        <w:spacing w:after="0" w:line="116" w:lineRule="exact"/>
        <w:rPr>
          <w:rFonts w:ascii="Arial" w:cs="Arial" w:eastAsia="Arial" w:hAnsi="Arial"/>
          <w:sz w:val="16"/>
          <w:szCs w:val="16"/>
          <w:b w:val="1"/>
          <w:bCs w:val="1"/>
          <w:color w:val="auto"/>
        </w:rPr>
      </w:pPr>
    </w:p>
    <w:p>
      <w:pPr>
        <w:jc w:val="both"/>
        <w:ind w:firstLine="513"/>
        <w:spacing w:after="0" w:line="216" w:lineRule="auto"/>
        <w:tabs>
          <w:tab w:leader="none" w:pos="1016"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to Effectiveness</w:t>
      </w:r>
      <w:r>
        <w:rPr>
          <w:rFonts w:ascii="Arial" w:cs="Arial" w:eastAsia="Arial" w:hAnsi="Arial"/>
          <w:sz w:val="16"/>
          <w:szCs w:val="16"/>
          <w:color w:val="auto"/>
        </w:rPr>
        <w:t>. The parties agree that this Default Waiver and Consent shall be effective upon (a) the due execution and delivery to Bank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Waiver and Consent by each party hereto and (b) Borrower’s payment of all Bank Expenses due and owing as of the date hereof, which may be debited from any of Borrower’s accounts at Bank.</w:t>
      </w:r>
    </w:p>
    <w:p>
      <w:pPr>
        <w:spacing w:after="0" w:line="117" w:lineRule="exact"/>
        <w:rPr>
          <w:rFonts w:ascii="Arial" w:cs="Arial" w:eastAsia="Arial" w:hAnsi="Arial"/>
          <w:sz w:val="16"/>
          <w:szCs w:val="16"/>
          <w:b w:val="1"/>
          <w:bCs w:val="1"/>
          <w:color w:val="auto"/>
        </w:rPr>
      </w:pPr>
    </w:p>
    <w:p>
      <w:pPr>
        <w:ind w:left="1020" w:hanging="507"/>
        <w:spacing w:after="0"/>
        <w:tabs>
          <w:tab w:leader="none" w:pos="102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134" w:lineRule="exact"/>
        <w:rPr>
          <w:sz w:val="20"/>
          <w:szCs w:val="20"/>
          <w:color w:val="auto"/>
        </w:rPr>
      </w:pPr>
    </w:p>
    <w:p>
      <w:pPr>
        <w:jc w:val="both"/>
        <w:ind w:firstLine="1017"/>
        <w:spacing w:after="0" w:line="251" w:lineRule="auto"/>
        <w:rPr>
          <w:sz w:val="20"/>
          <w:szCs w:val="20"/>
          <w:color w:val="auto"/>
        </w:rPr>
      </w:pPr>
      <w:r>
        <w:rPr>
          <w:rFonts w:ascii="Arial" w:cs="Arial" w:eastAsia="Arial" w:hAnsi="Arial"/>
          <w:sz w:val="14"/>
          <w:szCs w:val="14"/>
          <w:b w:val="1"/>
          <w:bCs w:val="1"/>
          <w:color w:val="auto"/>
        </w:rPr>
        <w:t xml:space="preserve">10.1 </w:t>
      </w:r>
      <w:r>
        <w:rPr>
          <w:rFonts w:ascii="Arial" w:cs="Arial" w:eastAsia="Arial" w:hAnsi="Arial"/>
          <w:sz w:val="14"/>
          <w:szCs w:val="14"/>
          <w:color w:val="auto"/>
        </w:rPr>
        <w:t>This Default Waiver and Consent shall constitute a Loan Document under the Loan Agreement; the failure to comply with the covenants contained herein</w:t>
      </w:r>
      <w:r>
        <w:rPr>
          <w:rFonts w:ascii="Arial" w:cs="Arial" w:eastAsia="Arial" w:hAnsi="Arial"/>
          <w:sz w:val="14"/>
          <w:szCs w:val="14"/>
          <w:b w:val="1"/>
          <w:bCs w:val="1"/>
          <w:color w:val="auto"/>
        </w:rPr>
        <w:t xml:space="preserve"> </w:t>
      </w:r>
      <w:r>
        <w:rPr>
          <w:rFonts w:ascii="Arial" w:cs="Arial" w:eastAsia="Arial" w:hAnsi="Arial"/>
          <w:sz w:val="14"/>
          <w:szCs w:val="14"/>
          <w:color w:val="auto"/>
        </w:rPr>
        <w:t>shall constitute an Event of Default under the Loan Agreement; and all obligations included in this Default Waiver and Consent (including, without limitation, all obligations for the payment of principal, interest, fees, and other amounts and expenses) shall constitute obligations under the Loan Agreement and secured by the Collateral.</w:t>
      </w:r>
    </w:p>
    <w:p>
      <w:pPr>
        <w:spacing w:after="0" w:line="109"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4"/>
          <w:szCs w:val="14"/>
          <w:color w:val="auto"/>
        </w:rPr>
        <w:t>Each provision of this Default Waiver and Consent is severable from every other provision in determining the enforceability of any provision.</w:t>
      </w:r>
    </w:p>
    <w:p>
      <w:pPr>
        <w:spacing w:after="0" w:line="134"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4"/>
          <w:szCs w:val="14"/>
          <w:color w:val="auto"/>
        </w:rPr>
        <w:t>This Default Waiver and Consent shall serve as notice to any holders of Subordinated Debt that the Waived Default has been waived by Bank.</w:t>
      </w:r>
    </w:p>
    <w:p>
      <w:pPr>
        <w:spacing w:after="0" w:line="134" w:lineRule="exact"/>
        <w:rPr>
          <w:sz w:val="20"/>
          <w:szCs w:val="20"/>
          <w:color w:val="auto"/>
        </w:rPr>
      </w:pPr>
    </w:p>
    <w:p>
      <w:pPr>
        <w:ind w:firstLine="513"/>
        <w:spacing w:after="0" w:line="228" w:lineRule="auto"/>
        <w:tabs>
          <w:tab w:leader="none" w:pos="1001"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Default Waiver and Consent and the rights and obligations of the parties hereto shall be governed by and construed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California.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Balance of Page Intentionally Left Blank</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33" w:right="319" w:bottom="1440" w:gutter="0" w:footer="0" w:header="0"/>
        </w:sectPr>
      </w:pPr>
    </w:p>
    <w:bookmarkStart w:id="176" w:name="page177"/>
    <w:bookmarkEnd w:id="176"/>
    <w:p>
      <w:pPr>
        <w:ind w:left="500"/>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parties hereto have caused this Default Waiver and Consent to be duly executed and delivered as of the date first written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60" w:type="dxa"/>
            <w:vAlign w:val="bottom"/>
            <w:gridSpan w:val="6"/>
          </w:tcPr>
          <w:p>
            <w:pPr>
              <w:spacing w:after="0"/>
              <w:rPr>
                <w:sz w:val="20"/>
                <w:szCs w:val="20"/>
                <w:color w:val="auto"/>
              </w:rPr>
            </w:pPr>
            <w:r>
              <w:rPr>
                <w:rFonts w:ascii="Arial" w:cs="Arial" w:eastAsia="Arial" w:hAnsi="Arial"/>
                <w:sz w:val="16"/>
                <w:szCs w:val="16"/>
                <w:b w:val="1"/>
                <w:bCs w:val="1"/>
                <w:color w:val="auto"/>
              </w:rPr>
              <w:t>BANK</w:t>
            </w:r>
          </w:p>
        </w:tc>
        <w:tc>
          <w:tcPr>
            <w:tcW w:w="3800" w:type="dxa"/>
            <w:vAlign w:val="bottom"/>
            <w:gridSpan w:val="6"/>
          </w:tcPr>
          <w:p>
            <w:pPr>
              <w:ind w:left="1740"/>
              <w:spacing w:after="0"/>
              <w:rPr>
                <w:sz w:val="20"/>
                <w:szCs w:val="20"/>
                <w:color w:val="auto"/>
              </w:rPr>
            </w:pPr>
            <w:r>
              <w:rPr>
                <w:rFonts w:ascii="Arial" w:cs="Arial" w:eastAsia="Arial" w:hAnsi="Arial"/>
                <w:sz w:val="16"/>
                <w:szCs w:val="16"/>
                <w:b w:val="1"/>
                <w:bCs w:val="1"/>
                <w:color w:val="auto"/>
              </w:rPr>
              <w:t>BORROWER</w:t>
            </w:r>
          </w:p>
        </w:tc>
      </w:tr>
      <w:tr>
        <w:trPr>
          <w:trHeight w:val="381"/>
        </w:trPr>
        <w:tc>
          <w:tcPr>
            <w:tcW w:w="3560" w:type="dxa"/>
            <w:vAlign w:val="bottom"/>
            <w:gridSpan w:val="6"/>
          </w:tcPr>
          <w:p>
            <w:pPr>
              <w:ind w:left="40"/>
              <w:spacing w:after="0"/>
              <w:rPr>
                <w:sz w:val="20"/>
                <w:szCs w:val="20"/>
                <w:color w:val="auto"/>
              </w:rPr>
            </w:pPr>
            <w:r>
              <w:rPr>
                <w:rFonts w:ascii="Arial" w:cs="Arial" w:eastAsia="Arial" w:hAnsi="Arial"/>
                <w:sz w:val="16"/>
                <w:szCs w:val="16"/>
                <w:b w:val="1"/>
                <w:bCs w:val="1"/>
                <w:color w:val="auto"/>
              </w:rPr>
              <w:t>SILICON VALLEY BANK</w:t>
            </w:r>
          </w:p>
        </w:tc>
        <w:tc>
          <w:tcPr>
            <w:tcW w:w="3800" w:type="dxa"/>
            <w:vAlign w:val="bottom"/>
            <w:gridSpan w:val="6"/>
          </w:tcPr>
          <w:p>
            <w:pPr>
              <w:ind w:left="1780"/>
              <w:spacing w:after="0"/>
              <w:rPr>
                <w:sz w:val="20"/>
                <w:szCs w:val="20"/>
                <w:color w:val="auto"/>
              </w:rPr>
            </w:pPr>
            <w:r>
              <w:rPr>
                <w:rFonts w:ascii="Arial" w:cs="Arial" w:eastAsia="Arial" w:hAnsi="Arial"/>
                <w:sz w:val="16"/>
                <w:szCs w:val="16"/>
                <w:b w:val="1"/>
                <w:bCs w:val="1"/>
                <w:color w:val="auto"/>
                <w:w w:val="99"/>
              </w:rPr>
              <w:t>FLUIDIGM CORPORATION</w:t>
            </w:r>
          </w:p>
        </w:tc>
      </w:tr>
      <w:tr>
        <w:trPr>
          <w:trHeight w:val="388"/>
        </w:trPr>
        <w:tc>
          <w:tcPr>
            <w:tcW w:w="3560" w:type="dxa"/>
            <w:vAlign w:val="bottom"/>
            <w:gridSpan w:val="6"/>
          </w:tcPr>
          <w:p>
            <w:pPr>
              <w:ind w:left="40"/>
              <w:spacing w:after="0"/>
              <w:rPr>
                <w:sz w:val="20"/>
                <w:szCs w:val="20"/>
                <w:color w:val="auto"/>
              </w:rPr>
            </w:pPr>
            <w:r>
              <w:rPr>
                <w:rFonts w:ascii="Arial" w:cs="Arial" w:eastAsia="Arial" w:hAnsi="Arial"/>
                <w:sz w:val="16"/>
                <w:szCs w:val="16"/>
                <w:color w:val="auto"/>
              </w:rPr>
              <w:t>By: /s/ Kristina Peralta</w:t>
            </w:r>
          </w:p>
        </w:tc>
        <w:tc>
          <w:tcPr>
            <w:tcW w:w="3800" w:type="dxa"/>
            <w:vAlign w:val="bottom"/>
            <w:gridSpan w:val="6"/>
          </w:tcPr>
          <w:p>
            <w:pPr>
              <w:ind w:left="1780"/>
              <w:spacing w:after="0"/>
              <w:rPr>
                <w:sz w:val="20"/>
                <w:szCs w:val="20"/>
                <w:color w:val="auto"/>
              </w:rPr>
            </w:pPr>
            <w:r>
              <w:rPr>
                <w:rFonts w:ascii="Arial" w:cs="Arial" w:eastAsia="Arial" w:hAnsi="Arial"/>
                <w:sz w:val="16"/>
                <w:szCs w:val="16"/>
                <w:color w:val="auto"/>
              </w:rPr>
              <w:t>By: /s/ Vikram Jog</w:t>
            </w:r>
          </w:p>
        </w:tc>
      </w:tr>
      <w:tr>
        <w:trPr>
          <w:trHeight w:val="20"/>
        </w:trPr>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3560" w:type="dxa"/>
            <w:vAlign w:val="bottom"/>
            <w:gridSpan w:val="6"/>
          </w:tcPr>
          <w:p>
            <w:pPr>
              <w:ind w:left="40"/>
              <w:spacing w:after="0"/>
              <w:rPr>
                <w:sz w:val="20"/>
                <w:szCs w:val="20"/>
                <w:color w:val="auto"/>
              </w:rPr>
            </w:pPr>
            <w:r>
              <w:rPr>
                <w:rFonts w:ascii="Arial" w:cs="Arial" w:eastAsia="Arial" w:hAnsi="Arial"/>
                <w:sz w:val="16"/>
                <w:szCs w:val="16"/>
                <w:color w:val="auto"/>
              </w:rPr>
              <w:t>Name: Kristina Peralta</w:t>
            </w:r>
          </w:p>
        </w:tc>
        <w:tc>
          <w:tcPr>
            <w:tcW w:w="3800" w:type="dxa"/>
            <w:vAlign w:val="bottom"/>
            <w:gridSpan w:val="6"/>
          </w:tcPr>
          <w:p>
            <w:pPr>
              <w:ind w:left="1780"/>
              <w:spacing w:after="0"/>
              <w:rPr>
                <w:sz w:val="20"/>
                <w:szCs w:val="20"/>
                <w:color w:val="auto"/>
              </w:rPr>
            </w:pPr>
            <w:r>
              <w:rPr>
                <w:rFonts w:ascii="Arial" w:cs="Arial" w:eastAsia="Arial" w:hAnsi="Arial"/>
                <w:sz w:val="16"/>
                <w:szCs w:val="16"/>
                <w:color w:val="auto"/>
              </w:rPr>
              <w:t>Name: Vikram Jog</w:t>
            </w:r>
          </w:p>
        </w:tc>
      </w:tr>
      <w:tr>
        <w:trPr>
          <w:trHeight w:val="20"/>
        </w:trPr>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8"/>
        </w:trPr>
        <w:tc>
          <w:tcPr>
            <w:tcW w:w="3560" w:type="dxa"/>
            <w:vAlign w:val="bottom"/>
            <w:gridSpan w:val="6"/>
          </w:tcPr>
          <w:p>
            <w:pPr>
              <w:ind w:left="40"/>
              <w:spacing w:after="0"/>
              <w:rPr>
                <w:sz w:val="20"/>
                <w:szCs w:val="20"/>
                <w:color w:val="auto"/>
              </w:rPr>
            </w:pPr>
            <w:r>
              <w:rPr>
                <w:rFonts w:ascii="Arial" w:cs="Arial" w:eastAsia="Arial" w:hAnsi="Arial"/>
                <w:sz w:val="16"/>
                <w:szCs w:val="16"/>
                <w:color w:val="auto"/>
              </w:rPr>
              <w:t>Title: Vice President</w:t>
            </w:r>
          </w:p>
        </w:tc>
        <w:tc>
          <w:tcPr>
            <w:tcW w:w="3800" w:type="dxa"/>
            <w:vAlign w:val="bottom"/>
            <w:gridSpan w:val="6"/>
          </w:tcPr>
          <w:p>
            <w:pPr>
              <w:ind w:left="1780"/>
              <w:spacing w:after="0"/>
              <w:rPr>
                <w:sz w:val="20"/>
                <w:szCs w:val="20"/>
                <w:color w:val="auto"/>
              </w:rPr>
            </w:pPr>
            <w:r>
              <w:rPr>
                <w:rFonts w:ascii="Arial" w:cs="Arial" w:eastAsia="Arial" w:hAnsi="Arial"/>
                <w:sz w:val="16"/>
                <w:szCs w:val="16"/>
                <w:color w:val="auto"/>
              </w:rPr>
              <w:t>Title: Chief Financial Officer</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Signature Page to Default Waiver and Consent to Loan and Security Agreement</w:t>
      </w:r>
      <w:r>
        <w:rPr>
          <w:rFonts w:ascii="Arial" w:cs="Arial" w:eastAsia="Arial" w:hAnsi="Arial"/>
          <w:sz w:val="16"/>
          <w:szCs w:val="16"/>
          <w:b w:val="1"/>
          <w:bCs w:val="1"/>
          <w:color w:val="auto"/>
        </w:rPr>
        <w:t>]</w:t>
      </w:r>
    </w:p>
    <w:p>
      <w:pPr>
        <w:sectPr>
          <w:pgSz w:w="11900" w:h="16838" w:orient="portrait"/>
          <w:cols w:equalWidth="0" w:num="1">
            <w:col w:w="10139"/>
          </w:cols>
          <w:pgMar w:left="320" w:top="1127"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6"/>
          <w:szCs w:val="16"/>
          <w:b w:val="1"/>
          <w:bCs w:val="1"/>
          <w:u w:val="single" w:color="auto"/>
          <w:color w:val="auto"/>
        </w:rPr>
        <w:t>ANNEX I</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2021 PROMISSORY NOTE</w:t>
      </w:r>
    </w:p>
    <w:p>
      <w:pPr>
        <w:sectPr>
          <w:pgSz w:w="11900" w:h="16838" w:orient="portrait"/>
          <w:cols w:equalWidth="0" w:num="1">
            <w:col w:w="9019"/>
          </w:cols>
          <w:pgMar w:left="1440" w:top="1127" w:right="1440"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t>December __, 2021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rPr>
          <w:sz w:val="20"/>
          <w:szCs w:val="20"/>
          <w:color w:val="auto"/>
        </w:rPr>
      </w:pPr>
      <w:r>
        <w:rPr>
          <w:rFonts w:ascii="Arial" w:cs="Arial" w:eastAsia="Arial" w:hAnsi="Arial"/>
          <w:sz w:val="16"/>
          <w:szCs w:val="16"/>
          <w:color w:val="auto"/>
        </w:rPr>
        <w:t>Fluidigm Corporation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rPr>
          <w:sz w:val="20"/>
          <w:szCs w:val="20"/>
          <w:color w:val="auto"/>
        </w:rPr>
      </w:pPr>
      <w:r>
        <w:rPr>
          <w:rFonts w:ascii="Arial" w:cs="Arial" w:eastAsia="Arial" w:hAnsi="Arial"/>
          <w:sz w:val="16"/>
          <w:szCs w:val="16"/>
          <w:color w:val="auto"/>
        </w:rPr>
        <w:t>Fluidigm Singapore Pte Ltd</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Dear Sirs/Madam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Promissory Note between Fluidigm Corporation and Fluidigm Singapore Pte Ltd</w:t>
      </w:r>
    </w:p>
    <w:p>
      <w:pPr>
        <w:spacing w:after="0" w:line="91" w:lineRule="exact"/>
        <w:rPr>
          <w:sz w:val="20"/>
          <w:szCs w:val="20"/>
          <w:color w:val="auto"/>
        </w:rPr>
      </w:pPr>
    </w:p>
    <w:p>
      <w:pPr>
        <w:ind w:left="260" w:hanging="255"/>
        <w:spacing w:after="0" w:line="236" w:lineRule="auto"/>
        <w:tabs>
          <w:tab w:leader="none" w:pos="26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Fluidigm Corporation and Fluidigm Singapore Pte Ltd are parties to a promissory note with effective date 1 September 2020 (“</w:t>
      </w:r>
      <w:r>
        <w:rPr>
          <w:rFonts w:ascii="Arial" w:cs="Arial" w:eastAsia="Arial" w:hAnsi="Arial"/>
          <w:sz w:val="16"/>
          <w:szCs w:val="16"/>
          <w:b w:val="1"/>
          <w:bCs w:val="1"/>
          <w:color w:val="auto"/>
        </w:rPr>
        <w:t>2020 Note</w:t>
      </w:r>
      <w:r>
        <w:rPr>
          <w:rFonts w:ascii="Arial" w:cs="Arial" w:eastAsia="Arial" w:hAnsi="Arial"/>
          <w:sz w:val="16"/>
          <w:szCs w:val="16"/>
          <w:color w:val="auto"/>
        </w:rPr>
        <w:t>”) pursuant to which Fluidigm Corporation agreed to lend Fluidigm Singapore Pte Ltd a total amount not exceeding US$32,000,000.</w:t>
      </w:r>
    </w:p>
    <w:p>
      <w:pPr>
        <w:spacing w:after="0" w:line="262" w:lineRule="exact"/>
        <w:rPr>
          <w:rFonts w:ascii="Arial" w:cs="Arial" w:eastAsia="Arial" w:hAnsi="Arial"/>
          <w:sz w:val="16"/>
          <w:szCs w:val="16"/>
          <w:color w:val="auto"/>
        </w:rPr>
      </w:pPr>
    </w:p>
    <w:p>
      <w:pPr>
        <w:ind w:left="260" w:hanging="255"/>
        <w:spacing w:after="0"/>
        <w:tabs>
          <w:tab w:leader="none" w:pos="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We agree that the outstanding principal of the 2020 Note and all unpaid interest accrued under the 2020 Note are as set out below (collectively, the “</w:t>
      </w:r>
      <w:r>
        <w:rPr>
          <w:rFonts w:ascii="Arial" w:cs="Arial" w:eastAsia="Arial" w:hAnsi="Arial"/>
          <w:sz w:val="16"/>
          <w:szCs w:val="16"/>
          <w:b w:val="1"/>
          <w:bCs w:val="1"/>
          <w:color w:val="auto"/>
        </w:rPr>
        <w:t>Debt</w:t>
      </w:r>
      <w:r>
        <w:rPr>
          <w:rFonts w:ascii="Arial" w:cs="Arial" w:eastAsia="Arial" w:hAnsi="Arial"/>
          <w:sz w:val="16"/>
          <w:szCs w:val="16"/>
          <w:color w:val="auto"/>
        </w:rPr>
        <w:t>”):</w:t>
      </w:r>
    </w:p>
    <w:p>
      <w:pPr>
        <w:spacing w:after="0" w:line="289" w:lineRule="exact"/>
        <w:rPr>
          <w:rFonts w:ascii="Arial" w:cs="Arial" w:eastAsia="Arial" w:hAnsi="Arial"/>
          <w:sz w:val="16"/>
          <w:szCs w:val="16"/>
          <w:color w:val="auto"/>
        </w:rPr>
      </w:pPr>
    </w:p>
    <w:p>
      <w:pPr>
        <w:ind w:left="540" w:hanging="281"/>
        <w:spacing w:after="0"/>
        <w:tabs>
          <w:tab w:leader="none" w:pos="5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outstanding principal amount of the 2020 Note: US$22,400.000.00</w:t>
      </w:r>
    </w:p>
    <w:p>
      <w:pPr>
        <w:spacing w:after="0" w:line="281" w:lineRule="exact"/>
        <w:rPr>
          <w:rFonts w:ascii="Arial" w:cs="Arial" w:eastAsia="Arial" w:hAnsi="Arial"/>
          <w:sz w:val="16"/>
          <w:szCs w:val="16"/>
          <w:color w:val="auto"/>
        </w:rPr>
      </w:pPr>
    </w:p>
    <w:p>
      <w:pPr>
        <w:ind w:left="520" w:hanging="261"/>
        <w:spacing w:after="0"/>
        <w:tabs>
          <w:tab w:leader="none" w:pos="5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current interest payable: US$31,774.95</w:t>
      </w:r>
    </w:p>
    <w:p>
      <w:pPr>
        <w:spacing w:after="0" w:line="281" w:lineRule="exact"/>
        <w:rPr>
          <w:rFonts w:ascii="Arial" w:cs="Arial" w:eastAsia="Arial" w:hAnsi="Arial"/>
          <w:sz w:val="16"/>
          <w:szCs w:val="16"/>
          <w:color w:val="auto"/>
        </w:rPr>
      </w:pPr>
    </w:p>
    <w:p>
      <w:pPr>
        <w:ind w:left="260" w:hanging="255"/>
        <w:spacing w:after="0"/>
        <w:tabs>
          <w:tab w:leader="none" w:pos="2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We further agree that:</w:t>
      </w:r>
    </w:p>
    <w:p>
      <w:pPr>
        <w:spacing w:after="0" w:line="271" w:lineRule="exact"/>
        <w:rPr>
          <w:rFonts w:ascii="Arial" w:cs="Arial" w:eastAsia="Arial" w:hAnsi="Arial"/>
          <w:sz w:val="16"/>
          <w:szCs w:val="16"/>
          <w:color w:val="auto"/>
        </w:rPr>
      </w:pPr>
    </w:p>
    <w:p>
      <w:pPr>
        <w:ind w:left="520" w:hanging="261"/>
        <w:spacing w:after="0" w:line="225" w:lineRule="auto"/>
        <w:tabs>
          <w:tab w:leader="none" w:pos="5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Fluidigm Singapore Pte Ltd will utilise the amount of US$12,431,774.95, being part of the receivables amounting to US$14,000,000.00 and owing by Fluidigm Corporation to the Company, to offset part of the Debt;</w:t>
      </w:r>
    </w:p>
    <w:p>
      <w:pPr>
        <w:spacing w:after="0" w:line="261" w:lineRule="exact"/>
        <w:rPr>
          <w:rFonts w:ascii="Arial" w:cs="Arial" w:eastAsia="Arial" w:hAnsi="Arial"/>
          <w:sz w:val="16"/>
          <w:szCs w:val="16"/>
          <w:color w:val="auto"/>
        </w:rPr>
      </w:pPr>
    </w:p>
    <w:p>
      <w:pPr>
        <w:ind w:left="520" w:hanging="261"/>
        <w:spacing w:after="0"/>
        <w:tabs>
          <w:tab w:leader="none" w:pos="5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outstanding balance, amounting to US$10,000,000.00, of the Debt (“</w:t>
      </w:r>
      <w:r>
        <w:rPr>
          <w:rFonts w:ascii="Arial" w:cs="Arial" w:eastAsia="Arial" w:hAnsi="Arial"/>
          <w:sz w:val="16"/>
          <w:szCs w:val="16"/>
          <w:b w:val="1"/>
          <w:bCs w:val="1"/>
          <w:color w:val="auto"/>
        </w:rPr>
        <w:t>Outstanding Balance</w:t>
      </w:r>
      <w:r>
        <w:rPr>
          <w:rFonts w:ascii="Arial" w:cs="Arial" w:eastAsia="Arial" w:hAnsi="Arial"/>
          <w:sz w:val="16"/>
          <w:szCs w:val="16"/>
          <w:color w:val="auto"/>
        </w:rPr>
        <w:t>”) will be settled in full by:</w:t>
      </w:r>
    </w:p>
    <w:p>
      <w:pPr>
        <w:spacing w:after="0" w:line="299" w:lineRule="exact"/>
        <w:rPr>
          <w:rFonts w:ascii="Arial" w:cs="Arial" w:eastAsia="Arial" w:hAnsi="Arial"/>
          <w:sz w:val="16"/>
          <w:szCs w:val="16"/>
          <w:color w:val="auto"/>
        </w:rPr>
      </w:pPr>
    </w:p>
    <w:p>
      <w:pPr>
        <w:ind w:left="1020" w:hanging="507"/>
        <w:spacing w:after="0" w:line="219" w:lineRule="auto"/>
        <w:tabs>
          <w:tab w:leader="none" w:pos="85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 xml:space="preserve">Fluidigm Singapore Pte Ltd issuing a new promissory note effective from 30 December 2021, in the form attached in </w:t>
      </w:r>
      <w:r>
        <w:rPr>
          <w:rFonts w:ascii="Arial" w:cs="Arial" w:eastAsia="Arial" w:hAnsi="Arial"/>
          <w:sz w:val="16"/>
          <w:szCs w:val="16"/>
          <w:u w:val="single" w:color="auto"/>
          <w:color w:val="auto"/>
        </w:rPr>
        <w:t>Annex 1</w:t>
      </w:r>
      <w:r>
        <w:rPr>
          <w:rFonts w:ascii="Arial" w:cs="Arial" w:eastAsia="Arial" w:hAnsi="Arial"/>
          <w:sz w:val="16"/>
          <w:szCs w:val="16"/>
          <w:color w:val="auto"/>
        </w:rPr>
        <w:t>, to Fluidigm Corporation pursuant to which Fluidigm Corporation agrees to lend the Company a total amount not exceeding US$10,000,000.00 upon the terms and conditions as set out in the 2021 Note; and</w:t>
      </w:r>
    </w:p>
    <w:p>
      <w:pPr>
        <w:spacing w:after="0" w:line="269" w:lineRule="exact"/>
        <w:rPr>
          <w:rFonts w:ascii="Arial" w:cs="Arial" w:eastAsia="Arial" w:hAnsi="Arial"/>
          <w:sz w:val="16"/>
          <w:szCs w:val="16"/>
          <w:color w:val="auto"/>
        </w:rPr>
      </w:pPr>
    </w:p>
    <w:p>
      <w:pPr>
        <w:ind w:left="860" w:hanging="347"/>
        <w:spacing w:after="0"/>
        <w:tabs>
          <w:tab w:leader="none" w:pos="86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Fluidigm Corporation utilising the amount of US$10,000,000.00 under the 2021 Note to offset the Outstanding Balance; and</w:t>
      </w:r>
    </w:p>
    <w:p>
      <w:pPr>
        <w:spacing w:after="0" w:line="281" w:lineRule="exact"/>
        <w:rPr>
          <w:rFonts w:ascii="Arial" w:cs="Arial" w:eastAsia="Arial" w:hAnsi="Arial"/>
          <w:sz w:val="16"/>
          <w:szCs w:val="16"/>
          <w:color w:val="auto"/>
        </w:rPr>
      </w:pPr>
    </w:p>
    <w:p>
      <w:pPr>
        <w:ind w:left="520" w:hanging="261"/>
        <w:spacing w:after="0"/>
        <w:tabs>
          <w:tab w:leader="none" w:pos="52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2020 Note shall be terminated immediately upon the satisfaction of the Debt in accordance with the foregoing.</w:t>
      </w:r>
    </w:p>
    <w:p>
      <w:pPr>
        <w:sectPr>
          <w:pgSz w:w="11900" w:h="16838" w:orient="portrait"/>
          <w:cols w:equalWidth="0" w:num="1">
            <w:col w:w="11280"/>
          </w:cols>
          <w:pgMar w:left="300" w:top="1164" w:right="319" w:bottom="1440" w:gutter="0" w:footer="0" w:header="0"/>
        </w:sectPr>
      </w:pPr>
    </w:p>
    <w:bookmarkStart w:id="179" w:name="page180"/>
    <w:bookmarkEnd w:id="179"/>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Signed for and on behalf of:</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Nicholas 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57734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0">
                      <a:extLst>
                        <a:ext uri="{28A0092B-C50C-407E-A947-70E740481C1C}"/>
                      </a:extLst>
                    </a:blip>
                    <a:srcRect/>
                    <a:stretch>
                      <a:fillRect/>
                    </a:stretch>
                  </pic:blipFill>
                  <pic:spPr bwMode="auto">
                    <a:xfrm>
                      <a:off x="0" y="0"/>
                      <a:ext cx="1577340" cy="698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Nicholas S. Khadder</w:t>
      </w:r>
    </w:p>
    <w:p>
      <w:pPr>
        <w:spacing w:after="0"/>
        <w:rPr>
          <w:sz w:val="20"/>
          <w:szCs w:val="20"/>
          <w:color w:val="auto"/>
        </w:rPr>
      </w:pP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Signed for and on behalf of:</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Fluidigm Singapore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17030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1">
                      <a:extLst>
                        <a:ext uri="{28A0092B-C50C-407E-A947-70E740481C1C}"/>
                      </a:extLst>
                    </a:blip>
                    <a:srcRect/>
                    <a:stretch>
                      <a:fillRect/>
                    </a:stretch>
                  </pic:blipFill>
                  <pic:spPr bwMode="auto">
                    <a:xfrm>
                      <a:off x="0" y="0"/>
                      <a:ext cx="1170305" cy="698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Vikram Jog</w:t>
      </w:r>
    </w:p>
    <w:p>
      <w:pPr>
        <w:spacing w:after="0"/>
        <w:rPr>
          <w:sz w:val="20"/>
          <w:szCs w:val="20"/>
          <w:color w:val="auto"/>
        </w:rPr>
      </w:pPr>
      <w:r>
        <w:rPr>
          <w:rFonts w:ascii="Arial" w:cs="Arial" w:eastAsia="Arial" w:hAnsi="Arial"/>
          <w:sz w:val="16"/>
          <w:szCs w:val="16"/>
          <w:color w:val="auto"/>
        </w:rPr>
        <w:t>Director</w:t>
      </w:r>
    </w:p>
    <w:p>
      <w:pPr>
        <w:sectPr>
          <w:pgSz w:w="11900" w:h="16838" w:orient="portrait"/>
          <w:cols w:equalWidth="0" w:num="1">
            <w:col w:w="10159"/>
          </w:cols>
          <w:pgMar w:left="300" w:top="1440" w:right="1440" w:bottom="1440" w:gutter="0" w:footer="0" w:header="0"/>
        </w:sectPr>
      </w:pPr>
    </w:p>
    <w:bookmarkStart w:id="180" w:name="page181"/>
    <w:bookmarkEnd w:id="180"/>
    <w:p>
      <w:pPr>
        <w:jc w:val="center"/>
        <w:spacing w:after="0"/>
        <w:rPr>
          <w:sz w:val="20"/>
          <w:szCs w:val="20"/>
          <w:color w:val="auto"/>
        </w:rPr>
      </w:pPr>
      <w:r>
        <w:rPr>
          <w:rFonts w:ascii="Arial" w:cs="Arial" w:eastAsia="Arial" w:hAnsi="Arial"/>
          <w:sz w:val="16"/>
          <w:szCs w:val="16"/>
          <w:b w:val="1"/>
          <w:bCs w:val="1"/>
          <w:u w:val="single" w:color="auto"/>
          <w:color w:val="auto"/>
        </w:rPr>
        <w:t>ANNEX 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New Promissory Note</w:t>
      </w:r>
    </w:p>
    <w:p>
      <w:pPr>
        <w:sectPr>
          <w:pgSz w:w="11900" w:h="16838" w:orient="portrait"/>
          <w:cols w:equalWidth="0" w:num="1">
            <w:col w:w="9019"/>
          </w:cols>
          <w:pgMar w:left="1440" w:top="1146"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6"/>
          <w:szCs w:val="16"/>
          <w:b w:val="1"/>
          <w:bCs w:val="1"/>
          <w:color w:val="auto"/>
        </w:rPr>
        <w:t>PROMISSORY NOTE</w:t>
      </w:r>
    </w:p>
    <w:p>
      <w:pPr>
        <w:spacing w:after="0" w:line="200" w:lineRule="exact"/>
        <w:rPr>
          <w:sz w:val="20"/>
          <w:szCs w:val="20"/>
          <w:color w:val="auto"/>
        </w:rPr>
      </w:pPr>
    </w:p>
    <w:p>
      <w:pPr>
        <w:spacing w:after="0" w:line="279"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color w:val="auto"/>
        </w:rPr>
        <w:t>Amount: $10,000,000.00 USD</w:t>
      </w:r>
      <w:r>
        <w:rPr>
          <w:sz w:val="20"/>
          <w:szCs w:val="20"/>
          <w:color w:val="auto"/>
        </w:rPr>
        <w:tab/>
      </w:r>
      <w:r>
        <w:rPr>
          <w:rFonts w:ascii="Arial" w:cs="Arial" w:eastAsia="Arial" w:hAnsi="Arial"/>
          <w:sz w:val="13"/>
          <w:szCs w:val="13"/>
          <w:color w:val="auto"/>
        </w:rPr>
        <w:t>Commencement Date: December 30, 2021</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FOR VALUE RECEIVED, </w:t>
      </w:r>
      <w:r>
        <w:rPr>
          <w:rFonts w:ascii="Arial" w:cs="Arial" w:eastAsia="Arial" w:hAnsi="Arial"/>
          <w:sz w:val="16"/>
          <w:szCs w:val="16"/>
          <w:b w:val="1"/>
          <w:bCs w:val="1"/>
          <w:color w:val="auto"/>
        </w:rPr>
        <w:t>Fluidigm Singapore Pte. Ltd.,</w:t>
      </w:r>
      <w:r>
        <w:rPr>
          <w:rFonts w:ascii="Arial" w:cs="Arial" w:eastAsia="Arial" w:hAnsi="Arial"/>
          <w:sz w:val="16"/>
          <w:szCs w:val="16"/>
          <w:color w:val="auto"/>
        </w:rPr>
        <w:t xml:space="preserve"> a company incorporated in the Republic of Singapore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w:t>
      </w:r>
      <w:r>
        <w:rPr>
          <w:rFonts w:ascii="Arial" w:cs="Arial" w:eastAsia="Arial" w:hAnsi="Arial"/>
          <w:sz w:val="16"/>
          <w:szCs w:val="16"/>
          <w:b w:val="1"/>
          <w:bCs w:val="1"/>
          <w:color w:val="auto"/>
        </w:rPr>
        <w:t>Fluidigm Corporation,</w:t>
      </w:r>
      <w:r>
        <w:rPr>
          <w:rFonts w:ascii="Arial" w:cs="Arial" w:eastAsia="Arial" w:hAnsi="Arial"/>
          <w:sz w:val="16"/>
          <w:szCs w:val="16"/>
          <w:color w:val="auto"/>
        </w:rPr>
        <w:t xml:space="preserve"> a company organized and existing under the laws of Delaware (“</w:t>
      </w:r>
      <w:r>
        <w:rPr>
          <w:rFonts w:ascii="Arial" w:cs="Arial" w:eastAsia="Arial" w:hAnsi="Arial"/>
          <w:sz w:val="16"/>
          <w:szCs w:val="16"/>
          <w:u w:val="single" w:color="auto"/>
          <w:color w:val="auto"/>
        </w:rPr>
        <w:t>Lender</w:t>
      </w:r>
      <w:r>
        <w:rPr>
          <w:rFonts w:ascii="Arial" w:cs="Arial" w:eastAsia="Arial" w:hAnsi="Arial"/>
          <w:sz w:val="16"/>
          <w:szCs w:val="16"/>
          <w:color w:val="auto"/>
        </w:rPr>
        <w:t>”), or its successors and assigns, the principal sum, not exceeding $10,000,000.00 together with interest, as provided in this Promissory Note (this “</w:t>
      </w: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118" w:lineRule="exact"/>
        <w:rPr>
          <w:sz w:val="20"/>
          <w:szCs w:val="20"/>
          <w:color w:val="auto"/>
        </w:rPr>
      </w:pPr>
    </w:p>
    <w:p>
      <w:pPr>
        <w:ind w:left="1020" w:hanging="507"/>
        <w:spacing w:after="0"/>
        <w:tabs>
          <w:tab w:leader="none" w:pos="1020" w:val="left"/>
        </w:tabs>
        <w:numPr>
          <w:ilvl w:val="0"/>
          <w:numId w:val="119"/>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Note, capitalized terms have the respective meanings set forth below or set forth in the Section defining such terms:</w:t>
      </w:r>
    </w:p>
    <w:p>
      <w:pPr>
        <w:spacing w:after="0" w:line="167" w:lineRule="exact"/>
        <w:rPr>
          <w:sz w:val="20"/>
          <w:szCs w:val="20"/>
          <w:color w:val="auto"/>
        </w:rPr>
      </w:pPr>
    </w:p>
    <w:p>
      <w:pPr>
        <w:ind w:firstLine="508"/>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with respect to any person or entity shall mean any entity or association directly or indirectly controlled by, controlling, or under common control with such first person or entity. For purposes of this definition, the term “</w:t>
      </w:r>
      <w:r>
        <w:rPr>
          <w:rFonts w:ascii="Arial" w:cs="Arial" w:eastAsia="Arial" w:hAnsi="Arial"/>
          <w:sz w:val="14"/>
          <w:szCs w:val="14"/>
          <w:u w:val="single" w:color="auto"/>
          <w:color w:val="auto"/>
        </w:rPr>
        <w:t>control</w:t>
      </w:r>
      <w:r>
        <w:rPr>
          <w:rFonts w:ascii="Arial" w:cs="Arial" w:eastAsia="Arial" w:hAnsi="Arial"/>
          <w:sz w:val="14"/>
          <w:szCs w:val="14"/>
          <w:color w:val="auto"/>
        </w:rPr>
        <w:t>” shall mean ownership of at least fifty percent (50%) of the voting or equity interests in any entity or association.</w:t>
      </w:r>
    </w:p>
    <w:p>
      <w:pPr>
        <w:spacing w:after="0" w:line="67" w:lineRule="exact"/>
        <w:rPr>
          <w:sz w:val="20"/>
          <w:szCs w:val="20"/>
          <w:color w:val="auto"/>
        </w:rPr>
      </w:pPr>
    </w:p>
    <w:p>
      <w:pPr>
        <w:ind w:firstLine="50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 day other than Saturday, Sunday or a day on which banking institutions in San Mateo County, California are authorized or obligated by law, governmental order or regulation to close.</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have the meaning specified in Section 6 hereof.</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shall mean December 31, 2022.</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w:t>
      </w:r>
      <w:r>
        <w:rPr>
          <w:rFonts w:ascii="Arial" w:cs="Arial" w:eastAsia="Arial" w:hAnsi="Arial"/>
          <w:sz w:val="16"/>
          <w:szCs w:val="16"/>
          <w:color w:val="auto"/>
        </w:rPr>
        <w:t>” shall have the meaning specified in Section 8.6 hereof.</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Amount</w:t>
      </w:r>
      <w:r>
        <w:rPr>
          <w:rFonts w:ascii="Arial" w:cs="Arial" w:eastAsia="Arial" w:hAnsi="Arial"/>
          <w:sz w:val="16"/>
          <w:szCs w:val="16"/>
          <w:color w:val="auto"/>
        </w:rPr>
        <w:t>” shall mean an amount agreed between the parties, not to exceed $10,000,000.000.</w:t>
      </w:r>
    </w:p>
    <w:p>
      <w:pPr>
        <w:spacing w:after="0" w:line="144" w:lineRule="exact"/>
        <w:rPr>
          <w:sz w:val="20"/>
          <w:szCs w:val="20"/>
          <w:color w:val="auto"/>
        </w:rPr>
      </w:pPr>
    </w:p>
    <w:p>
      <w:pPr>
        <w:ind w:left="1020" w:hanging="507"/>
        <w:spacing w:after="0"/>
        <w:tabs>
          <w:tab w:leader="none" w:pos="102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PAYMENT OF PRINCIPAL AND INTEREST</w:t>
      </w:r>
      <w:r>
        <w:rPr>
          <w:rFonts w:ascii="Arial" w:cs="Arial" w:eastAsia="Arial" w:hAnsi="Arial"/>
          <w:sz w:val="16"/>
          <w:szCs w:val="16"/>
          <w:color w:val="auto"/>
        </w:rPr>
        <w:t>.</w:t>
      </w:r>
    </w:p>
    <w:p>
      <w:pPr>
        <w:spacing w:after="0" w:line="134" w:lineRule="exact"/>
        <w:rPr>
          <w:sz w:val="20"/>
          <w:szCs w:val="20"/>
          <w:color w:val="auto"/>
        </w:rPr>
      </w:pPr>
    </w:p>
    <w:p>
      <w:pPr>
        <w:jc w:val="both"/>
        <w:ind w:firstLine="508"/>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Procedure for Borrowing Funds</w:t>
      </w:r>
      <w:r>
        <w:rPr>
          <w:rFonts w:ascii="Arial" w:cs="Arial" w:eastAsia="Arial" w:hAnsi="Arial"/>
          <w:sz w:val="16"/>
          <w:szCs w:val="16"/>
          <w:color w:val="auto"/>
        </w:rPr>
        <w:t>. Each borrowing of funds hereunder shall be made upon the Borrower’s delivery to the Lender of a notice of borrowing (a “</w:t>
      </w:r>
      <w:r>
        <w:rPr>
          <w:rFonts w:ascii="Arial" w:cs="Arial" w:eastAsia="Arial" w:hAnsi="Arial"/>
          <w:sz w:val="16"/>
          <w:szCs w:val="16"/>
          <w:u w:val="single" w:color="auto"/>
          <w:color w:val="auto"/>
        </w:rPr>
        <w:t>Borrowing Notice</w:t>
      </w:r>
      <w:r>
        <w:rPr>
          <w:rFonts w:ascii="Arial" w:cs="Arial" w:eastAsia="Arial" w:hAnsi="Arial"/>
          <w:sz w:val="16"/>
          <w:szCs w:val="16"/>
          <w:color w:val="auto"/>
        </w:rPr>
        <w:t>”) pertaining thereto not later than the first Business Day before the date requested for borrowing such funds. Such Borrowing Notice shall specify (i) the principal amount of the funds requested, which, together with any principal amounts outstanding under this Note, must not exceed the maximum Principal Amount and (ii) the requested date of its borrowing, which must be a Business Day before the Maturity Date.</w:t>
      </w:r>
    </w:p>
    <w:p>
      <w:pPr>
        <w:spacing w:after="0" w:line="122" w:lineRule="exact"/>
        <w:rPr>
          <w:sz w:val="20"/>
          <w:szCs w:val="20"/>
          <w:color w:val="auto"/>
        </w:rPr>
      </w:pPr>
    </w:p>
    <w:p>
      <w:pPr>
        <w:jc w:val="both"/>
        <w:ind w:firstLine="508"/>
        <w:spacing w:after="0" w:line="24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Principal and Maturity</w:t>
      </w:r>
      <w:r>
        <w:rPr>
          <w:rFonts w:ascii="Arial" w:cs="Arial" w:eastAsia="Arial" w:hAnsi="Arial"/>
          <w:sz w:val="16"/>
          <w:szCs w:val="16"/>
          <w:color w:val="auto"/>
        </w:rPr>
        <w:t>. Upon Borrower’s delivery of a Borrowing Notice pursuant to Section 2.1, Lender shall provide the funds requested in the Borrowing Notice. Without prejudice to Section 2.4 hereof, the outstanding principal of this Note and all unpaid interest accrued thereon shall be due and payable in full by Borrower on the Maturity Date or on such earlier date following the occurrence of an Event of Default as provided in Section 6 hereof.</w:t>
      </w:r>
    </w:p>
    <w:p>
      <w:pPr>
        <w:spacing w:after="0" w:line="132" w:lineRule="exact"/>
        <w:rPr>
          <w:sz w:val="20"/>
          <w:szCs w:val="20"/>
          <w:color w:val="auto"/>
        </w:rPr>
      </w:pPr>
    </w:p>
    <w:p>
      <w:pPr>
        <w:jc w:val="both"/>
        <w:ind w:firstLine="508"/>
        <w:spacing w:after="0" w:line="25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Payments</w:t>
      </w:r>
      <w:r>
        <w:rPr>
          <w:rFonts w:ascii="Arial" w:cs="Arial" w:eastAsia="Arial" w:hAnsi="Arial"/>
          <w:sz w:val="16"/>
          <w:szCs w:val="16"/>
          <w:color w:val="auto"/>
        </w:rPr>
        <w:t>. All payments by Borrower under this Note shall be made in U.S. dollars to a bank account of Lender as Lender may from time to time specify by notice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137" w:right="319" w:bottom="1440" w:gutter="0" w:footer="0" w:header="0"/>
        </w:sectPr>
      </w:pPr>
    </w:p>
    <w:bookmarkStart w:id="182" w:name="page183"/>
    <w:bookmarkEnd w:id="182"/>
    <w:p>
      <w:pPr>
        <w:jc w:val="both"/>
        <w:ind w:firstLine="508"/>
        <w:spacing w:after="0" w:line="25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Prepayment</w:t>
      </w:r>
      <w:r>
        <w:rPr>
          <w:rFonts w:ascii="Arial" w:cs="Arial" w:eastAsia="Arial" w:hAnsi="Arial"/>
          <w:sz w:val="16"/>
          <w:szCs w:val="16"/>
          <w:color w:val="auto"/>
        </w:rPr>
        <w:t>. Borrower, at its option, may prepay the outstanding principal amount of this Note, in whole or in part, together with all unpaid interest on the amount of principal so prepaid accrued to but excluding the date of such prepayment, without premium or penalty.</w:t>
      </w:r>
    </w:p>
    <w:p>
      <w:pPr>
        <w:spacing w:after="0" w:line="114" w:lineRule="exact"/>
        <w:rPr>
          <w:sz w:val="20"/>
          <w:szCs w:val="20"/>
          <w:color w:val="auto"/>
        </w:rPr>
      </w:pPr>
    </w:p>
    <w:p>
      <w:pPr>
        <w:jc w:val="both"/>
        <w:ind w:firstLine="508"/>
        <w:spacing w:after="0" w:line="278"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Interest</w:t>
      </w:r>
      <w:r>
        <w:rPr>
          <w:rFonts w:ascii="Arial" w:cs="Arial" w:eastAsia="Arial" w:hAnsi="Arial"/>
          <w:sz w:val="14"/>
          <w:szCs w:val="14"/>
          <w:color w:val="auto"/>
        </w:rPr>
        <w:t>. This Note shall bear interest accruing from and including the date hereof to but excluding the date on which this Note shall have been paid in full at a rate per annum of 0.44%, the applicable Federal Short-Term Rate as of January 2022. Interest payable hereunder accrued for any period shall be computed on the principal amount of this Note outstanding from time to time from and including the first day of such period to but excluding the last day of such period for the actual number of days elapsed in such period on the basis of a 360-day year. All accrued and unpaid interest on this Note shall be due and payable in full by Borrower on the Maturity Date or on such earlier date following the occurrence of an Event of Default as provided in Section 6 hereof. Upon prepayment of any portion of the principal of this Note pursuant to Section 2.4 hereof, Borrower shall pay unpaid interest accrued on the amount of such principal so prepaid to but excluding the date of such prepayment.</w:t>
      </w:r>
    </w:p>
    <w:p>
      <w:pPr>
        <w:spacing w:after="0" w:line="110" w:lineRule="exact"/>
        <w:rPr>
          <w:sz w:val="20"/>
          <w:szCs w:val="20"/>
          <w:color w:val="auto"/>
        </w:rPr>
      </w:pPr>
    </w:p>
    <w:p>
      <w:pPr>
        <w:jc w:val="both"/>
        <w:ind w:firstLine="508"/>
        <w:spacing w:after="0" w:line="24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Payment Falling Due on Non-Business Day</w:t>
      </w:r>
      <w:r>
        <w:rPr>
          <w:rFonts w:ascii="Arial" w:cs="Arial" w:eastAsia="Arial" w:hAnsi="Arial"/>
          <w:sz w:val="16"/>
          <w:szCs w:val="16"/>
          <w:color w:val="auto"/>
        </w:rPr>
        <w:t>. If any payment of an amount under this Note becomes due on a date that is not a Business Day, such payment shall be made on the next succeeding Business Day and the period from and including such due date to but excluding such next succeeding Business Day shall be included in the period for computing any interest payable hereunder as or in conjunction with such amount.</w:t>
      </w:r>
    </w:p>
    <w:p>
      <w:pPr>
        <w:spacing w:after="0" w:line="121" w:lineRule="exact"/>
        <w:rPr>
          <w:sz w:val="20"/>
          <w:szCs w:val="20"/>
          <w:color w:val="auto"/>
        </w:rPr>
      </w:pPr>
    </w:p>
    <w:p>
      <w:pPr>
        <w:ind w:left="1020" w:hanging="507"/>
        <w:spacing w:after="0"/>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w:t>
      </w:r>
    </w:p>
    <w:p>
      <w:pPr>
        <w:spacing w:after="0" w:line="134" w:lineRule="exact"/>
        <w:rPr>
          <w:sz w:val="20"/>
          <w:szCs w:val="20"/>
          <w:color w:val="auto"/>
        </w:rPr>
      </w:pPr>
    </w:p>
    <w:p>
      <w:pPr>
        <w:jc w:val="both"/>
        <w:ind w:firstLine="508"/>
        <w:spacing w:after="0" w:line="2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No Fundamental Changes</w:t>
      </w:r>
      <w:r>
        <w:rPr>
          <w:rFonts w:ascii="Arial" w:cs="Arial" w:eastAsia="Arial" w:hAnsi="Arial"/>
          <w:sz w:val="16"/>
          <w:szCs w:val="16"/>
          <w:color w:val="auto"/>
        </w:rPr>
        <w:t>. Borrower shall not directly or indirectly merge, consolidate, amalgamate or liquidate with or into any person or entity without the written consent of Lender. Borrower shall not directly or indirectly convey, sell, lease, transfer or otherwise dispose of, in one transaction or a series of transactions, all or a substantial part of its business assets to any person or entity without the written consent of Lender.</w:t>
      </w:r>
    </w:p>
    <w:p>
      <w:pPr>
        <w:spacing w:after="0" w:line="132" w:lineRule="exact"/>
        <w:rPr>
          <w:sz w:val="20"/>
          <w:szCs w:val="20"/>
          <w:color w:val="auto"/>
        </w:rPr>
      </w:pPr>
    </w:p>
    <w:p>
      <w:pPr>
        <w:jc w:val="both"/>
        <w:ind w:firstLine="508"/>
        <w:spacing w:after="0" w:line="25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Transactions between Borrower and its Affiliates must be arm’s-length, as determined in good faith by the officers and directors of Borrower.</w:t>
      </w:r>
    </w:p>
    <w:p>
      <w:pPr>
        <w:spacing w:after="0" w:line="114" w:lineRule="exact"/>
        <w:rPr>
          <w:sz w:val="20"/>
          <w:szCs w:val="20"/>
          <w:color w:val="auto"/>
        </w:rPr>
      </w:pPr>
    </w:p>
    <w:p>
      <w:pPr>
        <w:jc w:val="both"/>
        <w:ind w:firstLine="513"/>
        <w:spacing w:after="0" w:line="281" w:lineRule="auto"/>
        <w:tabs>
          <w:tab w:leader="none" w:pos="1016" w:val="left"/>
        </w:tabs>
        <w:numPr>
          <w:ilvl w:val="0"/>
          <w:numId w:val="122"/>
        </w:numPr>
        <w:rPr>
          <w:rFonts w:ascii="Arial" w:cs="Arial" w:eastAsia="Arial" w:hAnsi="Arial"/>
          <w:sz w:val="14"/>
          <w:szCs w:val="14"/>
          <w:color w:val="auto"/>
        </w:rPr>
      </w:pPr>
      <w:r>
        <w:rPr>
          <w:rFonts w:ascii="Arial" w:cs="Arial" w:eastAsia="Arial" w:hAnsi="Arial"/>
          <w:sz w:val="14"/>
          <w:szCs w:val="14"/>
          <w:u w:val="single" w:color="auto"/>
          <w:color w:val="auto"/>
        </w:rPr>
        <w:t>EVIDENCE OF OBLIGATIONS</w:t>
      </w:r>
      <w:r>
        <w:rPr>
          <w:rFonts w:ascii="Arial" w:cs="Arial" w:eastAsia="Arial" w:hAnsi="Arial"/>
          <w:sz w:val="14"/>
          <w:szCs w:val="14"/>
          <w:color w:val="auto"/>
        </w:rPr>
        <w:t>. In addition to being evidenced by this Note, the obligations from time to time outstanding under this Note, including the principal amount hereof outstanding and amounts of interest accruing and accrued from time to time hereunder and all amounts of the principal hereof and of interest paid by Borrower to Lender pursuant to this Note and any amount that Borrower has failed to pay when due hereunder, shall be evidenced by recordation by Lender in its records in accordance with its usual business practices. Any such recordation shall be rebuttable presumptive evidence of the accuracy of the information so recorded. Any failure so to record or any error in doing so shall not, however, limit or otherwise affect the obligations of Borrower under this Note to pay any amount owing hereunder.</w:t>
      </w:r>
    </w:p>
    <w:p>
      <w:pPr>
        <w:spacing w:after="0" w:line="95" w:lineRule="exact"/>
        <w:rPr>
          <w:rFonts w:ascii="Arial" w:cs="Arial" w:eastAsia="Arial" w:hAnsi="Arial"/>
          <w:sz w:val="14"/>
          <w:szCs w:val="14"/>
          <w:color w:val="auto"/>
        </w:rPr>
      </w:pPr>
    </w:p>
    <w:p>
      <w:pPr>
        <w:ind w:left="1020" w:hanging="507"/>
        <w:spacing w:after="0"/>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Borrower represents and warrants to Lender as follows:</w:t>
      </w:r>
    </w:p>
    <w:p>
      <w:pPr>
        <w:spacing w:after="0" w:line="144" w:lineRule="exact"/>
        <w:rPr>
          <w:sz w:val="20"/>
          <w:szCs w:val="20"/>
          <w:color w:val="auto"/>
        </w:rPr>
      </w:pPr>
    </w:p>
    <w:p>
      <w:pPr>
        <w:jc w:val="both"/>
        <w:ind w:firstLine="508"/>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Information Furnished to Lender as to Ability to Meet Obligations</w:t>
      </w:r>
      <w:r>
        <w:rPr>
          <w:rFonts w:ascii="Arial" w:cs="Arial" w:eastAsia="Arial" w:hAnsi="Arial"/>
          <w:sz w:val="16"/>
          <w:szCs w:val="16"/>
          <w:color w:val="auto"/>
        </w:rPr>
        <w:t>. Borrower acknowledges that Lender’s extension of credit to Borrower evidenced by this Note has been supported by an evaluation by Lender of Borrower’s current and projected financial condition and of Borrower’s ability to meet and pay in full its obligations under this Note on the terms hereof, and that such evaluation has been based on, among other things, Lender’s review of certain financial statements of and other information about Borrower and its current and projected financial condition provided by Borrower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44" w:right="319" w:bottom="1440" w:gutter="0" w:footer="0" w:header="0"/>
        </w:sectPr>
      </w:pPr>
    </w:p>
    <w:bookmarkStart w:id="183" w:name="page184"/>
    <w:bookmarkEnd w:id="183"/>
    <w:p>
      <w:pPr>
        <w:jc w:val="both"/>
        <w:spacing w:after="0" w:line="294" w:lineRule="auto"/>
        <w:rPr>
          <w:sz w:val="20"/>
          <w:szCs w:val="20"/>
          <w:color w:val="auto"/>
        </w:rPr>
      </w:pPr>
      <w:r>
        <w:rPr>
          <w:rFonts w:ascii="Arial" w:cs="Arial" w:eastAsia="Arial" w:hAnsi="Arial"/>
          <w:sz w:val="14"/>
          <w:szCs w:val="14"/>
          <w:color w:val="auto"/>
        </w:rPr>
        <w:t>Lender. All such financial statements and other information when so provided, except in the case of information comprising projections of future financial condition, were complete and correct and fairly presented the financial condition of Borrower as at the times and for the periods covered thereby and, in the case of information comprising projections of future financial condition, were based on a reasonable and good faith assessment by Borrower’s senior management of Borrower’s projected financial performance.</w:t>
      </w:r>
    </w:p>
    <w:p>
      <w:pPr>
        <w:spacing w:after="0" w:line="86"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u w:val="single" w:color="auto"/>
          <w:color w:val="auto"/>
        </w:rPr>
        <w:t>Binding Obligations</w:t>
      </w:r>
      <w:r>
        <w:rPr>
          <w:rFonts w:ascii="Arial" w:cs="Arial" w:eastAsia="Arial" w:hAnsi="Arial"/>
          <w:sz w:val="14"/>
          <w:szCs w:val="14"/>
          <w:color w:val="auto"/>
        </w:rPr>
        <w:t>. This Note constitutes the legal, valid, binding and unconditional obligation of Borrower, enforceable against Borrower in accordance with its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terms.</w:t>
      </w:r>
    </w:p>
    <w:p>
      <w:pPr>
        <w:spacing w:after="0" w:line="132" w:lineRule="exact"/>
        <w:rPr>
          <w:sz w:val="20"/>
          <w:szCs w:val="20"/>
          <w:color w:val="auto"/>
        </w:rPr>
      </w:pPr>
    </w:p>
    <w:p>
      <w:pPr>
        <w:jc w:val="both"/>
        <w:ind w:firstLine="513"/>
        <w:spacing w:after="0" w:line="294" w:lineRule="auto"/>
        <w:tabs>
          <w:tab w:leader="none" w:pos="1016"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EVENTS OF DEFAULT</w:t>
      </w:r>
      <w:r>
        <w:rPr>
          <w:rFonts w:ascii="Arial" w:cs="Arial" w:eastAsia="Arial" w:hAnsi="Arial"/>
          <w:sz w:val="14"/>
          <w:szCs w:val="14"/>
          <w:color w:val="auto"/>
        </w:rPr>
        <w:t>. Lender may by Notice to Borrower and without incurring any liability to Borrower declare an Event of Default hereunder at any time and with immediate effect upon effectiveness as provided in Section 8.6 hereof of such Notice, whereupon the outstanding principal amount of this Note and all accrued and unpaid interest thereon shall become immediately due and payable, if any of the following events (each an “</w:t>
      </w:r>
      <w:r>
        <w:rPr>
          <w:rFonts w:ascii="Arial" w:cs="Arial" w:eastAsia="Arial" w:hAnsi="Arial"/>
          <w:sz w:val="14"/>
          <w:szCs w:val="14"/>
          <w:u w:val="single" w:color="auto"/>
          <w:color w:val="auto"/>
        </w:rPr>
        <w:t>Event of Default</w:t>
      </w:r>
      <w:r>
        <w:rPr>
          <w:rFonts w:ascii="Arial" w:cs="Arial" w:eastAsia="Arial" w:hAnsi="Arial"/>
          <w:sz w:val="14"/>
          <w:szCs w:val="14"/>
          <w:color w:val="auto"/>
        </w:rPr>
        <w:t>”) shall occur:</w:t>
      </w:r>
    </w:p>
    <w:p>
      <w:pPr>
        <w:spacing w:after="0" w:line="86" w:lineRule="exact"/>
        <w:rPr>
          <w:sz w:val="20"/>
          <w:szCs w:val="20"/>
          <w:color w:val="auto"/>
        </w:rPr>
      </w:pPr>
    </w:p>
    <w:p>
      <w:pPr>
        <w:ind w:left="1020" w:hanging="507"/>
        <w:spacing w:after="0" w:line="250" w:lineRule="auto"/>
        <w:tabs>
          <w:tab w:leader="none" w:pos="101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Borrower shall cease or fail to be solvent, shall admit in writing its inability to, or shall fail generally or be generally unable to, pay its debts (including its payrolls) as such debts become due;</w:t>
      </w:r>
    </w:p>
    <w:p>
      <w:pPr>
        <w:spacing w:after="0" w:line="114" w:lineRule="exact"/>
        <w:rPr>
          <w:rFonts w:ascii="Arial" w:cs="Arial" w:eastAsia="Arial" w:hAnsi="Arial"/>
          <w:sz w:val="16"/>
          <w:szCs w:val="16"/>
          <w:color w:val="auto"/>
        </w:rPr>
      </w:pPr>
    </w:p>
    <w:p>
      <w:pPr>
        <w:jc w:val="both"/>
        <w:ind w:left="1020" w:hanging="507"/>
        <w:spacing w:after="0" w:line="281" w:lineRule="auto"/>
        <w:tabs>
          <w:tab w:leader="none" w:pos="101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 Borrower shall be liquidated, wound up or dissolved, (ii) Borrower shall suspend its operations other than in the ordinary course of business, (iii) Borrower shall be declared by a competent authority to be bankrupt or to be liquidated, wound up or dissolved, (iv) Borrower shall make a general assignment for the benefit of creditors or shall seek the appointment of a receiver, trustee, custodian, sequestrator, conservator or similar official for Borrower or its assets, (v) Borrower shall seek relief under any federal, state or other governmental division bankruptcy, insolvency, receivership, reorganization or similar law now or hereafter in effect or (v) any corporate action shall be taken by or on behalf of Borrower authorizing any of the foregoing in this subsection (b)</w:t>
      </w:r>
    </w:p>
    <w:p>
      <w:pPr>
        <w:spacing w:after="0" w:line="105" w:lineRule="exact"/>
        <w:rPr>
          <w:rFonts w:ascii="Arial" w:cs="Arial" w:eastAsia="Arial" w:hAnsi="Arial"/>
          <w:sz w:val="14"/>
          <w:szCs w:val="14"/>
          <w:color w:val="auto"/>
        </w:rPr>
      </w:pPr>
    </w:p>
    <w:p>
      <w:pPr>
        <w:jc w:val="both"/>
        <w:ind w:left="1020" w:hanging="507"/>
        <w:spacing w:after="0" w:line="285" w:lineRule="auto"/>
        <w:tabs>
          <w:tab w:leader="none" w:pos="101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 an involuntary proceeding shall be commenced or an involuntary petition shall be filed seeking (A) liquidation, reorganization or other relief in respect of Borrower or its debts, or of a substantial part of its assets, under any federal, state or other governmental division bankruptcy, insolvency, receivership, reorganization or similar law now or hereafter in effect or (B) the appointment of a receiver, trustee, custodian, sequestrator, conservator or similar official for Borrower or for a substantial part of its assets or (ii) an order or decree approving or ordering any of the foregoing in this subsection (c) shall be entered;</w:t>
      </w:r>
    </w:p>
    <w:p>
      <w:pPr>
        <w:spacing w:after="0" w:line="93" w:lineRule="exact"/>
        <w:rPr>
          <w:rFonts w:ascii="Arial" w:cs="Arial" w:eastAsia="Arial" w:hAnsi="Arial"/>
          <w:sz w:val="14"/>
          <w:szCs w:val="14"/>
          <w:color w:val="auto"/>
        </w:rPr>
      </w:pPr>
    </w:p>
    <w:p>
      <w:pPr>
        <w:ind w:left="1020" w:hanging="507"/>
        <w:spacing w:after="0" w:line="250" w:lineRule="auto"/>
        <w:tabs>
          <w:tab w:leader="none" w:pos="101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Borrower shall have failed to pay any amount due by it under this Note on the dates and in the manner provided herein and shall have not remedied such failure for a period of forty-five (45) days after the effective date of Notice of such failure given by Lender to Borrower;</w:t>
      </w:r>
    </w:p>
    <w:p>
      <w:pPr>
        <w:spacing w:after="0" w:line="114" w:lineRule="exact"/>
        <w:rPr>
          <w:rFonts w:ascii="Arial" w:cs="Arial" w:eastAsia="Arial" w:hAnsi="Arial"/>
          <w:sz w:val="16"/>
          <w:szCs w:val="16"/>
          <w:color w:val="auto"/>
        </w:rPr>
      </w:pPr>
    </w:p>
    <w:p>
      <w:pPr>
        <w:ind w:left="1020" w:hanging="507"/>
        <w:spacing w:after="0" w:line="250" w:lineRule="auto"/>
        <w:tabs>
          <w:tab w:leader="none" w:pos="101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it shall become unlawful to maintain the indebtedness evidenced by this Note or for Borrower to perform any of its obligations hereunder, or this Note shall cease to be effective and enforceable in accordance with its terms;</w:t>
      </w:r>
    </w:p>
    <w:p>
      <w:pPr>
        <w:spacing w:after="0" w:line="125" w:lineRule="exact"/>
        <w:rPr>
          <w:rFonts w:ascii="Arial" w:cs="Arial" w:eastAsia="Arial" w:hAnsi="Arial"/>
          <w:sz w:val="16"/>
          <w:szCs w:val="16"/>
          <w:color w:val="auto"/>
        </w:rPr>
      </w:pPr>
    </w:p>
    <w:p>
      <w:pPr>
        <w:ind w:left="1020" w:hanging="507"/>
        <w:spacing w:after="0" w:line="250" w:lineRule="auto"/>
        <w:tabs>
          <w:tab w:leader="none" w:pos="101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Lender shall determine that any representation or warranty of Borrower made herein, other than a representation or warranty that speaks only as of a particular time, is untrue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44" w:right="319" w:bottom="1440" w:gutter="0" w:footer="0" w:header="0"/>
        </w:sectPr>
      </w:pPr>
    </w:p>
    <w:bookmarkStart w:id="184" w:name="page185"/>
    <w:bookmarkEnd w:id="184"/>
    <w:p>
      <w:pPr>
        <w:ind w:left="1020"/>
        <w:spacing w:after="0"/>
        <w:rPr>
          <w:sz w:val="20"/>
          <w:szCs w:val="20"/>
          <w:color w:val="auto"/>
        </w:rPr>
      </w:pPr>
      <w:r>
        <w:rPr>
          <w:rFonts w:ascii="Arial" w:cs="Arial" w:eastAsia="Arial" w:hAnsi="Arial"/>
          <w:sz w:val="14"/>
          <w:szCs w:val="14"/>
          <w:color w:val="auto"/>
        </w:rPr>
        <w:t>or, in the case of such a representation or warranty that speaks only as of a particular time, that such representation or warranty was untrue as of such time; or</w:t>
      </w:r>
    </w:p>
    <w:p>
      <w:pPr>
        <w:spacing w:after="0" w:line="157" w:lineRule="exact"/>
        <w:rPr>
          <w:sz w:val="20"/>
          <w:szCs w:val="20"/>
          <w:color w:val="auto"/>
        </w:rPr>
      </w:pPr>
    </w:p>
    <w:p>
      <w:pPr>
        <w:ind w:left="1020" w:hanging="507"/>
        <w:spacing w:after="0"/>
        <w:tabs>
          <w:tab w:leader="none" w:pos="10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Borrower shall materially breach a covenant contained in Section 3 hereof.</w:t>
      </w:r>
    </w:p>
    <w:p>
      <w:pPr>
        <w:spacing w:after="0" w:line="144" w:lineRule="exact"/>
        <w:rPr>
          <w:sz w:val="20"/>
          <w:szCs w:val="20"/>
          <w:color w:val="auto"/>
        </w:rPr>
      </w:pPr>
    </w:p>
    <w:p>
      <w:pPr>
        <w:jc w:val="both"/>
        <w:ind w:firstLine="508"/>
        <w:spacing w:after="0" w:line="242" w:lineRule="auto"/>
        <w:rPr>
          <w:sz w:val="20"/>
          <w:szCs w:val="20"/>
          <w:color w:val="auto"/>
        </w:rPr>
      </w:pPr>
      <w:r>
        <w:rPr>
          <w:rFonts w:ascii="Arial" w:cs="Arial" w:eastAsia="Arial" w:hAnsi="Arial"/>
          <w:sz w:val="16"/>
          <w:szCs w:val="16"/>
          <w:color w:val="auto"/>
        </w:rPr>
        <w:t>Notwithstanding the lead-in paragraph of this Section 6, if an Event of Default specified in subsection (b) or (c) of this Section 6 occurs, the outstanding principal amount of this Note and all accrued and unpaid interest thereon shall upon such occurrence automatically become immediately due and payable without any requirement of notice or other action by Lender or otherwise.</w:t>
      </w:r>
    </w:p>
    <w:p>
      <w:pPr>
        <w:spacing w:after="0" w:line="121" w:lineRule="exact"/>
        <w:rPr>
          <w:sz w:val="20"/>
          <w:szCs w:val="20"/>
          <w:color w:val="auto"/>
        </w:rPr>
      </w:pPr>
    </w:p>
    <w:p>
      <w:pPr>
        <w:ind w:firstLine="513"/>
        <w:spacing w:after="0" w:line="250" w:lineRule="auto"/>
        <w:tabs>
          <w:tab w:leader="none" w:pos="1016"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WAIVERS; ACKNOWLEDGMENTS; RESERVATION OF RIGHTS AND REMEDIES UNDER APPLICABLE LAW</w:t>
      </w:r>
      <w:r>
        <w:rPr>
          <w:rFonts w:ascii="Arial" w:cs="Arial" w:eastAsia="Arial" w:hAnsi="Arial"/>
          <w:sz w:val="16"/>
          <w:szCs w:val="16"/>
          <w:color w:val="auto"/>
        </w:rPr>
        <w:t>. Borrower waives presentment and notice of dishonor. Borrower acknowledges and agrees as follows:</w:t>
      </w:r>
    </w:p>
    <w:p>
      <w:pPr>
        <w:spacing w:after="0" w:line="114" w:lineRule="exact"/>
        <w:rPr>
          <w:sz w:val="20"/>
          <w:szCs w:val="20"/>
          <w:color w:val="auto"/>
        </w:rPr>
      </w:pPr>
    </w:p>
    <w:p>
      <w:pPr>
        <w:ind w:right="600" w:firstLine="513"/>
        <w:spacing w:after="0" w:line="250" w:lineRule="auto"/>
        <w:tabs>
          <w:tab w:leader="none" w:pos="82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rights and remedies available to Lender under applicable law in respect of any default by Borrower in the performance of its obligations under this Note or otherwise in respect of enforcement of this Note are reserved by Lender.</w:t>
      </w:r>
    </w:p>
    <w:p>
      <w:pPr>
        <w:spacing w:after="0" w:line="125" w:lineRule="exact"/>
        <w:rPr>
          <w:rFonts w:ascii="Arial" w:cs="Arial" w:eastAsia="Arial" w:hAnsi="Arial"/>
          <w:sz w:val="16"/>
          <w:szCs w:val="16"/>
          <w:color w:val="auto"/>
        </w:rPr>
      </w:pPr>
    </w:p>
    <w:p>
      <w:pPr>
        <w:ind w:right="80" w:firstLine="513"/>
        <w:spacing w:after="0" w:line="275" w:lineRule="auto"/>
        <w:tabs>
          <w:tab w:leader="none" w:pos="842" w:val="left"/>
        </w:tabs>
        <w:numPr>
          <w:ilvl w:val="0"/>
          <w:numId w:val="127"/>
        </w:numPr>
        <w:rPr>
          <w:rFonts w:ascii="Arial" w:cs="Arial" w:eastAsia="Arial" w:hAnsi="Arial"/>
          <w:sz w:val="14"/>
          <w:szCs w:val="14"/>
          <w:color w:val="auto"/>
        </w:rPr>
      </w:pPr>
      <w:r>
        <w:rPr>
          <w:rFonts w:ascii="Arial" w:cs="Arial" w:eastAsia="Arial" w:hAnsi="Arial"/>
          <w:sz w:val="14"/>
          <w:szCs w:val="14"/>
          <w:color w:val="auto"/>
        </w:rPr>
        <w:t>Without limitation, the rights reserved hereunder include all rights of Lender to receive, before the holders of shares or other interests in the equity of Borrower, for application toward satisfaction in part or in whole of Borrower’s obligations under this Note, assets, or the value thereof, of Borrower upon the dissolution of Borrower or otherwise as may exist or arise under applicable law, including without limitation the law of the jurisdiction of Borrower’s organization or conduct of business and any federal, state or other governmental division bankruptcy, insolvency, receivership or similar law now or hereafter in effect. Without limiting the effect of the preceding sentence, it is the intention of Borrower and Lender that Lender shall have the right to receive indefeasible payment in full of all obligations of Borrower under or arising from this Note before the holders of shares or other interests in the equity of Borrower are entitled to receive any assets, or the value thereof, of Borrower upon the dissolution of Borrower. Further, for the avoidance of doubt, it is intended that the indebtedness and claims arising under this Note rank at least pari passu with Borrower’s other unsubordinated indebtedness and claims arising therefrom, other than to the extent that other indebtedness and claims arising therefrom are preferred by applicable law.</w:t>
      </w:r>
    </w:p>
    <w:p>
      <w:pPr>
        <w:spacing w:after="0" w:line="102" w:lineRule="exact"/>
        <w:rPr>
          <w:sz w:val="20"/>
          <w:szCs w:val="20"/>
          <w:color w:val="auto"/>
        </w:rPr>
      </w:pPr>
    </w:p>
    <w:p>
      <w:pPr>
        <w:ind w:left="1020" w:hanging="507"/>
        <w:spacing w:after="0"/>
        <w:tabs>
          <w:tab w:leader="none" w:pos="102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MISCELLANEOUS PROVISIONS</w:t>
      </w:r>
      <w:r>
        <w:rPr>
          <w:rFonts w:ascii="Arial" w:cs="Arial" w:eastAsia="Arial" w:hAnsi="Arial"/>
          <w:sz w:val="16"/>
          <w:szCs w:val="16"/>
          <w:color w:val="auto"/>
        </w:rPr>
        <w:t>.</w:t>
      </w:r>
    </w:p>
    <w:p>
      <w:pPr>
        <w:spacing w:after="0" w:line="134" w:lineRule="exact"/>
        <w:rPr>
          <w:sz w:val="20"/>
          <w:szCs w:val="20"/>
          <w:color w:val="auto"/>
        </w:rPr>
      </w:pPr>
    </w:p>
    <w:p>
      <w:pPr>
        <w:jc w:val="both"/>
        <w:ind w:firstLine="508"/>
        <w:spacing w:after="0" w:line="274"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Taxes</w:t>
      </w:r>
      <w:r>
        <w:rPr>
          <w:rFonts w:ascii="Arial" w:cs="Arial" w:eastAsia="Arial" w:hAnsi="Arial"/>
          <w:sz w:val="14"/>
          <w:szCs w:val="14"/>
          <w:color w:val="auto"/>
        </w:rPr>
        <w:t>. All payments due under this Note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net income taxes and franchise taxes (imposed in lieu of net income taxes) imposed on Lender as a result of a present or former connection between Lender and the jurisdiction of the governmental authority imposing such tax or any political subdivision or taxing authority thereof (other than any such connection arising solely from Lender having accepted, executed, received a payment under, or enforced this Note or any other agreement or document connected to a transaction to which this Note is connected). If any such non-excluded taxes, levies, imposts, duties, charges, fees, deductions or withholdings (“</w:t>
      </w:r>
      <w:r>
        <w:rPr>
          <w:rFonts w:ascii="Arial" w:cs="Arial" w:eastAsia="Arial" w:hAnsi="Arial"/>
          <w:sz w:val="14"/>
          <w:szCs w:val="14"/>
          <w:u w:val="single" w:color="auto"/>
          <w:color w:val="auto"/>
        </w:rPr>
        <w:t>Non-Excluded Taxes</w:t>
      </w:r>
      <w:r>
        <w:rPr>
          <w:rFonts w:ascii="Arial" w:cs="Arial" w:eastAsia="Arial" w:hAnsi="Arial"/>
          <w:sz w:val="14"/>
          <w:szCs w:val="14"/>
          <w:color w:val="auto"/>
        </w:rPr>
        <w:t>”) are required to be withheld from any amounts payable to Lender hereunder, the amounts so payable shall be increased to the extent necessary to yield to Lender (after payment of all Non-Excluded Taxes) such amounts payable hereunder at the rates and in the amounts specified in this Note. If any Non-Excluded Taxes are payable by Borrower, as promptly as possible thereafter Borrower shall send to Lender a certified copy of an original official receipt received by Borrower showing payment thereof. If Borrower fails to pay any Non-Excluded Taxes when due to the appropriate taxing authority or fails to remit to Lender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44" w:right="319" w:bottom="1440" w:gutter="0" w:footer="0" w:header="0"/>
        </w:sectPr>
      </w:pPr>
    </w:p>
    <w:bookmarkStart w:id="185" w:name="page186"/>
    <w:bookmarkEnd w:id="185"/>
    <w:p>
      <w:pPr>
        <w:jc w:val="both"/>
        <w:spacing w:after="0" w:line="250" w:lineRule="auto"/>
        <w:rPr>
          <w:sz w:val="20"/>
          <w:szCs w:val="20"/>
          <w:color w:val="auto"/>
        </w:rPr>
      </w:pPr>
      <w:r>
        <w:rPr>
          <w:rFonts w:ascii="Arial" w:cs="Arial" w:eastAsia="Arial" w:hAnsi="Arial"/>
          <w:sz w:val="16"/>
          <w:szCs w:val="16"/>
          <w:color w:val="auto"/>
        </w:rPr>
        <w:t>receipts or other required documentary evidence, Borrower shall indemnify Lender for any incremental taxes and any liability (including interest, penalties, and expenses) that may become payable by Lender as a result of any such failure.</w:t>
      </w:r>
    </w:p>
    <w:p>
      <w:pPr>
        <w:spacing w:after="0" w:line="114" w:lineRule="exact"/>
        <w:rPr>
          <w:sz w:val="20"/>
          <w:szCs w:val="20"/>
          <w:color w:val="auto"/>
        </w:rPr>
      </w:pPr>
    </w:p>
    <w:p>
      <w:pPr>
        <w:jc w:val="both"/>
        <w:ind w:firstLine="508"/>
        <w:spacing w:after="0" w:line="273" w:lineRule="auto"/>
        <w:rPr>
          <w:sz w:val="20"/>
          <w:szCs w:val="20"/>
          <w:color w:val="auto"/>
        </w:rPr>
      </w:pPr>
      <w:r>
        <w:rPr>
          <w:rFonts w:ascii="Arial" w:cs="Arial" w:eastAsia="Arial" w:hAnsi="Arial"/>
          <w:sz w:val="14"/>
          <w:szCs w:val="14"/>
          <w:color w:val="auto"/>
        </w:rPr>
        <w:t>Notwithstanding the foregoing, Borrower shall not be required to make any increase in or payment of any increased amount payable to Lender under this Note pursuant to this Section 8.1 unless, at least five Business Days before the date such increased amount becomes payable to Lender (an “</w:t>
      </w:r>
      <w:r>
        <w:rPr>
          <w:rFonts w:ascii="Arial" w:cs="Arial" w:eastAsia="Arial" w:hAnsi="Arial"/>
          <w:sz w:val="14"/>
          <w:szCs w:val="14"/>
          <w:u w:val="single" w:color="auto"/>
          <w:color w:val="auto"/>
        </w:rPr>
        <w:t>Increased Payment Date</w:t>
      </w:r>
      <w:r>
        <w:rPr>
          <w:rFonts w:ascii="Arial" w:cs="Arial" w:eastAsia="Arial" w:hAnsi="Arial"/>
          <w:sz w:val="14"/>
          <w:szCs w:val="14"/>
          <w:color w:val="auto"/>
        </w:rPr>
        <w:t>”), Lender (including any assignee or successor of the initial holder of this Note or any assignee or successor thereof as Lender hereunder), if required by law and/or if requested, shall have delivered to Borrower (i) a duly completed Internal Revenue Service Form W-9, W-8BEN, W-8BEN-E, W-8ECI, or W-8IMY, or successor applicable form, as the case may be, certifying that it is entitled to receive payments by Borrower under this Note without deduction or withholding of any United States federal taxes (an “</w:t>
      </w:r>
      <w:r>
        <w:rPr>
          <w:rFonts w:ascii="Arial" w:cs="Arial" w:eastAsia="Arial" w:hAnsi="Arial"/>
          <w:sz w:val="14"/>
          <w:szCs w:val="14"/>
          <w:u w:val="single" w:color="auto"/>
          <w:color w:val="auto"/>
        </w:rPr>
        <w:t>Exemption Certificate</w:t>
      </w:r>
      <w:r>
        <w:rPr>
          <w:rFonts w:ascii="Arial" w:cs="Arial" w:eastAsia="Arial" w:hAnsi="Arial"/>
          <w:sz w:val="14"/>
          <w:szCs w:val="14"/>
          <w:color w:val="auto"/>
        </w:rPr>
        <w:t>”); and (ii) a further completed and effective Exemption Certificate, if any Exemption Certificate earlier delivered to Borrower has expired or become obsolete or will expire or become obsolete on or before such Increased Payment Date or if any event (other than a Change in Law, as defined below) requiring a change in any Exemption Certificate earlier delivered to Borrower has occurred or will occur on or before such Increased Payment Date; unless, in either case, any change in treaty, law, or regulation or the interpretation or application thereof by a government authority (any such change being a “</w:t>
      </w:r>
      <w:r>
        <w:rPr>
          <w:rFonts w:ascii="Arial" w:cs="Arial" w:eastAsia="Arial" w:hAnsi="Arial"/>
          <w:sz w:val="14"/>
          <w:szCs w:val="14"/>
          <w:u w:val="single" w:color="auto"/>
          <w:color w:val="auto"/>
        </w:rPr>
        <w:t>Change in Law</w:t>
      </w:r>
      <w:r>
        <w:rPr>
          <w:rFonts w:ascii="Arial" w:cs="Arial" w:eastAsia="Arial" w:hAnsi="Arial"/>
          <w:sz w:val="14"/>
          <w:szCs w:val="14"/>
          <w:color w:val="auto"/>
        </w:rPr>
        <w:t>”) has occurred both (x) after the date of this Note or, if Lender is an assignee or successor of the initial holder of this Note or any assignee or successor thereof, the date on which Lender became such assignee or successor, and (y) prior to the date on which any such delivery would otherwise be required, which Change in Law renders all such forms inapplicable or prevents Lender from being able duly to complete and deliver any such form with respect to it and Lender has so advised Borrower.</w:t>
      </w:r>
    </w:p>
    <w:p>
      <w:pPr>
        <w:spacing w:after="0" w:line="111" w:lineRule="exact"/>
        <w:rPr>
          <w:sz w:val="20"/>
          <w:szCs w:val="20"/>
          <w:color w:val="auto"/>
        </w:rPr>
      </w:pPr>
    </w:p>
    <w:p>
      <w:pPr>
        <w:jc w:val="both"/>
        <w:ind w:firstLine="508"/>
        <w:spacing w:after="0" w:line="239"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Transferability</w:t>
      </w:r>
      <w:r>
        <w:rPr>
          <w:rFonts w:ascii="Arial" w:cs="Arial" w:eastAsia="Arial" w:hAnsi="Arial"/>
          <w:sz w:val="16"/>
          <w:szCs w:val="16"/>
          <w:color w:val="auto"/>
        </w:rPr>
        <w:t>. This Note shall not be sold, transferred, assigned or pledged, in whole or in part, by Lender except with the prior written approval of Borrower; provided, however, that Lender may transfer this Note in whole or in part to an Affiliate by a written endorsement hereof or written instrument separate from this Note specifying such Affiliate to which this Note or a portion thereof is being transferred. Borrower may not delegate or assign its obligations under this Note, in whole or in part, except with the prior written approval of Lender; provided, however, that this sentence shall not prohibit payments under this Note being made on behalf of and for the benefit of Borrower by any Affiliate of Borrower.</w:t>
      </w:r>
    </w:p>
    <w:p>
      <w:pPr>
        <w:spacing w:after="0" w:line="122" w:lineRule="exact"/>
        <w:rPr>
          <w:sz w:val="20"/>
          <w:szCs w:val="20"/>
          <w:color w:val="auto"/>
        </w:rPr>
      </w:pPr>
    </w:p>
    <w:p>
      <w:pPr>
        <w:jc w:val="both"/>
        <w:ind w:firstLine="508"/>
        <w:spacing w:after="0" w:line="321"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Set-Off</w:t>
      </w:r>
      <w:r>
        <w:rPr>
          <w:rFonts w:ascii="Arial" w:cs="Arial" w:eastAsia="Arial" w:hAnsi="Arial"/>
          <w:sz w:val="14"/>
          <w:szCs w:val="14"/>
          <w:color w:val="auto"/>
        </w:rPr>
        <w:t>. To the extent permitted by law, Borrower shall have the right, without prior notice to Lender, to set off any amount owed by Lender to Borrower against any amount owed by Borrower to Lender hereunder. Borrower will promptly notify Lender after any set-off, but the failure to give notice will not affect the validity of the set-off.</w:t>
      </w:r>
    </w:p>
    <w:p>
      <w:pPr>
        <w:spacing w:after="0" w:line="67" w:lineRule="exact"/>
        <w:rPr>
          <w:sz w:val="20"/>
          <w:szCs w:val="20"/>
          <w:color w:val="auto"/>
        </w:rPr>
      </w:pPr>
    </w:p>
    <w:p>
      <w:pPr>
        <w:jc w:val="both"/>
        <w:ind w:firstLine="508"/>
        <w:spacing w:after="0" w:line="294"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No Waiver; Remedies Not Cumulative</w:t>
      </w:r>
      <w:r>
        <w:rPr>
          <w:rFonts w:ascii="Arial" w:cs="Arial" w:eastAsia="Arial" w:hAnsi="Arial"/>
          <w:sz w:val="14"/>
          <w:szCs w:val="14"/>
          <w:color w:val="auto"/>
        </w:rPr>
        <w:t>. Any forbearance or failure or delay by Lender in exercising any right, power or remedy hereunder shall not be deemed a waiver thereof and any single or partial exercise of any right, power or remedy shall not preclude the further exercise thereof. No waiver shall be effective unless it is in writing and signed by an authorized officer of Lender. The rights and remedies provided in this Note are cumulative and not exclusive of any rights or remedies provided by law.</w:t>
      </w:r>
    </w:p>
    <w:p>
      <w:pPr>
        <w:spacing w:after="0" w:line="97" w:lineRule="exact"/>
        <w:rPr>
          <w:sz w:val="20"/>
          <w:szCs w:val="20"/>
          <w:color w:val="auto"/>
        </w:rPr>
      </w:pPr>
    </w:p>
    <w:p>
      <w:pPr>
        <w:jc w:val="both"/>
        <w:ind w:firstLine="508"/>
        <w:spacing w:after="0" w:line="24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No Usury</w:t>
      </w:r>
      <w:r>
        <w:rPr>
          <w:rFonts w:ascii="Arial" w:cs="Arial" w:eastAsia="Arial" w:hAnsi="Arial"/>
          <w:sz w:val="16"/>
          <w:szCs w:val="16"/>
          <w:color w:val="auto"/>
        </w:rPr>
        <w:t>. Notwithstanding any other provision of this Note, no interest owing under this Note shall exceed the maximum rate permitted by applicable law. If any amount paid as interest under this Note is above the maximum rate permitted by applicable law, such excess amount shall not constitute interest but shall constitute a payment towards the principal amount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44" w:right="319" w:bottom="1440" w:gutter="0" w:footer="0" w:header="0"/>
        </w:sectPr>
      </w:pPr>
    </w:p>
    <w:bookmarkStart w:id="186" w:name="page187"/>
    <w:bookmarkEnd w:id="186"/>
    <w:p>
      <w:pPr>
        <w:jc w:val="both"/>
        <w:ind w:firstLine="508"/>
        <w:spacing w:after="0" w:line="274"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Notices</w:t>
      </w:r>
      <w:r>
        <w:rPr>
          <w:rFonts w:ascii="Arial" w:cs="Arial" w:eastAsia="Arial" w:hAnsi="Arial"/>
          <w:sz w:val="14"/>
          <w:szCs w:val="14"/>
          <w:color w:val="auto"/>
        </w:rPr>
        <w:t>. Any demand or other communication (“</w:t>
      </w:r>
      <w:r>
        <w:rPr>
          <w:rFonts w:ascii="Arial" w:cs="Arial" w:eastAsia="Arial" w:hAnsi="Arial"/>
          <w:sz w:val="14"/>
          <w:szCs w:val="14"/>
          <w:u w:val="single" w:color="auto"/>
          <w:color w:val="auto"/>
        </w:rPr>
        <w:t>Notice</w:t>
      </w:r>
      <w:r>
        <w:rPr>
          <w:rFonts w:ascii="Arial" w:cs="Arial" w:eastAsia="Arial" w:hAnsi="Arial"/>
          <w:sz w:val="14"/>
          <w:szCs w:val="14"/>
          <w:color w:val="auto"/>
        </w:rPr>
        <w:t>”) to be given by Borrower or Lender to the other under, or in connection with, this Note shall be in writing and signed by or on behalf of Borrower or Lender, as the case may be, and shall be delivered to Borrower or Lender, as the case may be, at its address specified to the other, at the time of execution and delivery of this Note, for delivery of Notices hereunder, or to such other address for such purpose as it may from time to time specify to the other in a Notice delivered in compliance with this Section 8.6. Any Notice shall be delivered by sending it by recognized overnight courier or electronic mail, or by delivering it by hand, and in each case marked for the attention of the officer identified by Borrower or Lender, as the case may be, in its address for Notices specified as provided above. Any Notice so delivered shall be deemed to have been duly given or made and be effective (a) if delivered by overnight courier, when received, (b) if delivered by electronic mail, at the time of transmission, or (c) if delivered by hand, when received, provided that in each case where delivery to a recipient by electronic mail or receipt by a recipient in delivery by overnight courier or by hand occurs after 6 p.m. on a Business Day or on a day which is not a Business Day, delivery shall be deemed to occur at 9 a.m. on the next following Business Day. References to time in this Section 8.6 in respect of a Notice are to local time in the location of the business address of the officer addressee of such Notice. In proving delivery of a Notice it shall be sufficient to prove that the envelope containing such Notice was properly addressed and delivered as specified herein.</w:t>
      </w:r>
    </w:p>
    <w:p>
      <w:pPr>
        <w:spacing w:after="0" w:line="100" w:lineRule="exact"/>
        <w:rPr>
          <w:sz w:val="20"/>
          <w:szCs w:val="20"/>
          <w:color w:val="auto"/>
        </w:rPr>
      </w:pPr>
    </w:p>
    <w:p>
      <w:pPr>
        <w:jc w:val="both"/>
        <w:ind w:firstLine="508"/>
        <w:spacing w:after="0" w:line="285"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Severability</w:t>
      </w:r>
      <w:r>
        <w:rPr>
          <w:rFonts w:ascii="Arial" w:cs="Arial" w:eastAsia="Arial" w:hAnsi="Arial"/>
          <w:sz w:val="14"/>
          <w:szCs w:val="14"/>
          <w:color w:val="auto"/>
        </w:rPr>
        <w:t>. Whenever possible, each provision of this Note shall be interpreted in such manner as to be effective and valid under all applicable laws and regulations. If, however, any provision of this Note shall be prohibited by or invalid under any such applicable law or regulation in any jurisdiction, it shall, as to such jurisdiction, be deemed modified to conform to the minimum requirements of such law or regulation, or, if for any reason it is not deemed so modified, it shall be ineffective and invalid only to the extent of such prohibition or invalidity without affecting the remaining provisions of this Note, or the validity or effectiveness of such provision in any other jurisdiction.</w:t>
      </w:r>
    </w:p>
    <w:p>
      <w:pPr>
        <w:spacing w:after="0" w:line="104" w:lineRule="exact"/>
        <w:rPr>
          <w:sz w:val="20"/>
          <w:szCs w:val="20"/>
          <w:color w:val="auto"/>
        </w:rPr>
      </w:pPr>
    </w:p>
    <w:p>
      <w:pPr>
        <w:jc w:val="both"/>
        <w:ind w:firstLine="508"/>
        <w:spacing w:after="0" w:line="277"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u w:val="single" w:color="auto"/>
          <w:color w:val="auto"/>
        </w:rPr>
        <w:t>Governing Law</w:t>
      </w:r>
      <w:r>
        <w:rPr>
          <w:rFonts w:ascii="Arial" w:cs="Arial" w:eastAsia="Arial" w:hAnsi="Arial"/>
          <w:sz w:val="14"/>
          <w:szCs w:val="14"/>
          <w:color w:val="auto"/>
        </w:rPr>
        <w:t>. This Note and the rights and obligations arising hereunder shall be governed by and construed in accordance with the laws of the State of California, United States of America. Borrower hereby (i) submits to the nonexclusive jurisdiction of the courts of the State of California and the Federal courts of the United States of America sitting in San Mateo County, California for the purpose of any action or proceeding arising out of or relating to this Note, (ii) agrees that all claims in respect of any such action or proceeding may be heard and determined in such courts, (iii) irrevocably waives (to the extent permitted by applicable law) any objection which it now or hereafter may have to the laying of venue of any such action or proceeding brought in any of the foregoing courts in and of the State of California, and any objection on the ground that any such action or proceeding in any such court has been brought in an inconvenient forum, and (iv) agrees that a final judgment in any such action or proceeding shall be conclusive and may be enforced in other jurisdictions by suit on the judgment or in any other manner permitted by law.</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144" w:right="319" w:bottom="1440" w:gutter="0" w:footer="0" w:header="0"/>
        </w:sectPr>
      </w:pPr>
    </w:p>
    <w:bookmarkStart w:id="187" w:name="page188"/>
    <w:bookmarkEnd w:id="187"/>
    <w:p>
      <w:pPr>
        <w:ind w:left="1920"/>
        <w:spacing w:after="0"/>
        <w:rPr>
          <w:sz w:val="20"/>
          <w:szCs w:val="20"/>
          <w:color w:val="auto"/>
        </w:rPr>
      </w:pPr>
      <w:r>
        <w:rPr>
          <w:rFonts w:ascii="Arial" w:cs="Arial" w:eastAsia="Arial" w:hAnsi="Arial"/>
          <w:sz w:val="14"/>
          <w:szCs w:val="14"/>
          <w:b w:val="1"/>
          <w:bCs w:val="1"/>
          <w:color w:val="auto"/>
        </w:rPr>
        <w:t>Fluidigm Singapore Pte. Ltd.</w:t>
      </w:r>
    </w:p>
    <w:p>
      <w:pPr>
        <w:spacing w:after="0" w:line="385" w:lineRule="exact"/>
        <w:rPr>
          <w:sz w:val="20"/>
          <w:szCs w:val="20"/>
          <w:color w:val="auto"/>
        </w:rPr>
      </w:pPr>
    </w:p>
    <w:p>
      <w:pPr>
        <w:ind w:left="1920"/>
        <w:spacing w:after="0"/>
        <w:tabs>
          <w:tab w:leader="none" w:pos="22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-13970</wp:posOffset>
            </wp:positionV>
            <wp:extent cx="67310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2">
                      <a:extLst>
                        <a:ext uri="{28A0092B-C50C-407E-A947-70E740481C1C}"/>
                      </a:extLst>
                    </a:blip>
                    <a:srcRect/>
                    <a:stretch>
                      <a:fillRect/>
                    </a:stretch>
                  </pic:blipFill>
                  <pic:spPr bwMode="auto">
                    <a:xfrm>
                      <a:off x="0" y="0"/>
                      <a:ext cx="673100" cy="6985"/>
                    </a:xfrm>
                    <a:prstGeom prst="rect">
                      <a:avLst/>
                    </a:prstGeom>
                    <a:noFill/>
                  </pic:spPr>
                </pic:pic>
              </a:graphicData>
            </a:graphic>
          </wp:anchor>
        </w:drawing>
      </w:r>
    </w:p>
    <w:p>
      <w:pPr>
        <w:spacing w:after="0" w:line="326" w:lineRule="exact"/>
        <w:rPr>
          <w:sz w:val="20"/>
          <w:szCs w:val="20"/>
          <w:color w:val="auto"/>
        </w:rPr>
      </w:pPr>
    </w:p>
    <w:p>
      <w:pPr>
        <w:ind w:left="1920"/>
        <w:spacing w:after="0"/>
        <w:tabs>
          <w:tab w:leader="none" w:pos="24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-13970</wp:posOffset>
            </wp:positionV>
            <wp:extent cx="55499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3">
                      <a:extLst>
                        <a:ext uri="{28A0092B-C50C-407E-A947-70E740481C1C}"/>
                      </a:extLst>
                    </a:blip>
                    <a:srcRect/>
                    <a:stretch>
                      <a:fillRect/>
                    </a:stretch>
                  </pic:blipFill>
                  <pic:spPr bwMode="auto">
                    <a:xfrm>
                      <a:off x="0" y="0"/>
                      <a:ext cx="554990" cy="6985"/>
                    </a:xfrm>
                    <a:prstGeom prst="rect">
                      <a:avLst/>
                    </a:prstGeom>
                    <a:noFill/>
                  </pic:spPr>
                </pic:pic>
              </a:graphicData>
            </a:graphic>
          </wp:anchor>
        </w:drawing>
      </w:r>
    </w:p>
    <w:p>
      <w:pPr>
        <w:spacing w:after="0" w:line="326" w:lineRule="exact"/>
        <w:rPr>
          <w:sz w:val="20"/>
          <w:szCs w:val="20"/>
          <w:color w:val="auto"/>
        </w:rPr>
      </w:pPr>
    </w:p>
    <w:p>
      <w:pPr>
        <w:ind w:left="1920"/>
        <w:spacing w:after="0"/>
        <w:tabs>
          <w:tab w:leader="none" w:pos="2420" w:val="left"/>
        </w:tabs>
        <w:rPr>
          <w:sz w:val="20"/>
          <w:szCs w:val="20"/>
          <w:color w:val="auto"/>
        </w:rPr>
      </w:pPr>
      <w:r>
        <w:rPr>
          <w:rFonts w:ascii="Arial" w:cs="Arial" w:eastAsia="Arial" w:hAnsi="Arial"/>
          <w:sz w:val="16"/>
          <w:szCs w:val="16"/>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-13970</wp:posOffset>
            </wp:positionV>
            <wp:extent cx="42672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4">
                      <a:extLst>
                        <a:ext uri="{28A0092B-C50C-407E-A947-70E740481C1C}"/>
                      </a:extLst>
                    </a:blip>
                    <a:srcRect/>
                    <a:stretch>
                      <a:fillRect/>
                    </a:stretch>
                  </pic:blipFill>
                  <pic:spPr bwMode="auto">
                    <a:xfrm>
                      <a:off x="0" y="0"/>
                      <a:ext cx="4267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Fluidigm Corporation</w:t>
      </w:r>
    </w:p>
    <w:p>
      <w:pPr>
        <w:spacing w:after="0" w:line="362" w:lineRule="exact"/>
        <w:rPr>
          <w:sz w:val="20"/>
          <w:szCs w:val="20"/>
          <w:color w:val="auto"/>
        </w:rPr>
      </w:pPr>
    </w:p>
    <w:p>
      <w:pPr>
        <w:ind w:left="1920"/>
        <w:spacing w:after="0"/>
        <w:tabs>
          <w:tab w:leader="none" w:pos="22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Nicholas 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-13970</wp:posOffset>
            </wp:positionV>
            <wp:extent cx="103441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5">
                      <a:extLst>
                        <a:ext uri="{28A0092B-C50C-407E-A947-70E740481C1C}"/>
                      </a:extLst>
                    </a:blip>
                    <a:srcRect/>
                    <a:stretch>
                      <a:fillRect/>
                    </a:stretch>
                  </pic:blipFill>
                  <pic:spPr bwMode="auto">
                    <a:xfrm>
                      <a:off x="0" y="0"/>
                      <a:ext cx="1034415" cy="6985"/>
                    </a:xfrm>
                    <a:prstGeom prst="rect">
                      <a:avLst/>
                    </a:prstGeom>
                    <a:noFill/>
                  </pic:spPr>
                </pic:pic>
              </a:graphicData>
            </a:graphic>
          </wp:anchor>
        </w:drawing>
      </w:r>
    </w:p>
    <w:p>
      <w:pPr>
        <w:spacing w:after="0" w:line="326" w:lineRule="exact"/>
        <w:rPr>
          <w:sz w:val="20"/>
          <w:szCs w:val="20"/>
          <w:color w:val="auto"/>
        </w:rPr>
      </w:pPr>
    </w:p>
    <w:p>
      <w:pPr>
        <w:ind w:left="1920"/>
        <w:spacing w:after="0"/>
        <w:tabs>
          <w:tab w:leader="none" w:pos="24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Nicholas 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-13970</wp:posOffset>
            </wp:positionV>
            <wp:extent cx="91694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6">
                      <a:extLst>
                        <a:ext uri="{28A0092B-C50C-407E-A947-70E740481C1C}"/>
                      </a:extLst>
                    </a:blip>
                    <a:srcRect/>
                    <a:stretch>
                      <a:fillRect/>
                    </a:stretch>
                  </pic:blipFill>
                  <pic:spPr bwMode="auto">
                    <a:xfrm>
                      <a:off x="0" y="0"/>
                      <a:ext cx="916940" cy="6985"/>
                    </a:xfrm>
                    <a:prstGeom prst="rect">
                      <a:avLst/>
                    </a:prstGeom>
                    <a:noFill/>
                  </pic:spPr>
                </pic:pic>
              </a:graphicData>
            </a:graphic>
          </wp:anchor>
        </w:drawing>
      </w:r>
    </w:p>
    <w:p>
      <w:pPr>
        <w:spacing w:after="0" w:line="326" w:lineRule="exact"/>
        <w:rPr>
          <w:sz w:val="20"/>
          <w:szCs w:val="20"/>
          <w:color w:val="auto"/>
        </w:rPr>
      </w:pPr>
    </w:p>
    <w:p>
      <w:pPr>
        <w:ind w:left="1920"/>
        <w:spacing w:after="0"/>
        <w:tabs>
          <w:tab w:leader="none" w:pos="238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-13970</wp:posOffset>
            </wp:positionV>
            <wp:extent cx="95186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7">
                      <a:extLst>
                        <a:ext uri="{28A0092B-C50C-407E-A947-70E740481C1C}"/>
                      </a:extLst>
                    </a:blip>
                    <a:srcRect/>
                    <a:stretch>
                      <a:fillRect/>
                    </a:stretch>
                  </pic:blipFill>
                  <pic:spPr bwMode="auto">
                    <a:xfrm>
                      <a:off x="0" y="0"/>
                      <a:ext cx="951865" cy="698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6"/>
          <w:szCs w:val="16"/>
          <w:b w:val="1"/>
          <w:bCs w:val="1"/>
          <w:color w:val="auto"/>
        </w:rPr>
        <w:t>Exhibit 21.1</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SUBSIDIARIES OF FLUIDIGM CORPORATION</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Fluidigm Corporation (Delaware):</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Sciences Inc. (Delaware)</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(Shanghai) Instrument Technology Company Limited (China)</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K.K. (Japan)</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Europe B.V. (Netherlands)</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Singapore Pte. Ltd. (Singapore)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Fluidigm Europe B.V. (Netherlands):</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France SARL (France)</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GmbH (Germany)</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Italy S.r.l. (Italy)</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InstruNor AS (Norway)</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UK Limited (United Kingdom)</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Fluidigm Sciences Inc. (Delaware):</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Fluidigm Canada Inc. (Ontario, Canada)</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320" w:top="788"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4"/>
          <w:szCs w:val="14"/>
          <w:b w:val="1"/>
          <w:bCs w:val="1"/>
          <w:color w:val="auto"/>
        </w:rPr>
        <w:t>Exhibit 23.1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OF INDEPENDENT REGISTERED PUBLIC ACCOUNTING FIRM</w:t>
      </w:r>
    </w:p>
    <w:p>
      <w:pPr>
        <w:spacing w:after="0" w:line="347" w:lineRule="exact"/>
        <w:rPr>
          <w:sz w:val="20"/>
          <w:szCs w:val="20"/>
          <w:color w:val="auto"/>
        </w:rPr>
      </w:pPr>
    </w:p>
    <w:p>
      <w:pPr>
        <w:jc w:val="both"/>
        <w:ind w:right="60"/>
        <w:spacing w:after="0" w:line="279" w:lineRule="auto"/>
        <w:rPr>
          <w:sz w:val="20"/>
          <w:szCs w:val="20"/>
          <w:color w:val="auto"/>
        </w:rPr>
      </w:pPr>
      <w:r>
        <w:rPr>
          <w:rFonts w:ascii="Arial" w:cs="Arial" w:eastAsia="Arial" w:hAnsi="Arial"/>
          <w:sz w:val="13"/>
          <w:szCs w:val="13"/>
          <w:color w:val="auto"/>
        </w:rPr>
        <w:t>We hereby consent to the incorporation by reference in the Registration Statements on Form S-3 (No. 333-230383), Form S-8 (Nos. 333-256617, 333-172206, 333-180363, 333-187204, 333-202325, 333-209904, 333-215555, 333-219667, 333-222561, 333-229214, 333-232441, 333-239810) and Form S-8/S-3 (No.333-194084) of Fluidigm Corporation of our report dated March 4, 2022 relating to the financial statements and financial statement schedule and the effectiveness of internal control over financial reporting, which appears in this Form 10-K.</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March 7, 2022</w:t>
      </w:r>
    </w:p>
    <w:p>
      <w:pPr>
        <w:sectPr>
          <w:pgSz w:w="11900" w:h="16838" w:orient="portrait"/>
          <w:cols w:equalWidth="0" w:num="1">
            <w:col w:w="11280"/>
          </w:cols>
          <w:pgMar w:left="300" w:top="1141" w:right="3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line="269" w:lineRule="auto"/>
        <w:rPr>
          <w:sz w:val="20"/>
          <w:szCs w:val="20"/>
          <w:color w:val="auto"/>
        </w:rPr>
      </w:pPr>
      <w:r>
        <w:rPr>
          <w:rFonts w:ascii="Arial" w:cs="Arial" w:eastAsia="Arial" w:hAnsi="Arial"/>
          <w:sz w:val="14"/>
          <w:szCs w:val="14"/>
          <w:b w:val="1"/>
          <w:bCs w:val="1"/>
          <w:color w:val="auto"/>
        </w:rPr>
        <w:t>CERTIFICATION OF THE PRESIDENT AND CHIEF EXECUTIVE OFFICER PURSUANT TO SECURITIES EXCHANGE ACT RULES 13a-14(a) AND 15d-14(a), AS ADOPTED PURSUANT TO SECTION 302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I, Stephen Christopher Linthwaite, certify that:</w:t>
      </w:r>
    </w:p>
    <w:p>
      <w:pPr>
        <w:spacing w:after="0" w:line="114" w:lineRule="exact"/>
        <w:rPr>
          <w:sz w:val="20"/>
          <w:szCs w:val="20"/>
          <w:color w:val="auto"/>
        </w:rPr>
      </w:pPr>
    </w:p>
    <w:p>
      <w:pPr>
        <w:ind w:left="1020" w:hanging="507"/>
        <w:spacing w:after="0"/>
        <w:tabs>
          <w:tab w:leader="none" w:pos="10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Fluidigm Corporation;</w:t>
      </w:r>
    </w:p>
    <w:p>
      <w:pPr>
        <w:spacing w:after="0" w:line="124" w:lineRule="exact"/>
        <w:rPr>
          <w:rFonts w:ascii="Arial" w:cs="Arial" w:eastAsia="Arial" w:hAnsi="Arial"/>
          <w:sz w:val="14"/>
          <w:szCs w:val="14"/>
          <w:color w:val="auto"/>
        </w:rPr>
      </w:pPr>
    </w:p>
    <w:p>
      <w:pPr>
        <w:ind w:left="1020" w:right="240" w:hanging="507"/>
        <w:spacing w:after="0" w:line="280" w:lineRule="auto"/>
        <w:tabs>
          <w:tab w:leader="none" w:pos="10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left="1020" w:right="340" w:hanging="507"/>
        <w:spacing w:after="0" w:line="280" w:lineRule="auto"/>
        <w:tabs>
          <w:tab w:leader="none" w:pos="10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4"/>
          <w:szCs w:val="14"/>
          <w:color w:val="auto"/>
        </w:rPr>
      </w:pPr>
    </w:p>
    <w:p>
      <w:pPr>
        <w:ind w:left="1020" w:hanging="507"/>
        <w:spacing w:after="0"/>
        <w:tabs>
          <w:tab w:leader="none" w:pos="10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0"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14" w:lineRule="exact"/>
        <w:rPr>
          <w:rFonts w:ascii="Arial" w:cs="Arial" w:eastAsia="Arial" w:hAnsi="Arial"/>
          <w:sz w:val="13"/>
          <w:szCs w:val="13"/>
          <w:color w:val="auto"/>
        </w:rPr>
      </w:pPr>
    </w:p>
    <w:p>
      <w:pPr>
        <w:ind w:left="1520" w:right="220" w:hanging="499"/>
        <w:spacing w:after="0" w:line="266" w:lineRule="auto"/>
        <w:tabs>
          <w:tab w:leader="none" w:pos="1145" w:val="left"/>
        </w:tabs>
        <w:numPr>
          <w:ilvl w:val="1"/>
          <w:numId w:val="1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4"/>
          <w:szCs w:val="14"/>
          <w:color w:val="auto"/>
        </w:rPr>
      </w:pPr>
    </w:p>
    <w:p>
      <w:pPr>
        <w:ind w:left="1520" w:right="80" w:hanging="499"/>
        <w:spacing w:after="0" w:line="266" w:lineRule="auto"/>
        <w:tabs>
          <w:tab w:leader="none" w:pos="1153" w:val="left"/>
        </w:tabs>
        <w:numPr>
          <w:ilvl w:val="1"/>
          <w:numId w:val="1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4"/>
          <w:szCs w:val="14"/>
          <w:color w:val="auto"/>
        </w:rPr>
      </w:pPr>
    </w:p>
    <w:p>
      <w:pPr>
        <w:ind w:left="1520" w:right="40" w:hanging="499"/>
        <w:spacing w:after="0" w:line="280" w:lineRule="auto"/>
        <w:tabs>
          <w:tab w:leader="none" w:pos="1145" w:val="left"/>
        </w:tabs>
        <w:numPr>
          <w:ilvl w:val="1"/>
          <w:numId w:val="1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1520" w:right="20" w:hanging="499"/>
        <w:spacing w:after="0" w:line="266" w:lineRule="auto"/>
        <w:tabs>
          <w:tab w:leader="none" w:pos="1153" w:val="left"/>
        </w:tabs>
        <w:numPr>
          <w:ilvl w:val="1"/>
          <w:numId w:val="12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4"/>
          <w:szCs w:val="14"/>
          <w:color w:val="auto"/>
        </w:rPr>
      </w:pPr>
    </w:p>
    <w:p>
      <w:pPr>
        <w:ind w:left="1020" w:right="420" w:hanging="507"/>
        <w:spacing w:after="0" w:line="280" w:lineRule="auto"/>
        <w:tabs>
          <w:tab w:leader="none" w:pos="65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4"/>
          <w:szCs w:val="14"/>
          <w:color w:val="auto"/>
        </w:rPr>
      </w:pPr>
    </w:p>
    <w:p>
      <w:pPr>
        <w:ind w:left="1520" w:right="400" w:hanging="499"/>
        <w:spacing w:after="0" w:line="280" w:lineRule="auto"/>
        <w:tabs>
          <w:tab w:leader="none" w:pos="1145" w:val="left"/>
        </w:tabs>
        <w:numPr>
          <w:ilvl w:val="1"/>
          <w:numId w:val="1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1160" w:hanging="139"/>
        <w:spacing w:after="0"/>
        <w:tabs>
          <w:tab w:leader="none" w:pos="1160" w:val="left"/>
        </w:tabs>
        <w:numPr>
          <w:ilvl w:val="1"/>
          <w:numId w:val="1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Date: March 7, 2022</w:t>
            </w:r>
          </w:p>
        </w:tc>
        <w:tc>
          <w:tcPr>
            <w:tcW w:w="3160" w:type="dxa"/>
            <w:vAlign w:val="bottom"/>
          </w:tcPr>
          <w:p>
            <w:pPr>
              <w:ind w:left="2700"/>
              <w:spacing w:after="0"/>
              <w:rPr>
                <w:sz w:val="20"/>
                <w:szCs w:val="20"/>
                <w:color w:val="auto"/>
              </w:rPr>
            </w:pPr>
            <w:r>
              <w:rPr>
                <w:rFonts w:ascii="Arial" w:cs="Arial" w:eastAsia="Arial" w:hAnsi="Arial"/>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Stephen Christopher Linthwaite</w:t>
            </w:r>
          </w:p>
        </w:tc>
      </w:tr>
      <w:tr>
        <w:trPr>
          <w:trHeight w:val="171"/>
        </w:trPr>
        <w:tc>
          <w:tcPr>
            <w:tcW w:w="3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Stephen Christopher Linthwaite</w:t>
            </w:r>
          </w:p>
        </w:tc>
      </w:tr>
      <w:tr>
        <w:trPr>
          <w:trHeight w:val="180"/>
        </w:trPr>
        <w:tc>
          <w:tcPr>
            <w:tcW w:w="38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1280"/>
          </w:cols>
          <w:pgMar w:left="300" w:top="855" w:right="3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line="269" w:lineRule="auto"/>
        <w:rPr>
          <w:sz w:val="20"/>
          <w:szCs w:val="20"/>
          <w:color w:val="auto"/>
        </w:rPr>
      </w:pPr>
      <w:r>
        <w:rPr>
          <w:rFonts w:ascii="Arial" w:cs="Arial" w:eastAsia="Arial" w:hAnsi="Arial"/>
          <w:sz w:val="14"/>
          <w:szCs w:val="14"/>
          <w:b w:val="1"/>
          <w:bCs w:val="1"/>
          <w:color w:val="auto"/>
        </w:rPr>
        <w:t>CERTIFICATION OF THE CHIEF FINANCIAL OFFICER PURSUANT TO SECURITIES EXCHANGE ACT RULES 13a-14(a) AND 15d-14(a), AS ADOPTED PURSUANT TO SECTION 302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I, Vikram Jog, certify that:</w:t>
      </w:r>
    </w:p>
    <w:p>
      <w:pPr>
        <w:spacing w:after="0" w:line="114" w:lineRule="exact"/>
        <w:rPr>
          <w:sz w:val="20"/>
          <w:szCs w:val="20"/>
          <w:color w:val="auto"/>
        </w:rPr>
      </w:pPr>
    </w:p>
    <w:p>
      <w:pPr>
        <w:ind w:left="1020" w:hanging="507"/>
        <w:spacing w:after="0"/>
        <w:tabs>
          <w:tab w:leader="none" w:pos="10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Fluidigm Corporation;</w:t>
      </w:r>
    </w:p>
    <w:p>
      <w:pPr>
        <w:spacing w:after="0" w:line="124" w:lineRule="exact"/>
        <w:rPr>
          <w:rFonts w:ascii="Arial" w:cs="Arial" w:eastAsia="Arial" w:hAnsi="Arial"/>
          <w:sz w:val="14"/>
          <w:szCs w:val="14"/>
          <w:color w:val="auto"/>
        </w:rPr>
      </w:pPr>
    </w:p>
    <w:p>
      <w:pPr>
        <w:ind w:left="1020" w:right="240" w:hanging="507"/>
        <w:spacing w:after="0" w:line="280" w:lineRule="auto"/>
        <w:tabs>
          <w:tab w:leader="none" w:pos="10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left="1020" w:right="340" w:hanging="507"/>
        <w:spacing w:after="0" w:line="280" w:lineRule="auto"/>
        <w:tabs>
          <w:tab w:leader="none" w:pos="10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4"/>
          <w:szCs w:val="14"/>
          <w:color w:val="auto"/>
        </w:rPr>
      </w:pPr>
    </w:p>
    <w:p>
      <w:pPr>
        <w:ind w:left="1020" w:hanging="507"/>
        <w:spacing w:after="0"/>
        <w:tabs>
          <w:tab w:leader="none" w:pos="102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0"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14" w:lineRule="exact"/>
        <w:rPr>
          <w:rFonts w:ascii="Arial" w:cs="Arial" w:eastAsia="Arial" w:hAnsi="Arial"/>
          <w:sz w:val="13"/>
          <w:szCs w:val="13"/>
          <w:color w:val="auto"/>
        </w:rPr>
      </w:pPr>
    </w:p>
    <w:p>
      <w:pPr>
        <w:ind w:left="1520" w:right="20" w:hanging="499"/>
        <w:spacing w:after="0" w:line="266" w:lineRule="auto"/>
        <w:tabs>
          <w:tab w:leader="none" w:pos="1512" w:val="left"/>
        </w:tabs>
        <w:numPr>
          <w:ilvl w:val="1"/>
          <w:numId w:val="1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4"/>
          <w:szCs w:val="14"/>
          <w:color w:val="auto"/>
        </w:rPr>
      </w:pPr>
    </w:p>
    <w:p>
      <w:pPr>
        <w:jc w:val="both"/>
        <w:ind w:left="1520" w:right="80" w:hanging="499"/>
        <w:spacing w:after="0" w:line="266" w:lineRule="auto"/>
        <w:tabs>
          <w:tab w:leader="none" w:pos="1520" w:val="left"/>
        </w:tabs>
        <w:numPr>
          <w:ilvl w:val="1"/>
          <w:numId w:val="1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4"/>
          <w:szCs w:val="14"/>
          <w:color w:val="auto"/>
        </w:rPr>
      </w:pPr>
    </w:p>
    <w:p>
      <w:pPr>
        <w:ind w:left="1520" w:right="420" w:hanging="499"/>
        <w:spacing w:after="0" w:line="280" w:lineRule="auto"/>
        <w:tabs>
          <w:tab w:leader="none" w:pos="1512" w:val="left"/>
        </w:tabs>
        <w:numPr>
          <w:ilvl w:val="1"/>
          <w:numId w:val="1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1520" w:right="40" w:hanging="499"/>
        <w:spacing w:after="0" w:line="266" w:lineRule="auto"/>
        <w:tabs>
          <w:tab w:leader="none" w:pos="1520" w:val="left"/>
        </w:tabs>
        <w:numPr>
          <w:ilvl w:val="1"/>
          <w:numId w:val="13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4"/>
          <w:szCs w:val="14"/>
          <w:color w:val="auto"/>
        </w:rPr>
      </w:pPr>
    </w:p>
    <w:p>
      <w:pPr>
        <w:ind w:left="1020" w:right="40" w:hanging="507"/>
        <w:spacing w:after="0" w:line="280" w:lineRule="auto"/>
        <w:tabs>
          <w:tab w:leader="none" w:pos="10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4"/>
          <w:szCs w:val="14"/>
          <w:color w:val="auto"/>
        </w:rPr>
      </w:pPr>
    </w:p>
    <w:p>
      <w:pPr>
        <w:ind w:left="1520" w:right="40" w:hanging="499"/>
        <w:spacing w:after="0" w:line="280" w:lineRule="auto"/>
        <w:tabs>
          <w:tab w:leader="none" w:pos="1512"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1520" w:hanging="499"/>
        <w:spacing w:after="0"/>
        <w:tabs>
          <w:tab w:leader="none" w:pos="1520" w:val="left"/>
        </w:tabs>
        <w:numPr>
          <w:ilvl w:val="1"/>
          <w:numId w:val="13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860" w:type="dxa"/>
            <w:vAlign w:val="bottom"/>
          </w:tcPr>
          <w:p>
            <w:pPr>
              <w:spacing w:after="0"/>
              <w:rPr>
                <w:sz w:val="20"/>
                <w:szCs w:val="20"/>
                <w:color w:val="auto"/>
              </w:rPr>
            </w:pPr>
            <w:r>
              <w:rPr>
                <w:rFonts w:ascii="Arial" w:cs="Arial" w:eastAsia="Arial" w:hAnsi="Arial"/>
                <w:sz w:val="14"/>
                <w:szCs w:val="14"/>
                <w:color w:val="auto"/>
              </w:rPr>
              <w:t>Date: March 7, 2022</w:t>
            </w:r>
          </w:p>
        </w:tc>
        <w:tc>
          <w:tcPr>
            <w:tcW w:w="3160" w:type="dxa"/>
            <w:vAlign w:val="bottom"/>
          </w:tcPr>
          <w:p>
            <w:pPr>
              <w:ind w:left="2700"/>
              <w:spacing w:after="0"/>
              <w:rPr>
                <w:sz w:val="20"/>
                <w:szCs w:val="20"/>
                <w:color w:val="auto"/>
              </w:rPr>
            </w:pPr>
            <w:r>
              <w:rPr>
                <w:rFonts w:ascii="Arial" w:cs="Arial" w:eastAsia="Arial" w:hAnsi="Arial"/>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Vikram Jog</w:t>
            </w:r>
          </w:p>
        </w:tc>
      </w:tr>
      <w:tr>
        <w:trPr>
          <w:trHeight w:val="171"/>
        </w:trPr>
        <w:tc>
          <w:tcPr>
            <w:tcW w:w="38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Vikram Jog</w:t>
            </w:r>
          </w:p>
        </w:tc>
      </w:tr>
      <w:tr>
        <w:trPr>
          <w:trHeight w:val="180"/>
        </w:trPr>
        <w:tc>
          <w:tcPr>
            <w:tcW w:w="38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80"/>
          </w:cols>
          <w:pgMar w:left="300" w:top="728" w:right="3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15" w:lineRule="exact"/>
        <w:rPr>
          <w:sz w:val="20"/>
          <w:szCs w:val="20"/>
          <w:color w:val="auto"/>
        </w:rPr>
      </w:pPr>
    </w:p>
    <w:p>
      <w:pPr>
        <w:ind w:right="80" w:firstLine="349"/>
        <w:spacing w:after="0" w:line="280" w:lineRule="auto"/>
        <w:rPr>
          <w:sz w:val="20"/>
          <w:szCs w:val="20"/>
          <w:color w:val="auto"/>
        </w:rPr>
      </w:pPr>
      <w:r>
        <w:rPr>
          <w:rFonts w:ascii="Arial" w:cs="Arial" w:eastAsia="Arial" w:hAnsi="Arial"/>
          <w:sz w:val="14"/>
          <w:szCs w:val="14"/>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69" w:lineRule="exact"/>
        <w:rPr>
          <w:sz w:val="20"/>
          <w:szCs w:val="20"/>
          <w:color w:val="auto"/>
        </w:rPr>
      </w:pPr>
    </w:p>
    <w:p>
      <w:pPr>
        <w:ind w:left="320" w:right="280" w:firstLine="2"/>
        <w:spacing w:after="0" w:line="280" w:lineRule="auto"/>
        <w:tabs>
          <w:tab w:leader="none" w:pos="51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Company’s Annual Report on Form 10-K for the fiscal year ended December 31, 2021 (the “Report”), fully complies with the requirements of Section 13(a) or 15(d) of the Securities Exchange Act of 1934, as amended; and</w:t>
      </w:r>
    </w:p>
    <w:p>
      <w:pPr>
        <w:spacing w:after="0" w:line="79" w:lineRule="exact"/>
        <w:rPr>
          <w:rFonts w:ascii="Arial" w:cs="Arial" w:eastAsia="Arial" w:hAnsi="Arial"/>
          <w:sz w:val="14"/>
          <w:szCs w:val="14"/>
          <w:color w:val="auto"/>
        </w:rPr>
      </w:pPr>
    </w:p>
    <w:p>
      <w:pPr>
        <w:ind w:left="520" w:hanging="198"/>
        <w:spacing w:after="0"/>
        <w:tabs>
          <w:tab w:leader="none" w:pos="5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Date: March 7, 2022</w:t>
            </w:r>
          </w:p>
        </w:tc>
        <w:tc>
          <w:tcPr>
            <w:tcW w:w="2800" w:type="dxa"/>
            <w:vAlign w:val="bottom"/>
          </w:tcPr>
          <w:p>
            <w:pPr>
              <w:ind w:left="2360"/>
              <w:spacing w:after="0"/>
              <w:rPr>
                <w:sz w:val="20"/>
                <w:szCs w:val="20"/>
                <w:color w:val="auto"/>
              </w:rPr>
            </w:pPr>
            <w:r>
              <w:rPr>
                <w:rFonts w:ascii="Arial" w:cs="Arial" w:eastAsia="Arial" w:hAnsi="Arial"/>
                <w:sz w:val="14"/>
                <w:szCs w:val="14"/>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Stephen Christopher Linthwaite</w:t>
            </w:r>
          </w:p>
        </w:tc>
      </w:tr>
      <w:tr>
        <w:trPr>
          <w:trHeight w:val="171"/>
        </w:trPr>
        <w:tc>
          <w:tcPr>
            <w:tcW w:w="3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Stephen Christopher Linthwaite</w:t>
            </w:r>
          </w:p>
        </w:tc>
      </w:tr>
      <w:tr>
        <w:trPr>
          <w:trHeight w:val="180"/>
        </w:trPr>
        <w:tc>
          <w:tcPr>
            <w:tcW w:w="35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1280"/>
          </w:cols>
          <w:pgMar w:left="300" w:top="728" w:right="3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15" w:lineRule="exact"/>
        <w:rPr>
          <w:sz w:val="20"/>
          <w:szCs w:val="20"/>
          <w:color w:val="auto"/>
        </w:rPr>
      </w:pPr>
    </w:p>
    <w:p>
      <w:pPr>
        <w:ind w:right="320" w:firstLine="349"/>
        <w:spacing w:after="0" w:line="280" w:lineRule="auto"/>
        <w:rPr>
          <w:sz w:val="20"/>
          <w:szCs w:val="20"/>
          <w:color w:val="auto"/>
        </w:rPr>
      </w:pPr>
      <w:r>
        <w:rPr>
          <w:rFonts w:ascii="Arial" w:cs="Arial" w:eastAsia="Arial" w:hAnsi="Arial"/>
          <w:sz w:val="14"/>
          <w:szCs w:val="14"/>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69" w:lineRule="exact"/>
        <w:rPr>
          <w:sz w:val="20"/>
          <w:szCs w:val="20"/>
          <w:color w:val="auto"/>
        </w:rPr>
      </w:pPr>
    </w:p>
    <w:p>
      <w:pPr>
        <w:ind w:left="320" w:right="280" w:firstLine="2"/>
        <w:spacing w:after="0" w:line="280" w:lineRule="auto"/>
        <w:tabs>
          <w:tab w:leader="none" w:pos="51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Company’s Annual Report on Form 10-K for the fiscal year ended December 31, 2021 (the “Report”), fully complies with the requirements of Section 13(a) or 15(d) of the Securities Exchange Act of 1934, as amended; and</w:t>
      </w:r>
    </w:p>
    <w:p>
      <w:pPr>
        <w:spacing w:after="0" w:line="79" w:lineRule="exact"/>
        <w:rPr>
          <w:rFonts w:ascii="Arial" w:cs="Arial" w:eastAsia="Arial" w:hAnsi="Arial"/>
          <w:sz w:val="14"/>
          <w:szCs w:val="14"/>
          <w:color w:val="auto"/>
        </w:rPr>
      </w:pPr>
    </w:p>
    <w:p>
      <w:pPr>
        <w:ind w:left="520" w:hanging="198"/>
        <w:spacing w:after="0"/>
        <w:tabs>
          <w:tab w:leader="none" w:pos="5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Date: March 7, 2022</w:t>
            </w:r>
          </w:p>
        </w:tc>
        <w:tc>
          <w:tcPr>
            <w:tcW w:w="2800" w:type="dxa"/>
            <w:vAlign w:val="bottom"/>
          </w:tcPr>
          <w:p>
            <w:pPr>
              <w:ind w:left="2360"/>
              <w:spacing w:after="0"/>
              <w:rPr>
                <w:sz w:val="20"/>
                <w:szCs w:val="20"/>
                <w:color w:val="auto"/>
              </w:rPr>
            </w:pPr>
            <w:r>
              <w:rPr>
                <w:rFonts w:ascii="Arial" w:cs="Arial" w:eastAsia="Arial" w:hAnsi="Arial"/>
                <w:sz w:val="14"/>
                <w:szCs w:val="14"/>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Vikram Jog</w:t>
            </w:r>
          </w:p>
        </w:tc>
      </w:tr>
      <w:tr>
        <w:trPr>
          <w:trHeight w:val="171"/>
        </w:trPr>
        <w:tc>
          <w:tcPr>
            <w:tcW w:w="3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Vikram Jog</w:t>
            </w:r>
          </w:p>
        </w:tc>
      </w:tr>
      <w:tr>
        <w:trPr>
          <w:trHeight w:val="180"/>
        </w:trPr>
        <w:tc>
          <w:tcPr>
            <w:tcW w:w="35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lowerRoman"/>
      <w:start w:val="3"/>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1."/>
      <w:numFmt w:val="upperLetter"/>
      <w:start w:val="6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1)"/>
      <w:numFmt w:val="decimal"/>
      <w:start w:val="1"/>
    </w:lvl>
  </w:abstractNum>
  <w:abstractNum w:abstractNumId="44">
    <w:nsid w:val="14E17E33"/>
    <w:multiLevelType w:val="hybridMultilevel"/>
    <w:lvl w:ilvl="0">
      <w:lvlJc w:val="left"/>
      <w:lvlText w:val="(%1)"/>
      <w:numFmt w:val="decimal"/>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1)"/>
      <w:numFmt w:val="lowerRoman"/>
      <w:start w:val="3"/>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
      <w:numFmt w:val="bullet"/>
      <w:start w:val="1"/>
    </w:lvl>
    <w:lvl w:ilvl="1">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1)"/>
      <w:numFmt w:val="upperLetter"/>
      <w:start w:val="1"/>
    </w:lvl>
    <w:lvl w:ilvl="1">
      <w:lvlJc w:val="left"/>
      <w:lvlText w:val="(%2)"/>
      <w:numFmt w:val="lowerRoman"/>
      <w:start w:val="1"/>
    </w:lvl>
  </w:abstractNum>
  <w:abstractNum w:abstractNumId="53">
    <w:nsid w:val="CC1016F"/>
    <w:multiLevelType w:val="hybridMultilevel"/>
    <w:lvl w:ilvl="0">
      <w:lvlJc w:val="left"/>
      <w:lvlText w:val="%1)"/>
      <w:numFmt w:val="upperLetter"/>
      <w:start w:val="2"/>
    </w:lvl>
  </w:abstractNum>
  <w:abstractNum w:abstractNumId="54">
    <w:nsid w:val="43F18422"/>
    <w:multiLevelType w:val="hybridMultilevel"/>
    <w:lvl w:ilvl="0">
      <w:lvlJc w:val="left"/>
      <w:lvlText w:val="%1."/>
      <w:numFmt w:val="decimal"/>
      <w:start w:val="1"/>
    </w:lvl>
  </w:abstractNum>
  <w:abstractNum w:abstractNumId="55">
    <w:nsid w:val="60EF0119"/>
    <w:multiLevelType w:val="hybridMultilevel"/>
    <w:lvl w:ilvl="0">
      <w:lvlJc w:val="left"/>
      <w:lvlText w:val="%1."/>
      <w:numFmt w:val="decimal"/>
      <w:start w:val="7"/>
    </w:lvl>
  </w:abstractNum>
  <w:abstractNum w:abstractNumId="56">
    <w:nsid w:val="26F324BA"/>
    <w:multiLevelType w:val="hybridMultilevel"/>
    <w:lvl w:ilvl="0">
      <w:lvlJc w:val="left"/>
      <w:lvlText w:val="1"/>
      <w:numFmt w:val="bullet"/>
      <w:start w:val="1"/>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2"/>
      <w:numFmt w:val="bullet"/>
      <w:start w:val="1"/>
    </w:lvl>
  </w:abstractNum>
  <w:abstractNum w:abstractNumId="59">
    <w:nsid w:val="7055A5F5"/>
    <w:multiLevelType w:val="hybridMultilevel"/>
    <w:lvl w:ilvl="0">
      <w:lvlJc w:val="left"/>
      <w:lvlText w:val="(%1)"/>
      <w:numFmt w:val="lowerLetter"/>
      <w:start w:val="1"/>
    </w:lvl>
  </w:abstractNum>
  <w:abstractNum w:abstractNumId="60">
    <w:nsid w:val="5FB8370B"/>
    <w:multiLevelType w:val="hybridMultilevel"/>
    <w:lvl w:ilvl="0">
      <w:lvlJc w:val="left"/>
      <w:lvlText w:val="(%1)"/>
      <w:numFmt w:val="lowerLetter"/>
      <w:start w:val="1"/>
    </w:lvl>
  </w:abstractNum>
  <w:abstractNum w:abstractNumId="61">
    <w:nsid w:val="50801EE1"/>
    <w:multiLevelType w:val="hybridMultilevel"/>
    <w:lvl w:ilvl="0">
      <w:lvlJc w:val="left"/>
      <w:lvlText w:val="(%1)"/>
      <w:numFmt w:val="lowerLetter"/>
      <w:start w:val="1"/>
    </w:lvl>
    <w:lvl w:ilvl="1">
      <w:lvlJc w:val="left"/>
      <w:lvlText w:val="%2"/>
      <w:numFmt w:val="lowerLetter"/>
      <w:start w:val="1"/>
    </w:lvl>
  </w:abstractNum>
  <w:abstractNum w:abstractNumId="62">
    <w:nsid w:val="488AC1A"/>
    <w:multiLevelType w:val="hybridMultilevel"/>
    <w:lvl w:ilvl="0">
      <w:lvlJc w:val="left"/>
      <w:lvlText w:val="(%1)"/>
      <w:numFmt w:val="lowerLetter"/>
      <w:start w:val="1"/>
    </w:lvl>
    <w:lvl w:ilvl="1">
      <w:lvlJc w:val="left"/>
      <w:lvlText w:val="%2"/>
      <w:numFmt w:val="lowerLetter"/>
      <w:start w:val="1"/>
    </w:lvl>
  </w:abstractNum>
  <w:abstractNum w:abstractNumId="63">
    <w:nsid w:val="5FB8011C"/>
    <w:multiLevelType w:val="hybridMultilevel"/>
    <w:lvl w:ilvl="0">
      <w:lvlJc w:val="left"/>
      <w:lvlText w:val="3"/>
      <w:numFmt w:val="bullet"/>
      <w:start w:val="1"/>
    </w:lvl>
  </w:abstractNum>
  <w:abstractNum w:abstractNumId="64">
    <w:nsid w:val="6AA78F7F"/>
    <w:multiLevelType w:val="hybridMultilevel"/>
    <w:lvl w:ilvl="0">
      <w:lvlJc w:val="left"/>
      <w:lvlText w:val="4"/>
      <w:numFmt w:val="bullet"/>
      <w:start w:val="1"/>
    </w:lvl>
  </w:abstractNum>
  <w:abstractNum w:abstractNumId="65">
    <w:nsid w:val="7672BD23"/>
    <w:multiLevelType w:val="hybridMultilevel"/>
    <w:lvl w:ilvl="0">
      <w:lvlJc w:val="left"/>
      <w:lvlText w:val="(%1)"/>
      <w:numFmt w:val="lowerLetter"/>
      <w:start w:val="1"/>
    </w:lvl>
  </w:abstractNum>
  <w:abstractNum w:abstractNumId="66">
    <w:nsid w:val="6FC75AF8"/>
    <w:multiLevelType w:val="hybridMultilevel"/>
    <w:lvl w:ilvl="0">
      <w:lvlJc w:val="left"/>
      <w:lvlText w:val="(%1)"/>
      <w:numFmt w:val="lowerLetter"/>
      <w:start w:val="1"/>
    </w:lvl>
  </w:abstractNum>
  <w:abstractNum w:abstractNumId="67">
    <w:nsid w:val="6A5F7029"/>
    <w:multiLevelType w:val="hybridMultilevel"/>
    <w:lvl w:ilvl="0">
      <w:lvlJc w:val="left"/>
      <w:lvlText w:val="(%1)"/>
      <w:numFmt w:val="lowerLetter"/>
      <w:start w:val="1"/>
    </w:lvl>
  </w:abstractNum>
  <w:abstractNum w:abstractNumId="68">
    <w:nsid w:val="7D5E18F8"/>
    <w:multiLevelType w:val="hybridMultilevel"/>
    <w:lvl w:ilvl="0">
      <w:lvlJc w:val="left"/>
      <w:lvlText w:val="(%1)"/>
      <w:numFmt w:val="lowerLetter"/>
      <w:start w:val="1"/>
    </w:lvl>
  </w:abstractNum>
  <w:abstractNum w:abstractNumId="69">
    <w:nsid w:val="5F3534A4"/>
    <w:multiLevelType w:val="hybridMultilevel"/>
    <w:lvl w:ilvl="0">
      <w:lvlJc w:val="left"/>
      <w:lvlText w:val="(%1)"/>
      <w:numFmt w:val="lowerLetter"/>
      <w:start w:val="1"/>
    </w:lvl>
    <w:lvl w:ilvl="1">
      <w:lvlJc w:val="left"/>
      <w:lvlText w:val="(%2)"/>
      <w:numFmt w:val="lowerRoman"/>
      <w:start w:val="1"/>
    </w:lvl>
  </w:abstractNum>
  <w:abstractNum w:abstractNumId="70">
    <w:nsid w:val="73A1821B"/>
    <w:multiLevelType w:val="hybridMultilevel"/>
    <w:lvl w:ilvl="0">
      <w:lvlJc w:val="left"/>
      <w:lvlText w:val="(%1)"/>
      <w:numFmt w:val="lowerLetter"/>
      <w:start w:val="1"/>
    </w:lvl>
  </w:abstractNum>
  <w:abstractNum w:abstractNumId="71">
    <w:nsid w:val="7DE67713"/>
    <w:multiLevelType w:val="hybridMultilevel"/>
    <w:lvl w:ilvl="0">
      <w:lvlJc w:val="left"/>
      <w:lvlText w:val="(%1)"/>
      <w:numFmt w:val="lowerLetter"/>
      <w:start w:val="1"/>
    </w:lvl>
  </w:abstractNum>
  <w:abstractNum w:abstractNumId="72">
    <w:nsid w:val="555C55B5"/>
    <w:multiLevelType w:val="hybridMultilevel"/>
    <w:lvl w:ilvl="0">
      <w:lvlJc w:val="left"/>
      <w:lvlText w:val="(%1)"/>
      <w:numFmt w:val="lowerLetter"/>
      <w:start w:val="1"/>
    </w:lvl>
  </w:abstractNum>
  <w:abstractNum w:abstractNumId="73">
    <w:nsid w:val="3FA62ACA"/>
    <w:multiLevelType w:val="hybridMultilevel"/>
    <w:lvl w:ilvl="0">
      <w:lvlJc w:val="left"/>
      <w:lvlText w:val="(%1)"/>
      <w:numFmt w:val="lowerLetter"/>
      <w:start w:val="1"/>
    </w:lvl>
  </w:abstractNum>
  <w:abstractNum w:abstractNumId="74">
    <w:nsid w:val="14FCE74E"/>
    <w:multiLevelType w:val="hybridMultilevel"/>
    <w:lvl w:ilvl="0">
      <w:lvlJc w:val="left"/>
      <w:lvlText w:val="(%1)"/>
      <w:numFmt w:val="lowerRoman"/>
      <w:start w:val="1"/>
    </w:lvl>
  </w:abstractNum>
  <w:abstractNum w:abstractNumId="75">
    <w:nsid w:val="6A3DD3E8"/>
    <w:multiLevelType w:val="hybridMultilevel"/>
    <w:lvl w:ilvl="0">
      <w:lvlJc w:val="left"/>
      <w:lvlText w:val="(%1)"/>
      <w:numFmt w:val="lowerLetter"/>
      <w:start w:val="1"/>
    </w:lvl>
  </w:abstractNum>
  <w:abstractNum w:abstractNumId="76">
    <w:nsid w:val="71C91298"/>
    <w:multiLevelType w:val="hybridMultilevel"/>
    <w:lvl w:ilvl="0">
      <w:lvlJc w:val="left"/>
      <w:lvlText w:val="(%1)"/>
      <w:numFmt w:val="lowerLetter"/>
      <w:start w:val="1"/>
    </w:lvl>
  </w:abstractNum>
  <w:abstractNum w:abstractNumId="77">
    <w:nsid w:val="9DAF632"/>
    <w:multiLevelType w:val="hybridMultilevel"/>
    <w:lvl w:ilvl="0">
      <w:lvlJc w:val="left"/>
      <w:lvlText w:val="(%1)"/>
      <w:numFmt w:val="lowerLetter"/>
      <w:start w:val="1"/>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1)"/>
      <w:numFmt w:val="lowerLetter"/>
      <w:start w:val="1"/>
    </w:lvl>
  </w:abstractNum>
  <w:abstractNum w:abstractNumId="81">
    <w:nsid w:val="1D545C4D"/>
    <w:multiLevelType w:val="hybridMultilevel"/>
    <w:lvl w:ilvl="0">
      <w:lvlJc w:val="left"/>
      <w:lvlText w:val="(%1)"/>
      <w:numFmt w:val="lowerLetter"/>
      <w:start w:val="1"/>
    </w:lvl>
  </w:abstractNum>
  <w:abstractNum w:abstractNumId="82">
    <w:nsid w:val="59ADEA3D"/>
    <w:multiLevelType w:val="hybridMultilevel"/>
    <w:lvl w:ilvl="0">
      <w:lvlJc w:val="left"/>
      <w:lvlText w:val="5"/>
      <w:numFmt w:val="bullet"/>
      <w:start w:val="1"/>
    </w:lvl>
  </w:abstractNum>
  <w:abstractNum w:abstractNumId="83">
    <w:nsid w:val="288F1A34"/>
    <w:multiLevelType w:val="hybridMultilevel"/>
    <w:lvl w:ilvl="0">
      <w:lvlJc w:val="left"/>
      <w:lvlText w:val="(%1)"/>
      <w:numFmt w:val="lowerLetter"/>
      <w:start w:val="1"/>
    </w:lvl>
  </w:abstractNum>
  <w:abstractNum w:abstractNumId="84">
    <w:nsid w:val="2A155DB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5">
    <w:nsid w:val="1D9F6E5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6">
    <w:nsid w:val="97E1B4E"/>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87">
    <w:nsid w:val="51088277"/>
    <w:multiLevelType w:val="hybridMultilevel"/>
    <w:lvl w:ilvl="0">
      <w:lvlJc w:val="left"/>
      <w:lvlText w:val="%1."/>
      <w:numFmt w:val="decimal"/>
      <w:start w:val="6"/>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lowerLetter"/>
      <w:start w:val="1"/>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7"/>
      <w:numFmt w:val="bullet"/>
      <w:start w:val="1"/>
    </w:lvl>
  </w:abstractNum>
  <w:abstractNum w:abstractNumId="93">
    <w:nsid w:val="45E6D486"/>
    <w:multiLevelType w:val="hybridMultilevel"/>
    <w:lvl w:ilvl="0">
      <w:lvlJc w:val="left"/>
      <w:lvlText w:val="(%1)"/>
      <w:numFmt w:val="lowerLetter"/>
      <w:start w:val="1"/>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1)"/>
      <w:numFmt w:val="lowerLetter"/>
      <w:start w:val="1"/>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8"/>
      <w:numFmt w:val="bullet"/>
      <w:start w:val="1"/>
    </w:lvl>
  </w:abstractNum>
  <w:abstractNum w:abstractNumId="98">
    <w:nsid w:val="78DF6A55"/>
    <w:multiLevelType w:val="hybridMultilevel"/>
    <w:lvl w:ilvl="0">
      <w:lvlJc w:val="left"/>
      <w:lvlText w:val="%1."/>
      <w:numFmt w:val="decimal"/>
      <w:start w:val="1"/>
    </w:lvl>
  </w:abstractNum>
  <w:abstractNum w:abstractNumId="99">
    <w:nsid w:val="39B7AAA2"/>
    <w:multiLevelType w:val="hybridMultilevel"/>
    <w:lvl w:ilvl="0">
      <w:lvlJc w:val="left"/>
      <w:lvlText w:val="%1."/>
      <w:numFmt w:val="decimal"/>
      <w:start w:val="2"/>
    </w:lvl>
  </w:abstractNum>
  <w:abstractNum w:abstractNumId="100">
    <w:nsid w:val="2B0D8DBE"/>
    <w:multiLevelType w:val="hybridMultilevel"/>
    <w:lvl w:ilvl="0">
      <w:lvlJc w:val="left"/>
      <w:lvlText w:val="%1."/>
      <w:numFmt w:val="upperLetter"/>
      <w:start w:val="1"/>
    </w:lvl>
  </w:abstractNum>
  <w:abstractNum w:abstractNumId="101">
    <w:nsid w:val="6C80EC70"/>
    <w:multiLevelType w:val="hybridMultilevel"/>
    <w:lvl w:ilvl="0">
      <w:lvlJc w:val="left"/>
      <w:lvlText w:val="%1."/>
      <w:numFmt w:val="decimal"/>
      <w:start w:val="1"/>
    </w:lvl>
  </w:abstractNum>
  <w:abstractNum w:abstractNumId="102">
    <w:nsid w:val="379E21B5"/>
    <w:multiLevelType w:val="hybridMultilevel"/>
    <w:lvl w:ilvl="0">
      <w:lvlJc w:val="left"/>
      <w:lvlText w:val="(%1)"/>
      <w:numFmt w:val="lowerLetter"/>
      <w:start w:val="8"/>
    </w:lvl>
  </w:abstractNum>
  <w:abstractNum w:abstractNumId="103">
    <w:nsid w:val="69E373"/>
    <w:multiLevelType w:val="hybridMultilevel"/>
    <w:lvl w:ilvl="0">
      <w:lvlJc w:val="left"/>
      <w:lvlText w:val="(%1)"/>
      <w:numFmt w:val="lowerLetter"/>
      <w:start w:val="10"/>
    </w:lvl>
  </w:abstractNum>
  <w:abstractNum w:abstractNumId="104">
    <w:nsid w:val="2C27173B"/>
    <w:multiLevelType w:val="hybridMultilevel"/>
    <w:lvl w:ilvl="0">
      <w:lvlJc w:val="left"/>
      <w:lvlText w:val="%1."/>
      <w:numFmt w:val="decimal"/>
      <w:start w:val="3"/>
    </w:lvl>
  </w:abstractNum>
  <w:abstractNum w:abstractNumId="105">
    <w:nsid w:val="4C9B0904"/>
    <w:multiLevelType w:val="hybridMultilevel"/>
    <w:lvl w:ilvl="0">
      <w:lvlJc w:val="left"/>
      <w:lvlText w:val="%1."/>
      <w:numFmt w:val="decimal"/>
      <w:start w:val="4"/>
    </w:lvl>
  </w:abstractNum>
  <w:abstractNum w:abstractNumId="106">
    <w:nsid w:val="6AA7B75C"/>
    <w:multiLevelType w:val="hybridMultilevel"/>
    <w:lvl w:ilvl="0">
      <w:lvlJc w:val="left"/>
      <w:lvlText w:val="%1."/>
      <w:numFmt w:val="decimal"/>
      <w:start w:val="5"/>
    </w:lvl>
  </w:abstractNum>
  <w:abstractNum w:abstractNumId="107">
    <w:nsid w:val="1DF029D3"/>
    <w:multiLevelType w:val="hybridMultilevel"/>
    <w:lvl w:ilvl="0">
      <w:lvlJc w:val="left"/>
      <w:lvlText w:val="%1."/>
      <w:numFmt w:val="decimal"/>
      <w:start w:val="10"/>
    </w:lvl>
  </w:abstractNum>
  <w:abstractNum w:abstractNumId="108">
    <w:nsid w:val="5675FF36"/>
    <w:multiLevelType w:val="hybridMultilevel"/>
    <w:lvl w:ilvl="0">
      <w:lvlJc w:val="left"/>
      <w:lvlText w:val="%1."/>
      <w:numFmt w:val="decimal"/>
      <w:start w:val="11"/>
    </w:lvl>
  </w:abstractNum>
  <w:abstractNum w:abstractNumId="109">
    <w:nsid w:val="3DD15094"/>
    <w:multiLevelType w:val="hybridMultilevel"/>
    <w:lvl w:ilvl="0">
      <w:lvlJc w:val="left"/>
      <w:lvlText w:val="%1."/>
      <w:numFmt w:val="upperLetter"/>
      <w:start w:val="9"/>
    </w:lvl>
  </w:abstractNum>
  <w:abstractNum w:abstractNumId="110">
    <w:nsid w:val="3DB012B3"/>
    <w:multiLevelType w:val="hybridMultilevel"/>
    <w:lvl w:ilvl="0">
      <w:lvlJc w:val="left"/>
      <w:lvlText w:val="%1."/>
      <w:numFmt w:val="upperLetter"/>
      <w:start w:val="1"/>
    </w:lvl>
  </w:abstractNum>
  <w:abstractNum w:abstractNumId="111">
    <w:nsid w:val="2708C9AF"/>
    <w:multiLevelType w:val="hybridMultilevel"/>
    <w:lvl w:ilvl="0">
      <w:lvlJc w:val="left"/>
      <w:lvlText w:val="%1."/>
      <w:numFmt w:val="decimal"/>
      <w:start w:val="1"/>
    </w:lvl>
  </w:abstractNum>
  <w:abstractNum w:abstractNumId="112">
    <w:nsid w:val="5B25ACE2"/>
    <w:multiLevelType w:val="hybridMultilevel"/>
    <w:lvl w:ilvl="0">
      <w:lvlJc w:val="left"/>
      <w:lvlText w:val="%1."/>
      <w:numFmt w:val="decimal"/>
      <w:start w:val="4"/>
    </w:lvl>
  </w:abstractNum>
  <w:abstractNum w:abstractNumId="113">
    <w:nsid w:val="175DFCF0"/>
    <w:multiLevelType w:val="hybridMultilevel"/>
    <w:lvl w:ilvl="0">
      <w:lvlJc w:val="left"/>
      <w:lvlText w:val="%1."/>
      <w:numFmt w:val="decimal"/>
      <w:start w:val="5"/>
    </w:lvl>
  </w:abstractNum>
  <w:abstractNum w:abstractNumId="114">
    <w:nsid w:val="4F97E3E4"/>
    <w:multiLevelType w:val="hybridMultilevel"/>
    <w:lvl w:ilvl="0">
      <w:lvlJc w:val="left"/>
      <w:lvlText w:val="%1."/>
      <w:numFmt w:val="decimal"/>
      <w:start w:val="6"/>
    </w:lvl>
  </w:abstractNum>
  <w:abstractNum w:abstractNumId="115">
    <w:nsid w:val="53B0A9E"/>
    <w:multiLevelType w:val="hybridMultilevel"/>
    <w:lvl w:ilvl="0">
      <w:lvlJc w:val="left"/>
      <w:lvlText w:val="%1."/>
      <w:numFmt w:val="decimal"/>
      <w:start w:val="7"/>
    </w:lvl>
  </w:abstractNum>
  <w:abstractNum w:abstractNumId="116">
    <w:nsid w:val="34FD6B4F"/>
    <w:multiLevelType w:val="hybridMultilevel"/>
    <w:lvl w:ilvl="0">
      <w:lvlJc w:val="left"/>
      <w:lvlText w:val="%1."/>
      <w:numFmt w:val="decimal"/>
      <w:start w:val="11"/>
    </w:lvl>
  </w:abstractNum>
  <w:abstractNum w:abstractNumId="117">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8">
    <w:nsid w:val="56438D15"/>
    <w:multiLevelType w:val="hybridMultilevel"/>
    <w:lvl w:ilvl="0">
      <w:lvlJc w:val="left"/>
      <w:lvlText w:val="%1."/>
      <w:numFmt w:val="decimal"/>
      <w:start w:val="1"/>
    </w:lvl>
  </w:abstractNum>
  <w:abstractNum w:abstractNumId="119">
    <w:nsid w:val="519E3149"/>
    <w:multiLevelType w:val="hybridMultilevel"/>
    <w:lvl w:ilvl="0">
      <w:lvlJc w:val="left"/>
      <w:lvlText w:val="%1."/>
      <w:numFmt w:val="decimal"/>
      <w:start w:val="2"/>
    </w:lvl>
  </w:abstractNum>
  <w:abstractNum w:abstractNumId="120">
    <w:nsid w:val="2C6E4AFD"/>
    <w:multiLevelType w:val="hybridMultilevel"/>
    <w:lvl w:ilvl="0">
      <w:lvlJc w:val="left"/>
      <w:lvlText w:val="%1."/>
      <w:numFmt w:val="decimal"/>
      <w:start w:val="3"/>
    </w:lvl>
  </w:abstractNum>
  <w:abstractNum w:abstractNumId="121">
    <w:nsid w:val="17A1B582"/>
    <w:multiLevelType w:val="hybridMultilevel"/>
    <w:lvl w:ilvl="0">
      <w:lvlJc w:val="left"/>
      <w:lvlText w:val="%1."/>
      <w:numFmt w:val="decimal"/>
      <w:start w:val="4"/>
    </w:lvl>
  </w:abstractNum>
  <w:abstractNum w:abstractNumId="122">
    <w:nsid w:val="4DF72E4E"/>
    <w:multiLevelType w:val="hybridMultilevel"/>
    <w:lvl w:ilvl="0">
      <w:lvlJc w:val="left"/>
      <w:lvlText w:val="%1."/>
      <w:numFmt w:val="decimal"/>
      <w:start w:val="6"/>
    </w:lvl>
  </w:abstractNum>
  <w:abstractNum w:abstractNumId="123">
    <w:nsid w:val="5046B5A9"/>
    <w:multiLevelType w:val="hybridMultilevel"/>
    <w:lvl w:ilvl="0">
      <w:lvlJc w:val="left"/>
      <w:lvlText w:val="(%1)"/>
      <w:numFmt w:val="lowerLetter"/>
      <w:start w:val="1"/>
    </w:lvl>
  </w:abstractNum>
  <w:abstractNum w:abstractNumId="124">
    <w:nsid w:val="5D888A08"/>
    <w:multiLevelType w:val="hybridMultilevel"/>
    <w:lvl w:ilvl="0">
      <w:lvlJc w:val="left"/>
      <w:lvlText w:val="(%1)"/>
      <w:numFmt w:val="lowerLetter"/>
      <w:start w:val="7"/>
    </w:lvl>
  </w:abstractNum>
  <w:abstractNum w:abstractNumId="125">
    <w:nsid w:val="2A082C70"/>
    <w:multiLevelType w:val="hybridMultilevel"/>
    <w:lvl w:ilvl="0">
      <w:lvlJc w:val="left"/>
      <w:lvlText w:val="%1."/>
      <w:numFmt w:val="decimal"/>
      <w:start w:val="7"/>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decimal"/>
      <w:start w:val="8"/>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6" Type="http://schemas.openxmlformats.org/officeDocument/2006/relationships/image" Target="media/image141.png"/><Relationship Id="rId186" Type="http://schemas.openxmlformats.org/officeDocument/2006/relationships/image" Target="media/image142.png"/><Relationship Id="rId201" Type="http://schemas.openxmlformats.org/officeDocument/2006/relationships/image" Target="media/image143.png"/><Relationship Id="rId220" Type="http://schemas.openxmlformats.org/officeDocument/2006/relationships/image" Target="media/image144.png"/><Relationship Id="rId224" Type="http://schemas.openxmlformats.org/officeDocument/2006/relationships/image" Target="media/image145.png"/><Relationship Id="rId225" Type="http://schemas.openxmlformats.org/officeDocument/2006/relationships/image" Target="media/image146.png"/><Relationship Id="rId226" Type="http://schemas.openxmlformats.org/officeDocument/2006/relationships/image" Target="media/image147.png"/><Relationship Id="rId227" Type="http://schemas.openxmlformats.org/officeDocument/2006/relationships/image" Target="media/image148.jpeg"/><Relationship Id="rId228" Type="http://schemas.openxmlformats.org/officeDocument/2006/relationships/image" Target="media/image149.png"/><Relationship Id="rId229" Type="http://schemas.openxmlformats.org/officeDocument/2006/relationships/image" Target="media/image150.png"/><Relationship Id="rId230" Type="http://schemas.openxmlformats.org/officeDocument/2006/relationships/image" Target="media/image151.png"/><Relationship Id="rId231" Type="http://schemas.openxmlformats.org/officeDocument/2006/relationships/image" Target="media/image152.png"/><Relationship Id="rId232" Type="http://schemas.openxmlformats.org/officeDocument/2006/relationships/image" Target="media/image153.png"/><Relationship Id="rId233" Type="http://schemas.openxmlformats.org/officeDocument/2006/relationships/image" Target="media/image154.png"/><Relationship Id="rId234" Type="http://schemas.openxmlformats.org/officeDocument/2006/relationships/image" Target="media/image155.png"/><Relationship Id="rId235" Type="http://schemas.openxmlformats.org/officeDocument/2006/relationships/image" Target="media/image156.png"/><Relationship Id="rId236" Type="http://schemas.openxmlformats.org/officeDocument/2006/relationships/image" Target="media/image157.png"/><Relationship Id="rId237" Type="http://schemas.openxmlformats.org/officeDocument/2006/relationships/image" Target="media/image158.png"/><Relationship Id="rId238" Type="http://schemas.openxmlformats.org/officeDocument/2006/relationships/image" Target="media/image159.png"/><Relationship Id="rId239" Type="http://schemas.openxmlformats.org/officeDocument/2006/relationships/image" Target="media/image160.png"/><Relationship Id="rId240" Type="http://schemas.openxmlformats.org/officeDocument/2006/relationships/image" Target="media/image161.png"/><Relationship Id="rId241" Type="http://schemas.openxmlformats.org/officeDocument/2006/relationships/image" Target="media/image162.png"/><Relationship Id="rId242" Type="http://schemas.openxmlformats.org/officeDocument/2006/relationships/image" Target="media/image163.png"/><Relationship Id="rId243" Type="http://schemas.openxmlformats.org/officeDocument/2006/relationships/image" Target="media/image164.png"/><Relationship Id="rId244" Type="http://schemas.openxmlformats.org/officeDocument/2006/relationships/image" Target="media/image165.png"/><Relationship Id="rId245" Type="http://schemas.openxmlformats.org/officeDocument/2006/relationships/image" Target="media/image166.png"/><Relationship Id="rId246" Type="http://schemas.openxmlformats.org/officeDocument/2006/relationships/image" Target="media/image167.png"/><Relationship Id="rId247" Type="http://schemas.openxmlformats.org/officeDocument/2006/relationships/image" Target="media/image168.png"/><Relationship Id="rId248" Type="http://schemas.openxmlformats.org/officeDocument/2006/relationships/image" Target="media/image169.png"/><Relationship Id="rId249" Type="http://schemas.openxmlformats.org/officeDocument/2006/relationships/image" Target="media/image170.png"/><Relationship Id="rId250" Type="http://schemas.openxmlformats.org/officeDocument/2006/relationships/image" Target="media/image171.png"/><Relationship Id="rId251" Type="http://schemas.openxmlformats.org/officeDocument/2006/relationships/image" Target="media/image172.png"/><Relationship Id="rId252" Type="http://schemas.openxmlformats.org/officeDocument/2006/relationships/image" Target="media/image173.png"/><Relationship Id="rId253" Type="http://schemas.openxmlformats.org/officeDocument/2006/relationships/image" Target="media/image174.png"/><Relationship Id="rId254" Type="http://schemas.openxmlformats.org/officeDocument/2006/relationships/image" Target="media/image175.png"/><Relationship Id="rId255" Type="http://schemas.openxmlformats.org/officeDocument/2006/relationships/image" Target="media/image176.png"/><Relationship Id="rId256" Type="http://schemas.openxmlformats.org/officeDocument/2006/relationships/image" Target="media/image177.png"/><Relationship Id="rId257" Type="http://schemas.openxmlformats.org/officeDocument/2006/relationships/image" Target="media/image178.png"/><Relationship Id="rId258" Type="http://schemas.openxmlformats.org/officeDocument/2006/relationships/image" Target="media/image179.png"/><Relationship Id="rId259" Type="http://schemas.openxmlformats.org/officeDocument/2006/relationships/image" Target="media/image180.png"/><Relationship Id="rId260" Type="http://schemas.openxmlformats.org/officeDocument/2006/relationships/image" Target="media/image181.png"/><Relationship Id="rId261" Type="http://schemas.openxmlformats.org/officeDocument/2006/relationships/image" Target="media/image182.png"/><Relationship Id="rId262" Type="http://schemas.openxmlformats.org/officeDocument/2006/relationships/image" Target="media/image183.png"/><Relationship Id="rId263" Type="http://schemas.openxmlformats.org/officeDocument/2006/relationships/image" Target="media/image184.png"/><Relationship Id="rId264" Type="http://schemas.openxmlformats.org/officeDocument/2006/relationships/image" Target="media/image185.png"/><Relationship Id="rId265" Type="http://schemas.openxmlformats.org/officeDocument/2006/relationships/image" Target="media/image186.png"/><Relationship Id="rId266" Type="http://schemas.openxmlformats.org/officeDocument/2006/relationships/image" Target="media/image187.png"/><Relationship Id="rId267" Type="http://schemas.openxmlformats.org/officeDocument/2006/relationships/image" Target="media/image188.png"/><Relationship Id="rId268" Type="http://schemas.openxmlformats.org/officeDocument/2006/relationships/image" Target="media/image189.jpeg"/><Relationship Id="rId269" Type="http://schemas.openxmlformats.org/officeDocument/2006/relationships/image" Target="media/image190.png"/><Relationship Id="rId270" Type="http://schemas.openxmlformats.org/officeDocument/2006/relationships/image" Target="media/image191.png"/><Relationship Id="rId271" Type="http://schemas.openxmlformats.org/officeDocument/2006/relationships/image" Target="media/image192.png"/><Relationship Id="rId272" Type="http://schemas.openxmlformats.org/officeDocument/2006/relationships/image" Target="media/image193.png"/><Relationship Id="rId273" Type="http://schemas.openxmlformats.org/officeDocument/2006/relationships/image" Target="media/image194.png"/><Relationship Id="rId274" Type="http://schemas.openxmlformats.org/officeDocument/2006/relationships/image" Target="media/image195.png"/><Relationship Id="rId275" Type="http://schemas.openxmlformats.org/officeDocument/2006/relationships/image" Target="media/image196.png"/><Relationship Id="rId276" Type="http://schemas.openxmlformats.org/officeDocument/2006/relationships/image" Target="media/image197.png"/><Relationship Id="rId277" Type="http://schemas.openxmlformats.org/officeDocument/2006/relationships/image" Target="media/image198.png"/><Relationship Id="rId278" Type="http://schemas.openxmlformats.org/officeDocument/2006/relationships/image" Target="media/image199.png"/><Relationship Id="rId279" Type="http://schemas.openxmlformats.org/officeDocument/2006/relationships/image" Target="media/image200.png"/><Relationship Id="rId280" Type="http://schemas.openxmlformats.org/officeDocument/2006/relationships/image" Target="media/image201.png"/><Relationship Id="rId281" Type="http://schemas.openxmlformats.org/officeDocument/2006/relationships/image" Target="media/image202.png"/><Relationship Id="rId282" Type="http://schemas.openxmlformats.org/officeDocument/2006/relationships/image" Target="media/image203.png"/><Relationship Id="rId283" Type="http://schemas.openxmlformats.org/officeDocument/2006/relationships/image" Target="media/image204.png"/><Relationship Id="rId284" Type="http://schemas.openxmlformats.org/officeDocument/2006/relationships/image" Target="media/image205.png"/><Relationship Id="rId285" Type="http://schemas.openxmlformats.org/officeDocument/2006/relationships/image" Target="media/image206.png"/><Relationship Id="rId286" Type="http://schemas.openxmlformats.org/officeDocument/2006/relationships/image" Target="media/image207.png"/><Relationship Id="rId287" Type="http://schemas.openxmlformats.org/officeDocument/2006/relationships/image" Target="media/image208.png"/><Relationship Id="rId148" Type="http://schemas.openxmlformats.org/officeDocument/2006/relationships/hyperlink" Target="http://www.sec.gov/Archives/edgar/data/1162194/000119312514025284/d661498dex21.htm" TargetMode="External"/><Relationship Id="rId149" Type="http://schemas.openxmlformats.org/officeDocument/2006/relationships/hyperlink" Target="http://www.sec.gov/Archives/edgar/data/1162194/000119312511078412/dex31.htm" TargetMode="External"/><Relationship Id="rId150" Type="http://schemas.openxmlformats.org/officeDocument/2006/relationships/hyperlink" Target="http://www.sec.gov/Archives/edgar/data/1162194/000116219421000034/exhibit31to8-karbylaws.htm" TargetMode="External"/><Relationship Id="rId151" Type="http://schemas.openxmlformats.org/officeDocument/2006/relationships/hyperlink" Target="http://www.sec.gov/Archives/edgar/data/1162194/000119312516774501/d294669dex31.htm" TargetMode="External"/><Relationship Id="rId152" Type="http://schemas.openxmlformats.org/officeDocument/2006/relationships/hyperlink" Target="http://www.sec.gov/Archives/edgar/data/1162194/000114420417039703/v471897_ex3-1.htm" TargetMode="External"/><Relationship Id="rId153" Type="http://schemas.openxmlformats.org/officeDocument/2006/relationships/hyperlink" Target="http://www.sec.gov/Archives/edgar/data/1162194/000119312517009947/d305495dex41.htm" TargetMode="External"/><Relationship Id="rId154" Type="http://schemas.openxmlformats.org/officeDocument/2006/relationships/hyperlink" Target="http://www.sec.gov/Archives/edgar/data/1162194/000116219421000013/exhibit4210k2020ng.htm" TargetMode="External"/><Relationship Id="rId155" Type="http://schemas.openxmlformats.org/officeDocument/2006/relationships/hyperlink" Target="http://www.sec.gov/Archives/edgar/data/1162194/000119312514034901/d669277dex41.htm" TargetMode="External"/><Relationship Id="rId156" Type="http://schemas.openxmlformats.org/officeDocument/2006/relationships/hyperlink" Target="http://www.sec.gov/Archives/edgar/data/1162194/000119312514034901/d669277dex42.htm" TargetMode="External"/><Relationship Id="rId157" Type="http://schemas.openxmlformats.org/officeDocument/2006/relationships/hyperlink" Target="http://www.sec.gov/Archives/edgar/data/1162194/000110465919066659/tm1923592d1_ex4-1.htm" TargetMode="External"/><Relationship Id="rId158" Type="http://schemas.openxmlformats.org/officeDocument/2006/relationships/hyperlink" Target="http://www.sec.gov/Archives/edgar/data/1162194/000119312511016501/dex101.htm" TargetMode="External"/><Relationship Id="rId159" Type="http://schemas.openxmlformats.org/officeDocument/2006/relationships/hyperlink" Target="http://www.sec.gov/Archives/edgar/data/1162194/000116219419000033/ex101.htm" TargetMode="External"/><Relationship Id="rId160" Type="http://schemas.openxmlformats.org/officeDocument/2006/relationships/hyperlink" Target="http://www.sec.gov/Archives/edgar/data/1162194/000116219419000033/ex102.htm" TargetMode="External"/><Relationship Id="rId161" Type="http://schemas.openxmlformats.org/officeDocument/2006/relationships/hyperlink" Target="http://www.sec.gov/Archives/edgar/data/1162194/000116219421000013/exhibit102b2020secondamend.htm" TargetMode="External"/><Relationship Id="rId162" Type="http://schemas.openxmlformats.org/officeDocument/2006/relationships/hyperlink" Target="http://www.sec.gov/Archives/edgar/data/1162194/000116219415000154/ex101candalease93015.htm" TargetMode="External"/><Relationship Id="rId163" Type="http://schemas.openxmlformats.org/officeDocument/2006/relationships/hyperlink" Target="http://www.sec.gov/Archives/edgar/data/1162194/000119312510273807/dex1020.htm" TargetMode="External"/><Relationship Id="rId164" Type="http://schemas.openxmlformats.org/officeDocument/2006/relationships/hyperlink" Target="http://www.sec.gov/Archives/edgar/data/1162194/000116219414000010/exhibit1021-singaporelease.htm" TargetMode="External"/><Relationship Id="rId165" Type="http://schemas.openxmlformats.org/officeDocument/2006/relationships/hyperlink" Target="http://www.sec.gov/Archives/edgar/data/1162194/000116219415000139/exhibit1012015q2.htm" TargetMode="External"/><Relationship Id="rId167" Type="http://schemas.openxmlformats.org/officeDocument/2006/relationships/hyperlink" Target="http://www.sec.gov/Archives/edgar/data/1162194/000116219421000072/exhibit1022q2021lease-flui.htm" TargetMode="External"/><Relationship Id="rId168" Type="http://schemas.openxmlformats.org/officeDocument/2006/relationships/hyperlink" Target="http://www.sec.gov/Archives/edgar/data/1162194/000116219421000072/exhibit1032q2021lease-flui.htm" TargetMode="External"/><Relationship Id="rId169" Type="http://schemas.openxmlformats.org/officeDocument/2006/relationships/hyperlink" Target="http://www.sec.gov/Archives/edgar/data/1162194/000119312510273807/dex103.htm" TargetMode="External"/><Relationship Id="rId170" Type="http://schemas.openxmlformats.org/officeDocument/2006/relationships/hyperlink" Target="http://www.sec.gov/Archives/edgar/data/1162194/000119312510273807/dex103a.htm" TargetMode="External"/><Relationship Id="rId171" Type="http://schemas.openxmlformats.org/officeDocument/2006/relationships/hyperlink" Target="http://www.sec.gov/Archives/edgar/data/1162194/000116219421000048/exhibit101-amended2011equi.htm" TargetMode="External"/><Relationship Id="rId172" Type="http://schemas.openxmlformats.org/officeDocument/2006/relationships/hyperlink" Target="http://www.sec.gov/Archives/edgar/data/1162194/000119312511016501/dex104a.htm" TargetMode="External"/><Relationship Id="rId173" Type="http://schemas.openxmlformats.org/officeDocument/2006/relationships/hyperlink" Target="http://www.sec.gov/Archives/edgar/data/1162194/000114420417039703/v471897_ex10-2.htm" TargetMode="External"/><Relationship Id="rId174" Type="http://schemas.openxmlformats.org/officeDocument/2006/relationships/hyperlink" Target="http://www.sec.gov/Archives/edgar/data/1162194/000157104917007659/t1702415_ex-d2.htm" TargetMode="External"/><Relationship Id="rId175" Type="http://schemas.openxmlformats.org/officeDocument/2006/relationships/hyperlink" Target="http://www.sec.gov/Archives/edgar/data/1162194/000157104917007659/t1702415_ex-d3.htm" TargetMode="External"/><Relationship Id="rId176" Type="http://schemas.openxmlformats.org/officeDocument/2006/relationships/hyperlink" Target="http://www.sec.gov/Archives/edgar/data/1162194/000157104917007659/t1702415_ex-d4.htm" TargetMode="External"/><Relationship Id="rId177" Type="http://schemas.openxmlformats.org/officeDocument/2006/relationships/hyperlink" Target="http://www.sec.gov/Archives/edgar/data/1162194/000157104917007659/t1702415_ex-d5.htm" TargetMode="External"/><Relationship Id="rId178" Type="http://schemas.openxmlformats.org/officeDocument/2006/relationships/hyperlink" Target="http://www.sec.gov/Archives/edgar/data/1162194/000157104917007659/t1702415_ex-d6.htm" TargetMode="External"/><Relationship Id="rId179" Type="http://schemas.openxmlformats.org/officeDocument/2006/relationships/hyperlink" Target="http://www.sec.gov/Archives/edgar/data/1162194/000157104917007659/t1702415_ex-d7.htm" TargetMode="External"/><Relationship Id="rId180" Type="http://schemas.openxmlformats.org/officeDocument/2006/relationships/hyperlink" Target="http://www.sec.gov/Archives/edgar/data/1162194/000119312517007811/d257858dex101.htm" TargetMode="External"/><Relationship Id="rId181" Type="http://schemas.openxmlformats.org/officeDocument/2006/relationships/hyperlink" Target="http://www.sec.gov/Archives/edgar/data/1162194/000116219420000076/exhibit101-amendedrest.htm" TargetMode="External"/><Relationship Id="rId182" Type="http://schemas.openxmlformats.org/officeDocument/2006/relationships/hyperlink" Target="http://www.sec.gov/Archives/edgar/data/1162194/000119312511078412/dex1025.htm" TargetMode="External"/><Relationship Id="rId183" Type="http://schemas.openxmlformats.org/officeDocument/2006/relationships/hyperlink" Target="http://www.sec.gov/Archives/edgar/data/1162194/000116219420000107/exhibit10210q3q2020.htm" TargetMode="External"/><Relationship Id="rId184" Type="http://schemas.openxmlformats.org/officeDocument/2006/relationships/hyperlink" Target="http://www.sec.gov/Archives/edgar/data/1162194/000116219420000107/exhibit102a10q3q2020.htm" TargetMode="External"/><Relationship Id="rId185" Type="http://schemas.openxmlformats.org/officeDocument/2006/relationships/hyperlink" Target="http://www.sec.gov/Archives/edgar/data/1162194/000116219420000107/exhibit10310q3q2020.htm" TargetMode="External"/><Relationship Id="rId187" Type="http://schemas.openxmlformats.org/officeDocument/2006/relationships/hyperlink" Target="http://www.sec.gov/Archives/edgar/data/1162194/000116219420000107/exhibit10410q3q2020.htm" TargetMode="External"/><Relationship Id="rId188" Type="http://schemas.openxmlformats.org/officeDocument/2006/relationships/hyperlink" Target="http://www.sec.gov/Archives/edgar/data/1162194/000116219420000107/exhibit10510q3q2020.htm" TargetMode="External"/><Relationship Id="rId189" Type="http://schemas.openxmlformats.org/officeDocument/2006/relationships/hyperlink" Target="http://www.sec.gov/Archives/edgar/data/1162194/000116219420000107/exhibit10610q3q2020.htm" TargetMode="External"/><Relationship Id="rId190" Type="http://schemas.openxmlformats.org/officeDocument/2006/relationships/hyperlink" Target="http://www.sec.gov/Archives/edgar/data/1162194/000116219414000087/ex103-licenseagreementwith.htm" TargetMode="External"/><Relationship Id="rId191" Type="http://schemas.openxmlformats.org/officeDocument/2006/relationships/hyperlink" Target="http://www.sec.gov/Archives/edgar/data/1162194/000116219414000087/ex104-dvssublicenseagreeme.htm" TargetMode="External"/><Relationship Id="rId192" Type="http://schemas.openxmlformats.org/officeDocument/2006/relationships/hyperlink" Target="http://www.sec.gov/Archives/edgar/data/1162194/000117184318005695/exh_101.htm" TargetMode="External"/><Relationship Id="rId193" Type="http://schemas.openxmlformats.org/officeDocument/2006/relationships/hyperlink" Target="http://www.sec.gov/Archives/edgar/data/1162194/000116219420000016/exhibit1013a10k2019.htm" TargetMode="External"/><Relationship Id="rId194" Type="http://schemas.openxmlformats.org/officeDocument/2006/relationships/hyperlink" Target="http://www.sec.gov/Archives/edgar/data/1162194/000110465919066659/tm1923592d1_ex10-2.htm" TargetMode="External"/><Relationship Id="rId195" Type="http://schemas.openxmlformats.org/officeDocument/2006/relationships/hyperlink" Target="http://www.sec.gov/Archives/edgar/data/1162194/000116219420000033/exhibit101svbloanamend3.htm" TargetMode="External"/><Relationship Id="rId196" Type="http://schemas.openxmlformats.org/officeDocument/2006/relationships/hyperlink" Target="http://www.sec.gov/Archives/edgar/data/1162194/000116219421000070/svb-fluidigmxfourthamendme.htm" TargetMode="External"/><Relationship Id="rId197" Type="http://schemas.openxmlformats.org/officeDocument/2006/relationships/hyperlink" Target="http://www.sec.gov/Archives/edgar/data/1162194/000110465919066659/tm1923592d1_ex10-1.htm" TargetMode="External"/><Relationship Id="rId198" Type="http://schemas.openxmlformats.org/officeDocument/2006/relationships/hyperlink" Target="http://www.sec.gov/Archives/edgar/data/1162194/000110465920029390/tm2011555d1_ex1-1.htm" TargetMode="External"/><Relationship Id="rId199" Type="http://schemas.openxmlformats.org/officeDocument/2006/relationships/hyperlink" Target="http://www.sec.gov/Archives/edgar/data/1162194/000116219420000107/exhibit101to3q20orm.htm" TargetMode="External"/><Relationship Id="rId200" Type="http://schemas.openxmlformats.org/officeDocument/2006/relationships/hyperlink" Target="http://www.sec.gov/Archives/edgar/data/1162194/000116219421000072/exhibit1012q2021radxamend3.htm" TargetMode="External"/><Relationship Id="rId202" Type="http://schemas.openxmlformats.org/officeDocument/2006/relationships/hyperlink" Target="http://www.sec.gov/Archives/edgar/data/1162194/000116219421000087/exhibit1013q2021radxamend4.htm" TargetMode="External"/><Relationship Id="rId203" Type="http://schemas.openxmlformats.org/officeDocument/2006/relationships/hyperlink" Target="http://www.sec.gov/Archives/edgar/data/1162194/000119312512498523/d453881dex1014.htm" TargetMode="External"/><Relationship Id="rId204" Type="http://schemas.openxmlformats.org/officeDocument/2006/relationships/hyperlink" Target="http://www.sec.gov/Archives/edgar/data/1162194/000116219420000093/exhibit10510q2q2020.htm" TargetMode="External"/><Relationship Id="rId205" Type="http://schemas.openxmlformats.org/officeDocument/2006/relationships/hyperlink" Target="http://www.sec.gov/Archives/edgar/data/1162194/000116219417000159/fluidigm-splitdollarlifein.htm" TargetMode="External"/><Relationship Id="rId206" Type="http://schemas.openxmlformats.org/officeDocument/2006/relationships/hyperlink" Target="http://www.sec.gov/Archives/edgar/data/1162194/000116219418000055/fldm-q12018x10xqex101.htm" TargetMode="External"/><Relationship Id="rId207" Type="http://schemas.openxmlformats.org/officeDocument/2006/relationships/hyperlink" Target="http://www.sec.gov/Archives/edgar/data/1162194/000116219416000248/ex-102xq32016form10xq.htm" TargetMode="External"/><Relationship Id="rId208" Type="http://schemas.openxmlformats.org/officeDocument/2006/relationships/hyperlink" Target="http://www.sec.gov/Archives/edgar/data/1162194/000119312510273807/dex1017.htm" TargetMode="External"/><Relationship Id="rId209" Type="http://schemas.openxmlformats.org/officeDocument/2006/relationships/hyperlink" Target="http://www.sec.gov/Archives/edgar/data/1162194/000116219419000020/exhibit1018.htm" TargetMode="External"/><Relationship Id="rId210" Type="http://schemas.openxmlformats.org/officeDocument/2006/relationships/hyperlink" Target="http://www.sec.gov/Archives/edgar/data/1162194/000116219421000013/exhibit10302020offerletter.htm" TargetMode="External"/><Relationship Id="rId211" Type="http://schemas.openxmlformats.org/officeDocument/2006/relationships/hyperlink" Target="http://www.sec.gov/Archives/edgar/data/1162194/000116219421000013/exhibit10312020offerletter.htm" TargetMode="External"/><Relationship Id="rId212" Type="http://schemas.openxmlformats.org/officeDocument/2006/relationships/hyperlink" Target="http://www.sec.gov/Archives/edgar/data/1162194/000116219421000072/exhibit1042q2021colinmccra.htm" TargetMode="External"/><Relationship Id="rId213" Type="http://schemas.openxmlformats.org/officeDocument/2006/relationships/hyperlink" Target="http://www.sec.gov/Archives/edgar/data/1162194/000116219421000072/exhibit1052q2021colinmccra.htm" TargetMode="External"/><Relationship Id="rId214" Type="http://schemas.openxmlformats.org/officeDocument/2006/relationships/hyperlink" Target="http://www.sec.gov/Archives/edgar/data/1162194/000119312522036985/d307863dex101.htm" TargetMode="External"/><Relationship Id="rId215" Type="http://schemas.openxmlformats.org/officeDocument/2006/relationships/hyperlink" Target="http://www.sec.gov/Archives/edgar/data/1162194/000119312522016151/d243622dex102.htm" TargetMode="External"/><Relationship Id="rId216" Type="http://schemas.openxmlformats.org/officeDocument/2006/relationships/hyperlink" Target="http://www.sec.gov/Archives/edgar/data/1162194/000119312522052230/d263023ddef14a.htm" TargetMode="External"/><Relationship Id="rId217" Type="http://schemas.openxmlformats.org/officeDocument/2006/relationships/hyperlink" Target="http://www.sec.gov/Archives/edgar/data/1162194/000119312522016151/d243622dex105.htm" TargetMode="External"/><Relationship Id="rId218" Type="http://schemas.openxmlformats.org/officeDocument/2006/relationships/hyperlink" Target="http://www.sec.gov/Archives/edgar/data/1162194/000119312522016151/d243622dex106.htm" TargetMode="External"/><Relationship Id="rId219" Type="http://schemas.openxmlformats.org/officeDocument/2006/relationships/hyperlink" Target="http://www.sec.gov/Archives/edgar/data/1162194/000119312522016151/d243622dex107.htm" TargetMode="External"/><Relationship Id="rId221" Type="http://schemas.openxmlformats.org/officeDocument/2006/relationships/hyperlink" Target="http://www.sec.gov/Archives/edgar/data/1162194/000119312522016151/d243622dex108.htm" TargetMode="External"/><Relationship Id="rId222" Type="http://schemas.openxmlformats.org/officeDocument/2006/relationships/hyperlink" Target="http://www.sec.gov/Archives/edgar/data/1162194/000119312522016151/d243622dex109.htm" TargetMode="External"/><Relationship Id="rId223" Type="http://schemas.openxmlformats.org/officeDocument/2006/relationships/hyperlink" Target="http://www.sec.gov/Archives/edgar/data/1162194/000119312522016151/d243622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2022-03-08T05:20:06Z</dcterms:created>
  <dcterms:modified xsi:type="dcterms:W3CDTF">2022-03-08T05:20:06Z</dcterms:modified>
</cp:coreProperties>
</file>