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Stankovic Ana 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20"/>
        <w:spacing w:after="0" w:line="341" w:lineRule="auto"/>
        <w:rPr>
          <w:sz w:val="20"/>
          <w:szCs w:val="20"/>
          <w:color w:val="auto"/>
        </w:rPr>
      </w:pPr>
      <w:r>
        <w:rPr>
          <w:rFonts w:ascii="Arial" w:cs="Arial" w:eastAsia="Arial" w:hAnsi="Arial"/>
          <w:sz w:val="16"/>
          <w:szCs w:val="16"/>
          <w:color w:val="0000FF"/>
        </w:rPr>
        <w:t>C/O 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9"/>
          </w:tcPr>
          <w:p>
            <w:pPr>
              <w:jc w:val="center"/>
              <w:ind w:right="3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05/25/2021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10,342</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18,563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5.56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15,402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05/25/2031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0000FF"/>
                <w:w w:val="84"/>
              </w:rPr>
              <w:t>15,402</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15,402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full on the earlier to occur of May 25, 2022 and one day prior to the date of the Company's next annual meeting of stockholders.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twelve equal monthly increments beginning on June 25,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Ana K. Stankovic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198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Nicholas Khadder, Attorney-in- 05/27/2021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35735"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2021-05-27T23:41:53Z</dcterms:created>
  <dcterms:modified xsi:type="dcterms:W3CDTF">2021-05-27T23:41:53Z</dcterms:modified>
</cp:coreProperties>
</file>