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08/08/2018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60" w:type="dxa"/>
            <w:vAlign w:val="bottom"/>
            <w:vMerge w:val="restart"/>
          </w:tcPr>
          <w:p>
            <w:pPr>
              <w:jc w:val="right"/>
              <w:ind w:right="632"/>
              <w:spacing w:after="0"/>
              <w:rPr>
                <w:sz w:val="20"/>
                <w:szCs w:val="20"/>
                <w:color w:val="auto"/>
              </w:rPr>
            </w:pPr>
            <w:r>
              <w:rPr>
                <w:rFonts w:ascii="Arial" w:cs="Arial" w:eastAsia="Arial" w:hAnsi="Arial"/>
                <w:sz w:val="18"/>
                <w:szCs w:val="18"/>
                <w:color w:val="0000FF"/>
              </w:rPr>
              <w:t>08/08/2018</w:t>
            </w:r>
          </w:p>
        </w:tc>
        <w:tc>
          <w:tcPr>
            <w:tcW w:w="1240" w:type="dxa"/>
            <w:vAlign w:val="bottom"/>
            <w:vMerge w:val="restart"/>
          </w:tcPr>
          <w:p>
            <w:pPr>
              <w:jc w:val="center"/>
              <w:ind w:left="338"/>
              <w:spacing w:after="0"/>
              <w:rPr>
                <w:sz w:val="20"/>
                <w:szCs w:val="20"/>
                <w:color w:val="auto"/>
              </w:rPr>
            </w:pPr>
            <w:r>
              <w:rPr>
                <w:rFonts w:ascii="Arial" w:cs="Arial" w:eastAsia="Arial" w:hAnsi="Arial"/>
                <w:sz w:val="14"/>
                <w:szCs w:val="14"/>
                <w:color w:val="0000FF"/>
                <w:w w:val="85"/>
              </w:rPr>
              <w:t>P</w:t>
            </w:r>
          </w:p>
        </w:tc>
        <w:tc>
          <w:tcPr>
            <w:tcW w:w="1020" w:type="dxa"/>
            <w:vAlign w:val="bottom"/>
            <w:vMerge w:val="restart"/>
          </w:tcPr>
          <w:p>
            <w:pPr>
              <w:jc w:val="right"/>
              <w:ind w:right="252"/>
              <w:spacing w:after="0"/>
              <w:rPr>
                <w:sz w:val="20"/>
                <w:szCs w:val="20"/>
                <w:color w:val="auto"/>
              </w:rPr>
            </w:pPr>
            <w:r>
              <w:rPr>
                <w:rFonts w:ascii="Arial" w:cs="Arial" w:eastAsia="Arial" w:hAnsi="Arial"/>
                <w:sz w:val="18"/>
                <w:szCs w:val="18"/>
                <w:color w:val="0000FF"/>
              </w:rPr>
              <w:t>21</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840" w:type="dxa"/>
            <w:vAlign w:val="bottom"/>
            <w:vMerge w:val="restart"/>
          </w:tcPr>
          <w:p>
            <w:pPr>
              <w:jc w:val="center"/>
              <w:ind w:right="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6.7599</w:t>
            </w:r>
          </w:p>
        </w:tc>
        <w:tc>
          <w:tcPr>
            <w:tcW w:w="1220" w:type="dxa"/>
            <w:vAlign w:val="bottom"/>
            <w:vMerge w:val="restart"/>
          </w:tcPr>
          <w:p>
            <w:pPr>
              <w:jc w:val="right"/>
              <w:ind w:right="232"/>
              <w:spacing w:after="0"/>
              <w:rPr>
                <w:sz w:val="20"/>
                <w:szCs w:val="20"/>
                <w:color w:val="auto"/>
              </w:rPr>
            </w:pPr>
            <w:r>
              <w:rPr>
                <w:rFonts w:ascii="Arial" w:cs="Arial" w:eastAsia="Arial" w:hAnsi="Arial"/>
                <w:sz w:val="18"/>
                <w:szCs w:val="18"/>
                <w:color w:val="0000FF"/>
                <w:w w:val="97"/>
              </w:rPr>
              <w:t>11,720,361</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23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8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60" w:type="dxa"/>
            <w:vAlign w:val="bottom"/>
            <w:vMerge w:val="restart"/>
          </w:tcPr>
          <w:p>
            <w:pPr>
              <w:jc w:val="right"/>
              <w:ind w:right="632"/>
              <w:spacing w:after="0"/>
              <w:rPr>
                <w:sz w:val="20"/>
                <w:szCs w:val="20"/>
                <w:color w:val="auto"/>
              </w:rPr>
            </w:pPr>
            <w:r>
              <w:rPr>
                <w:rFonts w:ascii="Arial" w:cs="Arial" w:eastAsia="Arial" w:hAnsi="Arial"/>
                <w:sz w:val="18"/>
                <w:szCs w:val="18"/>
                <w:color w:val="0000FF"/>
              </w:rPr>
              <w:t>08/09/2018</w:t>
            </w:r>
          </w:p>
        </w:tc>
        <w:tc>
          <w:tcPr>
            <w:tcW w:w="1240" w:type="dxa"/>
            <w:vAlign w:val="bottom"/>
            <w:vMerge w:val="restart"/>
          </w:tcPr>
          <w:p>
            <w:pPr>
              <w:jc w:val="center"/>
              <w:ind w:left="338"/>
              <w:spacing w:after="0"/>
              <w:rPr>
                <w:sz w:val="20"/>
                <w:szCs w:val="20"/>
                <w:color w:val="auto"/>
              </w:rPr>
            </w:pPr>
            <w:r>
              <w:rPr>
                <w:rFonts w:ascii="Arial" w:cs="Arial" w:eastAsia="Arial" w:hAnsi="Arial"/>
                <w:sz w:val="27"/>
                <w:szCs w:val="27"/>
                <w:color w:val="0000FF"/>
                <w:w w:val="83"/>
                <w:vertAlign w:val="subscript"/>
              </w:rPr>
              <w:t>J</w:t>
            </w:r>
            <w:r>
              <w:rPr>
                <w:rFonts w:ascii="Arial" w:cs="Arial" w:eastAsia="Arial" w:hAnsi="Arial"/>
                <w:sz w:val="11"/>
                <w:szCs w:val="11"/>
                <w:color w:val="008000"/>
                <w:w w:val="83"/>
              </w:rPr>
              <w:t>(10)</w:t>
            </w:r>
          </w:p>
        </w:tc>
        <w:tc>
          <w:tcPr>
            <w:tcW w:w="1020" w:type="dxa"/>
            <w:vAlign w:val="bottom"/>
            <w:vMerge w:val="restart"/>
          </w:tcPr>
          <w:p>
            <w:pPr>
              <w:jc w:val="right"/>
              <w:ind w:right="72"/>
              <w:spacing w:after="0"/>
              <w:rPr>
                <w:sz w:val="20"/>
                <w:szCs w:val="20"/>
                <w:color w:val="auto"/>
              </w:rPr>
            </w:pPr>
            <w:r>
              <w:rPr>
                <w:rFonts w:ascii="Arial" w:cs="Arial" w:eastAsia="Arial" w:hAnsi="Arial"/>
                <w:sz w:val="18"/>
                <w:szCs w:val="18"/>
                <w:color w:val="0000FF"/>
              </w:rPr>
              <w:t>280,213</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840" w:type="dxa"/>
            <w:vAlign w:val="bottom"/>
            <w:vMerge w:val="restart"/>
          </w:tcPr>
          <w:p>
            <w:pPr>
              <w:jc w:val="right"/>
              <w:ind w:right="268"/>
              <w:spacing w:after="0"/>
              <w:rPr>
                <w:sz w:val="20"/>
                <w:szCs w:val="20"/>
                <w:color w:val="auto"/>
              </w:rPr>
            </w:pPr>
            <w:r>
              <w:rPr>
                <w:rFonts w:ascii="Arial" w:cs="Arial" w:eastAsia="Arial" w:hAnsi="Arial"/>
                <w:sz w:val="11"/>
                <w:szCs w:val="11"/>
                <w:color w:val="008000"/>
              </w:rPr>
              <w:t>(10)</w:t>
            </w:r>
          </w:p>
        </w:tc>
        <w:tc>
          <w:tcPr>
            <w:tcW w:w="1220" w:type="dxa"/>
            <w:vAlign w:val="bottom"/>
            <w:vMerge w:val="restart"/>
          </w:tcPr>
          <w:p>
            <w:pPr>
              <w:jc w:val="right"/>
              <w:ind w:right="232"/>
              <w:spacing w:after="0"/>
              <w:rPr>
                <w:sz w:val="20"/>
                <w:szCs w:val="20"/>
                <w:color w:val="auto"/>
              </w:rPr>
            </w:pPr>
            <w:r>
              <w:rPr>
                <w:rFonts w:ascii="Arial" w:cs="Arial" w:eastAsia="Arial" w:hAnsi="Arial"/>
                <w:sz w:val="18"/>
                <w:szCs w:val="18"/>
                <w:color w:val="0000FF"/>
                <w:w w:val="97"/>
              </w:rPr>
              <w:t>11,440,148</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30"/>
        </w:trPr>
        <w:tc>
          <w:tcPr>
            <w:tcW w:w="2280" w:type="dxa"/>
            <w:vAlign w:val="bottom"/>
            <w:vMerge w:val="continue"/>
          </w:tcPr>
          <w:p>
            <w:pPr>
              <w:spacing w:after="0"/>
              <w:rPr>
                <w:sz w:val="20"/>
                <w:szCs w:val="20"/>
                <w:color w:val="auto"/>
              </w:rPr>
            </w:pPr>
          </w:p>
        </w:tc>
        <w:tc>
          <w:tcPr>
            <w:tcW w:w="236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6"/>
          <w:szCs w:val="16"/>
          <w:color w:val="0000FF"/>
        </w:rPr>
        <w:t>Strategies, L.P.</w:t>
      </w:r>
    </w:p>
    <w:p>
      <w:pPr>
        <w:spacing w:after="0" w:line="21" w:lineRule="exact"/>
        <w:rPr>
          <w:sz w:val="20"/>
          <w:szCs w:val="20"/>
          <w:color w:val="auto"/>
        </w:rPr>
      </w:pPr>
    </w:p>
    <w:p>
      <w:pPr>
        <w:ind w:left="10280"/>
        <w:spacing w:after="0"/>
        <w:rPr>
          <w:sz w:val="20"/>
          <w:szCs w:val="20"/>
          <w:color w:val="auto"/>
        </w:rPr>
      </w:pPr>
      <w:r>
        <w:rPr>
          <w:rFonts w:ascii="Arial" w:cs="Arial" w:eastAsia="Arial" w:hAnsi="Arial"/>
          <w:sz w:val="11"/>
          <w:szCs w:val="11"/>
          <w:color w:val="008000"/>
        </w:rPr>
        <w:t>(3)(4)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Master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w w:val="83"/>
              </w:rPr>
              <w:t>Ltd.</w:t>
            </w:r>
            <w:r>
              <w:rPr>
                <w:rFonts w:ascii="Arial" w:cs="Arial" w:eastAsia="Arial" w:hAnsi="Arial"/>
                <w:sz w:val="22"/>
                <w:szCs w:val="22"/>
                <w:color w:val="008000"/>
                <w:w w:val="83"/>
                <w:vertAlign w:val="superscript"/>
              </w:rPr>
              <w:t>(6)</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0000FF"/>
              </w:rPr>
              <w:t>By:</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1,305,269</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vMerge w:val="restart"/>
          </w:tcPr>
          <w:p>
            <w:pPr>
              <w:jc w:val="center"/>
              <w:ind w:left="224"/>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420"/>
              <w:spacing w:after="0"/>
              <w:rPr>
                <w:sz w:val="20"/>
                <w:szCs w:val="20"/>
                <w:color w:val="auto"/>
              </w:rPr>
            </w:pPr>
            <w:r>
              <w:rPr>
                <w:rFonts w:ascii="Arial" w:cs="Arial" w:eastAsia="Arial" w:hAnsi="Arial"/>
                <w:sz w:val="11"/>
                <w:szCs w:val="11"/>
                <w:color w:val="008000"/>
              </w:rPr>
              <w:t>(8)</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04"/>
              <w:spacing w:after="0"/>
              <w:rPr>
                <w:sz w:val="20"/>
                <w:szCs w:val="20"/>
                <w:color w:val="auto"/>
              </w:rPr>
            </w:pPr>
            <w:r>
              <w:rPr>
                <w:rFonts w:ascii="Arial" w:cs="Arial" w:eastAsia="Arial" w:hAnsi="Arial"/>
                <w:sz w:val="18"/>
                <w:szCs w:val="18"/>
                <w:color w:val="0000FF"/>
                <w:w w:val="84"/>
              </w:rPr>
              <w:t>5,000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0"/>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Bi-Directional Disequilibrium Master Fund, Ltd.</w:t>
        </w:r>
      </w:hyperlink>
    </w:p>
    <w:p>
      <w:pPr>
        <w:spacing w:after="0" w:line="329"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199"/>
          </w:cols>
          <w:pgMar w:left="260" w:top="301" w:right="1440" w:bottom="0" w:gutter="0" w:footer="0" w:header="0"/>
        </w:sectPr>
      </w:pPr>
    </w:p>
    <w:p>
      <w:pPr>
        <w:spacing w:after="0" w:line="1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0199"/>
          </w:cols>
          <w:pgMar w:left="260" w:top="301"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597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924175" cy="359727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LCS L/S,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0" w:right="240" w:firstLine="9"/>
        <w:spacing w:after="0" w:line="31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9, 2018, one of the Managed Accounts that held 280,213 shares closed. Accordingly, as of August 9, 2018, LCS ceased to serve as the investment manager for such Managed Account and as such, relinquished all voting and dispositive power over the shares held in the Managed Account.</w:t>
      </w:r>
    </w:p>
    <w:p>
      <w:pPr>
        <w:sectPr>
          <w:pgSz w:w="11900" w:h="16838" w:orient="portrait"/>
          <w:cols w:equalWidth="0" w:num="1">
            <w:col w:w="11340"/>
          </w:cols>
          <w:pgMar w:left="260" w:top="113" w:right="299" w:bottom="0" w:gutter="0" w:footer="0" w:header="0"/>
        </w:sectPr>
      </w:pPr>
    </w:p>
    <w:p>
      <w:pPr>
        <w:spacing w:after="0" w:line="1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Master Fund, Ltd.;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84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0000FF"/>
        </w:rPr>
        <w:t>08/10/2018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08/10/2018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08/10/2018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08/10/2018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08/10/2018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08/10/2018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08/10/2018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60" w:space="80"/>
            <w:col w:w="2200"/>
          </w:cols>
          <w:pgMar w:left="260" w:top="113" w:right="299" w:bottom="0" w:gutter="0" w:footer="0" w:header="0"/>
          <w:type w:val="continuous"/>
        </w:sectPr>
      </w:pPr>
    </w:p>
    <w:p>
      <w:pPr>
        <w:jc w:val="right"/>
        <w:ind w:right="1920"/>
        <w:spacing w:after="0"/>
        <w:tabs>
          <w:tab w:leader="none" w:pos="26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38" w:orient="portrait"/>
          <w:cols w:equalWidth="0" w:num="1">
            <w:col w:w="11340"/>
          </w:cols>
          <w:pgMar w:left="260" w:top="113" w:right="299" w:bottom="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0"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1" Type="http://schemas.openxmlformats.org/officeDocument/2006/relationships/hyperlink" Target="http://www.sec.gov/cgi-bin/browse-edgar?action=getcompany&amp;CIK=0001688301" TargetMode="External"/><Relationship Id="rId22"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2019-12-23T16:17:00Z</dcterms:created>
  <dcterms:modified xsi:type="dcterms:W3CDTF">2019-12-23T16:17:00Z</dcterms:modified>
</cp:coreProperties>
</file>