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280"/>
        <w:spacing w:after="0"/>
        <w:rPr>
          <w:sz w:val="20"/>
          <w:szCs w:val="20"/>
          <w:color w:val="auto"/>
        </w:rPr>
      </w:pPr>
      <w:r>
        <w:rPr>
          <w:rFonts w:ascii="Arial" w:cs="Arial" w:eastAsia="Arial" w:hAnsi="Arial"/>
          <w:sz w:val="22"/>
          <w:szCs w:val="22"/>
          <w:color w:val="auto"/>
        </w:rPr>
        <w:t>INFORMATION TO BE INCLUDED IN STATEMENTS FILED PURSUANT</w:t>
      </w:r>
    </w:p>
    <w:p>
      <w:pPr>
        <w:ind w:left="224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820" w:right="4660" w:firstLine="252"/>
        <w:spacing w:after="0" w:line="494" w:lineRule="auto"/>
        <w:tabs>
          <w:tab w:leader="none" w:pos="52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3)</w:t>
      </w:r>
      <w:r>
        <w:rPr>
          <w:rFonts w:ascii="Arial" w:cs="Arial" w:eastAsia="Arial" w:hAnsi="Arial"/>
          <w:sz w:val="10"/>
          <w:szCs w:val="10"/>
          <w:color w:val="auto"/>
        </w:rPr>
        <w:t>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u w:val="single" w:color="auto"/>
          <w:color w:val="auto"/>
        </w:rPr>
        <w:t>Fluidigm Corporation</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(Name of Issuer)</w:t>
      </w:r>
    </w:p>
    <w:p>
      <w:pPr>
        <w:spacing w:after="0" w:line="188" w:lineRule="exact"/>
        <w:rPr>
          <w:sz w:val="24"/>
          <w:szCs w:val="24"/>
          <w:color w:val="auto"/>
        </w:rPr>
      </w:pPr>
    </w:p>
    <w:p>
      <w:pPr>
        <w:jc w:val="center"/>
        <w:ind w:right="-159"/>
        <w:spacing w:after="0"/>
        <w:rPr>
          <w:sz w:val="20"/>
          <w:szCs w:val="20"/>
          <w:color w:val="auto"/>
        </w:rPr>
      </w:pPr>
      <w:r>
        <w:rPr>
          <w:rFonts w:ascii="Arial" w:cs="Arial" w:eastAsia="Arial" w:hAnsi="Arial"/>
          <w:sz w:val="22"/>
          <w:szCs w:val="22"/>
          <w:u w:val="single" w:color="auto"/>
          <w:color w:val="auto"/>
        </w:rPr>
        <w:t>Common Stock, $0.001 par value per share</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jc w:val="center"/>
        <w:ind w:right="-159"/>
        <w:spacing w:after="0"/>
        <w:rPr>
          <w:sz w:val="20"/>
          <w:szCs w:val="20"/>
          <w:color w:val="auto"/>
        </w:rPr>
      </w:pPr>
      <w:r>
        <w:rPr>
          <w:rFonts w:ascii="Arial" w:cs="Arial" w:eastAsia="Arial" w:hAnsi="Arial"/>
          <w:sz w:val="22"/>
          <w:szCs w:val="22"/>
          <w:u w:val="single" w:color="auto"/>
          <w:color w:val="auto"/>
        </w:rPr>
        <w:t>34385P108</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(CUSIP Number)</w:t>
      </w:r>
    </w:p>
    <w:p>
      <w:pPr>
        <w:jc w:val="center"/>
        <w:ind w:right="-159"/>
        <w:spacing w:after="0"/>
        <w:rPr>
          <w:sz w:val="20"/>
          <w:szCs w:val="20"/>
          <w:color w:val="auto"/>
        </w:rPr>
      </w:pPr>
      <w:r>
        <w:rPr>
          <w:rFonts w:ascii="Arial" w:cs="Arial" w:eastAsia="Arial" w:hAnsi="Arial"/>
          <w:sz w:val="18"/>
          <w:szCs w:val="18"/>
          <w:color w:val="auto"/>
        </w:rPr>
        <w:t>John A. Levin</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Levin Capital Strategies, L.P.</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595 Madison Avenue, 17th Floor</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New York, NY 10022</w:t>
      </w:r>
    </w:p>
    <w:p>
      <w:pPr>
        <w:jc w:val="center"/>
        <w:ind w:right="-159"/>
        <w:spacing w:after="0" w:line="236" w:lineRule="auto"/>
        <w:rPr>
          <w:sz w:val="20"/>
          <w:szCs w:val="20"/>
          <w:color w:val="auto"/>
        </w:rPr>
      </w:pPr>
      <w:r>
        <w:rPr>
          <w:rFonts w:ascii="Arial" w:cs="Arial" w:eastAsia="Arial" w:hAnsi="Arial"/>
          <w:sz w:val="22"/>
          <w:szCs w:val="22"/>
          <w:u w:val="single" w:color="auto"/>
          <w:color w:val="auto"/>
        </w:rPr>
        <w:t>(212) 259-0800</w:t>
      </w:r>
    </w:p>
    <w:p>
      <w:pPr>
        <w:jc w:val="center"/>
        <w:ind w:right="-159"/>
        <w:spacing w:after="0" w:line="230"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Authorized to Receive Notices and Communications)</w:t>
      </w:r>
    </w:p>
    <w:p>
      <w:pPr>
        <w:spacing w:after="0" w:line="215" w:lineRule="exact"/>
        <w:rPr>
          <w:sz w:val="24"/>
          <w:szCs w:val="24"/>
          <w:color w:val="auto"/>
        </w:rPr>
      </w:pPr>
    </w:p>
    <w:p>
      <w:pPr>
        <w:jc w:val="center"/>
        <w:ind w:right="-159"/>
        <w:spacing w:after="0"/>
        <w:rPr>
          <w:sz w:val="20"/>
          <w:szCs w:val="20"/>
          <w:color w:val="auto"/>
        </w:rPr>
      </w:pPr>
      <w:r>
        <w:rPr>
          <w:rFonts w:ascii="Arial" w:cs="Arial" w:eastAsia="Arial" w:hAnsi="Arial"/>
          <w:sz w:val="22"/>
          <w:szCs w:val="22"/>
          <w:u w:val="single" w:color="auto"/>
          <w:color w:val="auto"/>
        </w:rPr>
        <w:t>March 2, 2018</w:t>
      </w:r>
    </w:p>
    <w:p>
      <w:pPr>
        <w:spacing w:after="0" w:line="8"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10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24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both"/>
        <w:ind w:right="40"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20" w:right="37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34385P108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Levin Capital Strategies,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70"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74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spacing w:after="0"/>
              <w:rPr>
                <w:sz w:val="16"/>
                <w:szCs w:val="16"/>
                <w:color w:val="auto"/>
              </w:rPr>
            </w:pPr>
          </w:p>
        </w:tc>
        <w:tc>
          <w:tcPr>
            <w:tcW w:w="126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 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19"/>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9,314,997</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12,424,234</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12,424,234</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32.1%</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IA</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2</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144780</wp:posOffset>
            </wp:positionV>
            <wp:extent cx="3600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Levin Capital Strategies GP, LLC</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760" w:type="dxa"/>
            <w:vAlign w:val="bottom"/>
            <w:gridSpan w:val="2"/>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760" w:type="dxa"/>
            <w:vAlign w:val="bottom"/>
            <w:gridSpan w:val="2"/>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60" w:type="dxa"/>
            <w:vAlign w:val="bottom"/>
            <w:tcBorders>
              <w:bottom w:val="single" w:sz="8" w:color="auto"/>
            </w:tcBorders>
            <w:gridSpan w:val="2"/>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760" w:type="dxa"/>
            <w:vAlign w:val="bottom"/>
            <w:gridSpan w:val="2"/>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4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9,314,997</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12,424,234</w:t>
            </w: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12,424,234</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vMerge w:val="restart"/>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-5334000</wp:posOffset>
            </wp:positionV>
            <wp:extent cx="3600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67"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32.1%</w:t>
      </w:r>
    </w:p>
    <w:p>
      <w:pPr>
        <w:spacing w:after="0" w:line="23" w:lineRule="exact"/>
        <w:rPr>
          <w:sz w:val="20"/>
          <w:szCs w:val="20"/>
          <w:color w:val="auto"/>
        </w:rPr>
      </w:pPr>
    </w:p>
    <w:p>
      <w:pPr>
        <w:ind w:left="2340" w:right="7040" w:hanging="1551"/>
        <w:spacing w:after="0" w:line="527" w:lineRule="auto"/>
        <w:tabs>
          <w:tab w:leader="none" w:pos="1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Bi-Directional Disequilibrium Master Fund, Ltd. (f/k/a Levin Capital Trilogy Master Fund, Ltd.)</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91"/>
              </w:rPr>
              <w:t>Cayman Islands</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89,363</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89,363</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89,363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CO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LCS, LLC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89,363</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89,363</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89,363</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Levcap Alternative Fund, L.P.</w:t>
            </w: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56,820</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56,820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56,820</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6</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230505</wp:posOffset>
            </wp:positionV>
            <wp:extent cx="3600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LCS Event Partners, LLC</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56,820</w:t>
            </w:r>
          </w:p>
        </w:tc>
        <w:tc>
          <w:tcPr>
            <w:tcW w:w="126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56,820</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56,820</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80" w:type="dxa"/>
            <w:vAlign w:val="bottom"/>
            <w:gridSpan w:val="2"/>
          </w:tcPr>
          <w:p>
            <w:pPr>
              <w:ind w:left="580"/>
              <w:spacing w:after="0"/>
              <w:rPr>
                <w:sz w:val="20"/>
                <w:szCs w:val="20"/>
                <w:color w:val="auto"/>
              </w:rPr>
            </w:pPr>
            <w:r>
              <w:rPr>
                <w:rFonts w:ascii="Arial" w:cs="Arial" w:eastAsia="Arial" w:hAnsi="Arial"/>
                <w:sz w:val="18"/>
                <w:szCs w:val="18"/>
                <w:color w:val="auto"/>
              </w:rPr>
              <w:t>Less than 1%</w:t>
            </w: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34385P108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230505</wp:posOffset>
            </wp:positionV>
            <wp:extent cx="360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Safinia Partners, L.P.</w:t>
            </w:r>
          </w:p>
        </w:tc>
        <w:tc>
          <w:tcPr>
            <w:tcW w:w="1260" w:type="dxa"/>
            <w:vAlign w:val="bottom"/>
            <w:tcBorders>
              <w:bottom w:val="single" w:sz="8" w:color="auto"/>
            </w:tcBorders>
          </w:tcPr>
          <w:p>
            <w:pPr>
              <w:spacing w:after="0"/>
              <w:rPr>
                <w:sz w:val="24"/>
                <w:szCs w:val="24"/>
                <w:color w:val="auto"/>
              </w:rPr>
            </w:pPr>
          </w:p>
        </w:tc>
      </w:tr>
      <w:tr>
        <w:trPr>
          <w:trHeight w:val="163"/>
        </w:trPr>
        <w:tc>
          <w:tcPr>
            <w:tcW w:w="176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40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WC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40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6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0"/>
                <w:szCs w:val="20"/>
                <w:color w:val="auto"/>
              </w:rPr>
            </w:pPr>
          </w:p>
        </w:tc>
      </w:tr>
      <w:tr>
        <w:trPr>
          <w:trHeight w:val="195"/>
        </w:trPr>
        <w:tc>
          <w:tcPr>
            <w:tcW w:w="176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Pr>
          <w:p>
            <w:pPr>
              <w:spacing w:after="0"/>
              <w:rPr>
                <w:sz w:val="16"/>
                <w:szCs w:val="16"/>
                <w:color w:val="auto"/>
              </w:rPr>
            </w:pPr>
          </w:p>
        </w:tc>
      </w:tr>
      <w:tr>
        <w:trPr>
          <w:trHeight w:val="216"/>
        </w:trPr>
        <w:tc>
          <w:tcPr>
            <w:tcW w:w="176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76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19,818</w:t>
            </w:r>
          </w:p>
        </w:tc>
        <w:tc>
          <w:tcPr>
            <w:tcW w:w="1260" w:type="dxa"/>
            <w:vAlign w:val="bottom"/>
            <w:tcBorders>
              <w:bottom w:val="single" w:sz="8" w:color="auto"/>
            </w:tcBorders>
          </w:tcPr>
          <w:p>
            <w:pPr>
              <w:spacing w:after="0"/>
              <w:rPr>
                <w:sz w:val="20"/>
                <w:szCs w:val="20"/>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19,818</w:t>
            </w: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Pr>
          <w:p>
            <w:pPr>
              <w:spacing w:after="0"/>
              <w:rPr>
                <w:sz w:val="19"/>
                <w:szCs w:val="19"/>
                <w:color w:val="auto"/>
              </w:rPr>
            </w:pPr>
          </w:p>
        </w:tc>
      </w:tr>
      <w:tr>
        <w:trPr>
          <w:trHeight w:val="418"/>
        </w:trPr>
        <w:tc>
          <w:tcPr>
            <w:tcW w:w="17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19,818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77"/>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6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24"/>
        </w:trPr>
        <w:tc>
          <w:tcPr>
            <w:tcW w:w="17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40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Pr>
          <w:p>
            <w:pPr>
              <w:spacing w:after="0"/>
              <w:rPr>
                <w:sz w:val="19"/>
                <w:szCs w:val="19"/>
                <w:color w:val="auto"/>
              </w:rPr>
            </w:pPr>
          </w:p>
        </w:tc>
      </w:tr>
      <w:tr>
        <w:trPr>
          <w:trHeight w:val="418"/>
        </w:trPr>
        <w:tc>
          <w:tcPr>
            <w:tcW w:w="1760" w:type="dxa"/>
            <w:vAlign w:val="bottom"/>
          </w:tcPr>
          <w:p>
            <w:pPr>
              <w:spacing w:after="0"/>
              <w:rPr>
                <w:sz w:val="24"/>
                <w:szCs w:val="24"/>
                <w:color w:val="auto"/>
              </w:rPr>
            </w:pPr>
          </w:p>
        </w:tc>
        <w:tc>
          <w:tcPr>
            <w:tcW w:w="1780" w:type="dxa"/>
            <w:vAlign w:val="bottom"/>
            <w:gridSpan w:val="2"/>
          </w:tcPr>
          <w:p>
            <w:pPr>
              <w:ind w:left="580"/>
              <w:spacing w:after="0"/>
              <w:rPr>
                <w:sz w:val="20"/>
                <w:szCs w:val="20"/>
                <w:color w:val="auto"/>
              </w:rPr>
            </w:pPr>
            <w:r>
              <w:rPr>
                <w:rFonts w:ascii="Arial" w:cs="Arial" w:eastAsia="Arial" w:hAnsi="Arial"/>
                <w:sz w:val="18"/>
                <w:szCs w:val="18"/>
                <w:color w:val="auto"/>
              </w:rPr>
              <w:t>Less than 1%</w:t>
            </w:r>
          </w:p>
        </w:tc>
        <w:tc>
          <w:tcPr>
            <w:tcW w:w="662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-5599430</wp:posOffset>
            </wp:positionV>
            <wp:extent cx="3600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ind w:left="2340" w:right="7040" w:hanging="1551"/>
        <w:spacing w:after="0" w:line="527" w:lineRule="auto"/>
        <w:tabs>
          <w:tab w:leader="none" w:pos="1885"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-576580</wp:posOffset>
            </wp:positionV>
            <wp:extent cx="360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889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-293370</wp:posOffset>
            </wp:positionV>
            <wp:extent cx="889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-293370</wp:posOffset>
            </wp:positionV>
            <wp:extent cx="889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6891655</wp:posOffset>
            </wp:positionH>
            <wp:positionV relativeFrom="paragraph">
              <wp:posOffset>-293370</wp:posOffset>
            </wp:positionV>
            <wp:extent cx="36004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004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LCS L/S, LLC</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Delaware</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19,818</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19,818</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19,818</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Less than 1%</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120"/>
              <w:spacing w:after="0"/>
              <w:rPr>
                <w:sz w:val="20"/>
                <w:szCs w:val="20"/>
                <w:color w:val="auto"/>
              </w:rPr>
            </w:pPr>
            <w:r>
              <w:rPr>
                <w:rFonts w:ascii="Arial" w:cs="Arial" w:eastAsia="Arial" w:hAnsi="Arial"/>
                <w:sz w:val="18"/>
                <w:szCs w:val="18"/>
                <w:color w:val="auto"/>
              </w:rPr>
              <w:t>9</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34385P108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4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62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NAME OF REPORTING PERSON</w:t>
            </w:r>
          </w:p>
        </w:tc>
        <w:tc>
          <w:tcPr>
            <w:tcW w:w="126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John A. Levin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74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80" w:type="dxa"/>
            <w:vAlign w:val="bottom"/>
            <w:gridSpan w:val="3"/>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60" w:type="dxa"/>
            <w:vAlign w:val="bottom"/>
            <w:tcBorders>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60" w:type="dxa"/>
            <w:vAlign w:val="bottom"/>
            <w:tcBorders>
              <w:right w:val="single" w:sz="8" w:color="auto"/>
            </w:tcBorders>
          </w:tcPr>
          <w:p>
            <w:pPr>
              <w:ind w:left="12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w w:val="94"/>
              </w:rPr>
              <w:t>SOURCE OF FUNDS</w:t>
            </w:r>
          </w:p>
        </w:tc>
        <w:tc>
          <w:tcPr>
            <w:tcW w:w="66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80" w:type="dxa"/>
            <w:vAlign w:val="bottom"/>
            <w:gridSpan w:val="3"/>
          </w:tcPr>
          <w:p>
            <w:pPr>
              <w:ind w:left="10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spacing w:after="0"/>
              <w:rPr>
                <w:sz w:val="20"/>
                <w:szCs w:val="20"/>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color w:val="auto"/>
              </w:rPr>
              <w:t>2(e)</w:t>
            </w:r>
          </w:p>
        </w:tc>
        <w:tc>
          <w:tcPr>
            <w:tcW w:w="66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gridSpan w:val="2"/>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United States of America</w:t>
            </w:r>
          </w:p>
        </w:tc>
        <w:tc>
          <w:tcPr>
            <w:tcW w:w="126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5,000</w:t>
            </w:r>
          </w:p>
        </w:tc>
        <w:tc>
          <w:tcPr>
            <w:tcW w:w="126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62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2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9,314,997</w:t>
            </w:r>
          </w:p>
        </w:tc>
        <w:tc>
          <w:tcPr>
            <w:tcW w:w="126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5,000</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62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12,424,234</w:t>
            </w: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12,429,234</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260" w:type="dxa"/>
            <w:vAlign w:val="bottom"/>
            <w:tcBorders>
              <w:right w:val="single" w:sz="8" w:color="auto"/>
            </w:tcBorders>
          </w:tcPr>
          <w:p>
            <w:pPr>
              <w:ind w:left="3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3"/>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(11)</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32.2%</w:t>
            </w: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w:t>
            </w:r>
          </w:p>
        </w:tc>
        <w:tc>
          <w:tcPr>
            <w:tcW w:w="126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620" w:type="dxa"/>
            <w:vAlign w:val="bottom"/>
            <w:tcBorders>
              <w:bottom w:val="single" w:sz="8" w:color="auto"/>
            </w:tcBorders>
          </w:tcPr>
          <w:p>
            <w:pPr>
              <w:spacing w:after="0"/>
              <w:rPr>
                <w:sz w:val="24"/>
                <w:szCs w:val="24"/>
                <w:color w:val="auto"/>
              </w:rPr>
            </w:pPr>
          </w:p>
        </w:tc>
        <w:tc>
          <w:tcPr>
            <w:tcW w:w="126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4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10</w:t>
            </w: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34385P108</w:t>
      </w:r>
    </w:p>
    <w:p>
      <w:pPr>
        <w:spacing w:after="0" w:line="34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constitutes Amendment No. 3 to the Schedule 13D filed by the undersigned (the “Amendment No. 3”). This Amendment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 amends the Schedule 13D as specifically set forth herein.</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u w:val="single" w:color="auto"/>
          <w:color w:val="auto"/>
        </w:rPr>
        <w:t>IDENTITY AND BACKGROUND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2 is hereby amended to add the following:</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Effective February 28, 2018, Levin Capital Trilogy Master Fund, Ltd. changed its name to Bi-Directional Disequilibrium Master Fund, Ltd.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(“Bi-Directional”).</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u w:val="single" w:color="auto"/>
          <w:color w:val="auto"/>
        </w:rPr>
        <w:t>SOURCE AND AMOUNT OF FUNDS OR OTHER CONSIDERATION</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3 is hereby amended and restated as follows:</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The Shares purchased by LCS on behalf of separately managed accounts, including Transamerica Large Cap Value Fund, a registered investment company under the Investment Company Act of 1940, as amended (“Transamerica”), for which LCS acts as sub-investment advisor, were purchased with general investment funds in open market purchases, except as otherwise noted. The aggregate purchase price of the 12,258,233 Shares held in separately managed accounts that are beneficially owned directly by LCS is approximately $60,347,703, including brokerage commissions.</w:t>
      </w:r>
    </w:p>
    <w:p>
      <w:pPr>
        <w:spacing w:after="0" w:line="154"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auto"/>
        </w:rPr>
        <w:t>The Shares purchased by Bi-Directional were purchased with general investment funds in open market purchases, except as otherwise noted. The aggregate purchase price of the 89,363 Shares owned directly by Bi-Directional is approximately $544,787, including brokerage commissions.</w:t>
      </w:r>
    </w:p>
    <w:p>
      <w:pPr>
        <w:spacing w:after="0" w:line="124"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The Shares purchased by Levcap were purchased with general investment funds in open market purchases, except as otherwise noted. The aggregate purchase price of the 56,820 Shares owned directly by Levcap is approximately $280,825, including brokerage commissions.</w:t>
      </w:r>
    </w:p>
    <w:p>
      <w:pPr>
        <w:spacing w:after="0" w:line="147" w:lineRule="exact"/>
        <w:rPr>
          <w:sz w:val="20"/>
          <w:szCs w:val="20"/>
          <w:color w:val="auto"/>
        </w:rPr>
      </w:pPr>
    </w:p>
    <w:p>
      <w:pPr>
        <w:jc w:val="both"/>
        <w:ind w:right="20" w:firstLine="1297"/>
        <w:spacing w:after="0" w:line="308" w:lineRule="auto"/>
        <w:rPr>
          <w:sz w:val="20"/>
          <w:szCs w:val="20"/>
          <w:color w:val="auto"/>
        </w:rPr>
      </w:pPr>
      <w:r>
        <w:rPr>
          <w:rFonts w:ascii="Arial" w:cs="Arial" w:eastAsia="Arial" w:hAnsi="Arial"/>
          <w:sz w:val="17"/>
          <w:szCs w:val="17"/>
          <w:color w:val="auto"/>
        </w:rPr>
        <w:t>The Shares purchased by Safinia were purchased with general investment funds in open market purchases, except as otherwise noted. The aggregate purchase price of the 19,818 Shares owned directly by Safinia is approximately $107,616, including brokerage commissions.</w:t>
      </w:r>
    </w:p>
    <w:p>
      <w:pPr>
        <w:spacing w:after="0" w:line="147"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The Shares purchased by John Levin’s wife were purchased with general investment funds in open market purchases, except as otherwise noted. The aggregate purchase price of the 5,000 Shares owned directly by John Levin’s wife is approximately $39,359, including brokerage commissions.</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To the best of the Reporting Persons’ knowledge, none of the persons listed on Appendix A beneficially owns any securities of the Issuer.</w:t>
      </w:r>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7"/>
          <w:szCs w:val="17"/>
          <w:u w:val="single" w:color="auto"/>
          <w:color w:val="auto"/>
        </w:rPr>
        <w:t>INTEREST IN SECURITIES OF THE ISSUER</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Items 5(a)-(d) are hereby amended and restated as follows: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The aggregate percentage of Shares reported owned by each person named herein is based upon 38,647,687 Shares outstanding, which is the total number of Shares outstanding as reported in the Issuer’s Quarterly Report on Form 10-Q filed with the Securities and Exchange Commission on November 7, 2017.</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34385P108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 LCS</w:t>
      </w:r>
    </w:p>
    <w:p>
      <w:pPr>
        <w:spacing w:after="0" w:line="225" w:lineRule="exact"/>
        <w:rPr>
          <w:sz w:val="20"/>
          <w:szCs w:val="20"/>
          <w:color w:val="auto"/>
        </w:rPr>
      </w:pPr>
    </w:p>
    <w:p>
      <w:pPr>
        <w:ind w:right="20" w:firstLine="656"/>
        <w:spacing w:after="0" w:line="277" w:lineRule="auto"/>
        <w:tabs>
          <w:tab w:leader="none" w:pos="1302"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the close of business on March 5, 2018, LCS beneficially owned 12,424,234 Shares on behalf of separately managed accounts, including 1,275,129 Shares held by the separately managed account Transamerica.</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Approximately 32.1%.</w:t>
      </w:r>
    </w:p>
    <w:p>
      <w:pPr>
        <w:spacing w:after="0" w:line="225" w:lineRule="exact"/>
        <w:rPr>
          <w:sz w:val="20"/>
          <w:szCs w:val="20"/>
          <w:color w:val="auto"/>
        </w:rPr>
      </w:pP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vote or direct vote: 9,314,997</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12,424,234</w:t>
      </w:r>
    </w:p>
    <w:p>
      <w:pPr>
        <w:spacing w:after="0" w:line="210" w:lineRule="exact"/>
        <w:rPr>
          <w:rFonts w:ascii="Arial" w:cs="Arial" w:eastAsia="Arial" w:hAnsi="Arial"/>
          <w:sz w:val="18"/>
          <w:szCs w:val="18"/>
          <w:color w:val="auto"/>
        </w:rPr>
      </w:pPr>
    </w:p>
    <w:p>
      <w:pPr>
        <w:ind w:firstLine="656"/>
        <w:spacing w:after="0" w:line="277" w:lineRule="auto"/>
        <w:tabs>
          <w:tab w:leader="none" w:pos="117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transactions in the Shares by LCS on behalf of separately managed accounts, including Transamerica, since the filing of Amendment No. 2 are set forth in Schedule A and are incorporated herein by reference.</w:t>
      </w:r>
    </w:p>
    <w:p>
      <w:pPr>
        <w:spacing w:after="0" w:line="17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B. LCS GP</w:t>
      </w:r>
    </w:p>
    <w:p>
      <w:pPr>
        <w:spacing w:after="0" w:line="225" w:lineRule="exact"/>
        <w:rPr>
          <w:rFonts w:ascii="Arial" w:cs="Arial" w:eastAsia="Arial" w:hAnsi="Arial"/>
          <w:sz w:val="18"/>
          <w:szCs w:val="18"/>
          <w:color w:val="auto"/>
        </w:rPr>
      </w:pPr>
    </w:p>
    <w:p>
      <w:pPr>
        <w:ind w:left="1280" w:hanging="624"/>
        <w:spacing w:after="0"/>
        <w:tabs>
          <w:tab w:leader="none" w:pos="1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 the General Partner of LCS, LCS GP is deemed to beneficially own the 12,424,234 Shares beneficially owned by LCS.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Approximately 32.1%.</w:t>
      </w:r>
    </w:p>
    <w:p>
      <w:pPr>
        <w:spacing w:after="0" w:line="225" w:lineRule="exact"/>
        <w:rPr>
          <w:sz w:val="20"/>
          <w:szCs w:val="20"/>
          <w:color w:val="auto"/>
        </w:rPr>
      </w:pPr>
    </w:p>
    <w:p>
      <w:pPr>
        <w:ind w:left="1300" w:hanging="644"/>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vote or direct vote: 9,314,997</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12,424,234</w:t>
      </w:r>
    </w:p>
    <w:p>
      <w:pPr>
        <w:spacing w:after="0" w:line="210" w:lineRule="exact"/>
        <w:rPr>
          <w:rFonts w:ascii="Arial" w:cs="Arial" w:eastAsia="Arial" w:hAnsi="Arial"/>
          <w:sz w:val="18"/>
          <w:szCs w:val="18"/>
          <w:color w:val="auto"/>
        </w:rPr>
      </w:pPr>
    </w:p>
    <w:p>
      <w:pPr>
        <w:ind w:right="3320" w:firstLine="656"/>
        <w:spacing w:after="0" w:line="501" w:lineRule="auto"/>
        <w:tabs>
          <w:tab w:leader="none" w:pos="1163" w:val="left"/>
        </w:tabs>
        <w:numPr>
          <w:ilvl w:val="1"/>
          <w:numId w:val="9"/>
        </w:numPr>
        <w:rPr>
          <w:rFonts w:ascii="Arial" w:cs="Arial" w:eastAsia="Arial" w:hAnsi="Arial"/>
          <w:sz w:val="18"/>
          <w:szCs w:val="18"/>
          <w:color w:val="auto"/>
        </w:rPr>
      </w:pPr>
      <w:r>
        <w:rPr>
          <w:rFonts w:ascii="Arial" w:cs="Arial" w:eastAsia="Arial" w:hAnsi="Arial"/>
          <w:sz w:val="18"/>
          <w:szCs w:val="18"/>
          <w:color w:val="auto"/>
        </w:rPr>
        <w:t>LCS GP has not undertaken any transactions in the Shares since the filing of Amendment No. 2. C. Bi-Directional</w:t>
      </w:r>
    </w:p>
    <w:p>
      <w:pPr>
        <w:ind w:left="1300" w:right="3240" w:hanging="644"/>
        <w:spacing w:after="0" w:line="501" w:lineRule="auto"/>
        <w:tabs>
          <w:tab w:leader="none" w:pos="126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of the close of business on March 5, 2018, Bi-Directional beneficially owned 89,363 Shares. Percentage: Less than 1.0%.</w:t>
      </w: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direct vote: 89,363 *</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89,363 *</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34385P108</w:t>
      </w:r>
    </w:p>
    <w:p>
      <w:pPr>
        <w:spacing w:after="0" w:line="213" w:lineRule="exact"/>
        <w:rPr>
          <w:sz w:val="20"/>
          <w:szCs w:val="20"/>
          <w:color w:val="auto"/>
        </w:rPr>
      </w:pPr>
    </w:p>
    <w:p>
      <w:pPr>
        <w:ind w:firstLine="656"/>
        <w:spacing w:after="0" w:line="277"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the general partner to Bi-Directional, LCSL has shared voting and dispositive power over these Shares. As the investment advisor to Bi-Directional, LCS has shared voting and dispositive power over these Shares.</w:t>
      </w:r>
    </w:p>
    <w:p>
      <w:pPr>
        <w:spacing w:after="0" w:line="170" w:lineRule="exact"/>
        <w:rPr>
          <w:sz w:val="20"/>
          <w:szCs w:val="20"/>
          <w:color w:val="auto"/>
        </w:rPr>
      </w:pPr>
    </w:p>
    <w:p>
      <w:pPr>
        <w:ind w:left="1180" w:hanging="524"/>
        <w:spacing w:after="0"/>
        <w:tabs>
          <w:tab w:leader="none" w:pos="11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transactions in the Shares by Bi-Directional since the filing of Amendment No. 2 are set forth in Schedule A and are incorporated herein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reference.</w:t>
      </w:r>
    </w:p>
    <w:p>
      <w:pPr>
        <w:spacing w:after="0" w:line="2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 LCSL</w:t>
      </w:r>
    </w:p>
    <w:p>
      <w:pPr>
        <w:spacing w:after="0" w:line="225" w:lineRule="exact"/>
        <w:rPr>
          <w:rFonts w:ascii="Arial" w:cs="Arial" w:eastAsia="Arial" w:hAnsi="Arial"/>
          <w:sz w:val="16"/>
          <w:szCs w:val="16"/>
          <w:color w:val="auto"/>
        </w:rPr>
      </w:pPr>
    </w:p>
    <w:p>
      <w:pPr>
        <w:ind w:left="1300" w:right="380" w:hanging="644"/>
        <w:spacing w:after="0" w:line="501" w:lineRule="auto"/>
        <w:tabs>
          <w:tab w:leader="none" w:pos="126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As the General Partner of Bi-Directional, LCSL is deemed to beneficially own the 89,363 Shares beneficially owned by Bi-Directional. Percentage: Less than 1.0%.</w:t>
      </w:r>
    </w:p>
    <w:p>
      <w:pPr>
        <w:ind w:left="1300" w:hanging="644"/>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direct vote: 89,363 *</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89,363 *</w:t>
      </w:r>
    </w:p>
    <w:p>
      <w:pPr>
        <w:spacing w:after="0" w:line="211" w:lineRule="exact"/>
        <w:rPr>
          <w:sz w:val="20"/>
          <w:szCs w:val="20"/>
          <w:color w:val="auto"/>
        </w:rPr>
      </w:pPr>
    </w:p>
    <w:p>
      <w:pPr>
        <w:ind w:firstLine="656"/>
        <w:spacing w:after="0" w:line="277" w:lineRule="auto"/>
        <w:tabs>
          <w:tab w:leader="none" w:pos="809"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the general partner to Bi-Directional, LCSL has shared voting and dispositive power over these Shares. As the investment advisor to Bi-Directional, LCS has shared voting and dispositive power over these Shares.</w:t>
      </w:r>
    </w:p>
    <w:p>
      <w:pPr>
        <w:spacing w:after="0" w:line="170" w:lineRule="exact"/>
        <w:rPr>
          <w:sz w:val="20"/>
          <w:szCs w:val="20"/>
          <w:color w:val="auto"/>
        </w:rPr>
      </w:pPr>
    </w:p>
    <w:p>
      <w:pPr>
        <w:ind w:left="1180" w:hanging="524"/>
        <w:spacing w:after="0"/>
        <w:tabs>
          <w:tab w:leader="none" w:pos="11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LCSL has not undertaken any transactions in the Shares since the filing of Amendment No. 2.</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 Levcap</w:t>
      </w:r>
    </w:p>
    <w:p>
      <w:pPr>
        <w:spacing w:after="0" w:line="225" w:lineRule="exact"/>
        <w:rPr>
          <w:rFonts w:ascii="Arial" w:cs="Arial" w:eastAsia="Arial" w:hAnsi="Arial"/>
          <w:sz w:val="18"/>
          <w:szCs w:val="18"/>
          <w:color w:val="auto"/>
        </w:rPr>
      </w:pPr>
    </w:p>
    <w:p>
      <w:pPr>
        <w:ind w:left="1300" w:right="3760" w:hanging="644"/>
        <w:spacing w:after="0" w:line="501" w:lineRule="auto"/>
        <w:tabs>
          <w:tab w:leader="none" w:pos="126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As of the close of business on March 5, 2018, Levcap beneficially owned 56,820 Shares. Percentage: Less than 1.0%.</w:t>
      </w:r>
    </w:p>
    <w:p>
      <w:pPr>
        <w:ind w:left="1300" w:hanging="644"/>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Shared power to vote or direct vote: 56,820 *</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6"/>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56,820*</w:t>
      </w:r>
    </w:p>
    <w:p>
      <w:pPr>
        <w:spacing w:after="0" w:line="211" w:lineRule="exact"/>
        <w:rPr>
          <w:sz w:val="20"/>
          <w:szCs w:val="20"/>
          <w:color w:val="auto"/>
        </w:rPr>
      </w:pPr>
    </w:p>
    <w:p>
      <w:pPr>
        <w:ind w:firstLine="656"/>
        <w:spacing w:after="0" w:line="277" w:lineRule="auto"/>
        <w:tabs>
          <w:tab w:leader="none" w:pos="7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the general partner to Levcap, LCSEP has shared voting and dispositive power over these Shares. As the investment advisor to Levcap, LCS has shared voting and dispositive power over these Shares.</w:t>
      </w:r>
    </w:p>
    <w:p>
      <w:pPr>
        <w:spacing w:after="0" w:line="170" w:lineRule="exact"/>
        <w:rPr>
          <w:sz w:val="20"/>
          <w:szCs w:val="20"/>
          <w:color w:val="auto"/>
        </w:rPr>
      </w:pPr>
    </w:p>
    <w:p>
      <w:pPr>
        <w:ind w:left="5620" w:right="3400" w:hanging="4964"/>
        <w:spacing w:after="0" w:line="528" w:lineRule="auto"/>
        <w:tabs>
          <w:tab w:leader="none" w:pos="1167"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Levcap has not undertaken any transactions in the Shares since the filing of Amendment No. 2.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rPr>
          <w:sz w:val="20"/>
          <w:szCs w:val="20"/>
          <w:color w:val="auto"/>
        </w:rPr>
      </w:pPr>
      <w:r>
        <w:rPr>
          <w:rFonts w:ascii="Arial" w:cs="Arial" w:eastAsia="Arial" w:hAnsi="Arial"/>
          <w:sz w:val="22"/>
          <w:szCs w:val="22"/>
          <w:color w:val="auto"/>
        </w:rPr>
        <w:t>CUSIP No. 34385P108</w:t>
      </w:r>
    </w:p>
    <w:p>
      <w:pPr>
        <w:spacing w:after="0" w:line="213"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LCSEP</w:t>
      </w:r>
    </w:p>
    <w:p>
      <w:pPr>
        <w:spacing w:after="0" w:line="225" w:lineRule="exact"/>
        <w:rPr>
          <w:rFonts w:ascii="Arial" w:cs="Arial" w:eastAsia="Arial" w:hAnsi="Arial"/>
          <w:sz w:val="18"/>
          <w:szCs w:val="18"/>
          <w:color w:val="auto"/>
        </w:rPr>
      </w:pPr>
    </w:p>
    <w:p>
      <w:pPr>
        <w:ind w:left="1300" w:right="1300" w:hanging="644"/>
        <w:spacing w:after="0" w:line="501" w:lineRule="auto"/>
        <w:tabs>
          <w:tab w:leader="none" w:pos="126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As the General Partner of Levcap, LCSEP is deemed to beneficially own the 56,820 Shares beneficially owned by Levcap. Percentage: Less than 1.0%.</w:t>
      </w:r>
    </w:p>
    <w:p>
      <w:pPr>
        <w:ind w:left="1300" w:hanging="644"/>
        <w:spacing w:after="0"/>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Shared power to vote or direct vote: 56,820 *</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56,820*</w:t>
      </w:r>
    </w:p>
    <w:p>
      <w:pPr>
        <w:spacing w:after="0" w:line="211" w:lineRule="exact"/>
        <w:rPr>
          <w:sz w:val="20"/>
          <w:szCs w:val="20"/>
          <w:color w:val="auto"/>
        </w:rPr>
      </w:pPr>
    </w:p>
    <w:p>
      <w:pPr>
        <w:ind w:right="260" w:firstLine="656"/>
        <w:spacing w:after="0" w:line="277" w:lineRule="auto"/>
        <w:tabs>
          <w:tab w:leader="none" w:pos="783"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the general partner to Levcap, LCSEP has shared voting and dispositive power over these Shares. As the investment advisor to Levcap, LCS has shared voting and dispositive power over these Shares.</w:t>
      </w:r>
    </w:p>
    <w:p>
      <w:pPr>
        <w:spacing w:after="0" w:line="170" w:lineRule="exact"/>
        <w:rPr>
          <w:sz w:val="20"/>
          <w:szCs w:val="20"/>
          <w:color w:val="auto"/>
        </w:rPr>
      </w:pPr>
    </w:p>
    <w:p>
      <w:pPr>
        <w:ind w:left="1180" w:hanging="524"/>
        <w:spacing w:after="0"/>
        <w:tabs>
          <w:tab w:leader="none" w:pos="11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LCSEP has not undertaken any transactions in the Shares since the filing of Amendment No. 2.</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G. Safinia</w:t>
      </w:r>
    </w:p>
    <w:p>
      <w:pPr>
        <w:spacing w:after="0" w:line="225" w:lineRule="exact"/>
        <w:rPr>
          <w:rFonts w:ascii="Arial" w:cs="Arial" w:eastAsia="Arial" w:hAnsi="Arial"/>
          <w:sz w:val="18"/>
          <w:szCs w:val="18"/>
          <w:color w:val="auto"/>
        </w:rPr>
      </w:pPr>
    </w:p>
    <w:p>
      <w:pPr>
        <w:ind w:left="1300" w:right="3780" w:hanging="644"/>
        <w:spacing w:after="0" w:line="501" w:lineRule="auto"/>
        <w:tabs>
          <w:tab w:leader="none" w:pos="126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As of the close of business on March 5, 2018, Safinia beneficially owned 19,818 Shares. Percentage: Less than 1.0%.</w:t>
      </w:r>
    </w:p>
    <w:p>
      <w:pPr>
        <w:ind w:left="1300" w:hanging="644"/>
        <w:spacing w:after="0"/>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Shared power to vote or direct vote: 19,818 *</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22"/>
        </w:numPr>
        <w:rPr>
          <w:rFonts w:ascii="Arial" w:cs="Arial" w:eastAsia="Arial" w:hAnsi="Arial"/>
          <w:sz w:val="18"/>
          <w:szCs w:val="18"/>
          <w:color w:val="auto"/>
        </w:rPr>
      </w:pPr>
      <w:r>
        <w:rPr>
          <w:rFonts w:ascii="Arial" w:cs="Arial" w:eastAsia="Arial" w:hAnsi="Arial"/>
          <w:sz w:val="18"/>
          <w:szCs w:val="18"/>
          <w:color w:val="auto"/>
        </w:rPr>
        <w:t>Shared power to dispose or direct the disposition:19,818 *</w:t>
      </w:r>
    </w:p>
    <w:p>
      <w:pPr>
        <w:spacing w:after="0" w:line="211" w:lineRule="exact"/>
        <w:rPr>
          <w:sz w:val="20"/>
          <w:szCs w:val="20"/>
          <w:color w:val="auto"/>
        </w:rPr>
      </w:pPr>
    </w:p>
    <w:p>
      <w:pPr>
        <w:ind w:firstLine="656"/>
        <w:spacing w:after="0" w:line="277" w:lineRule="auto"/>
        <w:tabs>
          <w:tab w:leader="none" w:pos="77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the general partner to Safinia, LCSLS has shared voting and dispositive power over these Shares. As the investment advisor to Safinia, LCS has shared voting and dispositive power over these Shares.</w:t>
      </w:r>
    </w:p>
    <w:p>
      <w:pPr>
        <w:spacing w:after="0" w:line="170" w:lineRule="exact"/>
        <w:rPr>
          <w:sz w:val="20"/>
          <w:szCs w:val="20"/>
          <w:color w:val="auto"/>
        </w:rPr>
      </w:pPr>
    </w:p>
    <w:p>
      <w:pPr>
        <w:ind w:left="1180" w:hanging="524"/>
        <w:spacing w:after="0"/>
        <w:tabs>
          <w:tab w:leader="none" w:pos="11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Safinia has not undertaken any transactions in the Shares since the filing of Amendment No. 2.</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H. LCSLS</w:t>
      </w:r>
    </w:p>
    <w:p>
      <w:pPr>
        <w:spacing w:after="0" w:line="225" w:lineRule="exact"/>
        <w:rPr>
          <w:rFonts w:ascii="Arial" w:cs="Arial" w:eastAsia="Arial" w:hAnsi="Arial"/>
          <w:sz w:val="18"/>
          <w:szCs w:val="18"/>
          <w:color w:val="auto"/>
        </w:rPr>
      </w:pPr>
    </w:p>
    <w:p>
      <w:pPr>
        <w:ind w:left="1300" w:right="1340" w:hanging="644"/>
        <w:spacing w:after="0" w:line="501" w:lineRule="auto"/>
        <w:tabs>
          <w:tab w:leader="none" w:pos="126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 the General Partner of Safinia, LCSLS is deemed to beneficially own the 19,818 Shares beneficially owned by Safinia. Percentage: Less than 1.0%.</w:t>
      </w:r>
    </w:p>
    <w:p>
      <w:pPr>
        <w:ind w:left="1300" w:hanging="644"/>
        <w:spacing w:after="0"/>
        <w:tabs>
          <w:tab w:leader="none" w:pos="1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1. Sole power to vote or direct vote: 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Shared power to vote or direct vote: 19,818 *</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19,818 *</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sz w:val="20"/>
          <w:szCs w:val="20"/>
          <w:color w:val="auto"/>
        </w:rPr>
      </w:pPr>
      <w:r>
        <w:rPr>
          <w:rFonts w:ascii="Arial" w:cs="Arial" w:eastAsia="Arial" w:hAnsi="Arial"/>
          <w:sz w:val="22"/>
          <w:szCs w:val="22"/>
          <w:color w:val="auto"/>
        </w:rPr>
        <w:t>CUSIP No. 34385P108</w:t>
      </w:r>
    </w:p>
    <w:p>
      <w:pPr>
        <w:spacing w:after="0" w:line="213" w:lineRule="exact"/>
        <w:rPr>
          <w:sz w:val="20"/>
          <w:szCs w:val="20"/>
          <w:color w:val="auto"/>
        </w:rPr>
      </w:pPr>
    </w:p>
    <w:p>
      <w:pPr>
        <w:ind w:firstLine="656"/>
        <w:spacing w:after="0" w:line="277" w:lineRule="auto"/>
        <w:tabs>
          <w:tab w:leader="none" w:pos="7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the general partner to Safinia, LCSLS has shared voting and dispositive power over these Shares. As the investment advisor to Safinia, LCS has shared voting and dispositive power over these Shares.</w:t>
      </w:r>
    </w:p>
    <w:p>
      <w:pPr>
        <w:spacing w:after="0" w:line="170" w:lineRule="exact"/>
        <w:rPr>
          <w:sz w:val="20"/>
          <w:szCs w:val="20"/>
          <w:color w:val="auto"/>
        </w:rPr>
      </w:pPr>
    </w:p>
    <w:p>
      <w:pPr>
        <w:ind w:left="1180" w:hanging="524"/>
        <w:spacing w:after="0"/>
        <w:tabs>
          <w:tab w:leader="none" w:pos="11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LCSLS has not undertaken any transactions in the Shares since the filing of Amendment No. 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John Levin</w:t>
      </w:r>
    </w:p>
    <w:p>
      <w:pPr>
        <w:spacing w:after="0" w:line="225" w:lineRule="exact"/>
        <w:rPr>
          <w:rFonts w:ascii="Arial" w:cs="Arial" w:eastAsia="Arial" w:hAnsi="Arial"/>
          <w:sz w:val="18"/>
          <w:szCs w:val="18"/>
          <w:color w:val="auto"/>
        </w:rPr>
      </w:pPr>
    </w:p>
    <w:p>
      <w:pPr>
        <w:ind w:firstLine="656"/>
        <w:spacing w:after="0" w:line="277" w:lineRule="auto"/>
        <w:tabs>
          <w:tab w:leader="none" w:pos="1329" w:val="left"/>
        </w:tabs>
        <w:numPr>
          <w:ilvl w:val="1"/>
          <w:numId w:val="28"/>
        </w:numPr>
        <w:rPr>
          <w:rFonts w:ascii="Arial" w:cs="Arial" w:eastAsia="Arial" w:hAnsi="Arial"/>
          <w:sz w:val="18"/>
          <w:szCs w:val="18"/>
          <w:color w:val="auto"/>
        </w:rPr>
      </w:pPr>
      <w:r>
        <w:rPr>
          <w:rFonts w:ascii="Arial" w:cs="Arial" w:eastAsia="Arial" w:hAnsi="Arial"/>
          <w:sz w:val="18"/>
          <w:szCs w:val="18"/>
          <w:color w:val="auto"/>
        </w:rPr>
        <w:t>As the Chief Executive Officer of LCS and the Managing Member of each of LCSL, LCSEP and LCSLS, Mr. Levin is deemed to beneficially own 12,424,234 Shares beneficially owned by LCS. Mr. John Levin’s wife beneficially owns an additional 5,000 shares.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Percentage: Approximately 32.2%.</w:t>
      </w:r>
    </w:p>
    <w:p>
      <w:pPr>
        <w:spacing w:after="0" w:line="225"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 Sole power to vote or direct vote: 5,000</w:t>
      </w:r>
    </w:p>
    <w:p>
      <w:pPr>
        <w:spacing w:after="0" w:line="23" w:lineRule="exact"/>
        <w:rPr>
          <w:rFonts w:ascii="Arial" w:cs="Arial" w:eastAsia="Arial" w:hAnsi="Arial"/>
          <w:sz w:val="18"/>
          <w:szCs w:val="18"/>
          <w:color w:val="auto"/>
        </w:rPr>
      </w:pPr>
    </w:p>
    <w:p>
      <w:pPr>
        <w:ind w:left="1480" w:hanging="175"/>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Shared power to vote or direct vote: 9,314,997</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Sole power to dispose or direct the disposition: 5,000</w:t>
      </w:r>
    </w:p>
    <w:p>
      <w:pPr>
        <w:spacing w:after="0" w:line="9" w:lineRule="exact"/>
        <w:rPr>
          <w:rFonts w:ascii="Arial" w:cs="Arial" w:eastAsia="Arial" w:hAnsi="Arial"/>
          <w:sz w:val="18"/>
          <w:szCs w:val="18"/>
          <w:color w:val="auto"/>
        </w:rPr>
      </w:pPr>
    </w:p>
    <w:p>
      <w:pPr>
        <w:ind w:left="1480" w:hanging="175"/>
        <w:spacing w:after="0"/>
        <w:tabs>
          <w:tab w:leader="none" w:pos="14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12,424,234</w:t>
      </w:r>
    </w:p>
    <w:p>
      <w:pPr>
        <w:spacing w:after="0" w:line="210" w:lineRule="exact"/>
        <w:rPr>
          <w:rFonts w:ascii="Arial" w:cs="Arial" w:eastAsia="Arial" w:hAnsi="Arial"/>
          <w:sz w:val="18"/>
          <w:szCs w:val="18"/>
          <w:color w:val="auto"/>
        </w:rPr>
      </w:pPr>
    </w:p>
    <w:p>
      <w:pPr>
        <w:ind w:left="1200" w:hanging="544"/>
        <w:spacing w:after="0"/>
        <w:tabs>
          <w:tab w:leader="none" w:pos="12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transactions in the Shares by Mr. Levin since the filing of Amendment No. 2 are set forth in Schedule A and are incorporated herein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reference.</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filing of this Schedule 13D shall not be construed as an admission that the Reporting Persons are, for purposes of Section 13(d) of the Securities Exchange Act of 1934, as amended, the beneficial owners of any of the securities reported herein. Each of the Reporting Persons specifically disclaims beneficial ownership of the securities reported herein that are not directly owned by such Reporting Person, except to the extent of their pecuniary interest therein.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 the best of the Reporting Persons’ knowledge, none of the persons listed on Appendix A beneficially owns any securities of the Issuer.</w:t>
      </w:r>
    </w:p>
    <w:p>
      <w:pPr>
        <w:spacing w:after="0" w:line="237" w:lineRule="exact"/>
        <w:rPr>
          <w:sz w:val="20"/>
          <w:szCs w:val="20"/>
          <w:color w:val="auto"/>
        </w:rPr>
      </w:pPr>
    </w:p>
    <w:p>
      <w:pPr>
        <w:jc w:val="both"/>
        <w:ind w:firstLine="656"/>
        <w:spacing w:after="0" w:line="264" w:lineRule="auto"/>
        <w:tabs>
          <w:tab w:leader="none" w:pos="11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separately managed account, Transamerica, a registered investment company under the Investment Company Act of 1940, as amended, for which LCS acts as sub-investment advisor, has the right to receive dividends from, and the proceeds from the sale of, 1,275,129 Shares. Voting and dispositive power over such Shares is deemed to be shared between LCS and Transamerica.</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Various other separately managed accounts for whom LCS acts as investment manager have the right to receive dividends from, and the proceeds from the sale of 10,983,104 Shares. Dispositive power over such Shares is shared. Voting power over such Shares is deemed shared between such managed accounts and LCS with respect to 9,314,997 Shares.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CUSIP No. 34385P108</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6, 2018</w:t>
      </w:r>
    </w:p>
    <w:p>
      <w:pPr>
        <w:spacing w:after="0" w:line="22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Levin Capital Strategies, L.P.</w:t>
      </w:r>
    </w:p>
    <w:p>
      <w:pPr>
        <w:spacing w:after="0" w:line="225"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Chief Executive Officer</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Levin Capital Strategies GP, LLC</w:t>
            </w:r>
          </w:p>
        </w:tc>
      </w:tr>
      <w:tr>
        <w:trPr>
          <w:trHeight w:val="418"/>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John A. Levin 2005 GRAT Separation Trust, as Managing</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Member</w:t>
            </w:r>
          </w:p>
        </w:tc>
        <w:tc>
          <w:tcPr>
            <w:tcW w:w="3880" w:type="dxa"/>
            <w:vAlign w:val="bottom"/>
          </w:tcPr>
          <w:p>
            <w:pPr>
              <w:spacing w:after="0"/>
              <w:rPr>
                <w:sz w:val="20"/>
                <w:szCs w:val="20"/>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Elisabeth Levin</w:t>
            </w:r>
          </w:p>
        </w:tc>
      </w:tr>
      <w:tr>
        <w:trPr>
          <w:trHeight w:val="195"/>
        </w:trPr>
        <w:tc>
          <w:tcPr>
            <w:tcW w:w="70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Elisabeth Levin</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Trustee</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Bi-Directional Disequilibrium Master Fund, Ltd.</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By: LCS, LLC, its General Partner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Managing Member</w:t>
            </w:r>
          </w:p>
        </w:tc>
      </w:tr>
      <w:tr>
        <w:trPr>
          <w:trHeight w:val="648"/>
        </w:trPr>
        <w:tc>
          <w:tcPr>
            <w:tcW w:w="1520" w:type="dxa"/>
            <w:vAlign w:val="bottom"/>
            <w:gridSpan w:val="2"/>
          </w:tcPr>
          <w:p>
            <w:pPr>
              <w:spacing w:after="0"/>
              <w:rPr>
                <w:sz w:val="20"/>
                <w:szCs w:val="20"/>
                <w:color w:val="auto"/>
              </w:rPr>
            </w:pPr>
            <w:r>
              <w:rPr>
                <w:rFonts w:ascii="Arial" w:cs="Arial" w:eastAsia="Arial" w:hAnsi="Arial"/>
                <w:sz w:val="18"/>
                <w:szCs w:val="18"/>
                <w:color w:val="auto"/>
              </w:rPr>
              <w:t>LCS, LLC</w:t>
            </w:r>
          </w:p>
        </w:tc>
        <w:tc>
          <w:tcPr>
            <w:tcW w:w="3880" w:type="dxa"/>
            <w:vAlign w:val="bottom"/>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Managing Member</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Levcap Alternative Fund, L.P</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By: LCS Event Partners, LLC, its General Partner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Managing Member</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LCS Event Partners, LLC</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8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80" w:type="dxa"/>
            <w:vAlign w:val="bottom"/>
          </w:tcPr>
          <w:p>
            <w:pPr>
              <w:ind w:left="2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0"/>
              <w:spacing w:after="0"/>
              <w:rPr>
                <w:sz w:val="20"/>
                <w:szCs w:val="20"/>
                <w:color w:val="auto"/>
              </w:rPr>
            </w:pPr>
            <w:r>
              <w:rPr>
                <w:rFonts w:ascii="Arial" w:cs="Arial" w:eastAsia="Arial" w:hAnsi="Arial"/>
                <w:sz w:val="18"/>
                <w:szCs w:val="18"/>
                <w:color w:val="auto"/>
              </w:rPr>
              <w:t>Managing Member</w:t>
            </w: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color w:val="auto"/>
        </w:rPr>
        <w:t>CUSIP No. 34385P108</w:t>
      </w:r>
    </w:p>
    <w:p>
      <w:pPr>
        <w:spacing w:after="0" w:line="321" w:lineRule="exact"/>
        <w:rPr>
          <w:sz w:val="20"/>
          <w:szCs w:val="20"/>
          <w:color w:val="auto"/>
        </w:rPr>
      </w:pPr>
    </w:p>
    <w:tbl>
      <w:tblPr>
        <w:tblLayout w:type="fixed"/>
        <w:tblInd w:w="5920" w:type="dxa"/>
        <w:tblCellMar>
          <w:top w:w="0" w:type="dxa"/>
          <w:left w:w="0" w:type="dxa"/>
          <w:bottom w:w="0" w:type="dxa"/>
          <w:right w:w="0" w:type="dxa"/>
        </w:tblCellMar>
      </w:tblPr>
      <w:tr>
        <w:trPr>
          <w:trHeight w:val="230"/>
        </w:trPr>
        <w:tc>
          <w:tcPr>
            <w:tcW w:w="1620" w:type="dxa"/>
            <w:vAlign w:val="bottom"/>
            <w:gridSpan w:val="2"/>
          </w:tcPr>
          <w:p>
            <w:pPr>
              <w:spacing w:after="0"/>
              <w:rPr>
                <w:sz w:val="20"/>
                <w:szCs w:val="20"/>
                <w:color w:val="auto"/>
              </w:rPr>
            </w:pPr>
            <w:r>
              <w:rPr>
                <w:rFonts w:ascii="Arial" w:cs="Arial" w:eastAsia="Arial" w:hAnsi="Arial"/>
                <w:sz w:val="18"/>
                <w:szCs w:val="18"/>
                <w:color w:val="auto"/>
                <w:w w:val="94"/>
              </w:rPr>
              <w:t>Safinia Partners, L.P.</w:t>
            </w:r>
          </w:p>
        </w:tc>
        <w:tc>
          <w:tcPr>
            <w:tcW w:w="3780" w:type="dxa"/>
            <w:vAlign w:val="bottom"/>
          </w:tcPr>
          <w:p>
            <w:pPr>
              <w:spacing w:after="0"/>
              <w:rPr>
                <w:sz w:val="20"/>
                <w:szCs w:val="20"/>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gridSpan w:val="2"/>
          </w:tcPr>
          <w:p>
            <w:pPr>
              <w:spacing w:after="0"/>
              <w:rPr>
                <w:sz w:val="20"/>
                <w:szCs w:val="20"/>
                <w:color w:val="auto"/>
              </w:rPr>
            </w:pPr>
            <w:r>
              <w:rPr>
                <w:rFonts w:ascii="Arial" w:cs="Arial" w:eastAsia="Arial" w:hAnsi="Arial"/>
                <w:sz w:val="18"/>
                <w:szCs w:val="18"/>
                <w:color w:val="auto"/>
              </w:rPr>
              <w:t>LCS L/S, LLC, its General Partner</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Managing Member</w:t>
            </w:r>
          </w:p>
        </w:tc>
      </w:tr>
      <w:tr>
        <w:trPr>
          <w:trHeight w:val="648"/>
        </w:trPr>
        <w:tc>
          <w:tcPr>
            <w:tcW w:w="1620" w:type="dxa"/>
            <w:vAlign w:val="bottom"/>
            <w:gridSpan w:val="2"/>
          </w:tcPr>
          <w:p>
            <w:pPr>
              <w:spacing w:after="0"/>
              <w:rPr>
                <w:sz w:val="20"/>
                <w:szCs w:val="20"/>
                <w:color w:val="auto"/>
              </w:rPr>
            </w:pPr>
            <w:r>
              <w:rPr>
                <w:rFonts w:ascii="Arial" w:cs="Arial" w:eastAsia="Arial" w:hAnsi="Arial"/>
                <w:sz w:val="18"/>
                <w:szCs w:val="18"/>
                <w:color w:val="auto"/>
              </w:rPr>
              <w:t>LCS L/S, LLC</w:t>
            </w:r>
          </w:p>
        </w:tc>
        <w:tc>
          <w:tcPr>
            <w:tcW w:w="3780" w:type="dxa"/>
            <w:vAlign w:val="bottom"/>
          </w:tcPr>
          <w:p>
            <w:pPr>
              <w:spacing w:after="0"/>
              <w:rPr>
                <w:sz w:val="24"/>
                <w:szCs w:val="24"/>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A. Levin</w:t>
            </w:r>
          </w:p>
        </w:tc>
      </w:tr>
      <w:tr>
        <w:trPr>
          <w:trHeight w:val="195"/>
        </w:trPr>
        <w:tc>
          <w:tcPr>
            <w:tcW w:w="700" w:type="dxa"/>
            <w:vAlign w:val="bottom"/>
          </w:tcPr>
          <w:p>
            <w:pPr>
              <w:spacing w:after="0"/>
              <w:rPr>
                <w:sz w:val="16"/>
                <w:szCs w:val="16"/>
                <w:color w:val="auto"/>
              </w:rPr>
            </w:pPr>
          </w:p>
        </w:tc>
        <w:tc>
          <w:tcPr>
            <w:tcW w:w="9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780" w:type="dxa"/>
            <w:vAlign w:val="bottom"/>
          </w:tcPr>
          <w:p>
            <w:pPr>
              <w:ind w:left="100"/>
              <w:spacing w:after="0" w:line="195" w:lineRule="exact"/>
              <w:rPr>
                <w:sz w:val="20"/>
                <w:szCs w:val="20"/>
                <w:color w:val="auto"/>
              </w:rPr>
            </w:pPr>
            <w:r>
              <w:rPr>
                <w:rFonts w:ascii="Arial" w:cs="Arial" w:eastAsia="Arial" w:hAnsi="Arial"/>
                <w:sz w:val="18"/>
                <w:szCs w:val="18"/>
                <w:color w:val="auto"/>
              </w:rPr>
              <w:t>John A. Levin</w:t>
            </w:r>
          </w:p>
        </w:tc>
      </w:tr>
      <w:tr>
        <w:trPr>
          <w:trHeight w:val="230"/>
        </w:trPr>
        <w:tc>
          <w:tcPr>
            <w:tcW w:w="70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ind w:left="10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18"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/s/ John A. Levin</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-130810</wp:posOffset>
            </wp:positionV>
            <wp:extent cx="34302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26" w:right="339" w:bottom="1440" w:gutter="0" w:footer="0" w:header="0"/>
        </w:sectPr>
      </w:pPr>
    </w:p>
    <w:bookmarkStart w:id="17" w:name="page18"/>
    <w:bookmarkEnd w:id="17"/>
    <w:p>
      <w:pPr>
        <w:spacing w:after="0"/>
        <w:rPr>
          <w:sz w:val="20"/>
          <w:szCs w:val="20"/>
          <w:color w:val="auto"/>
        </w:rPr>
      </w:pPr>
      <w:r>
        <w:rPr>
          <w:rFonts w:ascii="Arial" w:cs="Arial" w:eastAsia="Arial" w:hAnsi="Arial"/>
          <w:sz w:val="22"/>
          <w:szCs w:val="22"/>
          <w:color w:val="auto"/>
        </w:rPr>
        <w:t>CUSIP No. 34385P108</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Transactions in the Shares Since the Filing of Amendment No. 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Date</w:t>
            </w: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Code</w:t>
            </w: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Quantity</w:t>
            </w: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Gross Price</w:t>
            </w:r>
          </w:p>
        </w:tc>
        <w:tc>
          <w:tcPr>
            <w:tcW w:w="5460" w:type="dxa"/>
            <w:vAlign w:val="bottom"/>
            <w:gridSpan w:val="3"/>
          </w:tcPr>
          <w:p>
            <w:pPr>
              <w:ind w:left="200"/>
              <w:spacing w:after="0"/>
              <w:rPr>
                <w:sz w:val="20"/>
                <w:szCs w:val="20"/>
                <w:color w:val="auto"/>
              </w:rPr>
            </w:pPr>
            <w:r>
              <w:rPr>
                <w:rFonts w:ascii="Arial" w:cs="Arial" w:eastAsia="Arial" w:hAnsi="Arial"/>
                <w:sz w:val="18"/>
                <w:szCs w:val="18"/>
                <w:b w:val="1"/>
                <w:bCs w:val="1"/>
                <w:color w:val="auto"/>
              </w:rPr>
              <w:t>Reporting Persons</w:t>
            </w:r>
          </w:p>
        </w:tc>
      </w:tr>
      <w:tr>
        <w:trPr>
          <w:trHeight w:val="20"/>
        </w:trPr>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3/2/2018</w:t>
            </w: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221,174</w:t>
            </w:r>
          </w:p>
        </w:tc>
        <w:tc>
          <w:tcPr>
            <w:tcW w:w="1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6.2392</w:t>
            </w:r>
          </w:p>
        </w:tc>
        <w:tc>
          <w:tcPr>
            <w:tcW w:w="5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tcPr>
          <w:p>
            <w:pPr>
              <w:ind w:left="120"/>
              <w:spacing w:after="0"/>
              <w:rPr>
                <w:sz w:val="20"/>
                <w:szCs w:val="20"/>
                <w:color w:val="auto"/>
              </w:rPr>
            </w:pPr>
            <w:r>
              <w:rPr>
                <w:rFonts w:ascii="Arial" w:cs="Arial" w:eastAsia="Arial" w:hAnsi="Arial"/>
                <w:sz w:val="18"/>
                <w:szCs w:val="18"/>
                <w:color w:val="auto"/>
              </w:rPr>
              <w:t>3/2/2018</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13,745</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6.2497</w:t>
            </w:r>
          </w:p>
        </w:tc>
        <w:tc>
          <w:tcPr>
            <w:tcW w:w="5460" w:type="dxa"/>
            <w:vAlign w:val="bottom"/>
            <w:gridSpan w:val="3"/>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3/2/2018</w:t>
            </w: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6,327</w:t>
            </w:r>
          </w:p>
        </w:tc>
        <w:tc>
          <w:tcPr>
            <w:tcW w:w="1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6.2392</w:t>
            </w:r>
          </w:p>
        </w:tc>
        <w:tc>
          <w:tcPr>
            <w:tcW w:w="5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Bi-Directional Disequilibrium Master Fund, Ltd.</w:t>
            </w:r>
          </w:p>
        </w:tc>
      </w:tr>
      <w:tr>
        <w:trPr>
          <w:trHeight w:val="216"/>
        </w:trPr>
        <w:tc>
          <w:tcPr>
            <w:tcW w:w="1620" w:type="dxa"/>
            <w:vAlign w:val="bottom"/>
            <w:gridSpan w:val="2"/>
          </w:tcPr>
          <w:p>
            <w:pPr>
              <w:ind w:left="120"/>
              <w:spacing w:after="0"/>
              <w:rPr>
                <w:sz w:val="20"/>
                <w:szCs w:val="20"/>
                <w:color w:val="auto"/>
              </w:rPr>
            </w:pPr>
            <w:r>
              <w:rPr>
                <w:rFonts w:ascii="Arial" w:cs="Arial" w:eastAsia="Arial" w:hAnsi="Arial"/>
                <w:sz w:val="18"/>
                <w:szCs w:val="18"/>
                <w:color w:val="auto"/>
              </w:rPr>
              <w:t>3/2/2018</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170</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6.25</w:t>
            </w:r>
          </w:p>
        </w:tc>
        <w:tc>
          <w:tcPr>
            <w:tcW w:w="5460" w:type="dxa"/>
            <w:vAlign w:val="bottom"/>
            <w:gridSpan w:val="3"/>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3/2/2018</w:t>
            </w: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415</w:t>
            </w:r>
          </w:p>
        </w:tc>
        <w:tc>
          <w:tcPr>
            <w:tcW w:w="1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6.25</w:t>
            </w:r>
          </w:p>
        </w:tc>
        <w:tc>
          <w:tcPr>
            <w:tcW w:w="5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tcPr>
          <w:p>
            <w:pPr>
              <w:ind w:left="120"/>
              <w:spacing w:after="0"/>
              <w:rPr>
                <w:sz w:val="20"/>
                <w:szCs w:val="20"/>
                <w:color w:val="auto"/>
              </w:rPr>
            </w:pPr>
            <w:r>
              <w:rPr>
                <w:rFonts w:ascii="Arial" w:cs="Arial" w:eastAsia="Arial" w:hAnsi="Arial"/>
                <w:sz w:val="18"/>
                <w:szCs w:val="18"/>
                <w:color w:val="auto"/>
              </w:rPr>
              <w:t>3/2/2018</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6,824</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6.3735</w:t>
            </w:r>
          </w:p>
        </w:tc>
        <w:tc>
          <w:tcPr>
            <w:tcW w:w="5460" w:type="dxa"/>
            <w:vAlign w:val="bottom"/>
            <w:gridSpan w:val="3"/>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3/1/2018</w:t>
            </w: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100</w:t>
            </w:r>
          </w:p>
        </w:tc>
        <w:tc>
          <w:tcPr>
            <w:tcW w:w="1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6.6525</w:t>
            </w:r>
          </w:p>
        </w:tc>
        <w:tc>
          <w:tcPr>
            <w:tcW w:w="5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tcPr>
          <w:p>
            <w:pPr>
              <w:ind w:left="120"/>
              <w:spacing w:after="0"/>
              <w:rPr>
                <w:sz w:val="20"/>
                <w:szCs w:val="20"/>
                <w:color w:val="auto"/>
              </w:rPr>
            </w:pPr>
            <w:r>
              <w:rPr>
                <w:rFonts w:ascii="Arial" w:cs="Arial" w:eastAsia="Arial" w:hAnsi="Arial"/>
                <w:sz w:val="18"/>
                <w:szCs w:val="18"/>
                <w:color w:val="auto"/>
              </w:rPr>
              <w:t>3/1/2018</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1,600</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6.7269</w:t>
            </w:r>
          </w:p>
        </w:tc>
        <w:tc>
          <w:tcPr>
            <w:tcW w:w="5460" w:type="dxa"/>
            <w:vAlign w:val="bottom"/>
            <w:gridSpan w:val="3"/>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2/28/2018</w:t>
            </w: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8,950</w:t>
            </w:r>
          </w:p>
        </w:tc>
        <w:tc>
          <w:tcPr>
            <w:tcW w:w="1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6.797</w:t>
            </w:r>
          </w:p>
        </w:tc>
        <w:tc>
          <w:tcPr>
            <w:tcW w:w="5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tcPr>
          <w:p>
            <w:pPr>
              <w:ind w:left="120"/>
              <w:spacing w:after="0"/>
              <w:rPr>
                <w:sz w:val="20"/>
                <w:szCs w:val="20"/>
                <w:color w:val="auto"/>
              </w:rPr>
            </w:pPr>
            <w:r>
              <w:rPr>
                <w:rFonts w:ascii="Arial" w:cs="Arial" w:eastAsia="Arial" w:hAnsi="Arial"/>
                <w:sz w:val="18"/>
                <w:szCs w:val="18"/>
                <w:color w:val="auto"/>
              </w:rPr>
              <w:t>2/27/2018</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5,000</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6.8673</w:t>
            </w:r>
          </w:p>
        </w:tc>
        <w:tc>
          <w:tcPr>
            <w:tcW w:w="5460" w:type="dxa"/>
            <w:vAlign w:val="bottom"/>
            <w:gridSpan w:val="3"/>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2/15/2018</w:t>
            </w: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5,000</w:t>
            </w:r>
          </w:p>
        </w:tc>
        <w:tc>
          <w:tcPr>
            <w:tcW w:w="1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7.8558</w:t>
            </w:r>
          </w:p>
        </w:tc>
        <w:tc>
          <w:tcPr>
            <w:tcW w:w="5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tcPr>
          <w:p>
            <w:pPr>
              <w:ind w:left="120"/>
              <w:spacing w:after="0"/>
              <w:rPr>
                <w:sz w:val="20"/>
                <w:szCs w:val="20"/>
                <w:color w:val="auto"/>
              </w:rPr>
            </w:pPr>
            <w:r>
              <w:rPr>
                <w:rFonts w:ascii="Arial" w:cs="Arial" w:eastAsia="Arial" w:hAnsi="Arial"/>
                <w:sz w:val="18"/>
                <w:szCs w:val="18"/>
                <w:color w:val="auto"/>
              </w:rPr>
              <w:t>2/15/2018</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5,000</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7.8558</w:t>
            </w:r>
          </w:p>
        </w:tc>
        <w:tc>
          <w:tcPr>
            <w:tcW w:w="5460" w:type="dxa"/>
            <w:vAlign w:val="bottom"/>
            <w:gridSpan w:val="3"/>
          </w:tcPr>
          <w:p>
            <w:pPr>
              <w:ind w:left="200"/>
              <w:spacing w:after="0"/>
              <w:rPr>
                <w:sz w:val="20"/>
                <w:szCs w:val="20"/>
                <w:color w:val="auto"/>
              </w:rPr>
            </w:pPr>
            <w:r>
              <w:rPr>
                <w:rFonts w:ascii="Arial" w:cs="Arial" w:eastAsia="Arial" w:hAnsi="Arial"/>
                <w:sz w:val="18"/>
                <w:szCs w:val="18"/>
                <w:color w:val="auto"/>
              </w:rPr>
              <w:t>John Levin’s Wife</w:t>
            </w:r>
          </w:p>
        </w:tc>
      </w:tr>
      <w:tr>
        <w:trPr>
          <w:trHeight w:val="216"/>
        </w:trPr>
        <w:tc>
          <w:tcPr>
            <w:tcW w:w="1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2/8/2018</w:t>
            </w: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12,338</w:t>
            </w:r>
          </w:p>
        </w:tc>
        <w:tc>
          <w:tcPr>
            <w:tcW w:w="1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5.7398</w:t>
            </w:r>
          </w:p>
        </w:tc>
        <w:tc>
          <w:tcPr>
            <w:tcW w:w="5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tcPr>
          <w:p>
            <w:pPr>
              <w:ind w:left="120"/>
              <w:spacing w:after="0"/>
              <w:rPr>
                <w:sz w:val="20"/>
                <w:szCs w:val="20"/>
                <w:color w:val="auto"/>
              </w:rPr>
            </w:pPr>
            <w:r>
              <w:rPr>
                <w:rFonts w:ascii="Arial" w:cs="Arial" w:eastAsia="Arial" w:hAnsi="Arial"/>
                <w:sz w:val="18"/>
                <w:szCs w:val="18"/>
                <w:color w:val="auto"/>
              </w:rPr>
              <w:t>2/7/2018</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3,100</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5.6087</w:t>
            </w:r>
          </w:p>
        </w:tc>
        <w:tc>
          <w:tcPr>
            <w:tcW w:w="5460" w:type="dxa"/>
            <w:vAlign w:val="bottom"/>
            <w:gridSpan w:val="3"/>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2/6/2018</w:t>
            </w: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50,510</w:t>
            </w:r>
          </w:p>
        </w:tc>
        <w:tc>
          <w:tcPr>
            <w:tcW w:w="1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5.7414</w:t>
            </w:r>
          </w:p>
        </w:tc>
        <w:tc>
          <w:tcPr>
            <w:tcW w:w="5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tcPr>
          <w:p>
            <w:pPr>
              <w:ind w:left="120"/>
              <w:spacing w:after="0"/>
              <w:rPr>
                <w:sz w:val="20"/>
                <w:szCs w:val="20"/>
                <w:color w:val="auto"/>
              </w:rPr>
            </w:pPr>
            <w:r>
              <w:rPr>
                <w:rFonts w:ascii="Arial" w:cs="Arial" w:eastAsia="Arial" w:hAnsi="Arial"/>
                <w:sz w:val="18"/>
                <w:szCs w:val="18"/>
                <w:color w:val="auto"/>
              </w:rPr>
              <w:t>2/5/2018</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33,887</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5.9157</w:t>
            </w:r>
          </w:p>
        </w:tc>
        <w:tc>
          <w:tcPr>
            <w:tcW w:w="5460" w:type="dxa"/>
            <w:vAlign w:val="bottom"/>
            <w:gridSpan w:val="3"/>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2/2/2018</w:t>
            </w: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17,100</w:t>
            </w:r>
          </w:p>
        </w:tc>
        <w:tc>
          <w:tcPr>
            <w:tcW w:w="1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6.0521</w:t>
            </w:r>
          </w:p>
        </w:tc>
        <w:tc>
          <w:tcPr>
            <w:tcW w:w="5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tcPr>
          <w:p>
            <w:pPr>
              <w:ind w:left="120"/>
              <w:spacing w:after="0"/>
              <w:rPr>
                <w:sz w:val="20"/>
                <w:szCs w:val="20"/>
                <w:color w:val="auto"/>
              </w:rPr>
            </w:pPr>
            <w:r>
              <w:rPr>
                <w:rFonts w:ascii="Arial" w:cs="Arial" w:eastAsia="Arial" w:hAnsi="Arial"/>
                <w:sz w:val="18"/>
                <w:szCs w:val="18"/>
                <w:color w:val="auto"/>
              </w:rPr>
              <w:t>2/1/2018</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7,866</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6.1152</w:t>
            </w:r>
          </w:p>
        </w:tc>
        <w:tc>
          <w:tcPr>
            <w:tcW w:w="5460" w:type="dxa"/>
            <w:vAlign w:val="bottom"/>
            <w:gridSpan w:val="3"/>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1/31/2018</w:t>
            </w: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136,850</w:t>
            </w:r>
          </w:p>
        </w:tc>
        <w:tc>
          <w:tcPr>
            <w:tcW w:w="1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6.177</w:t>
            </w:r>
          </w:p>
        </w:tc>
        <w:tc>
          <w:tcPr>
            <w:tcW w:w="5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tcPr>
          <w:p>
            <w:pPr>
              <w:ind w:left="120"/>
              <w:spacing w:after="0"/>
              <w:rPr>
                <w:sz w:val="20"/>
                <w:szCs w:val="20"/>
                <w:color w:val="auto"/>
              </w:rPr>
            </w:pPr>
            <w:r>
              <w:rPr>
                <w:rFonts w:ascii="Arial" w:cs="Arial" w:eastAsia="Arial" w:hAnsi="Arial"/>
                <w:sz w:val="18"/>
                <w:szCs w:val="18"/>
                <w:color w:val="auto"/>
              </w:rPr>
              <w:t>1/31/2018</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8,175</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6.2694</w:t>
            </w:r>
          </w:p>
        </w:tc>
        <w:tc>
          <w:tcPr>
            <w:tcW w:w="5460" w:type="dxa"/>
            <w:vAlign w:val="bottom"/>
            <w:gridSpan w:val="3"/>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1/23/2018</w:t>
            </w: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2,995</w:t>
            </w:r>
          </w:p>
        </w:tc>
        <w:tc>
          <w:tcPr>
            <w:tcW w:w="1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6.6861</w:t>
            </w:r>
          </w:p>
        </w:tc>
        <w:tc>
          <w:tcPr>
            <w:tcW w:w="5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tcPr>
          <w:p>
            <w:pPr>
              <w:ind w:left="120"/>
              <w:spacing w:after="0"/>
              <w:rPr>
                <w:sz w:val="20"/>
                <w:szCs w:val="20"/>
                <w:color w:val="auto"/>
              </w:rPr>
            </w:pPr>
            <w:r>
              <w:rPr>
                <w:rFonts w:ascii="Arial" w:cs="Arial" w:eastAsia="Arial" w:hAnsi="Arial"/>
                <w:sz w:val="18"/>
                <w:szCs w:val="18"/>
                <w:color w:val="auto"/>
              </w:rPr>
              <w:t>1/22/2018</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3,876</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6.4759</w:t>
            </w:r>
          </w:p>
        </w:tc>
        <w:tc>
          <w:tcPr>
            <w:tcW w:w="5460" w:type="dxa"/>
            <w:vAlign w:val="bottom"/>
            <w:gridSpan w:val="3"/>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1/16/2018</w:t>
            </w: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887</w:t>
            </w:r>
          </w:p>
        </w:tc>
        <w:tc>
          <w:tcPr>
            <w:tcW w:w="1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6.6829</w:t>
            </w:r>
          </w:p>
        </w:tc>
        <w:tc>
          <w:tcPr>
            <w:tcW w:w="5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tcPr>
          <w:p>
            <w:pPr>
              <w:ind w:left="120"/>
              <w:spacing w:after="0"/>
              <w:rPr>
                <w:sz w:val="20"/>
                <w:szCs w:val="20"/>
                <w:color w:val="auto"/>
              </w:rPr>
            </w:pPr>
            <w:r>
              <w:rPr>
                <w:rFonts w:ascii="Arial" w:cs="Arial" w:eastAsia="Arial" w:hAnsi="Arial"/>
                <w:sz w:val="18"/>
                <w:szCs w:val="18"/>
                <w:color w:val="auto"/>
              </w:rPr>
              <w:t>1/10/2018</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21</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6.1362</w:t>
            </w:r>
          </w:p>
        </w:tc>
        <w:tc>
          <w:tcPr>
            <w:tcW w:w="5460" w:type="dxa"/>
            <w:vAlign w:val="bottom"/>
            <w:gridSpan w:val="3"/>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1/10/2018</w:t>
            </w: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35,129</w:t>
            </w:r>
          </w:p>
        </w:tc>
        <w:tc>
          <w:tcPr>
            <w:tcW w:w="1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6.1363</w:t>
            </w:r>
          </w:p>
        </w:tc>
        <w:tc>
          <w:tcPr>
            <w:tcW w:w="5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tcPr>
          <w:p>
            <w:pPr>
              <w:ind w:left="120"/>
              <w:spacing w:after="0"/>
              <w:rPr>
                <w:sz w:val="20"/>
                <w:szCs w:val="20"/>
                <w:color w:val="auto"/>
              </w:rPr>
            </w:pPr>
            <w:r>
              <w:rPr>
                <w:rFonts w:ascii="Arial" w:cs="Arial" w:eastAsia="Arial" w:hAnsi="Arial"/>
                <w:sz w:val="18"/>
                <w:szCs w:val="18"/>
                <w:color w:val="auto"/>
              </w:rPr>
              <w:t>1/10/2018</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50</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6.1364</w:t>
            </w:r>
          </w:p>
        </w:tc>
        <w:tc>
          <w:tcPr>
            <w:tcW w:w="5460" w:type="dxa"/>
            <w:vAlign w:val="bottom"/>
            <w:gridSpan w:val="3"/>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1/9/2018</w:t>
            </w: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17,927</w:t>
            </w:r>
          </w:p>
        </w:tc>
        <w:tc>
          <w:tcPr>
            <w:tcW w:w="1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6.445</w:t>
            </w:r>
          </w:p>
        </w:tc>
        <w:tc>
          <w:tcPr>
            <w:tcW w:w="5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tcPr>
          <w:p>
            <w:pPr>
              <w:ind w:left="120"/>
              <w:spacing w:after="0"/>
              <w:rPr>
                <w:sz w:val="20"/>
                <w:szCs w:val="20"/>
                <w:color w:val="auto"/>
              </w:rPr>
            </w:pPr>
            <w:r>
              <w:rPr>
                <w:rFonts w:ascii="Arial" w:cs="Arial" w:eastAsia="Arial" w:hAnsi="Arial"/>
                <w:sz w:val="18"/>
                <w:szCs w:val="18"/>
                <w:color w:val="auto"/>
              </w:rPr>
              <w:t>1/9/2018</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47,434</w:t>
            </w:r>
          </w:p>
        </w:tc>
        <w:tc>
          <w:tcPr>
            <w:tcW w:w="1940" w:type="dxa"/>
            <w:vAlign w:val="bottom"/>
            <w:gridSpan w:val="2"/>
          </w:tcPr>
          <w:p>
            <w:pPr>
              <w:ind w:left="220"/>
              <w:spacing w:after="0"/>
              <w:rPr>
                <w:sz w:val="20"/>
                <w:szCs w:val="20"/>
                <w:color w:val="auto"/>
              </w:rPr>
            </w:pPr>
            <w:r>
              <w:rPr>
                <w:rFonts w:ascii="Arial" w:cs="Arial" w:eastAsia="Arial" w:hAnsi="Arial"/>
                <w:sz w:val="18"/>
                <w:szCs w:val="18"/>
                <w:color w:val="auto"/>
              </w:rPr>
              <w:t>6.445</w:t>
            </w:r>
          </w:p>
        </w:tc>
        <w:tc>
          <w:tcPr>
            <w:tcW w:w="5460" w:type="dxa"/>
            <w:vAlign w:val="bottom"/>
            <w:gridSpan w:val="3"/>
          </w:tcPr>
          <w:p>
            <w:pPr>
              <w:ind w:left="200"/>
              <w:spacing w:after="0"/>
              <w:rPr>
                <w:sz w:val="20"/>
                <w:szCs w:val="20"/>
                <w:color w:val="auto"/>
              </w:rPr>
            </w:pPr>
            <w:r>
              <w:rPr>
                <w:rFonts w:ascii="Arial" w:cs="Arial" w:eastAsia="Arial" w:hAnsi="Arial"/>
                <w:sz w:val="18"/>
                <w:szCs w:val="18"/>
                <w:color w:val="auto"/>
              </w:rPr>
              <w:t>Levin Capital Strategies, L.P.*</w:t>
            </w:r>
          </w:p>
        </w:tc>
      </w:tr>
      <w:tr>
        <w:trPr>
          <w:trHeight w:val="216"/>
        </w:trPr>
        <w:tc>
          <w:tcPr>
            <w:tcW w:w="16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1/9/2018</w:t>
            </w: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Buy</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15</w:t>
            </w:r>
          </w:p>
        </w:tc>
        <w:tc>
          <w:tcPr>
            <w:tcW w:w="1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6.4453</w:t>
            </w:r>
          </w:p>
        </w:tc>
        <w:tc>
          <w:tcPr>
            <w:tcW w:w="54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Levin Capital Strategies, L.P.</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Trade made on behalf of separately managed account Transamerica Large Cap Value Fund.</w:t>
      </w:r>
    </w:p>
    <w:sectPr>
      <w:pgSz w:w="11900" w:h="16838" w:orient="portrait"/>
      <w:cols w:equalWidth="0" w:num="1">
        <w:col w:w="11420"/>
      </w:cols>
      <w:pgMar w:left="240" w:top="2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bullet"/>
      <w:start w:val="1"/>
    </w:lvl>
  </w:abstractNum>
  <w:abstractNum w:abstractNumId="2">
    <w:nsid w:val="4E6AFB66"/>
    <w:multiLevelType w:val="hybridMultilevel"/>
    <w:lvl w:ilvl="0">
      <w:lvlJc w:val="left"/>
      <w:lvlText w:val="%1"/>
      <w:numFmt w:val="decimal"/>
      <w:start w:val="14"/>
    </w:lvl>
  </w:abstractNum>
  <w:abstractNum w:abstractNumId="3">
    <w:nsid w:val="25E45D32"/>
    <w:multiLevelType w:val="hybridMultilevel"/>
    <w:lvl w:ilvl="0">
      <w:lvlJc w:val="left"/>
      <w:lvlText w:val="%1"/>
      <w:numFmt w:val="decimal"/>
      <w:start w:val="14"/>
    </w:lvl>
  </w:abstractNum>
  <w:abstractNum w:abstractNumId="4">
    <w:nsid w:val="519B500D"/>
    <w:multiLevelType w:val="hybridMultilevel"/>
    <w:lvl w:ilvl="0">
      <w:lvlJc w:val="left"/>
      <w:lvlText w:val="%1"/>
      <w:numFmt w:val="decimal"/>
      <w:start w:val="14"/>
    </w:lvl>
  </w:abstractNum>
  <w:abstractNum w:abstractNumId="5">
    <w:nsid w:val="431BD7B7"/>
    <w:multiLevelType w:val="hybridMultilevel"/>
    <w:lvl w:ilvl="0">
      <w:lvlJc w:val="left"/>
      <w:lvlText w:val="(%1)"/>
      <w:numFmt w:val="lowerLetter"/>
      <w:start w:val="1"/>
    </w:lvl>
  </w:abstractNum>
  <w:abstractNum w:abstractNumId="6">
    <w:nsid w:val="3F2DBA31"/>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7">
    <w:nsid w:val="7C83E458"/>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1"/>
    </w:lvl>
  </w:abstractNum>
  <w:abstractNum w:abstractNumId="8">
    <w:nsid w:val="257130A3"/>
    <w:multiLevelType w:val="hybridMultilevel"/>
    <w:lvl w:ilvl="0">
      <w:lvlJc w:val="left"/>
      <w:lvlText w:val="%1"/>
      <w:numFmt w:val="upperLetter"/>
      <w:start w:val="1"/>
    </w:lvl>
    <w:lvl w:ilvl="1">
      <w:lvlJc w:val="left"/>
      <w:lvlText w:val="(%2)"/>
      <w:numFmt w:val="lowerLetter"/>
      <w:start w:val="2"/>
    </w:lvl>
    <w:lvl w:ilvl="2">
      <w:lvlJc w:val="left"/>
      <w:lvlText w:val="%3."/>
      <w:numFmt w:val="decimal"/>
      <w:start w:val="2"/>
    </w:lvl>
  </w:abstractNum>
  <w:abstractNum w:abstractNumId="9">
    <w:nsid w:val="62BBD95A"/>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12">
    <w:nsid w:val="333AB105"/>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15">
    <w:nsid w:val="2D1D5AE9"/>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lowerLetter"/>
      <w:start w:val="3"/>
    </w:lvl>
  </w:abstractNum>
  <w:abstractNum w:abstractNumId="18">
    <w:nsid w:val="8EDBDAB"/>
    <w:multiLevelType w:val="hybridMultilevel"/>
    <w:lvl w:ilvl="0">
      <w:lvlJc w:val="left"/>
      <w:lvlText w:val="%1."/>
      <w:numFmt w:val="upperLetter"/>
      <w:start w:val="6"/>
    </w:lvl>
    <w:lvl w:ilvl="1">
      <w:lvlJc w:val="left"/>
      <w:lvlText w:val="(%2)"/>
      <w:numFmt w:val="lowerLetter"/>
      <w:start w:val="1"/>
    </w:lvl>
    <w:lvl w:ilvl="2">
      <w:lvlJc w:val="left"/>
      <w:lvlText w:val="%3."/>
      <w:numFmt w:val="decimal"/>
      <w:start w:val="2"/>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21">
    <w:nsid w:val="B03E0C6"/>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upperLetter"/>
      <w:start w:val="1"/>
    </w:lvl>
    <w:lvl w:ilvl="1">
      <w:lvlJc w:val="left"/>
      <w:lvlText w:val="(%2)"/>
      <w:numFmt w:val="lowerLetter"/>
      <w:start w:val="3"/>
    </w:lvl>
    <w:lvl w:ilvl="2">
      <w:lvlJc w:val="left"/>
      <w:lvlText w:val="%3"/>
      <w:numFmt w:val="decimal"/>
      <w:start w:val="1"/>
    </w:lvl>
  </w:abstractNum>
  <w:abstractNum w:abstractNumId="24">
    <w:nsid w:val="71F32454"/>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upperLetter"/>
      <w:start w:val="1"/>
    </w:lvl>
    <w:lvl w:ilvl="1">
      <w:lvlJc w:val="left"/>
      <w:lvlText w:val="(%2)"/>
      <w:numFmt w:val="lowerLetter"/>
      <w:start w:val="3"/>
    </w:lvl>
  </w:abstractNum>
  <w:abstractNum w:abstractNumId="27">
    <w:nsid w:val="2901D82"/>
    <w:multiLevelType w:val="hybridMultilevel"/>
    <w:lvl w:ilvl="0">
      <w:lvlJc w:val="left"/>
      <w:lvlText w:val="%1."/>
      <w:numFmt w:val="upperLetter"/>
      <w:start w:val="9"/>
    </w:lvl>
    <w:lvl w:ilvl="1">
      <w:lvlJc w:val="left"/>
      <w:lvlText w:val="(%2)"/>
      <w:numFmt w:val="lowerLetter"/>
      <w:start w:val="1"/>
    </w:lvl>
  </w:abstractNum>
  <w:abstractNum w:abstractNumId="28">
    <w:nsid w:val="3A95F874"/>
    <w:multiLevelType w:val="hybridMultilevel"/>
    <w:lvl w:ilvl="0">
      <w:lvlJc w:val="left"/>
      <w:lvlText w:val="(%1)"/>
      <w:numFmt w:val="lowerLetter"/>
      <w:start w:val="2"/>
    </w:lvl>
    <w:lvl w:ilvl="1">
      <w:lvlJc w:val="left"/>
      <w:lvlText w:val="%2."/>
      <w:numFmt w:val="decimal"/>
      <w:start w:val="2"/>
    </w:lvl>
  </w:abstractNum>
  <w:abstractNum w:abstractNumId="29">
    <w:nsid w:val="8138641"/>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2019-12-06T19:49:35Z</dcterms:created>
  <dcterms:modified xsi:type="dcterms:W3CDTF">2019-12-06T19:49:35Z</dcterms:modified>
</cp:coreProperties>
</file>