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7"/>
        </w:trPr>
        <w:tc>
          <w:tcPr>
            <w:tcW w:w="8520" w:type="dxa"/>
            <w:vAlign w:val="bottom"/>
            <w:vMerge w:val="restart"/>
          </w:tcPr>
          <w:p>
            <w:pPr>
              <w:jc w:val="center"/>
              <w:ind w:left="2681"/>
              <w:spacing w:after="0"/>
              <w:rPr>
                <w:sz w:val="20"/>
                <w:szCs w:val="20"/>
                <w:color w:val="auto"/>
              </w:rPr>
            </w:pPr>
            <w:r>
              <w:rPr>
                <w:rFonts w:ascii="Arial" w:cs="Arial" w:eastAsia="Arial" w:hAnsi="Arial"/>
                <w:sz w:val="22"/>
                <w:szCs w:val="22"/>
                <w:b w:val="1"/>
                <w:bCs w:val="1"/>
                <w:color w:val="auto"/>
                <w:w w:val="97"/>
              </w:rPr>
              <w:t>UNITED STATES</w:t>
            </w:r>
          </w:p>
        </w:tc>
        <w:tc>
          <w:tcPr>
            <w:tcW w:w="2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20" w:type="dxa"/>
            <w:vAlign w:val="bottom"/>
            <w:vMerge w:val="continue"/>
          </w:tcPr>
          <w:p>
            <w:pPr>
              <w:spacing w:after="0"/>
              <w:rPr>
                <w:sz w:val="17"/>
                <w:szCs w:val="17"/>
                <w:color w:val="auto"/>
              </w:rPr>
            </w:pPr>
          </w:p>
        </w:tc>
        <w:tc>
          <w:tcPr>
            <w:tcW w:w="2900" w:type="dxa"/>
            <w:vAlign w:val="bottom"/>
            <w:tcBorders>
              <w:left w:val="single" w:sz="8" w:color="auto"/>
              <w:right w:val="single" w:sz="8" w:color="auto"/>
            </w:tcBorders>
          </w:tcPr>
          <w:p>
            <w:pPr>
              <w:ind w:left="760"/>
              <w:spacing w:after="0" w:line="195"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7"/>
        </w:trPr>
        <w:tc>
          <w:tcPr>
            <w:tcW w:w="8520" w:type="dxa"/>
            <w:vAlign w:val="bottom"/>
            <w:vMerge w:val="restart"/>
          </w:tcPr>
          <w:p>
            <w:pPr>
              <w:jc w:val="center"/>
              <w:ind w:left="2681"/>
              <w:spacing w:after="0"/>
              <w:rPr>
                <w:sz w:val="20"/>
                <w:szCs w:val="20"/>
                <w:color w:val="auto"/>
              </w:rPr>
            </w:pPr>
            <w:r>
              <w:rPr>
                <w:rFonts w:ascii="Arial" w:cs="Arial" w:eastAsia="Arial" w:hAnsi="Arial"/>
                <w:sz w:val="22"/>
                <w:szCs w:val="22"/>
                <w:b w:val="1"/>
                <w:bCs w:val="1"/>
                <w:color w:val="auto"/>
                <w:w w:val="99"/>
              </w:rPr>
              <w:t>SECURITIES AND EXCHANGE COMMISSION</w:t>
            </w:r>
          </w:p>
        </w:tc>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520" w:type="dxa"/>
            <w:vAlign w:val="bottom"/>
            <w:vMerge w:val="continue"/>
          </w:tcPr>
          <w:p>
            <w:pPr>
              <w:spacing w:after="0"/>
              <w:rPr>
                <w:sz w:val="17"/>
                <w:szCs w:val="17"/>
                <w:color w:val="auto"/>
              </w:rPr>
            </w:pPr>
          </w:p>
        </w:tc>
        <w:tc>
          <w:tcPr>
            <w:tcW w:w="2900" w:type="dxa"/>
            <w:vAlign w:val="bottom"/>
            <w:tcBorders>
              <w:left w:val="single" w:sz="8" w:color="auto"/>
              <w:right w:val="single" w:sz="8" w:color="auto"/>
            </w:tcBorders>
          </w:tcPr>
          <w:p>
            <w:pPr>
              <w:ind w:left="80"/>
              <w:spacing w:after="0" w:line="205" w:lineRule="exact"/>
              <w:rPr>
                <w:sz w:val="20"/>
                <w:szCs w:val="20"/>
                <w:color w:val="auto"/>
              </w:rPr>
            </w:pPr>
            <w:r>
              <w:rPr>
                <w:rFonts w:ascii="Arial" w:cs="Arial" w:eastAsia="Arial" w:hAnsi="Arial"/>
                <w:sz w:val="18"/>
                <w:szCs w:val="18"/>
                <w:color w:val="auto"/>
              </w:rPr>
              <w:t>OMB Number: 3235-0145</w:t>
            </w:r>
          </w:p>
        </w:tc>
        <w:tc>
          <w:tcPr>
            <w:tcW w:w="0" w:type="dxa"/>
            <w:vAlign w:val="bottom"/>
          </w:tcPr>
          <w:p>
            <w:pPr>
              <w:spacing w:after="0"/>
              <w:rPr>
                <w:sz w:val="1"/>
                <w:szCs w:val="1"/>
                <w:color w:val="auto"/>
              </w:rPr>
            </w:pPr>
          </w:p>
        </w:tc>
      </w:tr>
      <w:tr>
        <w:trPr>
          <w:trHeight w:val="220"/>
        </w:trPr>
        <w:tc>
          <w:tcPr>
            <w:tcW w:w="8520" w:type="dxa"/>
            <w:vAlign w:val="bottom"/>
          </w:tcPr>
          <w:p>
            <w:pPr>
              <w:jc w:val="center"/>
              <w:ind w:left="2681"/>
              <w:spacing w:after="0"/>
              <w:rPr>
                <w:sz w:val="20"/>
                <w:szCs w:val="20"/>
                <w:color w:val="auto"/>
              </w:rPr>
            </w:pPr>
            <w:r>
              <w:rPr>
                <w:rFonts w:ascii="Arial" w:cs="Arial" w:eastAsia="Arial" w:hAnsi="Arial"/>
                <w:sz w:val="18"/>
                <w:szCs w:val="18"/>
                <w:b w:val="1"/>
                <w:bCs w:val="1"/>
                <w:color w:val="auto"/>
                <w:w w:val="91"/>
              </w:rPr>
              <w:t>Washington, D.C. 20549</w:t>
            </w:r>
          </w:p>
        </w:tc>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Expires: February 28, 2009</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18"/>
                <w:szCs w:val="18"/>
                <w:color w:val="auto"/>
              </w:rPr>
            </w:pPr>
          </w:p>
        </w:tc>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p>
        </w:tc>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hours per response. . . . . . . .10.4</w:t>
            </w:r>
          </w:p>
        </w:tc>
        <w:tc>
          <w:tcPr>
            <w:tcW w:w="0" w:type="dxa"/>
            <w:vAlign w:val="bottom"/>
          </w:tcPr>
          <w:p>
            <w:pPr>
              <w:spacing w:after="0"/>
              <w:rPr>
                <w:sz w:val="1"/>
                <w:szCs w:val="1"/>
                <w:color w:val="auto"/>
              </w:rPr>
            </w:pPr>
          </w:p>
        </w:tc>
      </w:tr>
      <w:tr>
        <w:trPr>
          <w:trHeight w:val="463"/>
        </w:trPr>
        <w:tc>
          <w:tcPr>
            <w:tcW w:w="8520" w:type="dxa"/>
            <w:vAlign w:val="bottom"/>
          </w:tcPr>
          <w:p>
            <w:pPr>
              <w:jc w:val="center"/>
              <w:ind w:left="2801"/>
              <w:spacing w:after="0"/>
              <w:rPr>
                <w:sz w:val="20"/>
                <w:szCs w:val="20"/>
                <w:color w:val="auto"/>
              </w:rPr>
            </w:pPr>
            <w:r>
              <w:rPr>
                <w:rFonts w:ascii="Arial" w:cs="Arial" w:eastAsia="Arial" w:hAnsi="Arial"/>
                <w:sz w:val="22"/>
                <w:szCs w:val="22"/>
                <w:b w:val="1"/>
                <w:bCs w:val="1"/>
                <w:color w:val="auto"/>
                <w:w w:val="96"/>
              </w:rPr>
              <w:t>SCHEDULE 13G</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520" w:type="dxa"/>
            <w:vAlign w:val="bottom"/>
          </w:tcPr>
          <w:p>
            <w:pPr>
              <w:jc w:val="center"/>
              <w:ind w:left="2821"/>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20" w:type="dxa"/>
            <w:vAlign w:val="bottom"/>
          </w:tcPr>
          <w:p>
            <w:pPr>
              <w:jc w:val="center"/>
              <w:ind w:left="2821"/>
              <w:spacing w:after="0"/>
              <w:rPr>
                <w:sz w:val="20"/>
                <w:szCs w:val="20"/>
                <w:color w:val="auto"/>
              </w:rPr>
            </w:pPr>
            <w:r>
              <w:rPr>
                <w:rFonts w:ascii="Arial" w:cs="Arial" w:eastAsia="Arial" w:hAnsi="Arial"/>
                <w:sz w:val="18"/>
                <w:szCs w:val="18"/>
                <w:b w:val="1"/>
                <w:bCs w:val="1"/>
                <w:color w:val="auto"/>
                <w:w w:val="92"/>
              </w:rPr>
              <w:t>(Amendment No. 3)*</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520" w:type="dxa"/>
            <w:vAlign w:val="bottom"/>
            <w:tcBorders>
              <w:bottom w:val="single" w:sz="8" w:color="auto"/>
            </w:tcBorders>
          </w:tcPr>
          <w:p>
            <w:pPr>
              <w:jc w:val="center"/>
              <w:ind w:left="2801"/>
              <w:spacing w:after="0"/>
              <w:rPr>
                <w:sz w:val="20"/>
                <w:szCs w:val="20"/>
                <w:color w:val="auto"/>
              </w:rPr>
            </w:pPr>
            <w:r>
              <w:rPr>
                <w:rFonts w:ascii="Arial" w:cs="Arial" w:eastAsia="Arial" w:hAnsi="Arial"/>
                <w:sz w:val="32"/>
                <w:szCs w:val="32"/>
                <w:b w:val="1"/>
                <w:bCs w:val="1"/>
                <w:color w:val="auto"/>
                <w:w w:val="94"/>
              </w:rPr>
              <w:t>Fluidigm Corp.</w:t>
            </w:r>
          </w:p>
        </w:tc>
        <w:tc>
          <w:tcPr>
            <w:tcW w:w="2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520" w:type="dxa"/>
            <w:vAlign w:val="bottom"/>
          </w:tcPr>
          <w:p>
            <w:pPr>
              <w:jc w:val="center"/>
              <w:ind w:left="2801"/>
              <w:spacing w:after="0"/>
              <w:rPr>
                <w:sz w:val="20"/>
                <w:szCs w:val="20"/>
                <w:color w:val="auto"/>
              </w:rPr>
            </w:pPr>
            <w:r>
              <w:rPr>
                <w:rFonts w:ascii="Arial" w:cs="Arial" w:eastAsia="Arial" w:hAnsi="Arial"/>
                <w:sz w:val="18"/>
                <w:szCs w:val="18"/>
                <w:color w:val="auto"/>
                <w:w w:val="90"/>
              </w:rPr>
              <w:t>(Name of Issuer)</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20" w:type="dxa"/>
            <w:vAlign w:val="bottom"/>
          </w:tcPr>
          <w:p>
            <w:pPr>
              <w:jc w:val="center"/>
              <w:ind w:left="2801"/>
              <w:spacing w:after="0"/>
              <w:rPr>
                <w:sz w:val="20"/>
                <w:szCs w:val="20"/>
                <w:color w:val="auto"/>
              </w:rPr>
            </w:pPr>
            <w:r>
              <w:rPr>
                <w:rFonts w:ascii="Arial" w:cs="Arial" w:eastAsia="Arial" w:hAnsi="Arial"/>
                <w:sz w:val="18"/>
                <w:szCs w:val="18"/>
                <w:b w:val="1"/>
                <w:bCs w:val="1"/>
                <w:color w:val="auto"/>
                <w:w w:val="89"/>
              </w:rPr>
              <w:t>Common</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20" w:type="dxa"/>
            <w:vAlign w:val="bottom"/>
          </w:tcPr>
          <w:p>
            <w:pPr>
              <w:jc w:val="center"/>
              <w:ind w:left="2821"/>
              <w:spacing w:after="0"/>
              <w:rPr>
                <w:sz w:val="20"/>
                <w:szCs w:val="20"/>
                <w:color w:val="auto"/>
              </w:rPr>
            </w:pPr>
            <w:r>
              <w:rPr>
                <w:rFonts w:ascii="Arial" w:cs="Arial" w:eastAsia="Arial" w:hAnsi="Arial"/>
                <w:sz w:val="18"/>
                <w:szCs w:val="18"/>
                <w:color w:val="auto"/>
                <w:w w:val="92"/>
              </w:rPr>
              <w:t>(Title of Class of Securities)</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20" w:type="dxa"/>
            <w:vAlign w:val="bottom"/>
          </w:tcPr>
          <w:p>
            <w:pPr>
              <w:jc w:val="center"/>
              <w:ind w:left="2801"/>
              <w:spacing w:after="0"/>
              <w:rPr>
                <w:sz w:val="20"/>
                <w:szCs w:val="20"/>
                <w:color w:val="auto"/>
              </w:rPr>
            </w:pPr>
            <w:r>
              <w:rPr>
                <w:rFonts w:ascii="Arial" w:cs="Arial" w:eastAsia="Arial" w:hAnsi="Arial"/>
                <w:sz w:val="18"/>
                <w:szCs w:val="18"/>
                <w:b w:val="1"/>
                <w:bCs w:val="1"/>
                <w:color w:val="auto"/>
                <w:w w:val="89"/>
              </w:rPr>
              <w:t>34385P108</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20" w:type="dxa"/>
            <w:vAlign w:val="bottom"/>
          </w:tcPr>
          <w:p>
            <w:pPr>
              <w:jc w:val="center"/>
              <w:ind w:left="2801"/>
              <w:spacing w:after="0"/>
              <w:rPr>
                <w:sz w:val="20"/>
                <w:szCs w:val="20"/>
                <w:color w:val="auto"/>
              </w:rPr>
            </w:pPr>
            <w:r>
              <w:rPr>
                <w:rFonts w:ascii="Arial" w:cs="Arial" w:eastAsia="Arial" w:hAnsi="Arial"/>
                <w:sz w:val="18"/>
                <w:szCs w:val="18"/>
                <w:color w:val="auto"/>
                <w:w w:val="92"/>
              </w:rPr>
              <w:t>(CUSIP Number)</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520" w:type="dxa"/>
            <w:vAlign w:val="bottom"/>
            <w:tcBorders>
              <w:bottom w:val="single" w:sz="8" w:color="auto"/>
            </w:tcBorders>
          </w:tcPr>
          <w:p>
            <w:pPr>
              <w:jc w:val="center"/>
              <w:ind w:left="2801"/>
              <w:spacing w:after="0"/>
              <w:rPr>
                <w:sz w:val="20"/>
                <w:szCs w:val="20"/>
                <w:color w:val="auto"/>
              </w:rPr>
            </w:pPr>
            <w:r>
              <w:rPr>
                <w:rFonts w:ascii="Arial" w:cs="Arial" w:eastAsia="Arial" w:hAnsi="Arial"/>
                <w:sz w:val="18"/>
                <w:szCs w:val="18"/>
                <w:b w:val="1"/>
                <w:bCs w:val="1"/>
                <w:color w:val="auto"/>
                <w:w w:val="90"/>
              </w:rPr>
              <w:t>December 31, 2014</w:t>
            </w:r>
          </w:p>
        </w:tc>
        <w:tc>
          <w:tcPr>
            <w:tcW w:w="2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20" w:type="dxa"/>
            <w:vAlign w:val="bottom"/>
          </w:tcPr>
          <w:p>
            <w:pPr>
              <w:jc w:val="center"/>
              <w:ind w:left="2801"/>
              <w:spacing w:after="0"/>
              <w:rPr>
                <w:sz w:val="20"/>
                <w:szCs w:val="20"/>
                <w:color w:val="auto"/>
              </w:rPr>
            </w:pPr>
            <w:r>
              <w:rPr>
                <w:rFonts w:ascii="Arial" w:cs="Arial" w:eastAsia="Arial" w:hAnsi="Arial"/>
                <w:sz w:val="18"/>
                <w:szCs w:val="18"/>
                <w:color w:val="auto"/>
                <w:w w:val="92"/>
              </w:rPr>
              <w:t>(Date of Event Which Requires Filing of this Statement)</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180"/>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225 South Lake Ave., #400, Pasadena, CA 91101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2,797,732</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6" w:right="239" w:bottom="265" w:gutter="0" w:footer="0" w:header="0"/>
        </w:sectPr>
      </w:pPr>
    </w:p>
    <w:bookmarkStart w:id="1" w:name="page2"/>
    <w:bookmarkEnd w:id="1"/>
    <w:p>
      <w:pPr>
        <w:ind w:left="2700" w:right="680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3,726,832</w:t>
      </w:r>
    </w:p>
    <w:p>
      <w:pPr>
        <w:spacing w:after="0" w:line="386" w:lineRule="exact"/>
        <w:rPr>
          <w:rFonts w:ascii="Arial" w:cs="Arial" w:eastAsia="Arial" w:hAnsi="Arial"/>
          <w:sz w:val="18"/>
          <w:szCs w:val="18"/>
          <w:color w:val="auto"/>
        </w:rPr>
      </w:pPr>
    </w:p>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3,726,832</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13.19%</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-2017395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-2566035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jc w:val="both"/>
        <w:ind w:left="1440" w:right="864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Issuer Fluidigm Corp.</w:t>
      </w:r>
    </w:p>
    <w:p>
      <w:pPr>
        <w:spacing w:after="0" w:line="29" w:lineRule="exact"/>
        <w:rPr>
          <w:rFonts w:ascii="Arial" w:cs="Arial" w:eastAsia="Arial" w:hAnsi="Arial"/>
          <w:sz w:val="16"/>
          <w:szCs w:val="16"/>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7000 Shoreline Court, #100, 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-311150</wp:posOffset>
            </wp:positionV>
            <wp:extent cx="6329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225 South Lake Ave., #400, Pasadena, CA 91101</w:t>
      </w:r>
    </w:p>
    <w:p>
      <w:pPr>
        <w:spacing w:after="0" w:line="29" w:lineRule="exact"/>
        <w:rPr>
          <w:rFonts w:ascii="Arial" w:cs="Arial" w:eastAsia="Arial" w:hAnsi="Arial"/>
          <w:sz w:val="16"/>
          <w:szCs w:val="16"/>
          <w:color w:val="auto"/>
        </w:rPr>
      </w:pPr>
    </w:p>
    <w:p>
      <w:pPr>
        <w:ind w:left="1440" w:right="894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40" w:hanging="493"/>
        <w:spacing w:after="0" w:line="277"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25"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360" w:type="dxa"/>
            <w:vAlign w:val="bottom"/>
            <w:vMerge w:val="restart"/>
          </w:tcPr>
          <w:p>
            <w:pPr>
              <w:spacing w:after="0"/>
              <w:rPr>
                <w:sz w:val="20"/>
                <w:szCs w:val="20"/>
                <w:color w:val="auto"/>
              </w:rPr>
            </w:pPr>
            <w:r>
              <w:rPr>
                <w:rFonts w:ascii="Arial" w:cs="Arial" w:eastAsia="Arial" w:hAnsi="Arial"/>
                <w:sz w:val="18"/>
                <w:szCs w:val="18"/>
                <w:color w:val="auto"/>
              </w:rPr>
              <w:t>(k)</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auto"/>
              </w:rPr>
              <w:t>o</w:t>
            </w:r>
          </w:p>
        </w:tc>
        <w:tc>
          <w:tcPr>
            <w:tcW w:w="7800" w:type="dxa"/>
            <w:vAlign w:val="bottom"/>
          </w:tcPr>
          <w:p>
            <w:pPr>
              <w:ind w:left="220"/>
              <w:spacing w:after="0"/>
              <w:rPr>
                <w:sz w:val="20"/>
                <w:szCs w:val="20"/>
                <w:color w:val="auto"/>
              </w:rPr>
            </w:pPr>
            <w:r>
              <w:rPr>
                <w:rFonts w:ascii="Arial" w:cs="Arial" w:eastAsia="Arial" w:hAnsi="Arial"/>
                <w:sz w:val="18"/>
                <w:szCs w:val="18"/>
                <w:color w:val="auto"/>
                <w:w w:val="92"/>
              </w:rPr>
              <w:t>Group, in accordance with § 240.13d–1(b)(1)(ii)(K). If filing as a non-U.S. institution in accordance with</w:t>
            </w:r>
          </w:p>
        </w:tc>
        <w:tc>
          <w:tcPr>
            <w:tcW w:w="0" w:type="dxa"/>
            <w:vAlign w:val="bottom"/>
          </w:tcPr>
          <w:p>
            <w:pPr>
              <w:spacing w:after="0"/>
              <w:rPr>
                <w:sz w:val="1"/>
                <w:szCs w:val="1"/>
                <w:color w:val="auto"/>
              </w:rPr>
            </w:pPr>
          </w:p>
        </w:tc>
      </w:tr>
      <w:tr>
        <w:trPr>
          <w:trHeight w:val="135"/>
        </w:trPr>
        <w:tc>
          <w:tcPr>
            <w:tcW w:w="36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7800" w:type="dxa"/>
            <w:vAlign w:val="bottom"/>
            <w:vMerge w:val="restart"/>
          </w:tcPr>
          <w:p>
            <w:pPr>
              <w:ind w:left="220"/>
              <w:spacing w:after="0"/>
              <w:rPr>
                <w:sz w:val="20"/>
                <w:szCs w:val="20"/>
                <w:color w:val="auto"/>
              </w:rPr>
            </w:pPr>
            <w:r>
              <w:rPr>
                <w:rFonts w:ascii="Arial" w:cs="Arial" w:eastAsia="Arial" w:hAnsi="Arial"/>
                <w:sz w:val="18"/>
                <w:szCs w:val="18"/>
                <w:color w:val="auto"/>
                <w:w w:val="98"/>
              </w:rPr>
              <w:t>§ 240.13d–1(b)(1)(ii)(J), please specify the type of institution:____________________________</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00" w:top="179" w:right="399" w:bottom="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94"/>
        <w:spacing w:after="0" w:line="340"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3,726,832</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13.19%</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0" w:lineRule="auto"/>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2,797,732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80" w:hanging="478"/>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40" w:hanging="503"/>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3,726,832</w:t>
      </w:r>
    </w:p>
    <w:p>
      <w:pPr>
        <w:spacing w:after="0" w:line="129" w:lineRule="exact"/>
        <w:rPr>
          <w:rFonts w:ascii="Arial" w:cs="Arial" w:eastAsia="Arial" w:hAnsi="Arial"/>
          <w:sz w:val="18"/>
          <w:szCs w:val="18"/>
          <w:color w:val="auto"/>
        </w:rPr>
      </w:pPr>
    </w:p>
    <w:p>
      <w:pPr>
        <w:ind w:left="2220" w:right="5160" w:hanging="498"/>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366" w:lineRule="exact"/>
        <w:rPr>
          <w:sz w:val="20"/>
          <w:szCs w:val="20"/>
          <w:color w:val="auto"/>
        </w:rPr>
      </w:pPr>
    </w:p>
    <w:p>
      <w:pPr>
        <w:ind w:left="1120"/>
        <w:spacing w:after="0"/>
        <w:rPr>
          <w:sz w:val="20"/>
          <w:szCs w:val="20"/>
          <w:color w:val="auto"/>
        </w:rPr>
      </w:pPr>
      <w:r>
        <w:rPr>
          <w:rFonts w:ascii="Arial" w:cs="Arial" w:eastAsia="Arial" w:hAnsi="Arial"/>
          <w:sz w:val="17"/>
          <w:szCs w:val="17"/>
          <w:i w:val="1"/>
          <w:iCs w:val="1"/>
          <w:color w:val="auto"/>
        </w:rPr>
        <w:t xml:space="preserve">Instruction. </w:t>
      </w:r>
      <w:r>
        <w:rPr>
          <w:rFonts w:ascii="Arial" w:cs="Arial" w:eastAsia="Arial" w:hAnsi="Arial"/>
          <w:sz w:val="17"/>
          <w:szCs w:val="17"/>
          <w:color w:val="auto"/>
        </w:rPr>
        <w:t>For computations regarding securities which represent a right to acquire an underlying security</w:t>
      </w:r>
      <w:r>
        <w:rPr>
          <w:rFonts w:ascii="Arial" w:cs="Arial" w:eastAsia="Arial" w:hAnsi="Arial"/>
          <w:sz w:val="17"/>
          <w:szCs w:val="17"/>
          <w:i w:val="1"/>
          <w:iCs w:val="1"/>
          <w:color w:val="auto"/>
        </w:rPr>
        <w:t xml:space="preserve"> see </w:t>
      </w:r>
      <w:r>
        <w:rPr>
          <w:rFonts w:ascii="Arial" w:cs="Arial" w:eastAsia="Arial" w:hAnsi="Arial"/>
          <w:sz w:val="17"/>
          <w:szCs w:val="17"/>
          <w:color w:val="auto"/>
        </w:rPr>
        <w:t>§240.13d-3(d)(1).</w:t>
      </w:r>
    </w:p>
    <w:p>
      <w:pPr>
        <w:spacing w:after="0" w:line="200" w:lineRule="exact"/>
        <w:rPr>
          <w:sz w:val="20"/>
          <w:szCs w:val="20"/>
          <w:color w:val="auto"/>
        </w:rPr>
      </w:pPr>
    </w:p>
    <w:p>
      <w:pPr>
        <w:spacing w:after="0" w:line="24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ind w:left="1120" w:hanging="1120"/>
        <w:spacing w:after="0" w:line="282" w:lineRule="auto"/>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ectPr>
          <w:pgSz w:w="11900" w:h="16838" w:orient="portrait"/>
          <w:cols w:equalWidth="0" w:num="1">
            <w:col w:w="11280"/>
          </w:cols>
          <w:pgMar w:left="300" w:top="341" w:right="319" w:bottom="0" w:gutter="0" w:footer="0" w:header="0"/>
        </w:sectPr>
      </w:pPr>
    </w:p>
    <w:bookmarkStart w:id="3" w:name="page4"/>
    <w:bookmarkEnd w:id="3"/>
    <w:p>
      <w:pPr>
        <w:ind w:left="1080" w:hanging="69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sz w:val="20"/>
          <w:szCs w:val="20"/>
          <w:color w:val="auto"/>
        </w:rPr>
      </w:pPr>
    </w:p>
    <w:p>
      <w:pPr>
        <w:ind w:left="1680" w:right="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7" w:lineRule="exact"/>
        <w:rPr>
          <w:sz w:val="20"/>
          <w:szCs w:val="20"/>
          <w:color w:val="auto"/>
        </w:rPr>
      </w:pPr>
    </w:p>
    <w:p>
      <w:pPr>
        <w:ind w:left="1100" w:hanging="714"/>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sz w:val="20"/>
          <w:szCs w:val="20"/>
          <w:color w:val="auto"/>
        </w:rPr>
      </w:pPr>
    </w:p>
    <w:p>
      <w:pPr>
        <w:ind w:left="1680" w:right="12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10, 2015</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00" w:lineRule="exact"/>
        <w:rPr>
          <w:sz w:val="20"/>
          <w:szCs w:val="20"/>
          <w:color w:val="auto"/>
        </w:rPr>
      </w:pPr>
    </w:p>
    <w:p>
      <w:pPr>
        <w:spacing w:after="0" w:line="20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1"/>
    </w:lvl>
    <w:lvl w:ilvl="1">
      <w:lvlJc w:val="left"/>
      <w:lvlText w:val="%2."/>
      <w:numFmt w:val="decimal"/>
      <w:start w:val="7"/>
    </w:lvl>
  </w:abstractNum>
  <w:abstractNum w:abstractNumId="3">
    <w:nsid w:val="515F007C"/>
    <w:multiLevelType w:val="hybridMultilevel"/>
    <w:lvl w:ilvl="0">
      <w:lvlJc w:val="left"/>
      <w:lvlText w:val="%1."/>
      <w:numFmt w:val="decimal"/>
      <w:start w:val="9"/>
    </w:lvl>
    <w:lvl w:ilvl="1">
      <w:lvlJc w:val="left"/>
      <w:lvlText w:val="%2"/>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lowerRoman"/>
      <w:start w:val="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2019-12-07T23:05:55Z</dcterms:created>
  <dcterms:modified xsi:type="dcterms:W3CDTF">2019-12-07T23:05:55Z</dcterms:modified>
</cp:coreProperties>
</file>