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FLDM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5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1527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2,598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1,699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6.28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25,978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-2417445</wp:posOffset>
            </wp:positionV>
            <wp:extent cx="7033260" cy="2459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10, 2019, the Reporting Person was granted 41,564 Restricted Stock Units vesting as to 1/4th of the total number of shares on May 20, 2020, and as to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30, 2019, the Reporting Person was granted 24,500 Restricted Stock Units vesting as to 1/4th of the total number of shares on May 20, 2020, and as to 1/16th of the total number of shares each quarter thereafter.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28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0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5380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2020-11-24T19:18:13Z</dcterms:created>
  <dcterms:modified xsi:type="dcterms:W3CDTF">2020-11-24T19:18:13Z</dcterms:modified>
</cp:coreProperties>
</file>