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331.htm"/>
      <w:bookmarkStart w:id="1" w:name="kslab202603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4"/>
        </w:rPr>
        <w:t>For the quarterly period ended March 31,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Commission file number: 001-34180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STANDARD BIOTOOLS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rP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50 Milk Street, 10th Floor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Boston,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02109</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rP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As of May 4, 2026, there were 390,368,119 shares of the registrant’s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existing and potential future National Institutes of Health funding pressures, the effect from existing and potential future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certain product lines), our expectations regarding the benefits and integration of acquired businesses and/or products, the transaction with Illumina, Inc. (“Illumina”), including the financial impact of the transaction, potential earnout payments and royalty streams, potential integration, and restructuring and transition-related disruption from the transaction, and the inability to maintain the listing of our common stock on The Nasdaq Stock Market LLC.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of our Annual Report on Form 10-K for the year ended December 31, 2025 filed with the Securities and Exchange Commission (the “SEC”) on March 16, 2026 (the “Annual Report”) and this Quarterly Report on Form 10-Q, as updated and/or supplemented in subsequent filings with the SEC.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49"/>
        <w:gridCol w:w="8844"/>
        <w:gridCol w:w="512"/>
      </w:tblGrid>
      <w:tr>
        <w:trPr/>
        <w:tc>
          <w:tcPr>
            <w:tcW w:w="849" w:type="dxa"/>
            <w:tcBorders/>
            <w:vAlign w:val="center"/>
          </w:tcPr>
          <w:p>
            <w:pPr>
              <w:pStyle w:val="TableContents"/>
              <w:bidi w:val="0"/>
              <w:spacing w:before="0" w:after="283"/>
              <w:jc w:val="left"/>
              <w:rPr>
                <w:sz w:val="4"/>
                <w:szCs w:val="4"/>
              </w:rPr>
            </w:pPr>
            <w:r>
              <w:rPr>
                <w:sz w:val="4"/>
                <w:szCs w:val="4"/>
              </w:rPr>
            </w:r>
          </w:p>
        </w:tc>
        <w:tc>
          <w:tcPr>
            <w:tcW w:w="88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rPr/>
        <w:tc>
          <w:tcPr>
            <w:tcW w:w="849"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44"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44" w:type="dxa"/>
            <w:tcBorders/>
            <w:tcMar>
              <w:top w:w="0" w:type="dxa"/>
              <w:left w:w="0" w:type="dxa"/>
              <w:bottom w:w="0" w:type="dxa"/>
              <w:right w:w="0" w:type="dxa"/>
            </w:tcMar>
            <w:vAlign w:val="center"/>
          </w:tcPr>
          <w:p>
            <w:pPr>
              <w:pStyle w:val="TableContents"/>
              <w:bidi w:val="0"/>
              <w:spacing w:before="75"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ndensed_consolida_stmt_of_operations">
              <w:r>
                <w:rPr>
                  <w:rStyle w:val="InternetLink"/>
                  <w:rFonts w:ascii="Times New Roman" w:hAnsi="Times New Roman"/>
                  <w:color w:val="0000FF"/>
                  <w:sz w:val="20"/>
                  <w:u w:val="single"/>
                </w:rPr>
                <w:t>Condensed Consolidated Statements of Operations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 (Deficit) for the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three months ended March 31,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24</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26</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27</w:t>
            </w:r>
          </w:p>
        </w:tc>
      </w:tr>
      <w:tr>
        <w:trPr/>
        <w:tc>
          <w:tcPr>
            <w:tcW w:w="849" w:type="dxa"/>
            <w:tcBorders/>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28</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28</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8"/>
        <w:gridCol w:w="146"/>
        <w:gridCol w:w="196"/>
        <w:gridCol w:w="886"/>
        <w:gridCol w:w="166"/>
        <w:gridCol w:w="146"/>
        <w:gridCol w:w="196"/>
        <w:gridCol w:w="889"/>
        <w:gridCol w:w="412"/>
      </w:tblGrid>
      <w:tr>
        <w:trPr/>
        <w:tc>
          <w:tcPr>
            <w:tcW w:w="7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120,863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66,712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Contingent consideration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228,406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454,264</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26,732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25,701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639,114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29,783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25,633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108,308</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25,038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143,463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10,000</w:t>
            </w:r>
            <w:r>
              <w:rPr>
                <w:rFonts w:ascii="Times New Roman" w:hAnsi="Times New Roman"/>
                <w:color w:val="000000"/>
                <w:sz w:val="20"/>
              </w:rPr>
              <w:t> </w:t>
            </w:r>
            <w:r>
              <w:rPr>
                <w:rFonts w:ascii="Times New Roman" w:hAnsi="Times New Roman"/>
                <w:color w:val="000000"/>
                <w:sz w:val="17"/>
              </w:rPr>
              <w:t>shares authorized at March 31, 2026 and December 31, 2025, respectively; no</w:t>
            </w:r>
            <w:r>
              <w:rPr>
                <w:rFonts w:ascii="Times New Roman" w:hAnsi="Times New Roman"/>
                <w:color w:val="000000"/>
                <w:sz w:val="20"/>
              </w:rPr>
              <w:t> </w:t>
            </w:r>
            <w:r>
              <w:rPr>
                <w:rFonts w:ascii="Times New Roman" w:hAnsi="Times New Roman"/>
                <w:color w:val="000000"/>
                <w:sz w:val="17"/>
              </w:rPr>
              <w:t>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600,000</w:t>
            </w:r>
            <w:r>
              <w:rPr>
                <w:rFonts w:ascii="Times New Roman" w:hAnsi="Times New Roman"/>
                <w:color w:val="000000"/>
                <w:sz w:val="20"/>
              </w:rPr>
              <w:t> </w:t>
            </w:r>
            <w:r>
              <w:rPr>
                <w:rFonts w:ascii="Times New Roman" w:hAnsi="Times New Roman"/>
                <w:color w:val="000000"/>
                <w:sz w:val="17"/>
              </w:rPr>
              <w:t>shares authorized at March 31, 2026 and December 31, 2025; 408,722</w:t>
            </w:r>
            <w:r>
              <w:rPr>
                <w:rFonts w:ascii="Times New Roman" w:hAnsi="Times New Roman"/>
                <w:color w:val="000000"/>
                <w:sz w:val="20"/>
              </w:rPr>
              <w:t> </w:t>
            </w:r>
            <w:r>
              <w:rPr>
                <w:rFonts w:ascii="Times New Roman" w:hAnsi="Times New Roman"/>
                <w:color w:val="000000"/>
                <w:sz w:val="17"/>
              </w:rPr>
              <w:t>and 404,961</w:t>
            </w:r>
            <w:r>
              <w:rPr>
                <w:rFonts w:ascii="Times New Roman" w:hAnsi="Times New Roman"/>
                <w:color w:val="000000"/>
                <w:sz w:val="20"/>
              </w:rPr>
              <w:t> </w:t>
            </w:r>
            <w:r>
              <w:rPr>
                <w:rFonts w:ascii="Times New Roman" w:hAnsi="Times New Roman"/>
                <w:color w:val="000000"/>
                <w:sz w:val="17"/>
              </w:rPr>
              <w:t>shares issued at March 31, 2026 and December 31, 2025, respectively; 390,141</w:t>
            </w:r>
            <w:r>
              <w:rPr>
                <w:rFonts w:ascii="Times New Roman" w:hAnsi="Times New Roman"/>
                <w:color w:val="000000"/>
                <w:sz w:val="20"/>
              </w:rPr>
              <w:t> </w:t>
            </w:r>
            <w:r>
              <w:rPr>
                <w:rFonts w:ascii="Times New Roman" w:hAnsi="Times New Roman"/>
                <w:color w:val="000000"/>
                <w:sz w:val="17"/>
              </w:rPr>
              <w:t>and 386,381</w:t>
            </w:r>
            <w:r>
              <w:rPr>
                <w:rFonts w:ascii="Times New Roman" w:hAnsi="Times New Roman"/>
                <w:color w:val="000000"/>
                <w:sz w:val="20"/>
              </w:rPr>
              <w:t> </w:t>
            </w:r>
            <w:r>
              <w:rPr>
                <w:rFonts w:ascii="Times New Roman" w:hAnsi="Times New Roman"/>
                <w:color w:val="000000"/>
                <w:sz w:val="17"/>
              </w:rPr>
              <w:t>shares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1,732,393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(1,260,547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Treasury stock at cost: 18,580</w:t>
            </w:r>
            <w:r>
              <w:rPr>
                <w:rFonts w:ascii="Times New Roman" w:hAnsi="Times New Roman"/>
                <w:color w:val="000000"/>
                <w:sz w:val="20"/>
              </w:rPr>
              <w:t> </w:t>
            </w:r>
            <w:r>
              <w:rPr>
                <w:rFonts w:ascii="Times New Roman" w:hAnsi="Times New Roman"/>
                <w:color w:val="000000"/>
                <w:sz w:val="17"/>
              </w:rPr>
              <w:t>shares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424,291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639,114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4"/>
        <w:gridCol w:w="146"/>
        <w:gridCol w:w="218"/>
        <w:gridCol w:w="811"/>
        <w:gridCol w:w="172"/>
        <w:gridCol w:w="151"/>
        <w:gridCol w:w="218"/>
        <w:gridCol w:w="811"/>
        <w:gridCol w:w="394"/>
      </w:tblGrid>
      <w:tr>
        <w:trPr/>
        <w:tc>
          <w:tcPr>
            <w:tcW w:w="7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388,202</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378,228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7443" w:type="dxa"/>
        <w:jc w:val="left"/>
        <w:tblInd w:w="0" w:type="dxa"/>
        <w:tblLayout w:type="fixed"/>
        <w:tblCellMar>
          <w:top w:w="28" w:type="dxa"/>
          <w:left w:w="28" w:type="dxa"/>
          <w:bottom w:w="28" w:type="dxa"/>
          <w:right w:w="28" w:type="dxa"/>
        </w:tblCellMar>
      </w:tblPr>
      <w:tblGrid>
        <w:gridCol w:w="4506"/>
        <w:gridCol w:w="146"/>
        <w:gridCol w:w="225"/>
        <w:gridCol w:w="833"/>
        <w:gridCol w:w="177"/>
        <w:gridCol w:w="155"/>
        <w:gridCol w:w="225"/>
        <w:gridCol w:w="785"/>
        <w:gridCol w:w="39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93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11"/>
        <w:gridCol w:w="166"/>
        <w:gridCol w:w="146"/>
        <w:gridCol w:w="196"/>
        <w:gridCol w:w="886"/>
        <w:gridCol w:w="166"/>
        <w:gridCol w:w="146"/>
        <w:gridCol w:w="19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732" w:type="dxa"/>
        <w:jc w:val="left"/>
        <w:tblInd w:w="0" w:type="dxa"/>
        <w:tblLayout w:type="fixed"/>
        <w:tblCellMar>
          <w:top w:w="28" w:type="dxa"/>
          <w:left w:w="28" w:type="dxa"/>
          <w:bottom w:w="28" w:type="dxa"/>
          <w:right w:w="28" w:type="dxa"/>
        </w:tblCellMar>
      </w:tblPr>
      <w:tblGrid>
        <w:gridCol w:w="5776"/>
        <w:gridCol w:w="146"/>
        <w:gridCol w:w="219"/>
        <w:gridCol w:w="840"/>
        <w:gridCol w:w="185"/>
        <w:gridCol w:w="163"/>
        <w:gridCol w:w="219"/>
        <w:gridCol w:w="773"/>
        <w:gridCol w:w="41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127,068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(172,289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8,824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Accretion of discount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Unrealized loss on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3,494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696</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tax asset,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38,359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(20,785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(46,597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received for sale of business,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363,222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short-term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(127,208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long-term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(58,517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(570</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191,090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144,568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123,296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267,864</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153,471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Contingent consideration receivable for sale of SomaScan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25,000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8,175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March 31, 2026</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Boston, Massachusetts.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March 31, 2026, results of operations for the three months ended March 31, 2026 and 2025, and cash flows for the three months ended March 31, 2026 and 2025. The condensed consolidated balance sheet at December 31, 2025 was derived from the Company's audited annual financial statements included in the Annual Report but does not contain all of the footnote disclosures from the annual financial statements. Certain prior period amounts have been reclassified to conform to the current period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2025 (the "2025 Financial Statements") included in the Company's Annual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June 22, 2025, the Company entered into a Stock Purchase Agreement (the "Purchase Agreement") with Illumina. Pursuant to the terms of the Purchase Agreement, Illumina acquired all of the equity interests of SomaLogic, Inc. ("SomaLogic"), Sengenics Corporation LLC and Sengenics Corporation Pte Ltd (collectively, the "Disposed Entities"), each a wholly owned subsidiary of the Company that operates the Company's aptamer-based and functional proteomics business, including KREX, Single SOMAmer, translational and diagnostic assays (collectively, the "SomaScan Business") (such transaction, the "Transaction"). The Transaction does not include the Company's mass cytometry and microfluidics businesses, which were retained by the Company. The Transaction closed on January 30, 2026. See Note 2, </w:t>
      </w:r>
      <w:r>
        <w:rPr>
          <w:rFonts w:ascii="Times New Roman" w:hAnsi="Times New Roman"/>
          <w:i/>
          <w:color w:val="000000"/>
          <w:sz w:val="20"/>
        </w:rPr>
        <w:t>Discontinued Operations</w:t>
      </w:r>
      <w:r>
        <w:rPr>
          <w:rFonts w:ascii="Times New Roman" w:hAnsi="Times New Roman"/>
          <w:color w:val="000000"/>
          <w:sz w:val="20"/>
        </w:rPr>
        <w:t>, for additional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Consistent with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SomaScan Business met the held-for-sale and discontinued operations accounting criteria in the second quarter of 2025. The Company completed the sale of the SomaScan Business on January 30, 2026. Accordingly, the Company has classified the results of the SomaScan Business as discontinued operations in its condensed consolidated statements of operations for all periods presented. The assets and liabilities of the SomaScan Business were classified as held-for-sale in the condensed consolidated balance sheet as of December 31, 2025. Upon closing of the Transaction on January 30, 2026, the Company derecognized all assets and liabilities of the SomaScan Business and recognized a pre-tax gain on sale of $172.3 million, which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reflected in income from discontinued operations, net of tax, in the condensed consolidated statements of operations for the three months ended March 31, 2026. The cash flows related to discontinued operations have not been segregated and are included in the condensed consolidated statements of cash flows. The discussions in these notes to the condensed consolidated financial statements relate solely to the Company's continuing operations, unless otherwise noted. For further discussion of the discontinued operations related to the SomaScan Business, refer to Note 2,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Interim results are not necessarily indicative of the results to be expected for the full year ending December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CODM manages the business on a consolidated basis, as a multi-omics company. Therefore, the Company concluded it has one operating and reportable segment: the consolidated company.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segment information presented reflects the Company's continuing operations and excludes discontinued operations. See Note 11, </w:t>
      </w:r>
      <w:r>
        <w:rPr>
          <w:rFonts w:ascii="Times New Roman" w:hAnsi="Times New Roman"/>
          <w:i/>
          <w:color w:val="000000"/>
          <w:sz w:val="20"/>
        </w:rPr>
        <w:t>Segment Reporting</w:t>
      </w:r>
      <w:r>
        <w:rPr>
          <w:rFonts w:ascii="Times New Roman" w:hAnsi="Times New Roman"/>
          <w:color w:val="000000"/>
          <w:sz w:val="20"/>
        </w:rPr>
        <w:t>, for more information on the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Contingent Consideration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Contingent consideration arrangements arising from the disposal of a business are evaluated to determine whether the arrangement meets the definition of a derivative in accordance with ASC 815. When the arrangement qualifies for a scope exception under ASC 815 or does not meet the definition of a derivative, the Company has elected to recognize contingent consideration when it is determined to be realizable in accordance with ASC 450. Any gains or losses from the subsequent accounting for contingent consideration are recognized within the same financial statement line item as the original gain or loss on the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Adoption of New Accounting Guidance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FASB issued Accounting Standards Update No. </w:t>
      </w:r>
      <w:r>
        <w:rPr>
          <w:rFonts w:ascii="Times New Roman" w:hAnsi="Times New Roman"/>
          <w:i/>
          <w:color w:val="000000"/>
          <w:sz w:val="20"/>
        </w:rPr>
        <w:t>2025-05</w:t>
      </w:r>
      <w:r>
        <w:rPr>
          <w:rFonts w:ascii="Times New Roman" w:hAnsi="Times New Roman"/>
          <w:color w:val="000000"/>
          <w:sz w:val="20"/>
        </w:rPr>
        <w:t xml:space="preserve">, </w:t>
      </w:r>
      <w:r>
        <w:rPr>
          <w:rFonts w:ascii="Times New Roman" w:hAnsi="Times New Roman"/>
          <w:i/>
          <w:color w:val="000000"/>
          <w:sz w:val="20"/>
        </w:rPr>
        <w:t>Financial Instruments - Credit Losses</w:t>
      </w:r>
      <w:r>
        <w:rPr>
          <w:rFonts w:ascii="Times New Roman" w:hAnsi="Times New Roman"/>
          <w:color w:val="000000"/>
          <w:sz w:val="20"/>
        </w:rPr>
        <w:t xml:space="preserve">: </w:t>
      </w:r>
      <w:r>
        <w:rPr>
          <w:rFonts w:ascii="Times New Roman" w:hAnsi="Times New Roman"/>
          <w:i/>
          <w:color w:val="000000"/>
          <w:sz w:val="20"/>
        </w:rPr>
        <w:t>Measurement of Credit Losses for Accounts Receivable</w:t>
      </w:r>
      <w:r>
        <w:rPr>
          <w:rFonts w:ascii="Times New Roman" w:hAnsi="Times New Roman"/>
          <w:color w:val="000000"/>
          <w:sz w:val="20"/>
        </w:rPr>
        <w:t xml:space="preserve"> and </w:t>
      </w:r>
      <w:r>
        <w:rPr>
          <w:rFonts w:ascii="Times New Roman" w:hAnsi="Times New Roman"/>
          <w:i/>
          <w:color w:val="000000"/>
          <w:sz w:val="20"/>
        </w:rPr>
        <w:t>Contract Assets</w:t>
      </w:r>
      <w:r>
        <w:rPr>
          <w:rFonts w:ascii="Times New Roman" w:hAnsi="Times New Roman"/>
          <w:color w:val="000000"/>
          <w:sz w:val="20"/>
        </w:rPr>
        <w:t xml:space="preserve"> (“ASU </w:t>
      </w:r>
      <w:r>
        <w:rPr>
          <w:rFonts w:ascii="Times New Roman" w:hAnsi="Times New Roman"/>
          <w:i/>
          <w:color w:val="000000"/>
          <w:sz w:val="20"/>
        </w:rPr>
        <w:t>2025-05</w:t>
      </w:r>
      <w:r>
        <w:rPr>
          <w:rFonts w:ascii="Times New Roman" w:hAnsi="Times New Roman"/>
          <w:color w:val="000000"/>
          <w:sz w:val="20"/>
        </w:rPr>
        <w:t xml:space="preserve">”), which provides a practical expedient for estimating expected credit losses for current accounts receivable and current contract assets. ASU </w:t>
      </w:r>
      <w:r>
        <w:rPr>
          <w:rFonts w:ascii="Times New Roman" w:hAnsi="Times New Roman"/>
          <w:i/>
          <w:color w:val="000000"/>
          <w:sz w:val="20"/>
        </w:rPr>
        <w:t>2025-05</w:t>
      </w:r>
      <w:r>
        <w:rPr>
          <w:rFonts w:ascii="Times New Roman" w:hAnsi="Times New Roman"/>
          <w:color w:val="000000"/>
          <w:sz w:val="20"/>
        </w:rPr>
        <w:t xml:space="preserve"> will be effective for annual periods beginning after December 15, 2025 and interim periods within those annual reporting periods and should be applied prospectively. The Company adopted this ASU on January 1, 2026 and elected to utilize the practical expedient. The adoption of the ASU and the election of the practical expedient did not have a material impact on our Condensed Consolidated Financial Statements.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No. 2024-03, Disaggregation of Income Statement Expenses</w:t>
      </w:r>
      <w:r>
        <w:rPr>
          <w:rFonts w:ascii="Times New Roman" w:hAnsi="Times New Roman"/>
          <w:color w:val="000000"/>
          <w:sz w:val="20"/>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hAnsi="Times New Roman"/>
          <w:i/>
          <w:color w:val="000000"/>
          <w:sz w:val="20"/>
        </w:rPr>
        <w:t>ASU 2024-03</w:t>
      </w:r>
      <w:r>
        <w:rPr>
          <w:rFonts w:ascii="Times New Roman" w:hAnsi="Times New Roman"/>
          <w:color w:val="000000"/>
          <w:sz w:val="20"/>
        </w:rPr>
        <w:t xml:space="preserve"> is effective for fiscal years beginning after December 15, 2026, with early adoption permitted, and may be applied retrospectively or prospectively.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w:t>
      </w:r>
      <w:r>
        <w:rPr>
          <w:rFonts w:ascii="Times New Roman" w:hAnsi="Times New Roman"/>
          <w:color w:val="000000"/>
          <w:sz w:val="20"/>
        </w:rPr>
        <w:t xml:space="preserve"> </w:t>
      </w:r>
      <w:r>
        <w:rPr>
          <w:rFonts w:ascii="Times New Roman" w:hAnsi="Times New Roman"/>
          <w:i/>
          <w:color w:val="000000"/>
          <w:sz w:val="20"/>
        </w:rPr>
        <w:t xml:space="preserve">Targeted Improvements to the Accounting for Internal-Use Software. </w:t>
      </w:r>
      <w:r>
        <w:rPr>
          <w:rFonts w:ascii="Times New Roman" w:hAnsi="Times New Roman"/>
          <w:color w:val="000000"/>
          <w:sz w:val="20"/>
        </w:rPr>
        <w:t xml:space="preserve">The new standard modernizes the recognition and disclosure framework for capitalized internal-use software costs, removing the previous "development" stage model and introducing a judgment-based approach. </w:t>
      </w:r>
      <w:r>
        <w:rPr>
          <w:rFonts w:ascii="Times New Roman" w:hAnsi="Times New Roman"/>
          <w:i/>
          <w:color w:val="000000"/>
          <w:sz w:val="20"/>
        </w:rPr>
        <w:t>ASU 2025-06</w:t>
      </w:r>
      <w:r>
        <w:rPr>
          <w:rFonts w:ascii="Times New Roman" w:hAnsi="Times New Roman"/>
          <w:color w:val="000000"/>
          <w:sz w:val="20"/>
        </w:rPr>
        <w:t xml:space="preserve"> is effective for fiscal years beginning after December 15, 2027, with early adoption permitted, and may be applied using a prospective, retrospective, or modified transition approach.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2025-10, Accounting for Government Grants Received by Business Entities</w:t>
      </w:r>
      <w:r>
        <w:rPr>
          <w:rFonts w:ascii="Times New Roman" w:hAnsi="Times New Roman"/>
          <w:color w:val="000000"/>
          <w:sz w:val="20"/>
        </w:rPr>
        <w:t>.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consolidated financial statements and disclosures.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Discontinued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the Company entered into the Purchase Agreement with Illumina for the divestiture of the SomaScan Business. On January 30, 2026, the Company completed the sale of the Disposed Entities to Illumina pursuant to the Purchase Agreement. The Disposed Entities comprised the Company's SomaScan Business, including its SomaScan assay platform and related products and services. The Company retained its mass cytometry and microfluidics businesses, which were not part of the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closing, the Company received net cash consideration of $363.2 million and recognized $25.0 million of consideration receivable based on the achievement of specified revenue thresholds during fiscal year 2025, for total net consideration of $388.2 million. The total consideration is subject to customary post-closing adjustments for working capital. In addition, the Company is eligible to receive additional contingent earnout payments of up to $50.0 million based on the achievement of specified revenue thresholds for SomaScan assay services and related products during fiscal year 2026. The Company will recognize the contingent earnout consideration as it becomes realizable.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a pre-tax gain of $172.3 million on the sale, calculated as the excess of the fair value of consideration received and consideration receivable over the carrying value of the net assets of the Disposed Entities, including allocated goodwill. As a result of this gain, the Company recognized $39.2 million of income tax expense. The gain and income tax expense are reflected in income from discontinued operations, net of tax.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closing, the Company and Illumina entered into (i) a royalty agreement, pursuant to which the Company is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 reagents for use in single plex affinity assays, and (iii) a royalty agreement, pursuant to which the Company is entitled to a specified royalty stream on net revenues generated from sales of Single SOMAmers. The royalty rates are low- to mid-single digit percentages. The royalty arrangements described in (i) and (iii) are considered to be contingent consideration for the sale of the SomaScan Business. The Company has elected to account for this contingent consideration as a gain contingency under ASC 450-30 and will recognize royalty income when it is realized or becomes realizable.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closing of the Transaction, the Company no longer has any subsidiary that is a party to the collaboration agreement that the Company previously entered into with Illumina in December 2021 (the “Collaboration Agreement”), and neither the Company nor any of its subsidiaries is entitled to any royalties or other payments under the Collaboration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results of operations of the Disposed Entities are reported as discontinued operations for all periods presented. The following tables summarize the financial results of the discontinued operations: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8520" w:type="dxa"/>
        <w:jc w:val="left"/>
        <w:tblInd w:w="0" w:type="dxa"/>
        <w:tblLayout w:type="fixed"/>
        <w:tblCellMar>
          <w:top w:w="28" w:type="dxa"/>
          <w:left w:w="28" w:type="dxa"/>
          <w:bottom w:w="28" w:type="dxa"/>
          <w:right w:w="28" w:type="dxa"/>
        </w:tblCellMar>
      </w:tblPr>
      <w:tblGrid>
        <w:gridCol w:w="5296"/>
        <w:gridCol w:w="146"/>
        <w:gridCol w:w="268"/>
        <w:gridCol w:w="994"/>
        <w:gridCol w:w="211"/>
        <w:gridCol w:w="185"/>
        <w:gridCol w:w="268"/>
        <w:gridCol w:w="861"/>
        <w:gridCol w:w="2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the three months ended March 31, 2026, the Company recognized revenue of $29.8 million related to the transaction price under the Collaboration Agreement with Illumina, which primarily reflects the release of the deferred revenue balance previously established under the Collaboration Agreement upon the sale of the SomaScan Business. The Company has classified the $29.8 million within discontinued operations consistent with the treatment of all SomaScan Business-related activities. Out of the $29.8 million recognized, $0.6 million reflects Illumina’s exercise of its material right to be provided with SOMAmer reagents for commercialization of the co-branded kits.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non-cash operating expenses and capital expenditures of the discontinued operations are as follows:</w:t>
      </w:r>
    </w:p>
    <w:p>
      <w:pPr>
        <w:pStyle w:val="TextBody"/>
        <w:bidi w:val="0"/>
        <w:jc w:val="left"/>
        <w:rPr/>
      </w:pPr>
      <w:r>
        <w:rPr/>
        <w:t> </w:t>
      </w:r>
    </w:p>
    <w:tbl>
      <w:tblPr>
        <w:tblW w:w="6216" w:type="dxa"/>
        <w:jc w:val="left"/>
        <w:tblInd w:w="0" w:type="dxa"/>
        <w:tblLayout w:type="fixed"/>
        <w:tblCellMar>
          <w:top w:w="28" w:type="dxa"/>
          <w:left w:w="28" w:type="dxa"/>
          <w:bottom w:w="28" w:type="dxa"/>
          <w:right w:w="28" w:type="dxa"/>
        </w:tblCellMar>
      </w:tblPr>
      <w:tblGrid>
        <w:gridCol w:w="3091"/>
        <w:gridCol w:w="146"/>
        <w:gridCol w:w="317"/>
        <w:gridCol w:w="858"/>
        <w:gridCol w:w="219"/>
        <w:gridCol w:w="219"/>
        <w:gridCol w:w="317"/>
        <w:gridCol w:w="85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note_3"/>
      <w:bookmarkEnd w:id="11"/>
      <w:r>
        <w:rPr>
          <w:rFonts w:ascii="Times New Roman" w:hAnsi="Times New Roman"/>
          <w:b/>
          <w:color w:val="000000"/>
          <w:sz w:val="20"/>
        </w:rPr>
        <w:t>3.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months ended March 31, 2026 and 2025 based on product type and the geographic location of customers’ facilities (in thousands):</w:t>
      </w:r>
    </w:p>
    <w:p>
      <w:pPr>
        <w:pStyle w:val="TextBody"/>
        <w:bidi w:val="0"/>
        <w:jc w:val="left"/>
        <w:rPr/>
      </w:pPr>
      <w:r>
        <w:rPr/>
        <w:t> </w:t>
      </w:r>
    </w:p>
    <w:tbl>
      <w:tblPr>
        <w:tblW w:w="5231" w:type="dxa"/>
        <w:jc w:val="left"/>
        <w:tblInd w:w="0" w:type="dxa"/>
        <w:tblLayout w:type="fixed"/>
        <w:tblCellMar>
          <w:top w:w="28" w:type="dxa"/>
          <w:left w:w="28" w:type="dxa"/>
          <w:bottom w:w="28" w:type="dxa"/>
          <w:right w:w="28" w:type="dxa"/>
        </w:tblCellMar>
      </w:tblPr>
      <w:tblGrid>
        <w:gridCol w:w="2296"/>
        <w:gridCol w:w="146"/>
        <w:gridCol w:w="245"/>
        <w:gridCol w:w="785"/>
        <w:gridCol w:w="169"/>
        <w:gridCol w:w="169"/>
        <w:gridCol w:w="245"/>
        <w:gridCol w:w="785"/>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126" w:type="dxa"/>
        <w:jc w:val="left"/>
        <w:tblInd w:w="0" w:type="dxa"/>
        <w:tblLayout w:type="fixed"/>
        <w:tblCellMar>
          <w:top w:w="28" w:type="dxa"/>
          <w:left w:w="28" w:type="dxa"/>
          <w:bottom w:w="28" w:type="dxa"/>
          <w:right w:w="28" w:type="dxa"/>
        </w:tblCellMar>
      </w:tblPr>
      <w:tblGrid>
        <w:gridCol w:w="3391"/>
        <w:gridCol w:w="146"/>
        <w:gridCol w:w="245"/>
        <w:gridCol w:w="785"/>
        <w:gridCol w:w="169"/>
        <w:gridCol w:w="169"/>
        <w:gridCol w:w="245"/>
        <w:gridCol w:w="785"/>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tbl>
      <w:tblPr>
        <w:tblW w:w="6795" w:type="dxa"/>
        <w:jc w:val="left"/>
        <w:tblInd w:w="0" w:type="dxa"/>
        <w:tblLayout w:type="fixed"/>
        <w:tblCellMar>
          <w:top w:w="28" w:type="dxa"/>
          <w:left w:w="28" w:type="dxa"/>
          <w:bottom w:w="28" w:type="dxa"/>
          <w:right w:w="28" w:type="dxa"/>
        </w:tblCellMar>
      </w:tblPr>
      <w:tblGrid>
        <w:gridCol w:w="5491"/>
        <w:gridCol w:w="146"/>
        <w:gridCol w:w="211"/>
        <w:gridCol w:w="736"/>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Recognition of revenue attributed to discontinued operations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Deferred revenue related to the Collaboration Agreement with Illumina was fully recognized upon the sale of the Disposed Entities. The Company has classified this revenue within discontinued operations consistent with the treatment of all SomaScan Business-related activities. Please see Note 2, </w:t>
      </w:r>
      <w:r>
        <w:rPr>
          <w:rFonts w:ascii="Times New Roman" w:hAnsi="Times New Roman"/>
          <w:i/>
          <w:color w:val="000000"/>
          <w:sz w:val="20"/>
        </w:rPr>
        <w:t>Discontinued Operations,</w:t>
      </w:r>
      <w:r>
        <w:rPr>
          <w:rFonts w:ascii="Times New Roman" w:hAnsi="Times New Roman"/>
          <w:color w:val="000000"/>
          <w:sz w:val="20"/>
        </w:rPr>
        <w:t xml:space="preserve"> for more information.</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March 31, 2026 in the following periods (in thousands):</w:t>
      </w:r>
    </w:p>
    <w:p>
      <w:pPr>
        <w:pStyle w:val="TextBody"/>
        <w:bidi w:val="0"/>
        <w:jc w:val="left"/>
        <w:rPr/>
      </w:pPr>
      <w:r>
        <w:rP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2" w:name="note_5"/>
      <w:bookmarkEnd w:id="12"/>
      <w:r>
        <w:rPr>
          <w:rFonts w:ascii="Times New Roman" w:hAnsi="Times New Roman"/>
          <w:b/>
          <w:color w:val="000000"/>
          <w:sz w:val="20"/>
        </w:rPr>
        <w:t>4.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335" w:type="dxa"/>
        <w:jc w:val="left"/>
        <w:tblInd w:w="0" w:type="dxa"/>
        <w:tblLayout w:type="fixed"/>
        <w:tblCellMar>
          <w:top w:w="28" w:type="dxa"/>
          <w:left w:w="28" w:type="dxa"/>
          <w:bottom w:w="28" w:type="dxa"/>
          <w:right w:w="28" w:type="dxa"/>
        </w:tblCellMar>
      </w:tblPr>
      <w:tblGrid>
        <w:gridCol w:w="3946"/>
        <w:gridCol w:w="146"/>
        <w:gridCol w:w="268"/>
        <w:gridCol w:w="992"/>
        <w:gridCol w:w="146"/>
        <w:gridCol w:w="146"/>
        <w:gridCol w:w="319"/>
        <w:gridCol w:w="11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$2.1 million and $2.4 million is included in other non-current assets on the condensed consolidated balance sheets as of March 31, 2026 and December 31, 2025, respectively.</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6925" w:type="dxa"/>
        <w:jc w:val="left"/>
        <w:tblInd w:w="0" w:type="dxa"/>
        <w:tblLayout w:type="fixed"/>
        <w:tblCellMar>
          <w:top w:w="28" w:type="dxa"/>
          <w:left w:w="28" w:type="dxa"/>
          <w:bottom w:w="28" w:type="dxa"/>
          <w:right w:w="28" w:type="dxa"/>
        </w:tblCellMar>
      </w:tblPr>
      <w:tblGrid>
        <w:gridCol w:w="3496"/>
        <w:gridCol w:w="146"/>
        <w:gridCol w:w="299"/>
        <w:gridCol w:w="961"/>
        <w:gridCol w:w="166"/>
        <w:gridCol w:w="146"/>
        <w:gridCol w:w="357"/>
        <w:gridCol w:w="11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4845" w:type="dxa"/>
        <w:jc w:val="left"/>
        <w:tblInd w:w="0" w:type="dxa"/>
        <w:tblLayout w:type="fixed"/>
        <w:tblCellMar>
          <w:top w:w="28" w:type="dxa"/>
          <w:left w:w="28" w:type="dxa"/>
          <w:bottom w:w="28" w:type="dxa"/>
          <w:right w:w="28" w:type="dxa"/>
        </w:tblCellMar>
      </w:tblPr>
      <w:tblGrid>
        <w:gridCol w:w="1456"/>
        <w:gridCol w:w="146"/>
        <w:gridCol w:w="299"/>
        <w:gridCol w:w="961"/>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$0.7 million and $0.2 million for the three months ended March 31, 2026 and 2025,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4111"/>
        <w:gridCol w:w="146"/>
        <w:gridCol w:w="280"/>
        <w:gridCol w:w="980"/>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$1.4 million and $2.1 million for the three months ended March 31, 2026 and 2025,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rPr/>
      </w:pPr>
      <w:r>
        <w:rPr/>
        <w:t> </w:t>
      </w:r>
    </w:p>
    <w:tbl>
      <w:tblPr>
        <w:tblW w:w="7005" w:type="dxa"/>
        <w:jc w:val="left"/>
        <w:tblInd w:w="0" w:type="dxa"/>
        <w:tblLayout w:type="fixed"/>
        <w:tblCellMar>
          <w:top w:w="28" w:type="dxa"/>
          <w:left w:w="28" w:type="dxa"/>
          <w:bottom w:w="28" w:type="dxa"/>
          <w:right w:w="28" w:type="dxa"/>
        </w:tblCellMar>
      </w:tblPr>
      <w:tblGrid>
        <w:gridCol w:w="3616"/>
        <w:gridCol w:w="146"/>
        <w:gridCol w:w="299"/>
        <w:gridCol w:w="961"/>
        <w:gridCol w:w="146"/>
        <w:gridCol w:w="146"/>
        <w:gridCol w:w="357"/>
        <w:gridCol w:w="1143"/>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3" w:name="note_8"/>
      <w:bookmarkEnd w:id="13"/>
      <w:r>
        <w:rPr>
          <w:rFonts w:ascii="Times New Roman" w:hAnsi="Times New Roman"/>
          <w:b/>
          <w:color w:val="000000"/>
          <w:sz w:val="20"/>
        </w:rPr>
        <w:t>5.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several license and patent agreements under which it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Indemnification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the Company has entered into agreements with certain business partners, customers, and suppliers that contain indemnification provisions. Pursuant to these agreements, the Company may indemnify, hold harmless, and reimburse the indemnified parties for losses suffered in connection with any patent or other intellectual property infringement claim by any third party with respect to the Company's products. The term of the indemnification provisions is generally perpetual, and the maximum potential amount of future payments is typically not limited to a specific amount.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entered into indemnification agreements with its officers, directors, and certain other employees, providing for indemnification for related expenses including attorneys' fees, judgments, fines, and settlement amounts incurred in any action or proceeding arising by reason of their status or service.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Stockholder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prior to the Company's merger with SomaLogic, a complaint was filed in the Delaware Court of Chancery against SomaLogic and certain of its officers and directors alleging breach of fiduciary duty in connection with the proposed merger. The Company assumed this litigation upon closing of the merger in January 2024 and retained it following the sale of the SomaScan Business to Illumina in January 2026. A three-day bench trial is scheduled to commence on March 8, 2027, and discovery is ongoing. The Company has not recorded any contingent liabilities related to this matter. The Company does not believe the ultimate resolution will have a material adverse effect on its financial condition, results of operations, or cash flows.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Palamedrix 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 2025, Shareholder Representative Services LLC ("SRS"), acting as the representative of the securityholders of Palamedrix, Inc. ("Palamedrix"), filed suit in the Delaware Court of Chancery against SomaLogic asserting that SomaLogic breached the Agreement and Plan of Merger, dated July 25, 2022, by failing to continue investing in the development of certain Palamedrix technology. SRS claims that SomaLogic would have been required to pay up to $17.5 million in sales-based milestone payments. SomaLogic's motion to compel arbitration was denied, and the matter is proceeding into discovery. The Company is obligated to indemnify Illumina for losses arising from this matter. As of March 31, 2026, the Company has accrued $3.3 million related to this indemnification obligation.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General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from time to time involved in legal proceedings in the normal course of business. Although the outcomes of litigation cannot be predicted with certainty, management currently believes that the final outcome of any currently pending matters would not have a material adverse effect on the Company's business, operating results, financial condition, or cash flows.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March 31, 2026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1"/>
        <w:gridCol w:w="146"/>
        <w:gridCol w:w="211"/>
        <w:gridCol w:w="781"/>
        <w:gridCol w:w="146"/>
        <w:gridCol w:w="146"/>
        <w:gridCol w:w="440"/>
        <w:gridCol w:w="1629"/>
        <w:gridCol w:w="151"/>
        <w:gridCol w:w="151"/>
        <w:gridCol w:w="364"/>
        <w:gridCol w:w="1348"/>
        <w:gridCol w:w="151"/>
        <w:gridCol w:w="151"/>
        <w:gridCol w:w="455"/>
        <w:gridCol w:w="1236"/>
        <w:gridCol w:w="398"/>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231,981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7"/>
        <w:gridCol w:w="146"/>
        <w:gridCol w:w="211"/>
        <w:gridCol w:w="781"/>
        <w:gridCol w:w="146"/>
        <w:gridCol w:w="146"/>
        <w:gridCol w:w="482"/>
        <w:gridCol w:w="1547"/>
        <w:gridCol w:w="155"/>
        <w:gridCol w:w="155"/>
        <w:gridCol w:w="425"/>
        <w:gridCol w:w="1267"/>
        <w:gridCol w:w="155"/>
        <w:gridCol w:w="155"/>
        <w:gridCol w:w="460"/>
        <w:gridCol w:w="1250"/>
        <w:gridCol w:w="397"/>
      </w:tblGrid>
      <w:tr>
        <w:trPr/>
        <w:tc>
          <w:tcPr>
            <w:tcW w:w="2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83,870</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81,158</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three months ended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8"/>
        <w:gridCol w:w="146"/>
        <w:gridCol w:w="1126"/>
        <w:gridCol w:w="146"/>
        <w:gridCol w:w="237"/>
        <w:gridCol w:w="878"/>
        <w:gridCol w:w="146"/>
        <w:gridCol w:w="146"/>
        <w:gridCol w:w="420"/>
        <w:gridCol w:w="692"/>
        <w:gridCol w:w="146"/>
        <w:gridCol w:w="146"/>
        <w:gridCol w:w="282"/>
        <w:gridCol w:w="845"/>
        <w:gridCol w:w="166"/>
        <w:gridCol w:w="146"/>
        <w:gridCol w:w="279"/>
        <w:gridCol w:w="1034"/>
        <w:gridCol w:w="396"/>
      </w:tblGrid>
      <w:tr>
        <w:trPr/>
        <w:tc>
          <w:tcPr>
            <w:tcW w:w="2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66,357</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501,120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28"/>
        <w:gridCol w:w="146"/>
        <w:gridCol w:w="1126"/>
        <w:gridCol w:w="146"/>
        <w:gridCol w:w="237"/>
        <w:gridCol w:w="878"/>
        <w:gridCol w:w="146"/>
        <w:gridCol w:w="146"/>
        <w:gridCol w:w="370"/>
        <w:gridCol w:w="742"/>
        <w:gridCol w:w="146"/>
        <w:gridCol w:w="146"/>
        <w:gridCol w:w="343"/>
        <w:gridCol w:w="784"/>
        <w:gridCol w:w="166"/>
        <w:gridCol w:w="146"/>
        <w:gridCol w:w="279"/>
        <w:gridCol w:w="1034"/>
        <w:gridCol w:w="396"/>
      </w:tblGrid>
      <w:tr>
        <w:trPr/>
        <w:tc>
          <w:tcPr>
            <w:tcW w:w="2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Stockholders’ Equity (Deficit)</w:t>
      </w:r>
    </w:p>
    <w:p>
      <w:pPr>
        <w:pStyle w:val="TextBody"/>
        <w:bidi w:val="0"/>
        <w:spacing w:before="16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February 6, 2024, the Board of Directors authorized the repurchase of up to $50.0 million of shares of the Company’s common stock through March 1, 2026. The program expired on March 1, 2026, and no shares were repurchased during the three months ended March 31, 2026. Over the life of the program, the Company repurchased 15,448,533 shares for an aggregate of $40.5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Company had reserved shares of common stock for future issuance under equity compensation plans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8"/>
        <w:gridCol w:w="146"/>
        <w:gridCol w:w="351"/>
        <w:gridCol w:w="1627"/>
        <w:gridCol w:w="146"/>
        <w:gridCol w:w="146"/>
        <w:gridCol w:w="392"/>
        <w:gridCol w:w="1822"/>
        <w:gridCol w:w="146"/>
        <w:gridCol w:w="146"/>
        <w:gridCol w:w="432"/>
        <w:gridCol w:w="2009"/>
        <w:gridCol w:w="394"/>
      </w:tblGrid>
      <w:tr>
        <w:trPr/>
        <w:tc>
          <w:tcPr>
            <w:tcW w:w="2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Plans assumed in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various stock-based compensation plans, which are more fully described in the Annual Report. Under these plans, the Company has the ability to grant several forms of incentive awards to the Company's eligible employees, directors, and non-employee consultants.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statements of operations as follows (in thousands):</w:t>
      </w:r>
    </w:p>
    <w:tbl>
      <w:tblPr>
        <w:tblW w:w="6594" w:type="dxa"/>
        <w:jc w:val="left"/>
        <w:tblInd w:w="0" w:type="dxa"/>
        <w:tblLayout w:type="fixed"/>
        <w:tblCellMar>
          <w:top w:w="28" w:type="dxa"/>
          <w:left w:w="28" w:type="dxa"/>
          <w:bottom w:w="28" w:type="dxa"/>
          <w:right w:w="28" w:type="dxa"/>
        </w:tblCellMar>
      </w:tblPr>
      <w:tblGrid>
        <w:gridCol w:w="3661"/>
        <w:gridCol w:w="146"/>
        <w:gridCol w:w="272"/>
        <w:gridCol w:w="738"/>
        <w:gridCol w:w="188"/>
        <w:gridCol w:w="188"/>
        <w:gridCol w:w="272"/>
        <w:gridCol w:w="738"/>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three months ended March 31, 2026 (in thousands):</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2596"/>
        <w:gridCol w:w="146"/>
        <w:gridCol w:w="199"/>
        <w:gridCol w:w="926"/>
        <w:gridCol w:w="166"/>
        <w:gridCol w:w="146"/>
        <w:gridCol w:w="146"/>
        <w:gridCol w:w="676"/>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left"/>
        <w:rPr/>
      </w:pPr>
      <w:r>
        <w:rPr/>
        <w:t> </w:t>
      </w:r>
    </w:p>
    <w:tbl>
      <w:tblPr>
        <w:tblW w:w="7748" w:type="dxa"/>
        <w:jc w:val="left"/>
        <w:tblInd w:w="0" w:type="dxa"/>
        <w:tblLayout w:type="fixed"/>
        <w:tblCellMar>
          <w:top w:w="28" w:type="dxa"/>
          <w:left w:w="28" w:type="dxa"/>
          <w:bottom w:w="28" w:type="dxa"/>
          <w:right w:w="28" w:type="dxa"/>
        </w:tblCellMar>
      </w:tblPr>
      <w:tblGrid>
        <w:gridCol w:w="5011"/>
        <w:gridCol w:w="146"/>
        <w:gridCol w:w="181"/>
        <w:gridCol w:w="838"/>
        <w:gridCol w:w="181"/>
        <w:gridCol w:w="181"/>
        <w:gridCol w:w="181"/>
        <w:gridCol w:w="838"/>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income tax expense of $11 thousand and income tax benefit of $0.1 million in the three months ended March 31, 2026 and 2025, respectively. The increase in the Company's tax expense reflects higher minimum tax expense for the various States that the Company operates in, as well as the effect of the Company's foreign operations, which reported higher pre-tax income in the first three months of 2026 compared to the same period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Company has one operating and reportable segment. The CODM utilizes the Company's annual operating plan, primarily consisting of an annual financial forecast, as a key input to resource allocation. The CODM makes decisions on resource allocation and assesses performance of the business using net income/loss from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are regularly provided to the CODM include cost of revenue and operating expenses. Operating expenses consist of four main subcategories: research and development; selling, general and administrative;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interest expense, which are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3,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Restructuring and Related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three months ended March 31, 2026 (in thousands):</w:t>
      </w:r>
    </w:p>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2836"/>
        <w:gridCol w:w="146"/>
        <w:gridCol w:w="211"/>
        <w:gridCol w:w="631"/>
        <w:gridCol w:w="166"/>
        <w:gridCol w:w="146"/>
        <w:gridCol w:w="211"/>
        <w:gridCol w:w="631"/>
        <w:gridCol w:w="166"/>
        <w:gridCol w:w="146"/>
        <w:gridCol w:w="211"/>
        <w:gridCol w:w="481"/>
        <w:gridCol w:w="166"/>
        <w:gridCol w:w="146"/>
        <w:gridCol w:w="211"/>
        <w:gridCol w:w="631"/>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Restructuring liabilities are recorded in accrued liabilities on the condensed consolidated balance sheets. Substantially all severance and other employee-related benefits related to ongoing benefit arrangements and were recorded pursuant to ASC 712, </w:t>
      </w:r>
      <w:r>
        <w:rPr>
          <w:rFonts w:ascii="Times New Roman" w:hAnsi="Times New Roman"/>
          <w:i/>
          <w:color w:val="000000"/>
          <w:sz w:val="20"/>
        </w:rPr>
        <w:t>Termination and Other Postemployment Benefits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restructuring liabilities are comprised mainly of sublease commissions and are recorded in other accrued liabilities on the consolidated balance sheets.</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Related Parties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Eli Casdin, a member of the Company’s board of directors and the Company’s principal stockholder.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14" w:name="item_2_mda"/>
      <w:bookmarkEnd w:id="14"/>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and this Quarterly Report on Form 10-Q, as updated and/or supplemented in subsequent filings with the SEC,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Divestiture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we entered into a Stock Purchase Agreement (the “Purchase Agreement”) with Illumina, Inc. (“Illumina”) pursuant to which Illumina acquired all of the equity interests of SomaLogic, Inc. (“SomaLogic”), Sengenics Corporation LLC and Sengenics Corporation Pte Ltd (collectively, the “Disposed Entities”), each an owned subsidiary that operated our aptamer-based and functional proteomics business, including KREX, Single SOMAmer, translational and diagnostic assays (collectively, the “SomaScan Business”) (such transaction, the “Transaction”). The Transaction did not include our mass cytometry and microfluidics businesses, which we retained. The Transaction closed on January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closing, we received net cash consideration of $363.2 million and recognized $25.0 million of consideration receivable based on the achievement of specified revenue thresholds during fiscal year 2025, for total net consideration of $388.2 million. The total consideration is subject to customary post-closing adjustments for working capital. In addition, we are eligible to receive additional contingent earnout payments of up to $50.0 million based on the achievement of specified revenue thresholds for SomaScan assay services and related products during fiscal year 2026. We will recognize the contingent earnout consideration as it is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at the closing of the Transaction, as additional consideration, we and Illumina entered into (i) a royalty agreement, pursuant to which we are entitled to a specified royalty stream on net revenues generated from sales of SOMAmer-based next-generation sequencing library preparation kits, (ii) a license agreement, pursuant to which Illumina provided a specified license to us for the intellectual property relating to Single SOMAmers for potential development and commercialization of Single SOMAmer reagents for use in single plex affinity assays, and (iii) a royalty agreement, pursuant to which we are entitled to a specified royalty stream on net revenues generated from sales of Single SOMAmers. The royalty rates are low- to mid-single digit percentages.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Activities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28, 2025, we initiated a plan to consolidate our South San Francisco-based R&amp;D capabilities into our Singapore facility to co-locate with our manufacturing operations and implemented a reduction in force of certain U.S. employees in our R&amp;D function, including members of our management team. As part of this consolidation, we transferred our headquarters to Boston, Massachusetts and vacated our South San Francisco office on December 31,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13, 2025, we commenced an additional restructuring plan, including an additional reduction in force to align operating costs with revenue projections for our continuing operations. </w:t>
      </w:r>
    </w:p>
    <w:p>
      <w:pPr>
        <w:pStyle w:val="TextBody"/>
        <w:bidi w:val="0"/>
        <w:jc w:val="left"/>
        <w:rPr>
          <w:rFonts w:ascii="Times New Roman" w:hAnsi="Times New Roman"/>
          <w:color w:val="000000"/>
          <w:sz w:val="20"/>
        </w:rPr>
      </w:pPr>
      <w:r>
        <w:rPr>
          <w:rFonts w:ascii="Times New Roman" w:hAnsi="Times New Roman"/>
          <w:color w:val="000000"/>
          <w:sz w:val="20"/>
        </w:rPr>
        <w:t>Both restructuring actions were designed to improve operational efficiency while supporting the execution of our long-term strategic plan. When combined, the reductions-in-force impacted approximately 20% of our total global workforce.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Instrument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Instrument sales serve as a key indicator of current business performance and provide visibility into future consumables demand. We anticipate continued growth in our installed base as we deepen market penetration and introduce enhanced capabilities that address evolving customer needs.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strategy to grow instrument sales includes expanding our global commercial reach, optimizing pricing strategies, and advancing the technological capabilities and applications of our platforms. We actively engage with customers to understand their research priorities and direct our development efforts toward platform enhancements and new applications, which we believe drives adoption of both our instruments and consumables.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Consumables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Consumables represent a critical component of our revenue model and reflect ongoing customer engagement with our platforms. We monitor consumables trends across our product portfolio and customer segments to inform commercial and development decisions. We expect consumables revenue to grow over time through increased utilization by existing customers, expansion of our installed base, and the introduction of new consumables offerings. Consumables are expected to remain a substantial portion of our total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our revenue from the sale of products and services. We also derive revenue from collaborative arrangements, license agreements, grants, and royalties. Customers include top biopharmaceutical companies and leading academic research universities. We expect the average selling prices of our products and services to fluctuate over time based on market conditions, product mix and currency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product revenue from the sale of instruments and consumables. Consumables revenue is largely driven by the size of our active installed base of instruments and the level of usage per instrument.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 revenue primarily consists of post-warranty service contracts, preventive maintenance plans, installation and training for our instruments.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(“R&amp;D”)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with an expected focus on advancing our products and services. As a result, we expect R&amp;D expenses will increase in absolute dollars in future periods and vary from period to period as a percentage of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 (“SG&amp;A”)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Restructuring and related charges primarily consist of severance costs related to our recent reduction-in-force and facilities costs for floors we have subleased or have the intent to sublease (net of sublease income) under our South San Francisco facility lease. These costs, including a reduction in force, are incurred to improve operational efficiency, achieve cost savings and align our workforce to the future needs of the business. When combined, these reductions-in-force impacted approximately 20% of our total global workforce.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 and divestiture-related activities, including legal, advisory, accounting and other transaction-related costs including integration costs.</w:t>
      </w:r>
    </w:p>
    <w:p>
      <w:pPr>
        <w:pStyle w:val="TextBody"/>
        <w:bidi w:val="0"/>
        <w:spacing w:before="12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Loss from discontinued operations represents the results of operations for business components that are classified as held-for-sale and meet the criteria for discontinued operations accounting under ASC 205, </w:t>
      </w:r>
      <w:r>
        <w:rPr>
          <w:rFonts w:ascii="Times New Roman" w:hAnsi="Times New Roman"/>
          <w:i/>
          <w:color w:val="000000"/>
          <w:sz w:val="20"/>
        </w:rPr>
        <w:t>Presentation of Financial Statements</w:t>
      </w:r>
      <w:r>
        <w:rPr>
          <w:rFonts w:ascii="Times New Roman" w:hAnsi="Times New Roman"/>
          <w:color w:val="000000"/>
          <w:sz w:val="20"/>
        </w:rPr>
        <w:t>. This includes the operating results of the discontinued components during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from discontinued operations is presented net of applicable income taxes and includes direct incremental costs associated with the disposal activities, such as legal, advisory, and other transaction-related costs. Any intercompany transactions between continuing and discontinued operations have been eliminated, and certain allocations of corporate overhead and shared costs previously allocated to the discontinued operations have been adjusted to reflect the costs that will be eliminated upon disposal.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period amounts have been reclassified to conform to the current period presentation.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bookmarkStart w:id="15" w:name="section29"/>
      <w:bookmarkEnd w:id="15"/>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months ended March 31, 2026 and 2025 ($ in thousands):</w:t>
      </w:r>
    </w:p>
    <w:p>
      <w:pPr>
        <w:pStyle w:val="TextBody"/>
        <w:bidi w:val="0"/>
        <w:jc w:val="left"/>
        <w:rPr/>
      </w:pPr>
      <w:r>
        <w:rPr/>
        <w:t> </w:t>
      </w:r>
    </w:p>
    <w:tbl>
      <w:tblPr>
        <w:tblW w:w="9382" w:type="dxa"/>
        <w:jc w:val="left"/>
        <w:tblInd w:w="0" w:type="dxa"/>
        <w:tblLayout w:type="fixed"/>
        <w:tblCellMar>
          <w:top w:w="28" w:type="dxa"/>
          <w:left w:w="28" w:type="dxa"/>
          <w:bottom w:w="28" w:type="dxa"/>
          <w:right w:w="28" w:type="dxa"/>
        </w:tblCellMar>
      </w:tblPr>
      <w:tblGrid>
        <w:gridCol w:w="4486"/>
        <w:gridCol w:w="146"/>
        <w:gridCol w:w="211"/>
        <w:gridCol w:w="781"/>
        <w:gridCol w:w="166"/>
        <w:gridCol w:w="146"/>
        <w:gridCol w:w="146"/>
        <w:gridCol w:w="421"/>
        <w:gridCol w:w="331"/>
        <w:gridCol w:w="146"/>
        <w:gridCol w:w="211"/>
        <w:gridCol w:w="736"/>
        <w:gridCol w:w="166"/>
        <w:gridCol w:w="146"/>
        <w:gridCol w:w="146"/>
        <w:gridCol w:w="481"/>
        <w:gridCol w:w="516"/>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rPr/>
      </w:pPr>
      <w:r>
        <w:rPr/>
        <w:t> </w:t>
      </w:r>
    </w:p>
    <w:tbl>
      <w:tblPr>
        <w:tblW w:w="9486" w:type="dxa"/>
        <w:jc w:val="left"/>
        <w:tblInd w:w="0" w:type="dxa"/>
        <w:tblLayout w:type="fixed"/>
        <w:tblCellMar>
          <w:top w:w="28" w:type="dxa"/>
          <w:left w:w="28" w:type="dxa"/>
          <w:bottom w:w="28" w:type="dxa"/>
          <w:right w:w="28" w:type="dxa"/>
        </w:tblCellMar>
      </w:tblPr>
      <w:tblGrid>
        <w:gridCol w:w="2296"/>
        <w:gridCol w:w="146"/>
        <w:gridCol w:w="211"/>
        <w:gridCol w:w="676"/>
        <w:gridCol w:w="146"/>
        <w:gridCol w:w="146"/>
        <w:gridCol w:w="146"/>
        <w:gridCol w:w="421"/>
        <w:gridCol w:w="271"/>
        <w:gridCol w:w="146"/>
        <w:gridCol w:w="211"/>
        <w:gridCol w:w="676"/>
        <w:gridCol w:w="146"/>
        <w:gridCol w:w="146"/>
        <w:gridCol w:w="146"/>
        <w:gridCol w:w="421"/>
        <w:gridCol w:w="271"/>
        <w:gridCol w:w="146"/>
        <w:gridCol w:w="270"/>
        <w:gridCol w:w="807"/>
        <w:gridCol w:w="212"/>
        <w:gridCol w:w="186"/>
        <w:gridCol w:w="186"/>
        <w:gridCol w:w="481"/>
        <w:gridCol w:w="57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Year-over-Year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March 31, 2026, total revenue increased by $0.9 million, or 5%, compared to the prior year period, driven primarily by higher consumables revenue. These increases were partially offset by a decline in instruments revenue. The decline in instruments revenue reflects continued macroeconomic pressures on customer spending, including budgetary limitations and constrained funding environments that have impacted purchase timing and deal closure rates.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tbl>
      <w:tblPr>
        <w:tblW w:w="7941" w:type="dxa"/>
        <w:jc w:val="left"/>
        <w:tblInd w:w="0" w:type="dxa"/>
        <w:tblLayout w:type="fixed"/>
        <w:tblCellMar>
          <w:top w:w="28" w:type="dxa"/>
          <w:left w:w="28" w:type="dxa"/>
          <w:bottom w:w="28" w:type="dxa"/>
          <w:right w:w="28" w:type="dxa"/>
        </w:tblCellMar>
      </w:tblPr>
      <w:tblGrid>
        <w:gridCol w:w="2071"/>
        <w:gridCol w:w="146"/>
        <w:gridCol w:w="268"/>
        <w:gridCol w:w="861"/>
        <w:gridCol w:w="345"/>
        <w:gridCol w:w="185"/>
        <w:gridCol w:w="268"/>
        <w:gridCol w:w="861"/>
        <w:gridCol w:w="271"/>
        <w:gridCol w:w="146"/>
        <w:gridCol w:w="280"/>
        <w:gridCol w:w="758"/>
        <w:gridCol w:w="220"/>
        <w:gridCol w:w="193"/>
        <w:gridCol w:w="193"/>
        <w:gridCol w:w="499"/>
        <w:gridCol w:w="37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Year-over-Year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March 31, 2026, gross profit increased by $0.3 million, or 2%, compared to the prior year period, primarily due to our revenue growth.</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rPr/>
      </w:pPr>
      <w:r>
        <w:rPr/>
        <w:t> </w:t>
      </w:r>
    </w:p>
    <w:tbl>
      <w:tblPr>
        <w:tblW w:w="8899" w:type="dxa"/>
        <w:jc w:val="left"/>
        <w:tblInd w:w="0" w:type="dxa"/>
        <w:tblLayout w:type="fixed"/>
        <w:tblCellMar>
          <w:top w:w="28" w:type="dxa"/>
          <w:left w:w="28" w:type="dxa"/>
          <w:bottom w:w="28" w:type="dxa"/>
          <w:right w:w="28" w:type="dxa"/>
        </w:tblCellMar>
      </w:tblPr>
      <w:tblGrid>
        <w:gridCol w:w="3151"/>
        <w:gridCol w:w="146"/>
        <w:gridCol w:w="285"/>
        <w:gridCol w:w="913"/>
        <w:gridCol w:w="197"/>
        <w:gridCol w:w="197"/>
        <w:gridCol w:w="285"/>
        <w:gridCol w:w="913"/>
        <w:gridCol w:w="146"/>
        <w:gridCol w:w="146"/>
        <w:gridCol w:w="240"/>
        <w:gridCol w:w="837"/>
        <w:gridCol w:w="188"/>
        <w:gridCol w:w="166"/>
        <w:gridCol w:w="166"/>
        <w:gridCol w:w="547"/>
        <w:gridCol w:w="37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Year-over-Year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months ended March 31, 2026, R&amp;D expense decreased by $3.3 million, or 61%, compared to the prior year period. The reduction in R&amp;D expense was primarily driven by a decrease in personnel-related costs due to restructuring activities undertaken during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SG&amp;A expense decreased by $11.2 million, or 38%, compared to the prior year period. The reduction in SG&amp;A expense was primarily driven by a decrease in personnel-related costs due to restructuring activities undertaken during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and related charges for the three months ended March 31, 2026 increased by $1.5 million, or 98%, compared to the prior year period. The increase was primarily driven by a $0.9 million increase in facilities-related charges associated with the Company's former South San Francisco office, which was vacated in connection with the consolidation of the Company's R&amp;D function into its Singapore facility in 2025. The increase was further driven by $0.9 million of additional severance and related benefits associated with workforce reductions initiated in the prior year, partially offset by lower severance costs from current-period workforce reductions.</w:t>
      </w:r>
    </w:p>
    <w:p>
      <w:pPr>
        <w:pStyle w:val="TextBody"/>
        <w:bidi w:val="0"/>
        <w:spacing w:before="24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and integration expenses for the three months ended March 31, 2026 decreased by $1.2 million, or 100%, compared to the prior year period. The costs incurred during the three months ended March 31, 2025 were primarily related to integration efforts which were completed during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increased by $0.6 million, or 20%, during the three months ended March 31, 2026 compared to the prior year period. The increase was primarily attributable to higher money market fund and investment balances resulting from cash proceeds received in connection with the sale of the SomaScan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(Expense)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income, net decreased by $6.2 million for the three months ended March 31, 2026 compared to the prior year period. The decrease was primarily driven by unrealized losses of $3.5 million on our equity investments during the current period. The prior year period also included a $3.4 million gain from the remeasurement of a contingent consideration liability, with no comparable remeasurement activity during the three months ended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(loss) from discontinued operations increased by $144.4 million for the three months ended March 31, 2026, compared to the corresponding period in 2025. The increase was primarily driven by the gain on the sale of the SomaScan Business of $172.3 million, which was partially offset by $39.2 million of tax expense associated with the gain.</w:t>
      </w:r>
    </w:p>
    <w:p>
      <w:pPr>
        <w:pStyle w:val="TextBody"/>
        <w:bidi w:val="0"/>
        <w:spacing w:before="360" w:after="283"/>
        <w:jc w:val="left"/>
        <w:rPr>
          <w:rFonts w:ascii="Times New Roman" w:hAnsi="Times New Roman"/>
          <w:b/>
          <w:color w:val="000000"/>
          <w:sz w:val="20"/>
        </w:rPr>
      </w:pPr>
      <w:bookmarkStart w:id="16" w:name="section30"/>
      <w:bookmarkEnd w:id="16"/>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$1,133.5 million as of March 31, 2026. To date, we have funded our operating losses primarily through acquisitions, divestitures, equity offerings, term loans, convertible notes and redeemable preferred stock. Our ability to fund future operations and meet debt covenant requirements will depend upon our level of future revenue and operating cash flow and our ability to access additional funding through acquisitions, divestitures, equity offerings, or issuances of debt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enterprise resource planning upgrade; and costs and timing of acquiring other businesses, assets or technologies or disposing of our businesses, assets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investments. Our collective balances of cash, cash equivalents and investments were $526.5 million and $213.3 million at March 31, 2026 and December 31,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March 31, 2026, we have repaid the majority of our traditional debt obligations and no longer maintain access to credit facilities. Accordingly, our ongoing sources of capital are primarily limited to equity and cash generated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tbl>
      <w:tblPr>
        <w:tblW w:w="8711" w:type="dxa"/>
        <w:jc w:val="left"/>
        <w:tblInd w:w="0" w:type="dxa"/>
        <w:tblLayout w:type="fixed"/>
        <w:tblCellMar>
          <w:top w:w="28" w:type="dxa"/>
          <w:left w:w="28" w:type="dxa"/>
          <w:bottom w:w="28" w:type="dxa"/>
          <w:right w:w="28" w:type="dxa"/>
        </w:tblCellMar>
      </w:tblPr>
      <w:tblGrid>
        <w:gridCol w:w="5566"/>
        <w:gridCol w:w="146"/>
        <w:gridCol w:w="261"/>
        <w:gridCol w:w="968"/>
        <w:gridCol w:w="205"/>
        <w:gridCol w:w="181"/>
        <w:gridCol w:w="261"/>
        <w:gridCol w:w="912"/>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w:t>
              <w:br/>
              <w:t>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three months ended March 31, 2026, we used $15.0 million of net proceeds from the sales and maturities of investments to help fund $46.6 million of net cash used in operating activities. In the three months ended March 31, 2025, we used $52.0 million of net proceeds from the sales and maturities of investments to help fund $30.3 million of net cash used in operating activities.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$16.3 million for the three months ended March 31, 2026 compared to the same period in 2025. The increase was primarily driven by $12.1 million of higher transaction and restructuring cost payments and a $10.1 million increase in bonus payments. These increases were partially offset by lower cash payments for ongoing operating expenses, reflecting the impact of our cost reduction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$191.1 million for the three months ended March 31, 2026, compared to $14.6 million for the same period in 2025. The increase was primarily attributable to $363.2 million of cash consideration received in connection with the sale of the SomaScan Business, partially offset by $185.7 million of purchases of marketable debt securities funded with a portion of the sale proceeds. </w:t>
      </w:r>
    </w:p>
    <w:p>
      <w:pPr>
        <w:pStyle w:val="TextBody"/>
        <w:bidi w:val="0"/>
        <w:spacing w:before="360" w:after="283"/>
        <w:jc w:val="left"/>
        <w:rPr>
          <w:rFonts w:ascii="Times New Roman" w:hAnsi="Times New Roman"/>
          <w:b/>
          <w:color w:val="000000"/>
          <w:sz w:val="20"/>
        </w:rPr>
      </w:pPr>
      <w:bookmarkStart w:id="17" w:name="section31"/>
      <w:bookmarkEnd w:id="17"/>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lease liabilities and income tax liabilities (assets). Refer to Item 7 in our Annual Report for additional information regarding our critical accounting policies and estimates.</w:t>
      </w:r>
    </w:p>
    <w:p>
      <w:pPr>
        <w:pStyle w:val="TextBody"/>
        <w:bidi w:val="0"/>
        <w:spacing w:before="360" w:after="283"/>
        <w:jc w:val="left"/>
        <w:rPr>
          <w:rFonts w:ascii="Times New Roman" w:hAnsi="Times New Roman"/>
          <w:b/>
          <w:color w:val="000000"/>
          <w:sz w:val="20"/>
        </w:rPr>
      </w:pPr>
      <w:bookmarkStart w:id="18" w:name="section32"/>
      <w:bookmarkEnd w:id="18"/>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bookmarkStart w:id="19" w:name="item_3_quantitative_and_qualitative"/>
      <w:bookmarkEnd w:id="1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and cash equivalents are comprised of funds held in checking accounts and money market accounts. The primary objective of our cash investment activities is to preserve our capital for the purpose of funding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three months ended March 31, 2026, we recognized $1.7 million of foreign currency exchange losses due to changes in foreign currency exchange rates. For the three months ended March 31, 2025, we recognized $0.6 million of foreign currency exchange gains due to changes in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4_controls_and_procedures"/>
      <w:bookmarkEnd w:id="2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our Chief Financial Officer (“CFO”),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CEO and CFO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the three months ended March 31, 2026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2" w:name="item_1_legal_proceeding"/>
      <w:bookmarkEnd w:id="22"/>
      <w:r>
        <w:rPr>
          <w:rFonts w:ascii="Times New Roman" w:hAnsi="Times New Roman"/>
          <w:b/>
          <w:color w:val="000000"/>
          <w:sz w:val="20"/>
        </w:rPr>
        <w:t>Item 1. Legal Proceedings</w:t>
      </w:r>
    </w:p>
    <w:p>
      <w:pPr>
        <w:pStyle w:val="TextBody"/>
        <w:bidi w:val="0"/>
        <w:spacing w:before="120" w:after="283"/>
        <w:jc w:val="left"/>
        <w:rPr/>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5</w:t>
        </w:r>
      </w:hyperlink>
      <w:r>
        <w:rPr>
          <w:rFonts w:ascii="Times New Roman" w:hAnsi="Times New Roman"/>
          <w:color w:val="000000"/>
          <w:sz w:val="20"/>
        </w:rPr>
        <w:t xml:space="preserve"> to our accompanying financial statements appearing elsewhere in this Quarterly Report on Form 10-Q and </w:t>
      </w:r>
      <w:hyperlink r:id="rId3">
        <w:r>
          <w:rPr>
            <w:rStyle w:val="InternetLink"/>
            <w:rFonts w:ascii="Times New Roman" w:hAnsi="Times New Roman"/>
            <w:color w:val="0000FF"/>
            <w:sz w:val="20"/>
            <w:u w:val="single"/>
          </w:rPr>
          <w:t>Note 8</w:t>
        </w:r>
      </w:hyperlink>
      <w:r>
        <w:rPr>
          <w:rFonts w:ascii="Times New Roman" w:hAnsi="Times New Roman"/>
          <w:color w:val="000000"/>
          <w:sz w:val="20"/>
        </w:rPr>
        <w:t xml:space="preserve"> to our financial statements appearing in our Annual Report on Form 10-K.</w:t>
      </w:r>
    </w:p>
    <w:p>
      <w:pPr>
        <w:pStyle w:val="TextBody"/>
        <w:bidi w:val="0"/>
        <w:spacing w:before="360" w:after="283"/>
        <w:jc w:val="left"/>
        <w:rPr>
          <w:rFonts w:ascii="Times New Roman" w:hAnsi="Times New Roman"/>
          <w:b/>
          <w:color w:val="000000"/>
          <w:sz w:val="20"/>
        </w:rPr>
      </w:pPr>
      <w:bookmarkStart w:id="23" w:name="item_1a_riskfactors"/>
      <w:bookmarkEnd w:id="2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this Item 1A, as well as those risk factors discussed in Part I Item 1A “Risk Factors” in our Annual Report which could materially affect our business, financial condition or results of operations. The risks below and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fail to maintain the listing of our common stock on the Nasdaq Stock Market LLC (“Nasdaq”), which could seriously harm the liquidity of our shares and our ability to raise capital or complete a strategic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Nasdaq has established continued listing requirements, including a requirement to maintain a minimum closing bid price of at least $1.00 per share. On April 20, 2026, we received a written notice from Nasdaq notifying us that, because the closing bid price for our common stock had fallen below $1.00 per share for 30 consecutive business days, we no longer met the minimum bid price requirement for continued inclusion on The Nasdaq Global Select Market. Under Nasdaq Listing Rule 5810(c)(3)(A), we have a 180-calendar day period, or until October 19, 2026 (the “Compliance Date”), to regain compliance with the minimum bid price requirement. The minimum bid price requirement will be met if our common stock has a minimum closing bid price of at least $1.00 per share for a minimum of 10 consecutive business days during the 180-calendar day period, unless Nasdaq exercises its discretion to extend such 10</w:t>
        <w:noBreakHyphen/>
        <w:t>day period. If we do not regain compliance by the Compliance Date, we may be eligible for an additional 180-calendar day period, subject to satisfying the conditions in the applicable Nasdaq Listing Rules. There can be no assurance that we will be able to regain compliance with the bid price requirement within the 180-calendar day compliance period provided by Nasdaq rules or maintain compliance with other Nasdaq requirements in the future. If we are not able to maintain compliance with Nasdaq requirements, our common stock may be delisted from Nasdaq, which could have a material adverse effect on us and our stockholders, including by reducing the liquidity of our shares and having a material adverse effect on our ability to raise capital or complete a strategic transaction.</w:t>
      </w:r>
    </w:p>
    <w:p>
      <w:pPr>
        <w:pStyle w:val="TextBody"/>
        <w:bidi w:val="0"/>
        <w:jc w:val="left"/>
        <w:rPr/>
      </w:pPr>
      <w:r>
        <w:rPr/>
        <w:t> </w:t>
      </w:r>
    </w:p>
    <w:p>
      <w:pPr>
        <w:pStyle w:val="TextBody"/>
        <w:bidi w:val="0"/>
        <w:spacing w:before="360" w:after="283"/>
        <w:jc w:val="left"/>
        <w:rPr>
          <w:rFonts w:ascii="Times New Roman" w:hAnsi="Times New Roman"/>
          <w:sz w:val="20"/>
        </w:rPr>
      </w:pPr>
      <w:bookmarkStart w:id="24" w:name="item_2_unregistered"/>
      <w:bookmarkEnd w:id="24"/>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March 31, 2026, we have repurchased 15,448,533 shares of our common stock for an aggregate of $40.5 million under the 2024 Share Repurchase Program. We did not purchase any shares of common stock during the three months ended March 31,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3_defaults_upon_senior_securities"/>
      <w:bookmarkEnd w:id="2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6" w:name="item_4_mine_safety_disclosures"/>
      <w:bookmarkEnd w:id="26"/>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7" w:name="item_5_other_information"/>
      <w:bookmarkEnd w:id="27"/>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March 31, 2026,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8" w:name="item_6_exhibits"/>
      <w:bookmarkEnd w:id="28"/>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29" w:name="exhibit_list"/>
      <w:bookmarkEnd w:id="29"/>
      <w:r>
        <w:rPr>
          <w:rFonts w:ascii="Times New Roman" w:hAnsi="Times New Roman"/>
          <w:b/>
          <w:color w:val="000000"/>
          <w:sz w:val="20"/>
        </w:rPr>
        <w:t>EXHIBIT LIST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5911"/>
        <w:gridCol w:w="146"/>
        <w:gridCol w:w="1143"/>
        <w:gridCol w:w="146"/>
        <w:gridCol w:w="1071"/>
        <w:gridCol w:w="146"/>
        <w:gridCol w:w="735"/>
      </w:tblGrid>
      <w:tr>
        <w:trP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Eighth Amended and Restated Certificate of Incorporation filed on February 15, 2011.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Standard BioTools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the Eighth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Certificate of Amendment to the Eighth Amended and Restated Certificate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1.htm">
              <w:r>
                <w:rPr>
                  <w:rStyle w:val="InternetLink"/>
                  <w:rFonts w:ascii="Times New Roman" w:hAnsi="Times New Roman"/>
                  <w:color w:val="0000FF"/>
                  <w:sz w:val="20"/>
                  <w:u w:val="single"/>
                </w:rPr>
                <w:t>Certification Pursuant to Rule 13a-14(a)/15d-14(a), as Adopted Pursuant to Section 302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2.htm">
              <w:r>
                <w:rPr>
                  <w:rStyle w:val="InternetLink"/>
                  <w:rFonts w:ascii="Times New Roman" w:hAnsi="Times New Roman"/>
                  <w:color w:val="0000FF"/>
                  <w:sz w:val="20"/>
                  <w:u w:val="single"/>
                </w:rPr>
                <w:t>Certification Pursuant to Rule 13a-14(a)/15d-14(a), as Adopted Pursuant to Section 302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1.htm">
              <w:r>
                <w:rPr>
                  <w:rStyle w:val="InternetLink"/>
                  <w:rFonts w:ascii="Times New Roman" w:hAnsi="Times New Roman"/>
                  <w:color w:val="0000FF"/>
                  <w:sz w:val="20"/>
                  <w:u w:val="single"/>
                </w:rPr>
                <w:t>Certification Pursuant to 18 U.S.C. Section 1350, as Adopted Pursuant to Section 906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2.htm">
              <w:r>
                <w:rPr>
                  <w:rStyle w:val="InternetLink"/>
                  <w:rFonts w:ascii="Times New Roman" w:hAnsi="Times New Roman"/>
                  <w:color w:val="0000FF"/>
                  <w:sz w:val="20"/>
                  <w:u w:val="single"/>
                </w:rPr>
                <w:t>Certification Pursuant to 18 U.S.C. Section 1350, as Adopted Pursuant to Section 906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406"/>
        <w:gridCol w:w="14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May 6,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31" w:name="lab-ex31_1.htm"/>
      <w:bookmarkStart w:id="32" w:name="kslabex31_1"/>
      <w:bookmarkEnd w:id="31"/>
      <w:bookmarkEnd w:id="32"/>
      <w:r>
        <w:rPr/>
        <w:t> </w:t>
      </w:r>
      <w:r>
        <w:br w:type="page"/>
      </w:r>
    </w:p>
    <w:p>
      <w:pPr>
        <w:pStyle w:val="TextBody"/>
        <w:bidi w:val="0"/>
        <w:jc w:val="right"/>
        <w:rPr>
          <w:rFonts w:ascii="Times New Roman" w:hAnsi="Times New Roman"/>
          <w:b/>
          <w:color w:val="000000"/>
          <w:sz w:val="20"/>
        </w:rPr>
      </w:pPr>
      <w:bookmarkStart w:id="33" w:name="section1"/>
      <w:bookmarkEnd w:id="33"/>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636"/>
        <w:gridCol w:w="109"/>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lab-ex31_2.htm"/>
      <w:bookmarkStart w:id="35" w:name="kslabex31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54" w:type="dxa"/>
        <w:jc w:val="left"/>
        <w:tblInd w:w="0" w:type="dxa"/>
        <w:tblLayout w:type="fixed"/>
        <w:tblCellMar>
          <w:top w:w="28" w:type="dxa"/>
          <w:left w:w="28" w:type="dxa"/>
          <w:bottom w:w="28" w:type="dxa"/>
          <w:right w:w="28" w:type="dxa"/>
        </w:tblCellMar>
      </w:tblPr>
      <w:tblGrid>
        <w:gridCol w:w="1636"/>
        <w:gridCol w:w="14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lab-ex32_1.htm"/>
      <w:bookmarkStart w:id="37" w:name="kslabex32_1"/>
      <w:bookmarkEnd w:id="36"/>
      <w:bookmarkEnd w:id="37"/>
      <w:r>
        <w:rPr/>
        <w:t> </w:t>
      </w:r>
      <w:r>
        <w:br w:type="page"/>
      </w:r>
    </w:p>
    <w:p>
      <w:pPr>
        <w:pStyle w:val="TextBody"/>
        <w:bidi w:val="0"/>
        <w:jc w:val="right"/>
        <w:rPr>
          <w:rFonts w:ascii="Times New Roman" w:hAnsi="Times New Roman"/>
          <w:b/>
          <w:color w:val="000000"/>
          <w:sz w:val="20"/>
        </w:rPr>
      </w:pPr>
      <w:bookmarkStart w:id="38" w:name="section11"/>
      <w:bookmarkEnd w:id="38"/>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March 31,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163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lab-ex32_2.htm"/>
      <w:bookmarkStart w:id="40" w:name="kslabex32_2"/>
      <w:bookmarkEnd w:id="39"/>
      <w:bookmarkEnd w:id="40"/>
      <w:r>
        <w:rPr/>
        <w:t> </w:t>
      </w:r>
      <w:r>
        <w:br w:type="page"/>
      </w:r>
    </w:p>
    <w:p>
      <w:pPr>
        <w:pStyle w:val="TextBody"/>
        <w:bidi w:val="0"/>
        <w:jc w:val="right"/>
        <w:rPr>
          <w:rFonts w:ascii="Times New Roman" w:hAnsi="Times New Roman"/>
          <w:b/>
          <w:color w:val="000000"/>
          <w:sz w:val="20"/>
        </w:rPr>
      </w:pPr>
      <w:bookmarkStart w:id="41" w:name="section12"/>
      <w:bookmarkEnd w:id="41"/>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March 31,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808" w:type="dxa"/>
        <w:jc w:val="left"/>
        <w:tblInd w:w="0" w:type="dxa"/>
        <w:tblLayout w:type="fixed"/>
        <w:tblCellMar>
          <w:top w:w="28" w:type="dxa"/>
          <w:left w:w="28" w:type="dxa"/>
          <w:bottom w:w="28" w:type="dxa"/>
          <w:right w:w="28" w:type="dxa"/>
        </w:tblCellMar>
      </w:tblPr>
      <w:tblGrid>
        <w:gridCol w:w="1636"/>
        <w:gridCol w:w="40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162194/000119312526108326/lab-20251231.htm" TargetMode="External"/><Relationship Id="rId4" Type="http://schemas.openxmlformats.org/officeDocument/2006/relationships/hyperlink" Target="https://www.sec.gov/Archives/edgar/data/1162194/000119312511078412/dex31.htm" TargetMode="External"/><Relationship Id="rId5" Type="http://schemas.openxmlformats.org/officeDocument/2006/relationships/hyperlink" Target="https://www.sec.gov/Archives/edgar/data/1162194/000119312522093794/d300506dex48.htm" TargetMode="External"/><Relationship Id="rId6" Type="http://schemas.openxmlformats.org/officeDocument/2006/relationships/hyperlink" Target="https://www.sec.gov/Archives/edgar/data/1162194/000119312522093794/d300506dex43.htm" TargetMode="External"/><Relationship Id="rId7" Type="http://schemas.openxmlformats.org/officeDocument/2006/relationships/hyperlink" Target="https://www.sec.gov/Archives/edgar/data/1162194/000110465924001640/tm2333984d3_ex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14884</Words>
  <Characters>84389</Characters>
  <CharactersWithSpaces>100191</CharactersWithSpaces>
  <Paragraphs>5107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