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William Maxwell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01/09/2012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See General Remarks</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color w:val="0000FF"/>
              </w:rPr>
              <w:t>01/09/2012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right"/>
              <w:ind w:right="132"/>
              <w:spacing w:after="0"/>
              <w:rPr>
                <w:sz w:val="20"/>
                <w:szCs w:val="20"/>
                <w:color w:val="auto"/>
              </w:rPr>
            </w:pPr>
            <w:r>
              <w:rPr>
                <w:rFonts w:ascii="Arial" w:cs="Arial" w:eastAsia="Arial" w:hAnsi="Arial"/>
                <w:sz w:val="18"/>
                <w:szCs w:val="18"/>
                <w:color w:val="0000FF"/>
              </w:rPr>
              <w:t>3,000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1.82</w:t>
            </w:r>
          </w:p>
        </w:tc>
        <w:tc>
          <w:tcPr>
            <w:tcW w:w="20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52,545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01/09/2012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3,000</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12.8272</w:t>
            </w:r>
            <w:r>
              <w:rPr>
                <w:rFonts w:ascii="Arial" w:cs="Arial" w:eastAsia="Arial" w:hAnsi="Arial"/>
                <w:sz w:val="22"/>
                <w:szCs w:val="22"/>
                <w:color w:val="008000"/>
                <w:w w:val="85"/>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49,545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3,000</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1.82</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01/09/2012</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00" w:type="dxa"/>
            <w:vAlign w:val="bottom"/>
          </w:tcPr>
          <w:p>
            <w:pPr>
              <w:ind w:left="360"/>
              <w:spacing w:after="0" w:line="133" w:lineRule="exact"/>
              <w:rPr>
                <w:sz w:val="20"/>
                <w:szCs w:val="20"/>
                <w:color w:val="auto"/>
              </w:rPr>
            </w:pPr>
            <w:r>
              <w:rPr>
                <w:rFonts w:ascii="Arial" w:cs="Arial" w:eastAsia="Arial" w:hAnsi="Arial"/>
                <w:sz w:val="14"/>
                <w:szCs w:val="14"/>
                <w:color w:val="0000FF"/>
                <w:w w:val="91"/>
              </w:rPr>
              <w:t>3,000</w:t>
            </w:r>
          </w:p>
        </w:tc>
        <w:tc>
          <w:tcPr>
            <w:tcW w:w="82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07/15/2013</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1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00"/>
              <w:spacing w:after="0" w:line="133" w:lineRule="exact"/>
              <w:rPr>
                <w:sz w:val="20"/>
                <w:szCs w:val="20"/>
                <w:color w:val="auto"/>
              </w:rPr>
            </w:pPr>
            <w:r>
              <w:rPr>
                <w:rFonts w:ascii="Arial" w:cs="Arial" w:eastAsia="Arial" w:hAnsi="Arial"/>
                <w:sz w:val="14"/>
                <w:szCs w:val="14"/>
                <w:color w:val="0000FF"/>
                <w:w w:val="88"/>
              </w:rPr>
              <w:t>21,412</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Smith were effected pursuant to a Rule 10b5-1 trading plan adopted on September 6, 2011.</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$12.80 to $12.87, inclusive. The reporting person undertakes to provide to the issuer, any security holder of the issuer, or the SEC staff, upon request, full information regarding the number of shares sold at each separate price within the ranges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fully vested on April 1, 2007.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VP, LEGAL AFFAIRS &amp; GENERAL COUNSEL</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0000FF"/>
                <w:w w:val="93"/>
              </w:rPr>
              <w:t>/s/ William M. Smith</w:t>
            </w:r>
          </w:p>
        </w:tc>
        <w:tc>
          <w:tcPr>
            <w:tcW w:w="6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01/10/2012</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593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2019-12-18T02:29:48Z</dcterms:created>
  <dcterms:modified xsi:type="dcterms:W3CDTF">2019-12-18T02:29:48Z</dcterms:modified>
</cp:coreProperties>
</file>