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5)</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Fluidigm Corporation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$.001 par value per share</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220"/>
        <w:spacing w:after="0"/>
        <w:rPr>
          <w:sz w:val="20"/>
          <w:szCs w:val="20"/>
          <w:color w:val="auto"/>
        </w:rPr>
      </w:pPr>
      <w:r>
        <w:rPr>
          <w:rFonts w:ascii="Arial" w:cs="Arial" w:eastAsia="Arial" w:hAnsi="Arial"/>
          <w:sz w:val="22"/>
          <w:szCs w:val="22"/>
          <w:u w:val="single" w:color="auto"/>
          <w:color w:val="auto"/>
        </w:rPr>
        <w:t>34385P108</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John A. Levin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Levin Capital Strategies,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595 Madison Avenue, 17th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259-0800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October 30, 2018</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34385P108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Levin Capital Strategies,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 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8,244,950</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11,243,458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11,243,458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28.7%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Levin Capital Strategies GP, LLC</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8,244,950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11,243,458</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11,243,458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28.7%</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Bi-Directional Disequilibrium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95,606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LCS, LLC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95,606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Levcap Alternative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56,820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LCS Event Partners, LLC</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56,820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80" w:type="dxa"/>
            <w:vAlign w:val="bottom"/>
            <w:gridSpan w:val="2"/>
          </w:tcPr>
          <w:p>
            <w:pPr>
              <w:ind w:left="580"/>
              <w:spacing w:after="0"/>
              <w:rPr>
                <w:sz w:val="20"/>
                <w:szCs w:val="20"/>
                <w:color w:val="auto"/>
              </w:rPr>
            </w:pPr>
            <w:r>
              <w:rPr>
                <w:rFonts w:ascii="Arial" w:cs="Arial" w:eastAsia="Arial" w:hAnsi="Arial"/>
                <w:sz w:val="18"/>
                <w:szCs w:val="18"/>
                <w:color w:val="auto"/>
              </w:rPr>
              <w:t>Less than 1%</w:t>
            </w: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Safinia Partners, L.P.</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19,818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80" w:type="dxa"/>
            <w:vAlign w:val="bottom"/>
            <w:gridSpan w:val="2"/>
          </w:tcPr>
          <w:p>
            <w:pPr>
              <w:ind w:left="580"/>
              <w:spacing w:after="0"/>
              <w:rPr>
                <w:sz w:val="20"/>
                <w:szCs w:val="20"/>
                <w:color w:val="auto"/>
              </w:rPr>
            </w:pPr>
            <w:r>
              <w:rPr>
                <w:rFonts w:ascii="Arial" w:cs="Arial" w:eastAsia="Arial" w:hAnsi="Arial"/>
                <w:sz w:val="18"/>
                <w:szCs w:val="18"/>
                <w:color w:val="auto"/>
              </w:rPr>
              <w:t>Less than 1%</w:t>
            </w: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LCS L/S, LLC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19,818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John A. Levin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United States of America</w:t>
            </w: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8,244,950</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11,243,458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11,243,458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28.7%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34385P108</w:t>
      </w: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5 to the Schedule 13D filed by the undersigned (the “Amendment No. 5”).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 amends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u w:val="single" w:color="auto"/>
          <w:color w:val="auto"/>
        </w:rPr>
        <w:t>IDENTITY AND BACKGROUND.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2 is hereby amended and restated as follows:</w:t>
      </w:r>
    </w:p>
    <w:p>
      <w:pPr>
        <w:spacing w:after="0" w:line="225" w:lineRule="exact"/>
        <w:rPr>
          <w:sz w:val="20"/>
          <w:szCs w:val="20"/>
          <w:color w:val="auto"/>
        </w:rPr>
      </w:pPr>
    </w:p>
    <w:p>
      <w:pPr>
        <w:ind w:left="1620" w:hanging="315"/>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Levin Capital Strategies, L.P., a Delaware limited partnership (“LCS”),</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Levin Capital Strategies GP, LLC, a Delaware limited liability company (“LCS GP”),</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Bi-Directional Disequilibrium Fund, L.P., a Delaware limited liability company (“Bi-Directional”),</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LCS, LLC, a Delaware limited liability company (“LCSL”),</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Levcap Alternative Fund, L.P., a Delaware limited partnership (“Levcap”),</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LCS Event Partners, LLC, a Delaware limited liability company (“LCSEP”),</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Safinia Partners, L.P., a Delaware limited partnership (“Safinia”),</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LCS L/S, LLC, a Delaware limited liability company (“LCSLS”), and</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John A. Levin, a U.S. citizen (“Mr. Levin”).</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Set forth on Appendix A annexed hereto (“Appendix A”) is the name and present principal business, occupation or employment and the name, principal business and address of any corporation or other organization in which such employment is conducted of the directors of Bi-Directional. Bi-Directional does not have any executive officers.</w:t>
      </w:r>
    </w:p>
    <w:p>
      <w:pPr>
        <w:spacing w:after="0" w:line="181" w:lineRule="exact"/>
        <w:rPr>
          <w:sz w:val="20"/>
          <w:szCs w:val="20"/>
          <w:color w:val="auto"/>
        </w:rPr>
      </w:pPr>
    </w:p>
    <w:p>
      <w:pPr>
        <w:ind w:left="2180" w:hanging="875"/>
        <w:spacing w:after="0"/>
        <w:tabs>
          <w:tab w:leader="none" w:pos="2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address of the principal executive office of each of the Reporting Persons is: 595 Madison Avenue, 17th Floor, New York,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10022.</w:t>
      </w:r>
    </w:p>
    <w:p>
      <w:pPr>
        <w:spacing w:after="0" w:line="211" w:lineRule="exact"/>
        <w:rPr>
          <w:sz w:val="20"/>
          <w:szCs w:val="20"/>
          <w:color w:val="auto"/>
        </w:rPr>
      </w:pPr>
    </w:p>
    <w:p>
      <w:pPr>
        <w:jc w:val="both"/>
        <w:ind w:firstLine="1305"/>
        <w:spacing w:after="0" w:line="255" w:lineRule="auto"/>
        <w:tabs>
          <w:tab w:leader="none" w:pos="2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business of LCS is acting as the investment advisor to Bi-Directional, Levcap, Safinia and certain managed accounts and as a sub-investment advisor to certain other investment companies, as further described in Item 5. The principal business of LCS GP is acting as the general partner of LCS. The principal business of Bi-Directional, Levcap and Safinia is investing in securities. The principal business of LCSL is acting as the general partner to Bi-Directional. The principal business of LCSEP is acting as the general partner to Levcap. The principal business of LCSLS is acting as the general partner to Safinia. The principal business of Mr. Levin is acting as the Chief Executive Officer of LCS and the managing member of each of LCSL, LCSEP and LCSLS.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firstLine="1305"/>
        <w:spacing w:after="0" w:line="277" w:lineRule="auto"/>
        <w:tabs>
          <w:tab w:leader="none" w:pos="2465"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last five years, no Reporting Person, nor any person listed on Appendix A, has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1305"/>
        <w:spacing w:after="0" w:line="312" w:lineRule="auto"/>
        <w:tabs>
          <w:tab w:leader="none" w:pos="2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last five years, no Reporting Person, nor any person listed on Appendix A, has been a party to a civil proceeding of a judicial or administrative body of competent jurisdiction that resulted in such Reporting Person being subject to a judgment, decree or final order enjoining future violations of, or prohibiting or mandating activities subject to, federal or state securities laws or finding any violation with respect to such laws.</w:t>
      </w:r>
    </w:p>
    <w:p>
      <w:pPr>
        <w:spacing w:after="0" w:line="146" w:lineRule="exact"/>
        <w:rPr>
          <w:rFonts w:ascii="Arial" w:cs="Arial" w:eastAsia="Arial" w:hAnsi="Arial"/>
          <w:sz w:val="16"/>
          <w:szCs w:val="16"/>
          <w:color w:val="auto"/>
        </w:rPr>
      </w:pPr>
    </w:p>
    <w:p>
      <w:pPr>
        <w:ind w:left="2200" w:hanging="895"/>
        <w:spacing w:after="0"/>
        <w:tabs>
          <w:tab w:leader="none" w:pos="2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Except as set forth on Appendix A, Levin and each person listed on Appendix A is a citizen of the United States of America.</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SOURCE AND AMOUNT OF FUNDS OR OTHER CONSIDERATION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as follows: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Shares purchased by LCS on behalf of separately managed accounts, including Transamerica Large Cap Value Fund, a registered investment company under the Investment Company Act of 1940, as amended (“Transamerica”), for which LCS acts as sub-investment advisor, were purchased with general investment funds in open market purchases, except as otherwise noted. The aggregate purchase price of the 11,243,458 Shares beneficially owned directly by LCS is approximately $65,953,561, including brokerage commissions.</w:t>
      </w:r>
    </w:p>
    <w:p>
      <w:pPr>
        <w:spacing w:after="0" w:line="187"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The Shares purchased by Bi-Directional were purchased with general investment funds in open market purchases, except as otherwise noted. The aggregate purchase price of the 95,606 Shares owned directly by Bi-Directional is approximately $581,206, including brokerage commissions.</w:t>
      </w:r>
    </w:p>
    <w:p>
      <w:pPr>
        <w:spacing w:after="0" w:line="12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The Shares purchased by Levcap were purchased with general investment funds in open market purchases, except as otherwise noted. The aggregate purchase price of the 56,820 Shares owned directly by Levcap is approximately $280,825, including brokerage commissions.</w:t>
      </w:r>
    </w:p>
    <w:p>
      <w:pPr>
        <w:spacing w:after="0" w:line="147"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The Shares purchased by Safinia were purchased with general investment funds in open market purchases, except as otherwise noted. The aggregate purchase price of the 19,818 Shares owned directly by Safinia is approximately $107,616, including brokerage commissions.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best of the Reporting Persons’ knowledge, none of the persons listed on Appendix A beneficially owns any securities of the Issuer.</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INTEREST IN SECURITIES OF THE ISSUER</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5(a)-(d) are hereby amended and restated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39,163,532 Shares outstanding as of July 31, 2018, which is the total number of Shares outstanding as reported in the Issuer’s Quarterly Report on Form 10-Q filed with the Securities and Exchange Commission on August 8,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34385P108</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 LCS</w:t>
      </w:r>
    </w:p>
    <w:p>
      <w:pPr>
        <w:spacing w:after="0" w:line="225" w:lineRule="exact"/>
        <w:rPr>
          <w:sz w:val="20"/>
          <w:szCs w:val="20"/>
          <w:color w:val="auto"/>
        </w:rPr>
      </w:pPr>
    </w:p>
    <w:p>
      <w:pPr>
        <w:ind w:left="1300" w:right="20" w:hanging="644"/>
        <w:spacing w:after="0" w:line="277" w:lineRule="auto"/>
        <w:tabs>
          <w:tab w:leader="none" w:pos="13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As of the close of business on October 30, 2018, LCS beneficially owned 11,243,458 Shares on behalf of separately managed accounts, including 1,305,269 Shares held by the separately managed account Transamerica.</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28.7%</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3"/>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8,244,950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3"/>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3"/>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11,243,458</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transactions in the Shares by LCS on behalf of separately managed accounts, including Transamerica, during the past 60 days are set forth in Schedule A and are incorporated herein by reference.</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LCS GP</w:t>
      </w:r>
    </w:p>
    <w:p>
      <w:pPr>
        <w:spacing w:after="0" w:line="225" w:lineRule="exact"/>
        <w:rPr>
          <w:rFonts w:ascii="Arial" w:cs="Arial" w:eastAsia="Arial" w:hAnsi="Arial"/>
          <w:sz w:val="18"/>
          <w:szCs w:val="18"/>
          <w:color w:val="auto"/>
        </w:rPr>
      </w:pPr>
    </w:p>
    <w:p>
      <w:pPr>
        <w:ind w:left="1300" w:right="1300" w:hanging="644"/>
        <w:spacing w:after="0" w:line="501" w:lineRule="auto"/>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As the General Partner of LCS, LCS GP is deemed to beneficially own the 11,243,458 Shares beneficially owned by LCS. Percentage: Approximately 28.7%</w:t>
      </w:r>
    </w:p>
    <w:p>
      <w:pPr>
        <w:ind w:left="1300" w:hanging="644"/>
        <w:spacing w:after="0"/>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3"/>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8,244,950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3"/>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3"/>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11,243,458</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LCS GP has not undertaken any transactions in the Shares during the past 60 days. The transactions in the Shares by LCS during the past 60 days are set forth in Schedule A and are incorporated herein by reference.</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Bi-Directional</w:t>
      </w:r>
    </w:p>
    <w:p>
      <w:pPr>
        <w:spacing w:after="0" w:line="225" w:lineRule="exact"/>
        <w:rPr>
          <w:rFonts w:ascii="Arial" w:cs="Arial" w:eastAsia="Arial" w:hAnsi="Arial"/>
          <w:sz w:val="18"/>
          <w:szCs w:val="18"/>
          <w:color w:val="auto"/>
        </w:rPr>
      </w:pPr>
    </w:p>
    <w:p>
      <w:pPr>
        <w:ind w:left="1300" w:right="3000" w:hanging="644"/>
        <w:spacing w:after="0" w:line="501" w:lineRule="auto"/>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As of the close of business on October 30, 2018, Bi-Directional beneficially owned 95,606 Shares. Percentage: Less than 1.0%.</w:t>
      </w:r>
    </w:p>
    <w:p>
      <w:pPr>
        <w:ind w:left="1300" w:hanging="644"/>
        <w:spacing w:after="0"/>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3"/>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95,606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3"/>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3"/>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95,606</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Bi-Directional has not undertaken any transactions in the Shares during the past 60 days.</w:t>
      </w:r>
    </w:p>
    <w:p>
      <w:pPr>
        <w:spacing w:after="0" w:line="225"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D. LCSL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2"/>
          <w:numId w:val="12"/>
        </w:numPr>
        <w:rPr>
          <w:rFonts w:ascii="Arial" w:cs="Arial" w:eastAsia="Arial" w:hAnsi="Arial"/>
          <w:sz w:val="17"/>
          <w:szCs w:val="17"/>
          <w:color w:val="auto"/>
        </w:rPr>
      </w:pPr>
      <w:r>
        <w:rPr>
          <w:rFonts w:ascii="Arial" w:cs="Arial" w:eastAsia="Arial" w:hAnsi="Arial"/>
          <w:sz w:val="17"/>
          <w:szCs w:val="17"/>
          <w:color w:val="auto"/>
        </w:rPr>
        <w:t>As the general partner of LCSL, Bi-Directional is deemed to beneficially own the 95,606 Shares beneficially owned by Bi-Directional.</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Less than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direct vote: 95,606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95,606</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LCSL has not undertaken any transactions in the Shares during the past 60 days.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 Levcap</w:t>
      </w:r>
    </w:p>
    <w:p>
      <w:pPr>
        <w:spacing w:after="0" w:line="225" w:lineRule="exact"/>
        <w:rPr>
          <w:rFonts w:ascii="Arial" w:cs="Arial" w:eastAsia="Arial" w:hAnsi="Arial"/>
          <w:sz w:val="18"/>
          <w:szCs w:val="18"/>
          <w:color w:val="auto"/>
        </w:rPr>
      </w:pPr>
    </w:p>
    <w:p>
      <w:pPr>
        <w:ind w:left="1300" w:right="3520" w:hanging="644"/>
        <w:spacing w:after="0" w:line="501"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of the close of business on October 30, 2018, Levcap beneficially owned 56,820 Shares. Percentage: Less than 1.0%.</w:t>
      </w:r>
    </w:p>
    <w:p>
      <w:pPr>
        <w:ind w:left="1300" w:hanging="644"/>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direct vote: 56,820*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56,820*</w:t>
      </w:r>
    </w:p>
    <w:p>
      <w:pPr>
        <w:spacing w:after="0" w:line="211" w:lineRule="exact"/>
        <w:rPr>
          <w:sz w:val="20"/>
          <w:szCs w:val="20"/>
          <w:color w:val="auto"/>
        </w:rPr>
      </w:pPr>
    </w:p>
    <w:p>
      <w:pPr>
        <w:ind w:firstLine="656"/>
        <w:spacing w:after="0" w:line="277" w:lineRule="auto"/>
        <w:tabs>
          <w:tab w:leader="none" w:pos="7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the general partner to Levcap, LCSEP has shared voting and dispositive power over these Shares. As the investment advisor to Levcap, LCS has shared voting and dispositive power over these Shares.</w:t>
      </w:r>
    </w:p>
    <w:p>
      <w:pPr>
        <w:spacing w:after="0" w:line="170" w:lineRule="exact"/>
        <w:rPr>
          <w:sz w:val="20"/>
          <w:szCs w:val="20"/>
          <w:color w:val="auto"/>
        </w:rPr>
      </w:pPr>
    </w:p>
    <w:p>
      <w:pPr>
        <w:ind w:left="1180" w:hanging="524"/>
        <w:spacing w:after="0"/>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Levcap has not undertaken any transactions in the Shares during the past 60 days.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 LCSEP</w:t>
      </w:r>
    </w:p>
    <w:p>
      <w:pPr>
        <w:spacing w:after="0" w:line="225" w:lineRule="exact"/>
        <w:rPr>
          <w:rFonts w:ascii="Arial" w:cs="Arial" w:eastAsia="Arial" w:hAnsi="Arial"/>
          <w:sz w:val="18"/>
          <w:szCs w:val="18"/>
          <w:color w:val="auto"/>
        </w:rPr>
      </w:pPr>
    </w:p>
    <w:p>
      <w:pPr>
        <w:ind w:left="1300" w:right="1280" w:hanging="644"/>
        <w:spacing w:after="0" w:line="501"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 the General Partner of Levcap, LCSEP is deemed to beneficially own the 56,820 Shares beneficially owned by Levcap. Percentage: Less than 1.0%.</w:t>
      </w:r>
    </w:p>
    <w:p>
      <w:pPr>
        <w:ind w:left="1300" w:hanging="644"/>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Shared power to vote or direct vote: 56,820*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56,820*</w:t>
      </w:r>
    </w:p>
    <w:p>
      <w:pPr>
        <w:spacing w:after="0" w:line="211" w:lineRule="exact"/>
        <w:rPr>
          <w:sz w:val="20"/>
          <w:szCs w:val="20"/>
          <w:color w:val="auto"/>
        </w:rPr>
      </w:pPr>
    </w:p>
    <w:p>
      <w:pPr>
        <w:ind w:firstLine="656"/>
        <w:spacing w:after="0" w:line="277" w:lineRule="auto"/>
        <w:tabs>
          <w:tab w:leader="none" w:pos="7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the general partner to Levcap, LCSEP has shared voting and dispositive power over these Shares. As the investment advisor to Levcap, LCS has shared voting and dispositive power over these Shares.</w:t>
      </w:r>
    </w:p>
    <w:p>
      <w:pPr>
        <w:spacing w:after="0" w:line="170" w:lineRule="exact"/>
        <w:rPr>
          <w:sz w:val="20"/>
          <w:szCs w:val="20"/>
          <w:color w:val="auto"/>
        </w:rPr>
      </w:pPr>
    </w:p>
    <w:p>
      <w:pPr>
        <w:ind w:left="1300" w:hanging="644"/>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LCSEP has not undertaken any transactions in the Shares during the past 60 days.</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Safinia</w:t>
      </w:r>
    </w:p>
    <w:p>
      <w:pPr>
        <w:spacing w:after="0" w:line="225" w:lineRule="exact"/>
        <w:rPr>
          <w:rFonts w:ascii="Arial" w:cs="Arial" w:eastAsia="Arial" w:hAnsi="Arial"/>
          <w:sz w:val="18"/>
          <w:szCs w:val="18"/>
          <w:color w:val="auto"/>
        </w:rPr>
      </w:pPr>
    </w:p>
    <w:p>
      <w:pPr>
        <w:ind w:left="1300" w:right="3540" w:hanging="644"/>
        <w:spacing w:after="0" w:line="501"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of the close of business on October 30, 2018, Safinia beneficially owned 19,818 Shares. Percentage: Less than 1.0%.</w:t>
      </w: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Shared power to vote or direct vote: 19,818*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19,818*</w:t>
      </w:r>
    </w:p>
    <w:p>
      <w:pPr>
        <w:spacing w:after="0" w:line="211" w:lineRule="exact"/>
        <w:rPr>
          <w:sz w:val="20"/>
          <w:szCs w:val="20"/>
          <w:color w:val="auto"/>
        </w:rPr>
      </w:pPr>
    </w:p>
    <w:p>
      <w:pPr>
        <w:ind w:firstLine="656"/>
        <w:spacing w:after="0" w:line="277" w:lineRule="auto"/>
        <w:tabs>
          <w:tab w:leader="none" w:pos="7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the general partner to Safinia, LCSLS has shared voting and dispositive power over these Shares. As the investment advisor to Safinia, LCS has shared voting and dispositive power over these Shares.</w:t>
      </w:r>
    </w:p>
    <w:p>
      <w:pPr>
        <w:spacing w:after="0" w:line="170" w:lineRule="exact"/>
        <w:rPr>
          <w:sz w:val="20"/>
          <w:szCs w:val="20"/>
          <w:color w:val="auto"/>
        </w:rPr>
      </w:pPr>
    </w:p>
    <w:p>
      <w:pPr>
        <w:ind w:left="1300" w:hanging="644"/>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Safinia has not undertaken any transactions in the Shares during the past 60 days.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 LCSLS</w:t>
      </w:r>
    </w:p>
    <w:p>
      <w:pPr>
        <w:spacing w:after="0" w:line="225" w:lineRule="exact"/>
        <w:rPr>
          <w:rFonts w:ascii="Arial" w:cs="Arial" w:eastAsia="Arial" w:hAnsi="Arial"/>
          <w:sz w:val="18"/>
          <w:szCs w:val="18"/>
          <w:color w:val="auto"/>
        </w:rPr>
      </w:pPr>
    </w:p>
    <w:p>
      <w:pPr>
        <w:ind w:left="1300" w:right="1320" w:hanging="644"/>
        <w:spacing w:after="0" w:line="501"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the General Partner of Safinia, LCSLS is deemed to beneficially own the 19,818 Shares beneficially owned by Safinia. Percentage: Less than 1.0%.</w:t>
      </w:r>
    </w:p>
    <w:p>
      <w:pPr>
        <w:ind w:left="1300" w:hanging="644"/>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power to vote or direct vote: 19,818*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19,818*</w:t>
      </w:r>
    </w:p>
    <w:p>
      <w:pPr>
        <w:spacing w:after="0" w:line="211" w:lineRule="exact"/>
        <w:rPr>
          <w:sz w:val="20"/>
          <w:szCs w:val="20"/>
          <w:color w:val="auto"/>
        </w:rPr>
      </w:pPr>
    </w:p>
    <w:p>
      <w:pPr>
        <w:ind w:firstLine="656"/>
        <w:spacing w:after="0" w:line="277" w:lineRule="auto"/>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the general partner to Safinia, LCSLS has shared voting and dispositive power over these Shares. As the investment advisor to Safinia, LCS has shared voting and dispositive power over these Shares.</w:t>
      </w:r>
    </w:p>
    <w:p>
      <w:pPr>
        <w:spacing w:after="0" w:line="170" w:lineRule="exact"/>
        <w:rPr>
          <w:sz w:val="20"/>
          <w:szCs w:val="20"/>
          <w:color w:val="auto"/>
        </w:rPr>
      </w:pPr>
    </w:p>
    <w:p>
      <w:pPr>
        <w:ind w:left="1300" w:hanging="644"/>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LCSLS has not undertaken any transactions in the Shares during the past 60 days.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John Levin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the Chief Executive Officer of LCS and the Managing Member of each of LCSEP and LCSLS, Mr. Levin is deemed to beneficially own 11,243,458 Shares beneficially owned by LCS.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28.7%.</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power to vote or direct vote: 8,244,950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11,243,458</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Mr. Levin has not undertaken any transactions in the Shares during the past 60 days. The transactions in the Shares by LCS during the past</w:t>
      </w:r>
    </w:p>
    <w:p>
      <w:pPr>
        <w:spacing w:after="0" w:line="46" w:lineRule="exact"/>
        <w:rPr>
          <w:rFonts w:ascii="Arial" w:cs="Arial" w:eastAsia="Arial" w:hAnsi="Arial"/>
          <w:sz w:val="16"/>
          <w:szCs w:val="16"/>
          <w:color w:val="auto"/>
        </w:rPr>
      </w:pPr>
    </w:p>
    <w:p>
      <w:pPr>
        <w:ind w:left="1520" w:hanging="215"/>
        <w:spacing w:after="0"/>
        <w:tabs>
          <w:tab w:leader="none" w:pos="15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days are set forth in Schedule A and are incorporated herein by reference.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To the best of the Reporting Persons’ knowledge, none of the persons listed on Appendix A beneficially owns any securities of the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34385P108</w:t>
      </w:r>
    </w:p>
    <w:p>
      <w:pPr>
        <w:spacing w:after="0" w:line="200" w:lineRule="exact"/>
        <w:rPr>
          <w:sz w:val="20"/>
          <w:szCs w:val="20"/>
          <w:color w:val="auto"/>
        </w:rPr>
      </w:pPr>
    </w:p>
    <w:p>
      <w:pPr>
        <w:spacing w:after="0" w:line="337" w:lineRule="exact"/>
        <w:rPr>
          <w:sz w:val="20"/>
          <w:szCs w:val="20"/>
          <w:color w:val="auto"/>
        </w:rPr>
      </w:pPr>
    </w:p>
    <w:p>
      <w:pPr>
        <w:jc w:val="both"/>
        <w:ind w:right="20" w:firstLine="656"/>
        <w:spacing w:after="0" w:line="264" w:lineRule="auto"/>
        <w:tabs>
          <w:tab w:leader="none" w:pos="11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separately managed account, Transamerica, a registered investment company under the Investment Company Act of 1940, as amended, for which LCS acts as sub-investment advisor, has the right to receive dividends from, and the proceeds from the sale of, 1,305,269 Shares. Voting and dispositive power over such Shares is deemed to be shared between LCS and Transamerica.</w:t>
      </w:r>
    </w:p>
    <w:p>
      <w:pPr>
        <w:spacing w:after="0" w:line="181"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Various other separately managed accounts for whom LCS acts as investment manager have the right to receive dividends from, and the proceeds from the sale of 9,765,945 Shares. Dispositive power over such Shares is shared. Voting power over such Shares is deemed shared between such managed accounts and LCS with respect to 6,767,437 Shares.</w:t>
      </w:r>
    </w:p>
    <w:p>
      <w:pPr>
        <w:spacing w:after="0" w:line="181" w:lineRule="exact"/>
        <w:rPr>
          <w:sz w:val="20"/>
          <w:szCs w:val="20"/>
          <w:color w:val="auto"/>
        </w:rPr>
      </w:pPr>
    </w:p>
    <w:p>
      <w:pPr>
        <w:ind w:left="1300" w:right="700" w:hanging="1296"/>
        <w:spacing w:after="0" w:line="277" w:lineRule="auto"/>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u w:val="single" w:color="auto"/>
          <w:color w:val="auto"/>
        </w:rPr>
        <w:t>CONTRACTS, ARRANGEMENTS, UNDERSTANDINGS OR RELATIONSHIPS WITH RESPECT TO SECURITIES OF THE ISSUER.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November 1, 2018,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u w:val="single" w:color="auto"/>
          <w:color w:val="auto"/>
        </w:rPr>
        <w:t>MATERIAL TO BE FILED AS EXHIBITS</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2018</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Levin Capital Strategies GP, LLC</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John A. Levin 2005 GRAT Separation Trust, as Managing</w:t>
            </w:r>
          </w:p>
        </w:tc>
      </w:tr>
      <w:tr>
        <w:trPr>
          <w:trHeight w:val="230"/>
        </w:trPr>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Member</w:t>
            </w:r>
          </w:p>
        </w:tc>
        <w:tc>
          <w:tcPr>
            <w:tcW w:w="368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Elisabeth Levin</w:t>
            </w:r>
          </w:p>
        </w:tc>
      </w:tr>
      <w:tr>
        <w:trPr>
          <w:trHeight w:val="195"/>
        </w:trPr>
        <w:tc>
          <w:tcPr>
            <w:tcW w:w="70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Elisabeth Levin</w:t>
            </w:r>
          </w:p>
        </w:tc>
      </w:tr>
      <w:tr>
        <w:trPr>
          <w:trHeight w:val="230"/>
        </w:trPr>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Trustee</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Bi-Directional Fund,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Levin Capital Strategies, L.P., the investment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648"/>
        </w:trPr>
        <w:tc>
          <w:tcPr>
            <w:tcW w:w="1720" w:type="dxa"/>
            <w:vAlign w:val="bottom"/>
            <w:gridSpan w:val="2"/>
          </w:tcPr>
          <w:p>
            <w:pPr>
              <w:spacing w:after="0"/>
              <w:rPr>
                <w:sz w:val="20"/>
                <w:szCs w:val="20"/>
                <w:color w:val="auto"/>
              </w:rPr>
            </w:pPr>
            <w:r>
              <w:rPr>
                <w:rFonts w:ascii="Arial" w:cs="Arial" w:eastAsia="Arial" w:hAnsi="Arial"/>
                <w:sz w:val="18"/>
                <w:szCs w:val="18"/>
                <w:color w:val="auto"/>
              </w:rPr>
              <w:t>LCS, LLC</w:t>
            </w:r>
          </w:p>
        </w:tc>
        <w:tc>
          <w:tcPr>
            <w:tcW w:w="36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John A. Levin</w:t>
            </w:r>
          </w:p>
        </w:tc>
        <w:tc>
          <w:tcPr>
            <w:tcW w:w="3680" w:type="dxa"/>
            <w:vAlign w:val="bottom"/>
            <w:tcBorders>
              <w:bottom w:val="single" w:sz="8" w:color="auto"/>
            </w:tcBorders>
          </w:tcPr>
          <w:p>
            <w:pPr>
              <w:spacing w:after="0"/>
              <w:rPr>
                <w:sz w:val="24"/>
                <w:szCs w:val="24"/>
                <w:color w:val="auto"/>
              </w:rPr>
            </w:pPr>
          </w:p>
        </w:tc>
      </w:tr>
      <w:tr>
        <w:trPr>
          <w:trHeight w:val="195"/>
        </w:trPr>
        <w:tc>
          <w:tcPr>
            <w:tcW w:w="70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Levcap Alternative Fund,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Event Partners, LLC, 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CUSIP NO. 34385P108</w:t>
      </w:r>
    </w:p>
    <w:p>
      <w:pPr>
        <w:spacing w:after="0" w:line="32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LCS Event Partners, LLC</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20" w:type="dxa"/>
            <w:vAlign w:val="bottom"/>
            <w:gridSpan w:val="2"/>
          </w:tcPr>
          <w:p>
            <w:pPr>
              <w:spacing w:after="0"/>
              <w:rPr>
                <w:sz w:val="20"/>
                <w:szCs w:val="20"/>
                <w:color w:val="auto"/>
              </w:rPr>
            </w:pPr>
            <w:r>
              <w:rPr>
                <w:rFonts w:ascii="Arial" w:cs="Arial" w:eastAsia="Arial" w:hAnsi="Arial"/>
                <w:sz w:val="18"/>
                <w:szCs w:val="18"/>
                <w:color w:val="auto"/>
                <w:w w:val="94"/>
              </w:rPr>
              <w:t>Safinia Partners, L.P.</w:t>
            </w:r>
          </w:p>
        </w:tc>
        <w:tc>
          <w:tcPr>
            <w:tcW w:w="37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L/S, LLC, 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20" w:type="dxa"/>
            <w:vAlign w:val="bottom"/>
            <w:gridSpan w:val="2"/>
          </w:tcPr>
          <w:p>
            <w:pPr>
              <w:spacing w:after="0"/>
              <w:rPr>
                <w:sz w:val="20"/>
                <w:szCs w:val="20"/>
                <w:color w:val="auto"/>
              </w:rPr>
            </w:pPr>
            <w:r>
              <w:rPr>
                <w:rFonts w:ascii="Arial" w:cs="Arial" w:eastAsia="Arial" w:hAnsi="Arial"/>
                <w:sz w:val="18"/>
                <w:szCs w:val="18"/>
                <w:color w:val="auto"/>
              </w:rPr>
              <w:t>LCS L/S, LLC</w:t>
            </w:r>
          </w:p>
        </w:tc>
        <w:tc>
          <w:tcPr>
            <w:tcW w:w="37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John A. Levin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302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CUSIP NO. 34385P108</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in the Shares During the Past Sixty Days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320" w:type="dxa"/>
            <w:vAlign w:val="bottom"/>
            <w:tcBorders>
              <w:top w:val="single" w:sz="8" w:color="auto"/>
              <w:left w:val="single" w:sz="8" w:color="auto"/>
              <w:right w:val="single" w:sz="8" w:color="auto"/>
            </w:tcBorders>
            <w:vMerge w:val="restart"/>
            <w:shd w:val="clear" w:color="auto" w:fill="C0C0C0"/>
          </w:tcPr>
          <w:p>
            <w:pPr>
              <w:jc w:val="right"/>
              <w:ind w:right="910"/>
              <w:spacing w:after="0"/>
              <w:rPr>
                <w:sz w:val="20"/>
                <w:szCs w:val="20"/>
                <w:color w:val="auto"/>
              </w:rPr>
            </w:pPr>
            <w:r>
              <w:rPr>
                <w:rFonts w:ascii="Arial" w:cs="Arial" w:eastAsia="Arial" w:hAnsi="Arial"/>
                <w:sz w:val="18"/>
                <w:szCs w:val="18"/>
                <w:color w:val="auto"/>
              </w:rPr>
              <w:t>Date</w:t>
            </w:r>
          </w:p>
        </w:tc>
        <w:tc>
          <w:tcPr>
            <w:tcW w:w="2280" w:type="dxa"/>
            <w:vAlign w:val="bottom"/>
            <w:tcBorders>
              <w:top w:val="single" w:sz="8" w:color="auto"/>
              <w:right w:val="single" w:sz="8" w:color="auto"/>
            </w:tcBorders>
            <w:vMerge w:val="restart"/>
            <w:shd w:val="clear" w:color="auto" w:fill="C0C0C0"/>
          </w:tcPr>
          <w:p>
            <w:pPr>
              <w:ind w:left="700"/>
              <w:spacing w:after="0"/>
              <w:rPr>
                <w:sz w:val="20"/>
                <w:szCs w:val="20"/>
                <w:color w:val="auto"/>
              </w:rPr>
            </w:pPr>
            <w:r>
              <w:rPr>
                <w:rFonts w:ascii="Arial" w:cs="Arial" w:eastAsia="Arial" w:hAnsi="Arial"/>
                <w:sz w:val="18"/>
                <w:szCs w:val="18"/>
                <w:color w:val="auto"/>
              </w:rPr>
              <w:t>Buy or Sell</w:t>
            </w:r>
          </w:p>
        </w:tc>
        <w:tc>
          <w:tcPr>
            <w:tcW w:w="2280" w:type="dxa"/>
            <w:vAlign w:val="bottom"/>
            <w:tcBorders>
              <w:top w:val="single" w:sz="8" w:color="auto"/>
              <w:right w:val="single" w:sz="8" w:color="auto"/>
            </w:tcBorders>
            <w:vMerge w:val="restart"/>
            <w:shd w:val="clear" w:color="auto" w:fill="C0C0C0"/>
          </w:tcPr>
          <w:p>
            <w:pPr>
              <w:jc w:val="right"/>
              <w:ind w:right="750"/>
              <w:spacing w:after="0"/>
              <w:rPr>
                <w:sz w:val="20"/>
                <w:szCs w:val="20"/>
                <w:color w:val="auto"/>
              </w:rPr>
            </w:pPr>
            <w:r>
              <w:rPr>
                <w:rFonts w:ascii="Arial" w:cs="Arial" w:eastAsia="Arial" w:hAnsi="Arial"/>
                <w:sz w:val="18"/>
                <w:szCs w:val="18"/>
                <w:color w:val="auto"/>
              </w:rPr>
              <w:t>Quantity</w:t>
            </w:r>
          </w:p>
        </w:tc>
        <w:tc>
          <w:tcPr>
            <w:tcW w:w="22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8"/>
              </w:rPr>
              <w:t>Price Per Share (before</w:t>
            </w:r>
          </w:p>
        </w:tc>
        <w:tc>
          <w:tcPr>
            <w:tcW w:w="2260" w:type="dxa"/>
            <w:vAlign w:val="bottom"/>
            <w:tcBorders>
              <w:top w:val="single" w:sz="8" w:color="auto"/>
              <w:right w:val="single" w:sz="8" w:color="auto"/>
            </w:tcBorders>
            <w:vMerge w:val="restart"/>
            <w:shd w:val="clear" w:color="auto" w:fill="C0C0C0"/>
          </w:tcPr>
          <w:p>
            <w:pPr>
              <w:ind w:left="500"/>
              <w:spacing w:after="0"/>
              <w:rPr>
                <w:sz w:val="20"/>
                <w:szCs w:val="20"/>
                <w:color w:val="auto"/>
              </w:rPr>
            </w:pPr>
            <w:r>
              <w:rPr>
                <w:rFonts w:ascii="Arial" w:cs="Arial" w:eastAsia="Arial" w:hAnsi="Arial"/>
                <w:sz w:val="18"/>
                <w:szCs w:val="18"/>
                <w:color w:val="auto"/>
              </w:rPr>
              <w:t>Reporting Person</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continue"/>
            <w:shd w:val="clear" w:color="auto" w:fill="C0C0C0"/>
          </w:tcPr>
          <w:p>
            <w:pPr>
              <w:spacing w:after="0"/>
              <w:rPr>
                <w:sz w:val="10"/>
                <w:szCs w:val="10"/>
                <w:color w:val="auto"/>
              </w:rPr>
            </w:pPr>
          </w:p>
        </w:tc>
        <w:tc>
          <w:tcPr>
            <w:tcW w:w="2280" w:type="dxa"/>
            <w:vAlign w:val="bottom"/>
            <w:tcBorders>
              <w:right w:val="single" w:sz="8" w:color="auto"/>
            </w:tcBorders>
            <w:vMerge w:val="continue"/>
            <w:shd w:val="clear" w:color="auto" w:fill="C0C0C0"/>
          </w:tcPr>
          <w:p>
            <w:pPr>
              <w:spacing w:after="0"/>
              <w:rPr>
                <w:sz w:val="10"/>
                <w:szCs w:val="10"/>
                <w:color w:val="auto"/>
              </w:rPr>
            </w:pPr>
          </w:p>
        </w:tc>
        <w:tc>
          <w:tcPr>
            <w:tcW w:w="2280" w:type="dxa"/>
            <w:vAlign w:val="bottom"/>
            <w:tcBorders>
              <w:right w:val="single" w:sz="8" w:color="auto"/>
            </w:tcBorders>
            <w:vMerge w:val="continue"/>
            <w:shd w:val="clear" w:color="auto" w:fill="C0C0C0"/>
          </w:tcPr>
          <w:p>
            <w:pPr>
              <w:spacing w:after="0"/>
              <w:rPr>
                <w:sz w:val="10"/>
                <w:szCs w:val="10"/>
                <w:color w:val="auto"/>
              </w:rPr>
            </w:pPr>
          </w:p>
        </w:tc>
        <w:tc>
          <w:tcPr>
            <w:tcW w:w="22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color w:val="auto"/>
                <w:w w:val="91"/>
              </w:rPr>
              <w:t>commission)</w:t>
            </w:r>
          </w:p>
        </w:tc>
        <w:tc>
          <w:tcPr>
            <w:tcW w:w="2260" w:type="dxa"/>
            <w:vAlign w:val="bottom"/>
            <w:tcBorders>
              <w:right w:val="single" w:sz="8" w:color="auto"/>
            </w:tcBorders>
            <w:vMerge w:val="continue"/>
            <w:shd w:val="clear" w:color="auto" w:fill="C0C0C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shd w:val="clear" w:color="auto" w:fill="C0C0C0"/>
          </w:tcPr>
          <w:p>
            <w:pPr>
              <w:spacing w:after="0"/>
              <w:rPr>
                <w:sz w:val="9"/>
                <w:szCs w:val="9"/>
                <w:color w:val="auto"/>
              </w:rPr>
            </w:pPr>
          </w:p>
        </w:tc>
        <w:tc>
          <w:tcPr>
            <w:tcW w:w="2280" w:type="dxa"/>
            <w:vAlign w:val="bottom"/>
            <w:tcBorders>
              <w:bottom w:val="single" w:sz="8" w:color="auto"/>
              <w:right w:val="single" w:sz="8" w:color="auto"/>
            </w:tcBorders>
            <w:shd w:val="clear" w:color="auto" w:fill="C0C0C0"/>
          </w:tcPr>
          <w:p>
            <w:pPr>
              <w:spacing w:after="0"/>
              <w:rPr>
                <w:sz w:val="9"/>
                <w:szCs w:val="9"/>
                <w:color w:val="auto"/>
              </w:rPr>
            </w:pPr>
          </w:p>
        </w:tc>
        <w:tc>
          <w:tcPr>
            <w:tcW w:w="2280" w:type="dxa"/>
            <w:vAlign w:val="bottom"/>
            <w:tcBorders>
              <w:bottom w:val="single" w:sz="8" w:color="auto"/>
              <w:right w:val="single" w:sz="8" w:color="auto"/>
            </w:tcBorders>
            <w:shd w:val="clear" w:color="auto" w:fill="C0C0C0"/>
          </w:tcPr>
          <w:p>
            <w:pPr>
              <w:spacing w:after="0"/>
              <w:rPr>
                <w:sz w:val="9"/>
                <w:szCs w:val="9"/>
                <w:color w:val="auto"/>
              </w:rPr>
            </w:pPr>
          </w:p>
        </w:tc>
        <w:tc>
          <w:tcPr>
            <w:tcW w:w="2280" w:type="dxa"/>
            <w:vAlign w:val="bottom"/>
            <w:tcBorders>
              <w:bottom w:val="single" w:sz="8" w:color="auto"/>
              <w:right w:val="single" w:sz="8" w:color="auto"/>
            </w:tcBorders>
            <w:vMerge w:val="continue"/>
            <w:shd w:val="clear" w:color="auto" w:fill="C0C0C0"/>
          </w:tcPr>
          <w:p>
            <w:pPr>
              <w:spacing w:after="0"/>
              <w:rPr>
                <w:sz w:val="9"/>
                <w:szCs w:val="9"/>
                <w:color w:val="auto"/>
              </w:rPr>
            </w:pPr>
          </w:p>
        </w:tc>
        <w:tc>
          <w:tcPr>
            <w:tcW w:w="2260" w:type="dxa"/>
            <w:vAlign w:val="bottom"/>
            <w:tcBorders>
              <w:bottom w:val="single" w:sz="8" w:color="auto"/>
              <w:right w:val="single" w:sz="8" w:color="auto"/>
            </w:tcBorders>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IA termination</w:t>
            </w:r>
            <w:r>
              <w:rPr>
                <w:rFonts w:ascii="Arial" w:cs="Arial" w:eastAsia="Arial" w:hAnsi="Arial"/>
                <w:sz w:val="30"/>
                <w:szCs w:val="30"/>
                <w:color w:val="auto"/>
                <w:vertAlign w:val="superscript"/>
              </w:rPr>
              <w:t>1</w:t>
            </w: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10/30/2018</w:t>
            </w:r>
          </w:p>
        </w:tc>
        <w:tc>
          <w:tcPr>
            <w:tcW w:w="22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2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1,576,397</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10/25/2018</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2,599</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7.1875</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10/24/2018</w:t>
            </w:r>
          </w:p>
        </w:tc>
        <w:tc>
          <w:tcPr>
            <w:tcW w:w="22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7,363</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7.2110</w:t>
            </w:r>
          </w:p>
        </w:tc>
        <w:tc>
          <w:tcPr>
            <w:tcW w:w="2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10/19/2018</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25,209</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7.5065</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10/12/2018</w:t>
            </w:r>
          </w:p>
        </w:tc>
        <w:tc>
          <w:tcPr>
            <w:tcW w:w="22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7.4500</w:t>
            </w:r>
          </w:p>
        </w:tc>
        <w:tc>
          <w:tcPr>
            <w:tcW w:w="2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10/11/2018</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7.4398</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10/09/2018</w:t>
            </w:r>
          </w:p>
        </w:tc>
        <w:tc>
          <w:tcPr>
            <w:tcW w:w="22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34,896</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7.2850</w:t>
            </w:r>
          </w:p>
        </w:tc>
        <w:tc>
          <w:tcPr>
            <w:tcW w:w="2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10/01/2018</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7.5600</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IA termination</w:t>
            </w:r>
            <w:r>
              <w:rPr>
                <w:rFonts w:ascii="Arial" w:cs="Arial" w:eastAsia="Arial" w:hAnsi="Arial"/>
                <w:sz w:val="30"/>
                <w:szCs w:val="30"/>
                <w:color w:val="auto"/>
                <w:vertAlign w:val="superscript"/>
              </w:rPr>
              <w:t>2</w:t>
            </w: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09/28/2018</w:t>
            </w:r>
          </w:p>
        </w:tc>
        <w:tc>
          <w:tcPr>
            <w:tcW w:w="22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2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29,070</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09/27/2018</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7.5300</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09/25/2018</w:t>
            </w:r>
          </w:p>
        </w:tc>
        <w:tc>
          <w:tcPr>
            <w:tcW w:w="22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2,940</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7.9752</w:t>
            </w:r>
          </w:p>
        </w:tc>
        <w:tc>
          <w:tcPr>
            <w:tcW w:w="2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09/19/2018</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8.2200</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09/11/2018</w:t>
            </w:r>
          </w:p>
        </w:tc>
        <w:tc>
          <w:tcPr>
            <w:tcW w:w="22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8.4200</w:t>
            </w:r>
          </w:p>
        </w:tc>
        <w:tc>
          <w:tcPr>
            <w:tcW w:w="2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8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09/06/2018</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7.8400</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80" w:type="dxa"/>
            <w:vAlign w:val="bottom"/>
            <w:tcBorders>
              <w:right w:val="single" w:sz="8" w:color="auto"/>
            </w:tcBorders>
            <w:shd w:val="clear" w:color="auto" w:fill="CCEEFF"/>
          </w:tcPr>
          <w:p>
            <w:pPr>
              <w:spacing w:after="0"/>
              <w:rPr>
                <w:sz w:val="16"/>
                <w:szCs w:val="16"/>
                <w:color w:val="auto"/>
              </w:rPr>
            </w:pPr>
          </w:p>
        </w:tc>
        <w:tc>
          <w:tcPr>
            <w:tcW w:w="2260" w:type="dxa"/>
            <w:vAlign w:val="bottom"/>
            <w:tcBorders>
              <w:right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Levin Capital Strategies,</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09/05/2018</w:t>
            </w:r>
          </w:p>
        </w:tc>
        <w:tc>
          <w:tcPr>
            <w:tcW w:w="228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Buy</w:t>
            </w:r>
          </w:p>
        </w:tc>
        <w:tc>
          <w:tcPr>
            <w:tcW w:w="22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7.8499</w:t>
            </w:r>
          </w:p>
        </w:tc>
        <w:tc>
          <w:tcPr>
            <w:tcW w:w="22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L.P.</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8"/>
        <w:spacing w:after="0" w:line="221" w:lineRule="auto"/>
        <w:tabs>
          <w:tab w:leader="none" w:pos="126" w:val="left"/>
        </w:tabs>
        <w:numPr>
          <w:ilvl w:val="0"/>
          <w:numId w:val="30"/>
        </w:numPr>
        <w:rPr>
          <w:rFonts w:ascii="Arial" w:cs="Arial" w:eastAsia="Arial" w:hAnsi="Arial"/>
          <w:sz w:val="26"/>
          <w:szCs w:val="26"/>
          <w:color w:val="auto"/>
          <w:vertAlign w:val="superscript"/>
        </w:rPr>
      </w:pPr>
      <w:r>
        <w:rPr>
          <w:rFonts w:ascii="Arial" w:cs="Arial" w:eastAsia="Arial" w:hAnsi="Arial"/>
          <w:sz w:val="16"/>
          <w:szCs w:val="16"/>
          <w:color w:val="auto"/>
        </w:rPr>
        <w:t>On October 30, 2018, one of the Managed Accounts that held 1,576,397 shares closed. Accordingly, as of October 30, 2018, LCS ceased to serve as the investment manager for such Managed Account and as such, relinquished all voting and dispositive power over the shares held in the Managed Account.</w:t>
      </w:r>
    </w:p>
    <w:p>
      <w:pPr>
        <w:spacing w:after="0" w:line="244" w:lineRule="exact"/>
        <w:rPr>
          <w:sz w:val="20"/>
          <w:szCs w:val="20"/>
          <w:color w:val="auto"/>
        </w:rPr>
      </w:pPr>
    </w:p>
    <w:p>
      <w:pPr>
        <w:ind w:firstLine="8"/>
        <w:spacing w:after="0" w:line="221" w:lineRule="auto"/>
        <w:tabs>
          <w:tab w:leader="none" w:pos="1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On September 28, 2018, one of the Managed Accounts that held 29,670 shares closed. Accordingly, as of September 28, 2018, LCS ceased to serve as the investment manager for such Managed Account and as such, relinquished all voting and dispositive powew over the shares held in the Managed Account.</w:t>
      </w:r>
    </w:p>
    <w:p>
      <w:pPr>
        <w:sectPr>
          <w:pgSz w:w="11900" w:h="16838" w:orient="portrait"/>
          <w:cols w:equalWidth="0" w:num="1">
            <w:col w:w="11420"/>
          </w:cols>
          <w:pgMar w:left="240" w:top="226"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$0.001 par value, of Fluidigm Corporation, a Delaware corporation. This Joint Filing Agreement shall be filed as an Exhibit to such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2018</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59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c>
          <w:tcPr>
            <w:tcW w:w="100" w:type="dxa"/>
            <w:vAlign w:val="bottom"/>
          </w:tcPr>
          <w:p>
            <w:pPr>
              <w:spacing w:after="0"/>
              <w:rPr>
                <w:sz w:val="20"/>
                <w:szCs w:val="20"/>
                <w:color w:val="auto"/>
              </w:rPr>
            </w:pPr>
          </w:p>
        </w:tc>
      </w:tr>
      <w:tr>
        <w:trPr>
          <w:trHeight w:val="195"/>
        </w:trPr>
        <w:tc>
          <w:tcPr>
            <w:tcW w:w="66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John A. Levin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20"/>
                <w:szCs w:val="20"/>
                <w:color w:val="auto"/>
              </w:rPr>
            </w:pPr>
          </w:p>
        </w:tc>
      </w:tr>
      <w:tr>
        <w:trPr>
          <w:trHeight w:val="648"/>
        </w:trPr>
        <w:tc>
          <w:tcPr>
            <w:tcW w:w="11320" w:type="dxa"/>
            <w:vAlign w:val="bottom"/>
            <w:gridSpan w:val="3"/>
          </w:tcPr>
          <w:p>
            <w:pPr>
              <w:ind w:left="5920"/>
              <w:spacing w:after="0"/>
              <w:rPr>
                <w:sz w:val="20"/>
                <w:szCs w:val="20"/>
                <w:color w:val="auto"/>
              </w:rPr>
            </w:pPr>
            <w:r>
              <w:rPr>
                <w:rFonts w:ascii="Arial" w:cs="Arial" w:eastAsia="Arial" w:hAnsi="Arial"/>
                <w:sz w:val="18"/>
                <w:szCs w:val="18"/>
                <w:color w:val="auto"/>
              </w:rPr>
              <w:t>Levin Capital Strategies GP, LLC</w:t>
            </w:r>
          </w:p>
        </w:tc>
        <w:tc>
          <w:tcPr>
            <w:tcW w:w="100" w:type="dxa"/>
            <w:vAlign w:val="bottom"/>
          </w:tcPr>
          <w:p>
            <w:pPr>
              <w:spacing w:after="0"/>
              <w:rPr>
                <w:sz w:val="24"/>
                <w:szCs w:val="24"/>
                <w:color w:val="auto"/>
              </w:rPr>
            </w:pPr>
          </w:p>
        </w:tc>
      </w:tr>
      <w:tr>
        <w:trPr>
          <w:trHeight w:val="418"/>
        </w:trPr>
        <w:tc>
          <w:tcPr>
            <w:tcW w:w="6620" w:type="dxa"/>
            <w:vAlign w:val="bottom"/>
          </w:tcPr>
          <w:p>
            <w:pPr>
              <w:ind w:left="592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John A. Levin 2005 GRAT Separation Trust, as Managing</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Member</w:t>
            </w: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20" w:type="dxa"/>
            <w:vAlign w:val="bottom"/>
          </w:tcPr>
          <w:p>
            <w:pPr>
              <w:ind w:left="59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Elisabeth Levin</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Elisabeth Levin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Trustee</w:t>
            </w:r>
          </w:p>
        </w:tc>
        <w:tc>
          <w:tcPr>
            <w:tcW w:w="100" w:type="dxa"/>
            <w:vAlign w:val="bottom"/>
          </w:tcPr>
          <w:p>
            <w:pPr>
              <w:spacing w:after="0"/>
              <w:rPr>
                <w:sz w:val="20"/>
                <w:szCs w:val="20"/>
                <w:color w:val="auto"/>
              </w:rPr>
            </w:pPr>
          </w:p>
        </w:tc>
      </w:tr>
      <w:tr>
        <w:trPr>
          <w:trHeight w:val="648"/>
        </w:trPr>
        <w:tc>
          <w:tcPr>
            <w:tcW w:w="11320" w:type="dxa"/>
            <w:vAlign w:val="bottom"/>
            <w:gridSpan w:val="3"/>
          </w:tcPr>
          <w:p>
            <w:pPr>
              <w:ind w:left="5920"/>
              <w:spacing w:after="0"/>
              <w:rPr>
                <w:sz w:val="20"/>
                <w:szCs w:val="20"/>
                <w:color w:val="auto"/>
              </w:rPr>
            </w:pPr>
            <w:r>
              <w:rPr>
                <w:rFonts w:ascii="Arial" w:cs="Arial" w:eastAsia="Arial" w:hAnsi="Arial"/>
                <w:sz w:val="18"/>
                <w:szCs w:val="18"/>
                <w:color w:val="auto"/>
              </w:rPr>
              <w:t>Bi-Directional Fund, L.P.</w:t>
            </w:r>
          </w:p>
        </w:tc>
        <w:tc>
          <w:tcPr>
            <w:tcW w:w="100" w:type="dxa"/>
            <w:vAlign w:val="bottom"/>
          </w:tcPr>
          <w:p>
            <w:pPr>
              <w:spacing w:after="0"/>
              <w:rPr>
                <w:sz w:val="24"/>
                <w:szCs w:val="24"/>
                <w:color w:val="auto"/>
              </w:rPr>
            </w:pPr>
          </w:p>
        </w:tc>
      </w:tr>
      <w:tr>
        <w:trPr>
          <w:trHeight w:val="432"/>
        </w:trPr>
        <w:tc>
          <w:tcPr>
            <w:tcW w:w="6620" w:type="dxa"/>
            <w:vAlign w:val="bottom"/>
          </w:tcPr>
          <w:p>
            <w:pPr>
              <w:ind w:left="592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Levin Capital Strategies, L.P., the investment manager</w:t>
            </w:r>
          </w:p>
        </w:tc>
        <w:tc>
          <w:tcPr>
            <w:tcW w:w="100" w:type="dxa"/>
            <w:vAlign w:val="bottom"/>
          </w:tcPr>
          <w:p>
            <w:pPr>
              <w:spacing w:after="0"/>
              <w:rPr>
                <w:sz w:val="24"/>
                <w:szCs w:val="24"/>
                <w:color w:val="auto"/>
              </w:rPr>
            </w:pPr>
          </w:p>
        </w:tc>
      </w:tr>
      <w:tr>
        <w:trPr>
          <w:trHeight w:val="432"/>
        </w:trPr>
        <w:tc>
          <w:tcPr>
            <w:tcW w:w="6620" w:type="dxa"/>
            <w:vAlign w:val="bottom"/>
          </w:tcPr>
          <w:p>
            <w:pPr>
              <w:ind w:left="59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John A. Levin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648"/>
        </w:trPr>
        <w:tc>
          <w:tcPr>
            <w:tcW w:w="7640" w:type="dxa"/>
            <w:vAlign w:val="bottom"/>
            <w:gridSpan w:val="2"/>
          </w:tcPr>
          <w:p>
            <w:pPr>
              <w:ind w:left="5920"/>
              <w:spacing w:after="0"/>
              <w:rPr>
                <w:sz w:val="20"/>
                <w:szCs w:val="20"/>
                <w:color w:val="auto"/>
              </w:rPr>
            </w:pPr>
            <w:r>
              <w:rPr>
                <w:rFonts w:ascii="Arial" w:cs="Arial" w:eastAsia="Arial" w:hAnsi="Arial"/>
                <w:sz w:val="18"/>
                <w:szCs w:val="18"/>
                <w:color w:val="auto"/>
              </w:rPr>
              <w:t>LCS, LLC</w:t>
            </w: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20" w:type="dxa"/>
            <w:vAlign w:val="bottom"/>
          </w:tcPr>
          <w:p>
            <w:pPr>
              <w:ind w:left="5920"/>
              <w:spacing w:after="0"/>
              <w:rPr>
                <w:sz w:val="20"/>
                <w:szCs w:val="20"/>
                <w:color w:val="auto"/>
              </w:rPr>
            </w:pPr>
            <w:r>
              <w:rPr>
                <w:rFonts w:ascii="Arial" w:cs="Arial" w:eastAsia="Arial" w:hAnsi="Arial"/>
                <w:sz w:val="18"/>
                <w:szCs w:val="18"/>
                <w:color w:val="auto"/>
              </w:rPr>
              <w:t>By:</w:t>
            </w: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John A. Levin</w:t>
            </w:r>
          </w:p>
        </w:tc>
        <w:tc>
          <w:tcPr>
            <w:tcW w:w="3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John A. Levin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648"/>
        </w:trPr>
        <w:tc>
          <w:tcPr>
            <w:tcW w:w="11320" w:type="dxa"/>
            <w:vAlign w:val="bottom"/>
            <w:gridSpan w:val="3"/>
          </w:tcPr>
          <w:p>
            <w:pPr>
              <w:ind w:left="5920"/>
              <w:spacing w:after="0"/>
              <w:rPr>
                <w:sz w:val="20"/>
                <w:szCs w:val="20"/>
                <w:color w:val="auto"/>
              </w:rPr>
            </w:pPr>
            <w:r>
              <w:rPr>
                <w:rFonts w:ascii="Arial" w:cs="Arial" w:eastAsia="Arial" w:hAnsi="Arial"/>
                <w:sz w:val="18"/>
                <w:szCs w:val="18"/>
                <w:color w:val="auto"/>
              </w:rPr>
              <w:t>Levcap Alternative Fund, L.P</w:t>
            </w:r>
          </w:p>
        </w:tc>
        <w:tc>
          <w:tcPr>
            <w:tcW w:w="100" w:type="dxa"/>
            <w:vAlign w:val="bottom"/>
          </w:tcPr>
          <w:p>
            <w:pPr>
              <w:spacing w:after="0"/>
              <w:rPr>
                <w:sz w:val="24"/>
                <w:szCs w:val="24"/>
                <w:color w:val="auto"/>
              </w:rPr>
            </w:pPr>
          </w:p>
        </w:tc>
      </w:tr>
      <w:tr>
        <w:trPr>
          <w:trHeight w:val="432"/>
        </w:trPr>
        <w:tc>
          <w:tcPr>
            <w:tcW w:w="6620" w:type="dxa"/>
            <w:vAlign w:val="bottom"/>
          </w:tcPr>
          <w:p>
            <w:pPr>
              <w:ind w:left="592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Event Partners, LLC, its General Partner</w:t>
            </w:r>
          </w:p>
        </w:tc>
        <w:tc>
          <w:tcPr>
            <w:tcW w:w="100" w:type="dxa"/>
            <w:vAlign w:val="bottom"/>
          </w:tcPr>
          <w:p>
            <w:pPr>
              <w:spacing w:after="0"/>
              <w:rPr>
                <w:sz w:val="24"/>
                <w:szCs w:val="24"/>
                <w:color w:val="auto"/>
              </w:rPr>
            </w:pPr>
          </w:p>
        </w:tc>
      </w:tr>
      <w:tr>
        <w:trPr>
          <w:trHeight w:val="432"/>
        </w:trPr>
        <w:tc>
          <w:tcPr>
            <w:tcW w:w="6620" w:type="dxa"/>
            <w:vAlign w:val="bottom"/>
          </w:tcPr>
          <w:p>
            <w:pPr>
              <w:ind w:left="59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John A. Levin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324"/>
        </w:trPr>
        <w:tc>
          <w:tcPr>
            <w:tcW w:w="6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ind w:left="4720"/>
        <w:spacing w:after="0"/>
        <w:rPr>
          <w:sz w:val="20"/>
          <w:szCs w:val="20"/>
          <w:color w:val="auto"/>
        </w:rPr>
      </w:pPr>
      <w:r>
        <w:rPr>
          <w:rFonts w:ascii="Arial" w:cs="Arial" w:eastAsia="Arial" w:hAnsi="Arial"/>
          <w:sz w:val="18"/>
          <w:szCs w:val="18"/>
          <w:color w:val="auto"/>
        </w:rPr>
        <w:t>LCS Event Partners, LLC</w:t>
      </w:r>
    </w:p>
    <w:p>
      <w:pPr>
        <w:spacing w:after="0" w:line="225" w:lineRule="exact"/>
        <w:rPr>
          <w:sz w:val="20"/>
          <w:szCs w:val="20"/>
          <w:color w:val="auto"/>
        </w:rPr>
      </w:pPr>
    </w:p>
    <w:tbl>
      <w:tblPr>
        <w:tblLayout w:type="fixed"/>
        <w:tblInd w:w="47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20" w:type="dxa"/>
            <w:vAlign w:val="bottom"/>
            <w:gridSpan w:val="2"/>
          </w:tcPr>
          <w:p>
            <w:pPr>
              <w:spacing w:after="0"/>
              <w:rPr>
                <w:sz w:val="20"/>
                <w:szCs w:val="20"/>
                <w:color w:val="auto"/>
              </w:rPr>
            </w:pPr>
            <w:r>
              <w:rPr>
                <w:rFonts w:ascii="Arial" w:cs="Arial" w:eastAsia="Arial" w:hAnsi="Arial"/>
                <w:sz w:val="18"/>
                <w:szCs w:val="18"/>
                <w:color w:val="auto"/>
                <w:w w:val="94"/>
              </w:rPr>
              <w:t>Safinia Partners, L.P.</w:t>
            </w:r>
          </w:p>
        </w:tc>
        <w:tc>
          <w:tcPr>
            <w:tcW w:w="37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L/S, LLC, 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20" w:type="dxa"/>
            <w:vAlign w:val="bottom"/>
            <w:gridSpan w:val="2"/>
          </w:tcPr>
          <w:p>
            <w:pPr>
              <w:spacing w:after="0"/>
              <w:rPr>
                <w:sz w:val="20"/>
                <w:szCs w:val="20"/>
                <w:color w:val="auto"/>
              </w:rPr>
            </w:pPr>
            <w:r>
              <w:rPr>
                <w:rFonts w:ascii="Arial" w:cs="Arial" w:eastAsia="Arial" w:hAnsi="Arial"/>
                <w:sz w:val="18"/>
                <w:szCs w:val="18"/>
                <w:color w:val="auto"/>
              </w:rPr>
              <w:t>LCS L/S, LLC</w:t>
            </w:r>
          </w:p>
        </w:tc>
        <w:tc>
          <w:tcPr>
            <w:tcW w:w="37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John A. Levin</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-130810</wp:posOffset>
            </wp:positionV>
            <wp:extent cx="34302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sectPr>
      <w:pgSz w:w="11900" w:h="16838" w:orient="portrait"/>
      <w:cols w:equalWidth="0" w:num="1">
        <w:col w:w="10120"/>
      </w:cols>
      <w:pgMar w:left="144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1"/>
      <w:numFmt w:val="decimal"/>
      <w:start w:val="14"/>
    </w:lvl>
  </w:abstractNum>
  <w:abstractNum w:abstractNumId="3">
    <w:nsid w:val="519B500D"/>
    <w:multiLevelType w:val="hybridMultilevel"/>
    <w:lvl w:ilvl="0">
      <w:lvlJc w:val="left"/>
      <w:lvlText w:val="%1"/>
      <w:numFmt w:val="decimal"/>
      <w:start w:val="14"/>
    </w:lvl>
  </w:abstractNum>
  <w:abstractNum w:abstractNumId="4">
    <w:nsid w:val="431BD7B7"/>
    <w:multiLevelType w:val="hybridMultilevel"/>
    <w:lvl w:ilvl="0">
      <w:lvlJc w:val="left"/>
      <w:lvlText w:val="%1"/>
      <w:numFmt w:val="decimal"/>
      <w:start w:val="14"/>
    </w:lvl>
  </w:abstractNum>
  <w:abstractNum w:abstractNumId="5">
    <w:nsid w:val="3F2DBA31"/>
    <w:multiLevelType w:val="hybridMultilevel"/>
    <w:lvl w:ilvl="0">
      <w:lvlJc w:val="left"/>
      <w:lvlText w:val="(%1)"/>
      <w:numFmt w:val="lowerLetter"/>
      <w:start w:val="1"/>
    </w:lvl>
    <w:lvl w:ilvl="1">
      <w:lvlJc w:val="left"/>
      <w:lvlText w:val="(%2)"/>
      <w:numFmt w:val="lowerRoman"/>
      <w:start w:val="1"/>
    </w:lvl>
  </w:abstractNum>
  <w:abstractNum w:abstractNumId="6">
    <w:nsid w:val="7C83E458"/>
    <w:multiLevelType w:val="hybridMultilevel"/>
    <w:lvl w:ilvl="0">
      <w:lvlJc w:val="left"/>
      <w:lvlText w:val="(%1)"/>
      <w:numFmt w:val="lowerLetter"/>
      <w:start w:val="2"/>
    </w:lvl>
  </w:abstractNum>
  <w:abstractNum w:abstractNumId="7">
    <w:nsid w:val="257130A3"/>
    <w:multiLevelType w:val="hybridMultilevel"/>
    <w:lvl w:ilvl="0">
      <w:lvlJc w:val="left"/>
      <w:lvlText w:val="(%1)"/>
      <w:numFmt w:val="lowerLetter"/>
      <w:start w:val="3"/>
    </w:lvl>
  </w:abstractNum>
  <w:abstractNum w:abstractNumId="8">
    <w:nsid w:val="62BBD95A"/>
    <w:multiLevelType w:val="hybridMultilevel"/>
    <w:lvl w:ilvl="0">
      <w:lvlJc w:val="left"/>
      <w:lvlText w:val="(%1)"/>
      <w:numFmt w:val="lowerLetter"/>
      <w:start w:val="4"/>
    </w:lvl>
  </w:abstractNum>
  <w:abstractNum w:abstractNumId="9">
    <w:nsid w:val="436C6125"/>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decimal"/>
      <w:start w:val="2"/>
    </w:lvl>
  </w:abstractNum>
  <w:abstractNum w:abstractNumId="10">
    <w:nsid w:val="628C895D"/>
    <w:multiLevelType w:val="hybridMultilevel"/>
    <w:lvl w:ilvl="0">
      <w:lvlJc w:val="left"/>
      <w:lvlText w:val="%1."/>
      <w:numFmt w:val="upperLetter"/>
      <w:start w:val="2"/>
    </w:lvl>
    <w:lvl w:ilvl="1">
      <w:lvlJc w:val="left"/>
      <w:lvlText w:val="%2"/>
      <w:numFmt w:val="upperLetter"/>
      <w:start w:val="1"/>
    </w:lvl>
    <w:lvl w:ilvl="2">
      <w:lvlJc w:val="left"/>
      <w:lvlText w:val="(%3)"/>
      <w:numFmt w:val="lowerLetter"/>
      <w:start w:val="1"/>
    </w:lvl>
    <w:lvl w:ilvl="3">
      <w:lvlJc w:val="left"/>
      <w:lvlText w:val="%4."/>
      <w:numFmt w:val="decimal"/>
      <w:start w:val="2"/>
    </w:lvl>
  </w:abstractNum>
  <w:abstractNum w:abstractNumId="11">
    <w:nsid w:val="333AB105"/>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decimal"/>
      <w:start w:val="1"/>
    </w:lvl>
  </w:abstractNum>
  <w:abstractNum w:abstractNumId="12">
    <w:nsid w:val="721DA317"/>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3">
    <w:nsid w:val="2443A85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6">
    <w:nsid w:val="75A2A8D4"/>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upperLetter"/>
      <w:start w:val="1"/>
    </w:lvl>
    <w:lvl w:ilvl="1">
      <w:lvlJc w:val="left"/>
      <w:lvlText w:val="(%2)"/>
      <w:numFmt w:val="lowerLetter"/>
      <w:start w:val="3"/>
    </w:lvl>
  </w:abstractNum>
  <w:abstractNum w:abstractNumId="19">
    <w:nsid w:val="4353D0CD"/>
    <w:multiLevelType w:val="hybridMultilevel"/>
    <w:lvl w:ilvl="0">
      <w:lvlJc w:val="left"/>
      <w:lvlText w:val="%1."/>
      <w:numFmt w:val="upperLetter"/>
      <w:start w:val="7"/>
    </w:lvl>
    <w:lvl w:ilvl="1">
      <w:lvlJc w:val="left"/>
      <w:lvlText w:val="(%2)"/>
      <w:numFmt w:val="lowerLetter"/>
      <w:start w:val="1"/>
    </w:lvl>
  </w:abstractNum>
  <w:abstractNum w:abstractNumId="20">
    <w:nsid w:val="B03E0C6"/>
    <w:multiLevelType w:val="hybridMultilevel"/>
    <w:lvl w:ilvl="0">
      <w:lvlJc w:val="left"/>
      <w:lvlText w:val="(%1)"/>
      <w:numFmt w:val="lowerLetter"/>
      <w:start w:val="2"/>
    </w:lvl>
    <w:lvl w:ilvl="1">
      <w:lvlJc w:val="left"/>
      <w:lvlText w:val="%2."/>
      <w:numFmt w:val="decimal"/>
      <w:start w:val="2"/>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23">
    <w:nsid w:val="71F32454"/>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26">
    <w:nsid w:val="2901D82"/>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27">
    <w:nsid w:val="3A95F874"/>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60"/>
    </w:lvl>
  </w:abstractNum>
  <w:abstractNum w:abstractNumId="28">
    <w:nsid w:val="8138641"/>
    <w:multiLevelType w:val="hybridMultilevel"/>
    <w:lvl w:ilvl="0">
      <w:lvlJc w:val="left"/>
      <w:lvlText w:val="(%1)"/>
      <w:numFmt w:val="lowerLetter"/>
      <w:start w:val="4"/>
    </w:lvl>
  </w:abstractNum>
  <w:abstractNum w:abstractNumId="29">
    <w:nsid w:val="1E7FF521"/>
    <w:multiLevelType w:val="hybridMultilevel"/>
    <w:lvl w:ilvl="0">
      <w:lvlJc w:val="left"/>
      <w:lvlText w:val="1"/>
      <w:numFmt w:val="bullet"/>
      <w:start w:val="1"/>
    </w:lvl>
  </w:abstractNum>
  <w:abstractNum w:abstractNumId="30">
    <w:nsid w:val="7C3DBD3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2019-12-06T20:06:11Z</dcterms:created>
  <dcterms:modified xsi:type="dcterms:W3CDTF">2019-12-06T20:06:11Z</dcterms:modified>
</cp:coreProperties>
</file>