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7944-1_s4.htm"/>
        <w:bookmarkStart w:id="1" w:name="kstm23279441_s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304800</wp:posOffset>
                </wp:positionH>
                <wp:positionV relativeFrom="page">
                  <wp:posOffset>9383395</wp:posOffset>
                </wp:positionV>
                <wp:extent cx="7560310" cy="482600"/>
                <wp:effectExtent l="0" t="0" r="0" b="0"/>
                <wp:wrapNone/>
                <wp:docPr id="1" name="Frame6"/>
                <a:graphic xmlns:a="http://schemas.openxmlformats.org/drawingml/2006/main">
                  <a:graphicData uri="http://schemas.microsoft.com/office/word/2010/wordprocessingShape">
                    <wps:wsp>
                      <wps:cNvSpPr txBox="1"/>
                      <wps:spPr>
                        <a:xfrm>
                          <a:off x="0" y="0"/>
                          <a:ext cx="7560310" cy="4826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pacing w:val="-2"/>
                                <w:sz w:val="16"/>
                              </w:rPr>
                            </w:pPr>
                            <w:r>
                              <w:rPr>
                                <w:rFonts w:ascii="Helvetica;Arial;sans-serif" w:hAnsi="Helvetica;Arial;sans-serif"/>
                                <w:b/>
                                <w:color w:val="FC0014"/>
                                <w:spacing w:val="-2"/>
                                <w:sz w:val="16"/>
                              </w:rPr>
                              <w:t xml:space="preserve">Information contained herein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 </w:t>
                            </w:r>
                          </w:p>
                        </w:txbxContent>
                      </wps:txbx>
                      <wps:bodyPr anchor="t" lIns="0" tIns="0" rIns="0" bIns="0">
                        <a:noAutofit/>
                      </wps:bodyPr>
                    </wps:wsp>
                  </a:graphicData>
                </a:graphic>
              </wp:anchor>
            </w:drawing>
          </mc:Choice>
          <mc:Fallback>
            <w:pict>
              <v:rect style="position:absolute;rotation:-0;width:595.3pt;height:38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pacing w:val="-2"/>
                          <w:sz w:val="16"/>
                        </w:rPr>
                      </w:pPr>
                      <w:r>
                        <w:rPr>
                          <w:rFonts w:ascii="Helvetica;Arial;sans-serif" w:hAnsi="Helvetica;Arial;sans-serif"/>
                          <w:b/>
                          <w:color w:val="FC0014"/>
                          <w:spacing w:val="-2"/>
                          <w:sz w:val="16"/>
                        </w:rPr>
                        <w:t xml:space="preserve">Information contained herein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As filed with the Securities and Exchange Commission on November 13, 2023</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90" w:before="14" w:after="283"/>
        <w:ind w:left="940" w:right="0" w:hanging="0"/>
        <w:jc w:val="righ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Registration No. 333-        </w:t>
      </w:r>
      <w:r>
        <w:rPr>
          <w:rFonts w:ascii="Times New Roman;Times;serif" w:hAnsi="Times New Roman;Times;serif"/>
          <w:b/>
          <w:i w:val="false"/>
          <w:caps w:val="false"/>
          <w:smallCaps w:val="false"/>
          <w:color w:val="000000"/>
          <w:sz w:val="17"/>
        </w:rPr>
        <w:t>​</w:t>
      </w:r>
    </w:p>
    <w:p>
      <w:pPr>
        <w:pStyle w:val="TextBody"/>
        <w:bidi w:val="0"/>
        <w:spacing w:before="3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2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190" w:before="20" w:after="283"/>
        <w:jc w:val="center"/>
        <w:rPr>
          <w:rFonts w:ascii="Times New Roman;Times;serif" w:hAnsi="Times New Roman;Times;serif"/>
          <w:b/>
          <w:i w:val="false"/>
          <w:caps w:val="false"/>
          <w:smallCaps w:val="false"/>
          <w:color w:val="000000"/>
          <w:spacing w:val="-3"/>
          <w:sz w:val="17"/>
        </w:rPr>
      </w:pPr>
      <w:r>
        <w:rPr>
          <w:rFonts w:ascii="Times New Roman;Times;serif" w:hAnsi="Times New Roman;Times;serif"/>
          <w:b/>
          <w:i w:val="false"/>
          <w:caps w:val="false"/>
          <w:smallCaps w:val="false"/>
          <w:color w:val="000000"/>
          <w:spacing w:val="-3"/>
          <w:sz w:val="17"/>
        </w:rPr>
        <w:t xml:space="preserve">Washington, D.C. 20549 </w:t>
      </w:r>
    </w:p>
    <w:p>
      <w:pPr>
        <w:pStyle w:val="TextBody"/>
        <w:bidi w:val="0"/>
        <w:spacing w:before="16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6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S-4</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80" w:before="2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REGISTRATION STATEMENT </w:t>
      </w:r>
      <w:r>
        <w:rPr>
          <w:rFonts w:ascii="Times New Roman;Times;serif" w:hAnsi="Times New Roman;Times;serif"/>
          <w:b/>
          <w:i w:val="false"/>
          <w:caps w:val="false"/>
          <w:smallCaps w:val="false"/>
          <w:color w:val="000000"/>
          <w:sz w:val="17"/>
        </w:rPr>
        <w:br/>
      </w:r>
      <w:r>
        <w:rPr>
          <w:rFonts w:ascii="Times New Roman;Times;serif" w:hAnsi="Times New Roman;Times;serif"/>
          <w:b/>
          <w:i/>
          <w:caps w:val="false"/>
          <w:smallCaps w:val="false"/>
          <w:color w:val="000000"/>
          <w:spacing w:val="-3"/>
          <w:sz w:val="17"/>
        </w:rPr>
        <w:t>UNDER</w:t>
      </w:r>
      <w:r>
        <w:rPr>
          <w:rFonts w:ascii="Times New Roman;Times;serif" w:hAnsi="Times New Roman;Times;serif"/>
          <w:b/>
          <w:i w:val="false"/>
          <w:caps w:val="false"/>
          <w:smallCaps w:val="false"/>
          <w:color w:val="000000"/>
          <w:spacing w:val="-3"/>
          <w:sz w:val="17"/>
        </w:rPr>
        <w:t xml:space="preserve"> </w:t>
      </w:r>
      <w:r>
        <w:rPr>
          <w:rFonts w:ascii="Times New Roman;Times;serif" w:hAnsi="Times New Roman;Times;serif"/>
          <w:b/>
          <w:i w:val="false"/>
          <w:caps w:val="false"/>
          <w:smallCaps w:val="false"/>
          <w:color w:val="000000"/>
          <w:sz w:val="17"/>
        </w:rPr>
        <w:br/>
      </w:r>
      <w:r>
        <w:rPr>
          <w:rFonts w:ascii="Times New Roman;Times;serif" w:hAnsi="Times New Roman;Times;serif"/>
          <w:b/>
          <w:i/>
          <w:caps w:val="false"/>
          <w:smallCaps w:val="false"/>
          <w:color w:val="000000"/>
          <w:spacing w:val="-3"/>
          <w:sz w:val="17"/>
        </w:rPr>
        <w:t>THE SECURITIES ACT OF 1933</w:t>
      </w:r>
      <w:r>
        <w:rPr>
          <w:rFonts w:ascii="Times New Roman;Times;serif" w:hAnsi="Times New Roman;Times;serif"/>
          <w:b/>
          <w:i w:val="false"/>
          <w:caps w:val="false"/>
          <w:smallCaps w:val="false"/>
          <w:color w:val="000000"/>
          <w:spacing w:val="3"/>
          <w:sz w:val="17"/>
        </w:rPr>
        <w:t xml:space="preserve"> </w:t>
      </w:r>
    </w:p>
    <w:p>
      <w:pPr>
        <w:pStyle w:val="TextBody"/>
        <w:bidi w:val="0"/>
        <w:spacing w:before="16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64"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STANDARD BIOTOOLS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5"/>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157"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712"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7"/>
              </w:rPr>
            </w:pPr>
            <w:r>
              <w:rPr>
                <w:b/>
                <w:spacing w:val="-3"/>
                <w:sz w:val="17"/>
              </w:rPr>
              <w:t>Delaware</w:t>
            </w:r>
            <w:r>
              <w:rPr>
                <w:b/>
                <w:sz w:val="17"/>
              </w:rPr>
              <w:t xml:space="preserve"> </w:t>
            </w:r>
          </w:p>
          <w:p>
            <w:pPr>
              <w:pStyle w:val="TableContents"/>
              <w:bidi w:val="0"/>
              <w:spacing w:lineRule="atLeast" w:line="170" w:before="34"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7"/>
              </w:rPr>
            </w:pPr>
            <w:r>
              <w:rPr>
                <w:b/>
                <w:spacing w:val="-3"/>
                <w:sz w:val="17"/>
              </w:rPr>
              <w:t>3826</w:t>
            </w:r>
            <w:r>
              <w:rPr>
                <w:b/>
                <w:sz w:val="17"/>
              </w:rPr>
              <w:t xml:space="preserve"> </w:t>
            </w:r>
          </w:p>
          <w:p>
            <w:pPr>
              <w:pStyle w:val="TableContents"/>
              <w:bidi w:val="0"/>
              <w:spacing w:lineRule="atLeast" w:line="170" w:before="34"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7"/>
              </w:rPr>
            </w:pPr>
            <w:r>
              <w:rPr>
                <w:b/>
                <w:spacing w:val="-3"/>
                <w:sz w:val="17"/>
              </w:rPr>
              <w:t>77-0513190</w:t>
            </w:r>
            <w:r>
              <w:rPr>
                <w:b/>
                <w:sz w:val="17"/>
              </w:rPr>
              <w:t xml:space="preserve"> </w:t>
            </w:r>
          </w:p>
          <w:p>
            <w:pPr>
              <w:pStyle w:val="TableContents"/>
              <w:bidi w:val="0"/>
              <w:spacing w:lineRule="atLeast" w:line="170" w:before="34" w:after="283"/>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54" w:after="283"/>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2 Tower Place, Suite 2000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South San Francisco, CA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(650) 266-6000</w:t>
      </w:r>
      <w:r>
        <w:rPr>
          <w:rFonts w:ascii="Times New Roman;Times;serif" w:hAnsi="Times New Roman;Times;serif"/>
          <w:b/>
          <w:i w:val="false"/>
          <w:caps w:val="false"/>
          <w:smallCaps w:val="false"/>
          <w:color w:val="000000"/>
          <w:sz w:val="17"/>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5"/>
        </w:rPr>
        <w:t>​</w:t>
      </w:r>
      <w:r>
        <w:rPr>
          <w:rFonts w:ascii="Times New Roman;Times;serif" w:hAnsi="Times New Roman;Times;serif"/>
          <w:b w:val="false"/>
          <w:i w:val="false"/>
          <w:caps w:val="false"/>
          <w:smallCaps w:val="false"/>
          <w:color w:val="000000"/>
          <w:spacing w:val="3"/>
          <w:sz w:val="15"/>
        </w:rPr>
        <w:t xml:space="preserve"> </w:t>
      </w:r>
    </w:p>
    <w:p>
      <w:pPr>
        <w:pStyle w:val="TextBody"/>
        <w:bidi w:val="0"/>
        <w:spacing w:lineRule="atLeast" w:line="180" w:before="46"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Michael Egholm, Ph.D.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President and Chief Executive Officer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2 Tower Place, Suite 2000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South San Francisco, CA 94080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(650) 266-6000</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(Name, Address, Including Zip Code, and Telephone Number, Including Area Code, of Agent For Service)</w:t>
      </w:r>
      <w:r>
        <w:rPr>
          <w:rFonts w:ascii="Times New Roman;Times;serif" w:hAnsi="Times New Roman;Times;serif"/>
          <w:b w:val="false"/>
          <w:i w:val="false"/>
          <w:caps w:val="false"/>
          <w:smallCaps w:val="false"/>
          <w:color w:val="000000"/>
          <w:sz w:val="15"/>
        </w:rPr>
        <w:t>​</w:t>
      </w:r>
      <w:r>
        <w:rPr>
          <w:rFonts w:ascii="Times New Roman;Times;serif" w:hAnsi="Times New Roman;Times;serif"/>
          <w:b w:val="false"/>
          <w:i w:val="false"/>
          <w:caps w:val="false"/>
          <w:smallCaps w:val="false"/>
          <w:color w:val="000000"/>
          <w:spacing w:val="3"/>
          <w:sz w:val="15"/>
        </w:rPr>
        <w:t xml:space="preserve"> </w:t>
      </w:r>
    </w:p>
    <w:p>
      <w:pPr>
        <w:pStyle w:val="TextBody"/>
        <w:bidi w:val="0"/>
        <w:spacing w:before="16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0"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Copies to:</w:t>
      </w:r>
      <w:r>
        <w:rPr>
          <w:rFonts w:ascii="Times New Roman;Times;serif" w:hAnsi="Times New Roman;Times;serif"/>
          <w:b/>
          <w:i/>
          <w:caps w:val="false"/>
          <w:smallCaps w:val="false"/>
          <w:color w:val="000000"/>
          <w:spacing w:val="3"/>
          <w:sz w:val="17"/>
        </w:rPr>
        <w:t xml:space="preserve"> </w:t>
      </w:r>
    </w:p>
    <w:tbl>
      <w:tblPr>
        <w:tblW w:w="9665" w:type="dxa"/>
        <w:jc w:val="left"/>
        <w:tblInd w:w="540" w:type="dxa"/>
        <w:tblLayout w:type="fixed"/>
        <w:tblCellMar>
          <w:top w:w="0" w:type="dxa"/>
          <w:left w:w="0" w:type="dxa"/>
          <w:bottom w:w="0" w:type="dxa"/>
          <w:right w:w="0" w:type="dxa"/>
        </w:tblCellMar>
      </w:tblPr>
      <w:tblGrid>
        <w:gridCol w:w="124"/>
        <w:gridCol w:w="4230"/>
        <w:gridCol w:w="109"/>
        <w:gridCol w:w="109"/>
        <w:gridCol w:w="2691"/>
        <w:gridCol w:w="109"/>
        <w:gridCol w:w="109"/>
        <w:gridCol w:w="2029"/>
        <w:gridCol w:w="155"/>
      </w:tblGrid>
      <w:tr>
        <w:trPr/>
        <w:tc>
          <w:tcPr>
            <w:tcW w:w="124" w:type="dxa"/>
            <w:tcBorders/>
            <w:vAlign w:val="center"/>
          </w:tcPr>
          <w:p>
            <w:pPr>
              <w:pStyle w:val="TableContents"/>
              <w:bidi w:val="0"/>
              <w:spacing w:before="0" w:after="283"/>
              <w:jc w:val="left"/>
              <w:rPr/>
            </w:pPr>
            <w:r>
              <w:rPr/>
              <w:t>​</w:t>
            </w:r>
          </w:p>
        </w:tc>
        <w:tc>
          <w:tcPr>
            <w:tcW w:w="4230" w:type="dxa"/>
            <w:tcBorders/>
            <w:vAlign w:val="center"/>
          </w:tcPr>
          <w:p>
            <w:pPr>
              <w:pStyle w:val="TableContents"/>
              <w:bidi w:val="0"/>
              <w:spacing w:before="0" w:after="0"/>
              <w:jc w:val="center"/>
              <w:rPr/>
            </w:pPr>
            <w:r>
              <w:rPr>
                <w:spacing w:val="-3"/>
              </w:rPr>
              <w:t>William C. Hicks, Esq.</w:t>
            </w:r>
            <w:r>
              <w:rPr/>
              <w:t xml:space="preserve"> </w:t>
              <w:br/>
            </w:r>
            <w:r>
              <w:rPr>
                <w:spacing w:val="-3"/>
              </w:rPr>
              <w:t>Matthew J. Gardella, Esq.</w:t>
            </w:r>
            <w:r>
              <w:rPr/>
              <w:t xml:space="preserve"> </w:t>
              <w:br/>
            </w:r>
            <w:r>
              <w:rPr>
                <w:spacing w:val="-3"/>
              </w:rPr>
              <w:t>Matthew W. Tikonoff, Esq.</w:t>
            </w:r>
            <w:r>
              <w:rPr/>
              <w:t xml:space="preserve"> </w:t>
              <w:br/>
            </w:r>
            <w:r>
              <w:rPr>
                <w:spacing w:val="-3"/>
              </w:rPr>
              <w:t>John T. Rudy, Esq.</w:t>
            </w:r>
            <w:r>
              <w:rPr/>
              <w:t xml:space="preserve"> </w:t>
              <w:br/>
            </w:r>
            <w:r>
              <w:rPr>
                <w:spacing w:val="-3"/>
              </w:rPr>
              <w:t>Mintz, Levin, Cohn, Ferris, Glovsky and Popeo, P.C.</w:t>
            </w:r>
            <w:r>
              <w:rPr/>
              <w:t xml:space="preserve"> </w:t>
              <w:br/>
            </w:r>
            <w:r>
              <w:rPr>
                <w:spacing w:val="-3"/>
              </w:rPr>
              <w:t>One Financial Center</w:t>
            </w:r>
            <w:r>
              <w:rPr/>
              <w:t xml:space="preserve"> </w:t>
              <w:br/>
            </w:r>
            <w:r>
              <w:rPr>
                <w:spacing w:val="-3"/>
              </w:rPr>
              <w:t>Boston, MA 02111</w:t>
            </w:r>
            <w:r>
              <w:rPr/>
              <w:t xml:space="preserve"> </w:t>
              <w:br/>
            </w:r>
            <w:r>
              <w:rPr>
                <w:spacing w:val="-3"/>
              </w:rPr>
              <w:t>(617) 542-6000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91" w:type="dxa"/>
            <w:tcBorders/>
            <w:vAlign w:val="center"/>
          </w:tcPr>
          <w:p>
            <w:pPr>
              <w:pStyle w:val="TableContents"/>
              <w:bidi w:val="0"/>
              <w:spacing w:before="0" w:after="0"/>
              <w:jc w:val="center"/>
              <w:rPr/>
            </w:pPr>
            <w:r>
              <w:rPr>
                <w:spacing w:val="-3"/>
              </w:rPr>
              <w:t>Adam Taich</w:t>
            </w:r>
            <w:r>
              <w:rPr/>
              <w:t xml:space="preserve"> </w:t>
              <w:br/>
            </w:r>
            <w:r>
              <w:rPr>
                <w:spacing w:val="-3"/>
              </w:rPr>
              <w:t>Interim Chief Executive Officer</w:t>
            </w:r>
            <w:r>
              <w:rPr/>
              <w:t xml:space="preserve"> </w:t>
              <w:br/>
            </w:r>
            <w:r>
              <w:rPr>
                <w:spacing w:val="-3"/>
              </w:rPr>
              <w:t>SomaLogic, Inc.</w:t>
            </w:r>
            <w:r>
              <w:rPr/>
              <w:t xml:space="preserve"> </w:t>
              <w:br/>
            </w:r>
            <w:r>
              <w:rPr>
                <w:spacing w:val="-3"/>
              </w:rPr>
              <w:t>2945 Wilderness Place</w:t>
            </w:r>
            <w:r>
              <w:rPr/>
              <w:t xml:space="preserve"> </w:t>
              <w:br/>
            </w:r>
            <w:r>
              <w:rPr>
                <w:spacing w:val="-3"/>
              </w:rPr>
              <w:t>Boulder, CO 80301</w:t>
            </w:r>
            <w:r>
              <w:rPr/>
              <w:t xml:space="preserve"> </w:t>
              <w:br/>
            </w:r>
            <w:r>
              <w:rPr>
                <w:spacing w:val="-3"/>
              </w:rPr>
              <w:t>(303) 625-9000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0"/>
              <w:jc w:val="center"/>
              <w:rPr/>
            </w:pPr>
            <w:r>
              <w:rPr>
                <w:spacing w:val="-3"/>
              </w:rPr>
              <w:t>Ethan Skerry, Esq.</w:t>
            </w:r>
            <w:r>
              <w:rPr/>
              <w:t xml:space="preserve"> </w:t>
              <w:br/>
            </w:r>
            <w:r>
              <w:rPr>
                <w:spacing w:val="-3"/>
              </w:rPr>
              <w:t>David Michaels, Esq.</w:t>
            </w:r>
            <w:r>
              <w:rPr/>
              <w:t xml:space="preserve"> </w:t>
              <w:br/>
            </w:r>
            <w:r>
              <w:rPr>
                <w:spacing w:val="-3"/>
              </w:rPr>
              <w:t>Julia Forbess, Esq.</w:t>
            </w:r>
            <w:r>
              <w:rPr/>
              <w:t xml:space="preserve"> </w:t>
              <w:br/>
            </w:r>
            <w:r>
              <w:rPr>
                <w:spacing w:val="-3"/>
              </w:rPr>
              <w:t>Fenwick &amp; West LLP</w:t>
            </w:r>
            <w:r>
              <w:rPr/>
              <w:t xml:space="preserve"> </w:t>
              <w:br/>
            </w:r>
            <w:r>
              <w:rPr>
                <w:spacing w:val="-3"/>
              </w:rPr>
              <w:t>902 Broadway</w:t>
            </w:r>
            <w:r>
              <w:rPr/>
              <w:t xml:space="preserve"> </w:t>
              <w:br/>
            </w:r>
            <w:r>
              <w:rPr>
                <w:spacing w:val="-3"/>
              </w:rPr>
              <w:t>New York, NY 10010</w:t>
            </w:r>
            <w:r>
              <w:rPr/>
              <w:t xml:space="preserve"> </w:t>
              <w:br/>
            </w:r>
            <w:r>
              <w:rPr>
                <w:spacing w:val="-3"/>
              </w:rPr>
              <w:t>(212) 430-2600</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04"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Approximate date of commencement of proposed sale of the securities to the public:</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46"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As soon as practicable after the effective date of this registration statement and consummation of the merger of Martis Merger Sub, Inc. (“Merger Sub”), a Delaware corporation and wholly owned subsidiary of Standard BioTools Inc., a Delaware corporation (“Standard BioTools”), with and into SomaLogic, Inc., a Delaware corporation (“SomaLogic”), as described in the Agreement and Plan of Merger, dated as of October 4, 2023, among Standard BioTools, SomaLogic and Merger Sub.</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4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80" w:before="4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80" w:before="4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80" w:before="4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668" w:type="dxa"/>
        <w:jc w:val="left"/>
        <w:tblInd w:w="540" w:type="dxa"/>
        <w:tblLayout w:type="fixed"/>
        <w:tblCellMar>
          <w:top w:w="0" w:type="dxa"/>
          <w:left w:w="0" w:type="dxa"/>
          <w:bottom w:w="0" w:type="dxa"/>
          <w:right w:w="0" w:type="dxa"/>
        </w:tblCellMar>
      </w:tblPr>
      <w:tblGrid>
        <w:gridCol w:w="124"/>
        <w:gridCol w:w="23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lineRule="atLeast" w:line="170" w:before="0" w:after="0"/>
              <w:ind w:left="2020" w:right="0" w:hanging="0"/>
              <w:jc w:val="left"/>
              <w:rPr>
                <w:spacing w:val="3"/>
              </w:rPr>
            </w:pPr>
            <w:r>
              <w:rPr>
                <w:spacing w:val="3"/>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2827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82700" cy="525780"/>
                              </a:xfrm>
                              <a:prstGeom prst="rect"/>
                              <a:solidFill>
                                <a:srgbClr val="FFFFFF"/>
                              </a:solidFill>
                            </wps:spPr>
                            <wps:txbx>
                              <w:txbxContent>
                                <w:p>
                                  <w:pPr>
                                    <w:pStyle w:val="TextBody"/>
                                    <w:bidi w:val="0"/>
                                    <w:spacing w:lineRule="atLeast" w:line="170" w:before="0" w:after="283"/>
                                    <w:jc w:val="left"/>
                                    <w:rPr/>
                                  </w:pPr>
                                  <w:r>
                                    <w:rPr>
                                      <w:spacing w:val="3"/>
                                    </w:rPr>
                                    <w:t>Large accelerated filer</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70" w:before="0" w:after="0"/>
              <w:ind w:left="2400" w:right="0" w:hanging="0"/>
              <w:jc w:val="left"/>
              <w:rPr>
                <w:spacing w:val="3"/>
              </w:rPr>
            </w:pPr>
            <w:r>
              <w:rPr>
                <w:spacing w:val="3"/>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70" w:before="0" w:after="283"/>
                                    <w:jc w:val="left"/>
                                    <w:rPr/>
                                  </w:pPr>
                                  <w:r>
                                    <w:rPr>
                                      <w:spacing w:val="3"/>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lineRule="atLeast" w:line="170" w:before="0" w:after="0"/>
              <w:ind w:left="2020" w:right="0" w:hanging="0"/>
              <w:jc w:val="left"/>
              <w:rPr>
                <w:spacing w:val="3"/>
              </w:rPr>
            </w:pPr>
            <w:r>
              <w:rPr>
                <w:spacing w:val="3"/>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2827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82700" cy="525780"/>
                              </a:xfrm>
                              <a:prstGeom prst="rect"/>
                              <a:solidFill>
                                <a:srgbClr val="FFFFFF"/>
                              </a:solidFill>
                            </wps:spPr>
                            <wps:txbx>
                              <w:txbxContent>
                                <w:p>
                                  <w:pPr>
                                    <w:pStyle w:val="TextBody"/>
                                    <w:bidi w:val="0"/>
                                    <w:spacing w:lineRule="atLeast" w:line="170" w:before="0" w:after="283"/>
                                    <w:jc w:val="left"/>
                                    <w:rPr/>
                                  </w:pPr>
                                  <w:r>
                                    <w:rPr>
                                      <w:spacing w:val="3"/>
                                    </w:rPr>
                                    <w:t>Non-accelerated filer</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70" w:before="0" w:after="0"/>
              <w:ind w:left="2400" w:right="0" w:hanging="0"/>
              <w:jc w:val="left"/>
              <w:rPr>
                <w:spacing w:val="3"/>
              </w:rPr>
            </w:pPr>
            <w:r>
              <w:rPr>
                <w:spacing w:val="3"/>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70" w:before="0" w:after="283"/>
                                    <w:jc w:val="left"/>
                                    <w:rPr/>
                                  </w:pPr>
                                  <w:r>
                                    <w:rPr>
                                      <w:spacing w:val="3"/>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70" w:before="0" w:after="0"/>
              <w:ind w:left="2400" w:right="0" w:hanging="0"/>
              <w:jc w:val="left"/>
              <w:rPr/>
            </w:pPr>
            <w:r>
              <w:rPr>
                <w:spacing w:val="3"/>
              </w:rPr>
              <w:t>☐</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70" w:before="0" w:after="283"/>
                                    <w:jc w:val="left"/>
                                    <w:rPr/>
                                  </w:pPr>
                                  <w:r>
                                    <w:rPr>
                                      <w:spacing w:val="3"/>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42"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46" w:after="283"/>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applicable, place an X in the box to designate the appropriate rule provision relied upon in conducting this transaction: </w:t>
      </w:r>
    </w:p>
    <w:p>
      <w:pPr>
        <w:pStyle w:val="TextBody"/>
        <w:bidi w:val="0"/>
        <w:spacing w:lineRule="atLeast" w:line="190" w:before="46" w:after="283"/>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Exchange Act Rule 13e-4(i) (Cross-Border Issuer Tender Offer) ☐ </w:t>
      </w:r>
    </w:p>
    <w:p>
      <w:pPr>
        <w:pStyle w:val="TextBody"/>
        <w:bidi w:val="0"/>
        <w:spacing w:lineRule="atLeast" w:line="190" w:before="46" w:after="283"/>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Exchange Act Rule 14d-1(d) (Cross-Border Third-Party Tender Offer) ☐ </w:t>
      </w:r>
    </w:p>
    <w:p>
      <w:pPr>
        <w:pStyle w:val="TextBody"/>
        <w:bidi w:val="0"/>
        <w:spacing w:lineRule="atLeast" w:line="180" w:before="46"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United States Securities and Exchange Commission, acting pursuant to said Section 8(a), may determine.</w:t>
      </w:r>
      <w:r>
        <w:rPr>
          <w:rFonts w:ascii="Times New Roman;Times;serif" w:hAnsi="Times New Roman;Times;serif"/>
          <w:b/>
          <w:i w:val="false"/>
          <w:caps w:val="false"/>
          <w:smallCaps w:val="false"/>
          <w:color w:val="000000"/>
          <w:spacing w:val="3"/>
          <w:sz w:val="17"/>
        </w:rPr>
        <w:t xml:space="preserve"> </w:t>
      </w:r>
    </w:p>
    <w:p>
      <w:pPr>
        <w:pStyle w:val="TextBody"/>
        <w:bidi w:val="0"/>
        <w:spacing w:before="7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260"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 DATED NOVEMBER 13, 2023</w:t>
      </w:r>
      <w:r>
        <w:rPr>
          <w:rFonts w:ascii="Times New Roman;Times;serif" w:hAnsi="Times New Roman;Times;serif"/>
          <w:b/>
          <w:i w:val="false"/>
          <w:caps w:val="false"/>
          <w:smallCaps w:val="false"/>
          <w:color w:val="000000"/>
          <w:spacing w:val="4"/>
          <w:sz w:val="20"/>
        </w:rPr>
        <w:t xml:space="preserve"> </w:t>
      </w:r>
    </w:p>
    <w:tbl>
      <w:tblPr>
        <w:tblW w:w="5438" w:type="dxa"/>
        <w:jc w:val="left"/>
        <w:tblInd w:w="1260" w:type="dxa"/>
        <w:tblLayout w:type="fixed"/>
        <w:tblCellMar>
          <w:top w:w="0" w:type="dxa"/>
          <w:left w:w="0" w:type="dxa"/>
          <w:bottom w:w="0" w:type="dxa"/>
          <w:right w:w="0" w:type="dxa"/>
        </w:tblCellMar>
      </w:tblPr>
      <w:tblGrid>
        <w:gridCol w:w="124"/>
        <w:gridCol w:w="2456"/>
        <w:gridCol w:w="109"/>
        <w:gridCol w:w="109"/>
        <w:gridCol w:w="2486"/>
        <w:gridCol w:w="154"/>
      </w:tblGrid>
      <w:tr>
        <w:trPr/>
        <w:tc>
          <w:tcPr>
            <w:tcW w:w="124" w:type="dxa"/>
            <w:tcBorders/>
            <w:vAlign w:val="center"/>
          </w:tcPr>
          <w:p>
            <w:pPr>
              <w:pStyle w:val="TableContents"/>
              <w:bidi w:val="0"/>
              <w:spacing w:before="0" w:after="283"/>
              <w:jc w:val="left"/>
              <w:rPr/>
            </w:pPr>
            <w:r>
              <w:rPr/>
              <w:t>​</w:t>
            </w:r>
          </w:p>
        </w:tc>
        <w:tc>
          <w:tcPr>
            <w:tcW w:w="2456" w:type="dxa"/>
            <w:tcBorders/>
            <w:vAlign w:val="center"/>
          </w:tcPr>
          <w:p>
            <w:pPr>
              <w:pStyle w:val="TableContents"/>
              <w:bidi w:val="0"/>
              <w:spacing w:before="0" w:after="0"/>
              <w:jc w:val="center"/>
              <w:rPr/>
            </w:pPr>
            <w:r>
              <w:rPr/>
              <w:drawing>
                <wp:inline distT="0" distB="0" distL="0" distR="0">
                  <wp:extent cx="1466850" cy="10477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466850" cy="1047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0"/>
              <w:jc w:val="center"/>
              <w:rPr/>
            </w:pPr>
            <w:r>
              <w:rPr/>
              <w:drawing>
                <wp:inline distT="0" distB="0" distL="0" distR="0">
                  <wp:extent cx="1485900" cy="9715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485900" cy="9715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2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PROPOSAL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4" w:after="283"/>
        <w:jc w:val="righ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2023</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of Standard BioTools Inc. and Stockholders of SomaLogic, Inc.: </w:t>
      </w:r>
    </w:p>
    <w:p>
      <w:pPr>
        <w:pStyle w:val="TextBody"/>
        <w:bidi w:val="0"/>
        <w:spacing w:lineRule="atLeast" w:line="240" w:before="160" w:after="283"/>
        <w:ind w:left="126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previously announced, the boards of directors of Standard BioTools Inc., a Delaware corporation (“Standard BioTools”), and SomaLogic, Inc., a Delaware corporation (“SomaLogic”), have approved a merger. Standard BioTools, SomaLogic and Martis Merger Sub, Inc., a Delaware corporation and wholly owned subsidiary of Standard BioTools (“Merger Sub”), have entered into an Agreement and Plan of Merger, dated as of October 4, 2023 (the “Merger Agreement”), pursuant to which Merger Sub will merge with and into SomaLogic, with SomaLogic becoming a wholly owned subsidiary of Standard BioTools (the “Merger”). Upon consummation of the Merger, each issued and outstanding share of common stock of SomaLogic, par value $0.0001 per share (“SomaLogic Common Stock”), will be converted into the right to receive 1.11 shares (the “Exchange Ratio”) of common stock of Standard BioTools, par value $0.001 per share (“Standard BioTools Common Stock”), and cash in lieu of fractional shares. Immediately following the effective time of the Merger, Standard BioTools stockholders and SomaLogic stockholders are expected to own approximately 43% and 57%, respectively, of the Standard BioTools Common Stock, calculated based on the companies’ respective fully diluted market capitalizations as of the date of signing of the Merger Agreement. The combined company will be led by Standard BioTools’ experienced management team (including key executives from SomaLogic), have a board of directors consisting of designees from both Standard BioTools and SomaLogic, and will pursue a strategy focused on unlocking value in the highly fragmented life science tools space at scale, leveraging its management expertise and operating discipline to drive value creation for stockholders. </w:t>
      </w:r>
    </w:p>
    <w:p>
      <w:pPr>
        <w:pStyle w:val="TextBody"/>
        <w:bidi w:val="0"/>
        <w:spacing w:lineRule="atLeast" w:line="240" w:before="160" w:after="283"/>
        <w:ind w:left="126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Common Stock and SomaLogic Common Stock are currently listed on The Nasdaq Global Select Market and The Nasdaq Capital Market, respectively, under the symbols “LAB” and “SLGC,” respectively. In addition, SomaLogic has warrants to purchase SomaLogic Common Stock listed on The Nasdaq Capital Market under the symbol “SLGCW.” The Exchange Ratio will not be adjusted for changes in the market price of either SomaLogic Common Stock or Standard BioTools Common Stock between the date of signing of the Merger Agreement and consummation of the Merger. Because Standard BioTools’ share price will fluctuate between the date of signing and the completion of the Merger, and because the Exchange Ratio is fixed and will not be adjusted to reflect changes in Standard BioTools’ or SomaLogic’s share price, the value of the Standard BioTools Common Stock received by SomaLogic stockholders in the Merger may differ from the implied value based on the share price on the date of signing of the Merger Agreement or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We urge you to obtain current share price quotations for Standard BioTools Common Stock and SomaLogic Common Stock.</w:t>
      </w:r>
    </w:p>
    <w:p>
      <w:pPr>
        <w:pStyle w:val="TextBody"/>
        <w:bidi w:val="0"/>
        <w:spacing w:lineRule="atLeast" w:line="240" w:before="160" w:after="283"/>
        <w:ind w:left="126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cannot consummate the Merger unless the stockholders of SomaLogic approve the SomaLogic Merger Proposal and the stockholders of Standard BioTools approve the Standard BioTools Share Issuance Proposal and the Standard BioTools Charter Amendment Proposal, each as described herein. Your vote is very important, regardless of the number of shares of Standard BioTools Common Stock or SomaLogic Common Stock that you own. </w:t>
      </w:r>
      <w:r>
        <w:rPr>
          <w:rFonts w:ascii="Times New Roman;Times;serif" w:hAnsi="Times New Roman;Times;serif"/>
          <w:b/>
          <w:i w:val="false"/>
          <w:caps w:val="false"/>
          <w:smallCaps w:val="false"/>
          <w:color w:val="000000"/>
          <w:spacing w:val="-4"/>
          <w:sz w:val="20"/>
        </w:rPr>
        <w:t>Whether or not you expect to attend either the SomaLogic Special Meeting or the Standard BioTools Special Meeting, please submit a proxy to vote your shares as promptly as possible so that your shares may be represented and voted at the SomaLogic Special Meeting or Standard BioTools Special Meeting, as applicable.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26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board of directors (the “SomaLogic Board”) has unanimously approved by vote of all participating directors the Merger Agreement and determined that the Merger Agreement and the transactions contemplated thereby, including the Merger, are advisable and in the best interests of SomaLogic and its stockholders. The SomaLogic Board unanimously recommends that SomaLogic stockholders vote “FOR” the SomaLogic Merger Proposal and “FOR” each of the other proposals to be considered at the SomaLogic Special Meeting and described in the accompanying joint proxy statement/prospectus.</w:t>
      </w:r>
      <w:r>
        <w:rPr>
          <w:rFonts w:ascii="Times New Roman;Times;serif" w:hAnsi="Times New Roman;Times;serif"/>
          <w:b/>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of directors (the “Standard BioTools Board”) has unanimously approved by vote of all participating directors the Merger Agreement and determined that the Merger Agreement and the transactions contemplated thereby, including the Merger, are advisable and in the best interests of Standard BioTools and its stockholders. The Standard BioTools Board unanimously recommends that Standard BioTools stockholders vote “FOR” the Standard BioTools Share Issuance Proposal, “FOR” the Standard BioTools Charter Amendment Proposal and “FOR” each of the other proposals to be considered at the Standard BioTools Special Meeting and described in the accompanying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540" w:right="0" w:firstLine="400"/>
        <w:jc w:val="left"/>
        <w:rPr/>
      </w:pPr>
      <w:r>
        <w:rPr>
          <w:rFonts w:ascii="Times New Roman;Times;serif" w:hAnsi="Times New Roman;Times;serif"/>
          <w:b w:val="false"/>
          <w:i w:val="false"/>
          <w:caps w:val="false"/>
          <w:smallCaps w:val="false"/>
          <w:color w:val="000000"/>
          <w:spacing w:val="4"/>
          <w:sz w:val="20"/>
        </w:rPr>
        <w:t xml:space="preserve">The obligations of SomaLogic and Standard BioTools to consummate the Merger are subject to the satisfaction or waiver (to the extent permitted by applicable law) of several conditions set forth in the Merger Agreement, including receipt of stockholder approval for the required proposals described above. The accompanying joint proxy statement/prospectus contains detailed information about SomaLogic, Standard BioTools, the SomaLogic Special Meeting, the Standard BioTools Special Meeting, the Merger Agreement, the Merger and the other business to be considered by the SomaLogic stockholders and Standard BioTools stockholders at the SomaLogic Special Meeting and the Standard BioTools Special Meeting, respectively. </w:t>
      </w:r>
      <w:r>
        <w:rPr>
          <w:rFonts w:ascii="Times New Roman;Times;serif" w:hAnsi="Times New Roman;Times;serif"/>
          <w:b/>
          <w:i w:val="false"/>
          <w:caps w:val="false"/>
          <w:smallCaps w:val="false"/>
          <w:color w:val="000000"/>
          <w:spacing w:val="-4"/>
          <w:sz w:val="20"/>
        </w:rPr>
        <w:t>SomaLogic and Standard BioTools encourage you to read the accompanying joint proxy statement/prospectus carefully. In particular, you should read the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section beginning on page </w:t>
      </w:r>
      <w:hyperlink w:anchor="tRIFA">
        <w:r>
          <w:rPr>
            <w:rStyle w:val="InternetLink"/>
          </w:rPr>
          <w:t>31</w:t>
        </w:r>
      </w:hyperlink>
      <w:r>
        <w:rPr>
          <w:rFonts w:ascii="Times New Roman;Times;serif" w:hAnsi="Times New Roman;Times;serif"/>
          <w:b/>
          <w:i w:val="false"/>
          <w:caps w:val="false"/>
          <w:smallCaps w:val="false"/>
          <w:color w:val="000000"/>
          <w:spacing w:val="-4"/>
          <w:sz w:val="20"/>
        </w:rPr>
        <w:t xml:space="preserve"> of the accompanying joint proxy statement/prospectus for a discussion of the risks you should consider in evaluating the Merger and how it will affect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Standard BioTools Board and the SomaLogic Board, thank you for your consideration and continued support. </w:t>
      </w:r>
    </w:p>
    <w:tbl>
      <w:tblPr>
        <w:tblW w:w="5854" w:type="dxa"/>
        <w:jc w:val="left"/>
        <w:tblInd w:w="540" w:type="dxa"/>
        <w:tblLayout w:type="fixed"/>
        <w:tblCellMar>
          <w:top w:w="0" w:type="dxa"/>
          <w:left w:w="0" w:type="dxa"/>
          <w:bottom w:w="0" w:type="dxa"/>
          <w:right w:w="0" w:type="dxa"/>
        </w:tblCellMar>
      </w:tblPr>
      <w:tblGrid>
        <w:gridCol w:w="124"/>
        <w:gridCol w:w="2679"/>
        <w:gridCol w:w="109"/>
        <w:gridCol w:w="109"/>
        <w:gridCol w:w="2679"/>
        <w:gridCol w:w="154"/>
      </w:tblGrid>
      <w:tr>
        <w:trPr/>
        <w:tc>
          <w:tcPr>
            <w:tcW w:w="124" w:type="dxa"/>
            <w:tcBorders/>
            <w:vAlign w:val="center"/>
          </w:tcPr>
          <w:p>
            <w:pPr>
              <w:pStyle w:val="TableContents"/>
              <w:bidi w:val="0"/>
              <w:spacing w:before="0" w:after="283"/>
              <w:jc w:val="left"/>
              <w:rPr/>
            </w:pPr>
            <w:r>
              <w:rPr/>
              <w:t>​</w:t>
            </w:r>
          </w:p>
        </w:tc>
        <w:tc>
          <w:tcPr>
            <w:tcW w:w="2679" w:type="dxa"/>
            <w:tcBorders/>
            <w:vAlign w:val="center"/>
          </w:tcPr>
          <w:p>
            <w:pPr>
              <w:pStyle w:val="TableContents"/>
              <w:bidi w:val="0"/>
              <w:spacing w:before="0" w:after="0"/>
              <w:jc w:val="center"/>
              <w:rPr/>
            </w:pPr>
            <w:r>
              <w:rPr>
                <w:spacing w:val="4"/>
              </w:rPr>
              <w:t xml:space="preserve">Carlos Paya </w:t>
            </w:r>
            <w:r>
              <w:rPr/>
              <w:br/>
            </w:r>
            <w:r>
              <w:rPr>
                <w:i/>
                <w:spacing w:val="4"/>
              </w:rPr>
              <w:t>Chairperson of the Board</w:t>
            </w:r>
            <w:r>
              <w:rPr>
                <w:spacing w:val="4"/>
              </w:rPr>
              <w:t xml:space="preserve"> </w:t>
            </w:r>
            <w:r>
              <w:rPr/>
              <w:br/>
            </w:r>
            <w:r>
              <w:rPr>
                <w:spacing w:val="4"/>
              </w:rPr>
              <w:t>Standard BioTools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79" w:type="dxa"/>
            <w:tcBorders/>
            <w:vAlign w:val="center"/>
          </w:tcPr>
          <w:p>
            <w:pPr>
              <w:pStyle w:val="TableContents"/>
              <w:bidi w:val="0"/>
              <w:spacing w:before="0" w:after="0"/>
              <w:jc w:val="center"/>
              <w:rPr/>
            </w:pPr>
            <w:r>
              <w:rPr>
                <w:spacing w:val="4"/>
              </w:rPr>
              <w:t xml:space="preserve">Jason Ryan </w:t>
            </w:r>
            <w:r>
              <w:rPr/>
              <w:br/>
            </w:r>
            <w:r>
              <w:rPr>
                <w:i/>
                <w:spacing w:val="4"/>
              </w:rPr>
              <w:t>Chairperson of the Board</w:t>
            </w:r>
            <w:r>
              <w:rPr>
                <w:spacing w:val="4"/>
              </w:rPr>
              <w:t xml:space="preserve"> </w:t>
            </w:r>
            <w:r>
              <w:rPr/>
              <w:br/>
            </w:r>
            <w:r>
              <w:rPr>
                <w:spacing w:val="4"/>
              </w:rPr>
              <w:t>SomaLogic,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540"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United States Securities and Exchange Commission (the “SEC”) nor any state securities commission has approved or disapproved of the Merger, the securities to be issued in connection with the Merger or any other transaction described in the accompanying joint proxy statement/prospectus or passed upon the adequacy or accuracy of the disclosure in the accompanying joint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 2023 and is first being mailed to the SomaLogic stockholders and Standard BioTools stockholders on or about         .</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joint proxy statement/prospectus incorporates by reference important business and financial information about Standard BioTools and SomaLogic from other documents that are not included in or delivered with the accompanying joint proxy statement/prospectus. This information is available to you without charge upon your request. You can obtain the documents incorporated by reference into the accompanying joint proxy statement/prospectus by requesting them in writing or by telephone from the appropriate company at the following addresses and telephone numbers: </w:t>
      </w:r>
    </w:p>
    <w:tbl>
      <w:tblPr>
        <w:tblW w:w="8305" w:type="dxa"/>
        <w:jc w:val="left"/>
        <w:tblInd w:w="1393" w:type="dxa"/>
        <w:tblLayout w:type="fixed"/>
        <w:tblCellMar>
          <w:top w:w="0" w:type="dxa"/>
          <w:left w:w="0" w:type="dxa"/>
          <w:bottom w:w="0" w:type="dxa"/>
          <w:right w:w="0" w:type="dxa"/>
        </w:tblCellMar>
      </w:tblPr>
      <w:tblGrid>
        <w:gridCol w:w="124"/>
        <w:gridCol w:w="3788"/>
        <w:gridCol w:w="109"/>
        <w:gridCol w:w="109"/>
        <w:gridCol w:w="4021"/>
        <w:gridCol w:w="154"/>
      </w:tblGrid>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Standard BioTools Inc.</w:t>
            </w:r>
            <w:r>
              <w:rPr/>
              <w:t xml:space="preserve"> </w:t>
              <w:br/>
            </w:r>
            <w:r>
              <w:rPr>
                <w:spacing w:val="4"/>
              </w:rPr>
              <w:t>2 Tower Place, Suite 2000</w:t>
            </w:r>
            <w:r>
              <w:rPr/>
              <w:t xml:space="preserve"> </w:t>
              <w:br/>
            </w:r>
            <w:r>
              <w:rPr>
                <w:spacing w:val="4"/>
              </w:rPr>
              <w:t>South San Francisco, CA 94080</w:t>
            </w:r>
            <w:r>
              <w:rPr/>
              <w:t xml:space="preserve"> </w:t>
              <w:br/>
            </w:r>
            <w:r>
              <w:rPr>
                <w:spacing w:val="4"/>
              </w:rPr>
              <w:t>Attention: Corporate Secretary</w:t>
            </w:r>
            <w:r>
              <w:rPr/>
              <w:t xml:space="preserve"> </w:t>
              <w:br/>
            </w:r>
            <w:r>
              <w:rPr>
                <w:spacing w:val="4"/>
              </w:rPr>
              <w:t xml:space="preserve">Telephone: (650) 266-6000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SomaLogic, Inc.</w:t>
            </w:r>
            <w:r>
              <w:rPr/>
              <w:t xml:space="preserve"> </w:t>
              <w:br/>
            </w:r>
            <w:r>
              <w:rPr>
                <w:spacing w:val="4"/>
              </w:rPr>
              <w:t>2945 Wilderness Place</w:t>
            </w:r>
            <w:r>
              <w:rPr/>
              <w:t xml:space="preserve"> </w:t>
              <w:br/>
            </w:r>
            <w:r>
              <w:rPr>
                <w:spacing w:val="4"/>
              </w:rPr>
              <w:t>Boulder, CO 80301</w:t>
            </w:r>
            <w:r>
              <w:rPr/>
              <w:t xml:space="preserve"> </w:t>
              <w:br/>
            </w:r>
            <w:r>
              <w:rPr>
                <w:spacing w:val="4"/>
              </w:rPr>
              <w:t>Attention: General Counsel</w:t>
            </w:r>
            <w:r>
              <w:rPr/>
              <w:t xml:space="preserve"> </w:t>
              <w:br/>
            </w:r>
            <w:r>
              <w:rPr>
                <w:spacing w:val="4"/>
              </w:rPr>
              <w:t xml:space="preserve">Telephone: (303) 625-9000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spacing w:val="4"/>
              </w:rPr>
            </w:pPr>
            <w:r>
              <w:rPr>
                <w:spacing w:val="4"/>
              </w:rPr>
              <w:t xml:space="preserve">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or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drawing>
                <wp:inline distT="0" distB="0" distL="0" distR="0">
                  <wp:extent cx="990600" cy="3905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990600"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drawing>
                <wp:inline distT="0" distB="0" distL="0" distR="0">
                  <wp:extent cx="1238250" cy="3333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238250" cy="333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200 Broadacres Dr., 3rd Floor</w:t>
            </w:r>
            <w:r>
              <w:rPr/>
              <w:t xml:space="preserve"> </w:t>
              <w:br/>
            </w:r>
            <w:r>
              <w:rPr>
                <w:spacing w:val="4"/>
              </w:rPr>
              <w:t>Bloomfield, NJ 07003</w:t>
            </w:r>
            <w:r>
              <w:rPr/>
              <w:t xml:space="preserve"> </w:t>
              <w:br/>
            </w:r>
            <w:r>
              <w:rPr>
                <w:spacing w:val="4"/>
              </w:rPr>
              <w:t>Toll-Free: 800-574-5969</w:t>
            </w:r>
            <w:r>
              <w:rPr/>
              <w:t xml:space="preserve"> </w:t>
              <w:br/>
            </w:r>
            <w:r>
              <w:rPr>
                <w:spacing w:val="4"/>
              </w:rPr>
              <w:t>Email: LAB@AllianceAdvisors.com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430 Park Avenue, 14th Floor</w:t>
            </w:r>
            <w:r>
              <w:rPr/>
              <w:t xml:space="preserve"> </w:t>
              <w:br/>
            </w:r>
            <w:r>
              <w:rPr>
                <w:spacing w:val="4"/>
              </w:rPr>
              <w:t>New York, NY 10022</w:t>
            </w:r>
            <w:r>
              <w:rPr/>
              <w:t xml:space="preserve"> </w:t>
              <w:br/>
            </w:r>
            <w:r>
              <w:rPr>
                <w:spacing w:val="4"/>
              </w:rPr>
              <w:t>Toll-Free: (800) 662-5200</w:t>
            </w:r>
            <w:r>
              <w:rPr/>
              <w:t xml:space="preserve"> </w:t>
              <w:br/>
            </w:r>
            <w:r>
              <w:rPr>
                <w:spacing w:val="4"/>
              </w:rPr>
              <w:t>Email: SLGC@info.morrowsodali.com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stockholders and SomaLogic stockholders may also consult the websites of SomaLogic or Standard BioTools for more information concerning the Merger and the other transactions described in the accompanying joint proxy statement/prospectus. The website of Standard BioTools is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and the website of SomaLogic is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Information included on these websites is not incorporated by reference into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would like to request any documents, you must do so by         , in order to receive them before the 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 more detailed description of the information incorporated by reference in the accompanying joint proxy statement/prospectus and how you may obtain it,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581150" cy="11430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581150" cy="1143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STANDARD BIOTOOLS INC. </w:t>
      </w:r>
    </w:p>
    <w:p>
      <w:pPr>
        <w:pStyle w:val="TextBody"/>
        <w:bidi w:val="0"/>
        <w:spacing w:lineRule="atLeast" w:line="230" w:before="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Standard BioTools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cordially invite you to attend a special meeting of the stockholders of Standard BioTools Inc., a Delaware corporation (“Standard BioTools”), being held in connection with a proposed merger with SomaLogic, Inc., a Delaware corporation (“SomaLogic”). On October 4, 2023, Standard BioTools, SomaLogic and Martis Merger Sub, Inc., a Delaware corporation and wholly owned subsidiary of Standard BioTools (“Merger Sub”), entered into an Agreement and Plan of Merger (the “Merger Agreement”), pursuant to which Merger Sub will merge with and into SomaLogic, with SomaLogic surviving as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take place exclusively online via webcast on            , at            (the “Standard BioTools Special Meeting”). The meeting can be accessed by visiting            , where you will be able to listen to the meeting live, submit questions, and vote online. At the Standard BioTools Special Meeting, you will be asked to consider and vote upon the following proposals: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Share Issuance Proposal</w:t>
      </w:r>
      <w:r>
        <w:rPr>
          <w:rFonts w:ascii="Times New Roman;Times;serif" w:hAnsi="Times New Roman;Times;serif"/>
          <w:b w:val="false"/>
          <w:i w:val="false"/>
          <w:caps w:val="false"/>
          <w:smallCaps w:val="false"/>
          <w:color w:val="000000"/>
          <w:spacing w:val="4"/>
          <w:sz w:val="20"/>
        </w:rPr>
        <w:t xml:space="preserve">.   To approve the issuance of shares of common stock, par value $0.001 per share, of Standard BioTools (“Standard BioTools Common Stock”) in connection with the Merger and in accordance with Nasdaq Listing Rule 5635(a) (the “Standard BioTools Share Issuance Proposal”); </w:t>
      </w:r>
      <w:r>
        <mc:AlternateContent>
          <mc:Choice Requires="wps">
            <w:drawing>
              <wp:anchor behindDoc="0" distT="9779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2"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Charter Amendment Proposal</w:t>
      </w:r>
      <w:r>
        <w:rPr>
          <w:rFonts w:ascii="Times New Roman;Times;serif" w:hAnsi="Times New Roman;Times;serif"/>
          <w:b w:val="false"/>
          <w:i w:val="false"/>
          <w:caps w:val="false"/>
          <w:smallCaps w:val="false"/>
          <w:color w:val="000000"/>
          <w:spacing w:val="4"/>
          <w:sz w:val="20"/>
        </w:rPr>
        <w:t xml:space="preserve">.   To approve an amendment to the Standard BioTools Eighth Amended and Restated Certificate of Incorporation, as amended (the “Standard BioTools Charter”), to increase the total number of shares of Standard BioTools Common Stock authorized for issuance thereunder from 400,000,000 shares to 600,000,000 shares (the “Standard BioTools Charter Amendment Proposal”); </w:t>
      </w:r>
      <w:r>
        <mc:AlternateContent>
          <mc:Choice Requires="wps">
            <w:drawing>
              <wp:anchor behindDoc="0" distT="9906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3"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pPr>
      <w:r>
        <w:rPr>
          <w:rFonts w:ascii="Times New Roman;Times;serif" w:hAnsi="Times New Roman;Times;serif"/>
          <w:b w:val="false"/>
          <w:i/>
          <w:caps w:val="false"/>
          <w:smallCaps w:val="false"/>
          <w:color w:val="000000"/>
          <w:spacing w:val="4"/>
          <w:sz w:val="20"/>
        </w:rPr>
        <w:t>Standard BioTools Advisory Compensation Proposal</w:t>
      </w:r>
      <w:r>
        <w:rPr>
          <w:rFonts w:ascii="Times New Roman;Times;serif" w:hAnsi="Times New Roman;Times;serif"/>
          <w:b w:val="false"/>
          <w:i w:val="false"/>
          <w:caps w:val="false"/>
          <w:smallCaps w:val="false"/>
          <w:color w:val="000000"/>
          <w:spacing w:val="4"/>
          <w:sz w:val="20"/>
        </w:rPr>
        <w:t>.   To approve, on a non-binding, advisory basis, the compensation that may become payable to Standard BioTools’ named executive officers and to SomaLogic’s Chief Executive Officer that is based on or otherwise relates to the Merger, as disclosed in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xml:space="preserve">” beginning on page </w:t>
      </w:r>
      <w:hyperlink w:anchor="tQOPP">
        <w:r>
          <w:rPr>
            <w:rStyle w:val="InternetLink"/>
          </w:rPr>
          <w:t>127</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 (the “Standard BioTools Advisory Compensation Proposal”); </w:t>
      </w:r>
      <w:r>
        <mc:AlternateContent>
          <mc:Choice Requires="wps">
            <w:drawing>
              <wp:anchor behindDoc="0" distT="9906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2011 Equity Incentive Plan Amendment Proposal</w:t>
      </w:r>
      <w:r>
        <w:rPr>
          <w:rFonts w:ascii="Times New Roman;Times;serif" w:hAnsi="Times New Roman;Times;serif"/>
          <w:b w:val="false"/>
          <w:i w:val="false"/>
          <w:caps w:val="false"/>
          <w:smallCaps w:val="false"/>
          <w:color w:val="000000"/>
          <w:spacing w:val="4"/>
          <w:sz w:val="20"/>
        </w:rPr>
        <w:t xml:space="preserve">.   To approve an amendment to the Standard BioTools Amended and Restated 2011 Equity Incentive Plan, as amended (the “A&amp;R 2011 Plan”), to increase the aggregate number of shares of Standard BioTools Common Stock that are available for issuance thereunder by 15,000,000 shares (the “Standard BioTools Equity Incentive Plan Amendment Proposal”); and </w:t>
      </w:r>
      <w:r>
        <mc:AlternateContent>
          <mc:Choice Requires="wps">
            <w:drawing>
              <wp:anchor behindDoc="0" distT="9906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5"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Adjournment Proposal</w:t>
      </w:r>
      <w:r>
        <w:rPr>
          <w:rFonts w:ascii="Times New Roman;Times;serif" w:hAnsi="Times New Roman;Times;serif"/>
          <w:b w:val="false"/>
          <w:i w:val="false"/>
          <w:caps w:val="false"/>
          <w:smallCaps w:val="false"/>
          <w:color w:val="000000"/>
          <w:spacing w:val="4"/>
          <w:sz w:val="20"/>
        </w:rPr>
        <w:t xml:space="preserve">.   To approve adjournments of the Standard BioTools Special Meeting from time to time, if necessary or appropriate, to solicit additional proxies in favor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6"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Standard BioTools Share Issuance Proposal and the Standard BioTools Charter Amendment Proposal if there are insufficient votes at the time of such adjournment to approve such proposals or to ensure that any supplement or amendment to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Standard BioTools stockholders (the “Standard BioTools Adjournment Proposal” and, together with the Standard BioTools Share Issuance Proposal, the Standard BioTools Charter Amendment Proposal, the Standard BioTools Advisory Compensation Proposal and the Standard BioTools Equity Incentive Plan Amendment Proposal, the “Standard BioTools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on each of these proposals. The approval by Standard BioTools stockholders of the Standard BioTools Share Issuance Proposal and the Standard BioTools Charter Amendment Proposal is a condition to the consummation of the Merger. If the Standard BioTools Share Issuance Proposal and the Standard BioTools Charter Amendment Proposal are not approved, the Merger will not be consummated. The approval of the Standard BioTools Advisory Compensation Proposal, the Standard BioTools Equity Incentive Plan Amendment Proposal and/or the Standard BioTools Adjournment Proposal is not required for the consummation of the Merger. The Standard BioTools board of directors (the “Standard BioTools Board”) is not aware of any other business to be acted upon at the Standard BioTools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Proposals are described in more detail in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which you should read carefully in its entirety.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set            as the record date for the Standard BioTools Special Meeting. Only holders of record of Standard BioTools Common Stock,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as of 5:00 p.m. U.S. Eastern Time on      will be entitled to notice of and to vote at the Standard BioTools Special Meeting and any adjournments thereof. Any stockholder entitled to attend and vote at the Standard BioTools Special Meeting is entitled to appoint a proxy to attend and vote on such stockholder’s behalf. Such proxy need not be a holder of Standard BioTools Common Stock or Series B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approved, (1) the Standard BioTools Proposals (other than the Standard BioTools Charter Amendment Proposal) require the affirmative vote of the holders of a majority of the voting power of the shares present in person or represented by proxy at the Standard BioTools Special Meeting and entitled to vote on the subject matter and (2) the Standard BioTools Charter Amendment Proposal requires the affirmative vote of the majority of the votes cast on such proposal at the Standard BioTools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failure of any stockholder of record of Standard BioTools to submit a signed proxy card, grant a proxy electronically over the Internet or by telephone or to vote virtually by ballot at the Standard BioTools Special Meeting will have no effect on the outcome of the vote for the Standard BioTools Proposals.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will have no effect on the outcome of the vote for the Standard BioTools Charter Amendment Proposal.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vote for the Standard BioTools Proposals, which will have no effect on the outcome of the vote for the Standard BioTools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Your vote is very important. Whether or not you expect to attend the Standard BioTools Special Meeting, we urge you to submit your proxy with respect to your shares of Standard BioTools Common Stock or Series B Preferred Stock as promptly as possible by: (1) accessing the Internet website specified on your proxy card; (2) calling the toll-free number specified on your proxy card; or (3) signing and returning the enclosed proxy card in the postage-paid envelope provided, to ensure that your shares of Standard BioTools are represented and voted at the Standard BioTools Special Meeting. </w:t>
      </w:r>
      <w:r>
        <w:rPr>
          <w:rFonts w:ascii="Times New Roman;Times;serif" w:hAnsi="Times New Roman;Times;serif"/>
          <w:b w:val="false"/>
          <w:i w:val="false"/>
          <w:caps w:val="false"/>
          <w:smallCaps w:val="false"/>
          <w:color w:val="000000"/>
          <w:spacing w:val="4"/>
          <w:sz w:val="20"/>
        </w:rPr>
        <w:t xml:space="preserve">Submitting a proxy now will not prevent you from being able to vote in person at the Standard BioTools Special Meeting. If your shares of Standard BioTools Common Stock or Series B Preferred Stock are held in “street name” in the name of a bank, broker or other nominee, please follow the instructions on the voting instruction card furnished by such bank, broker or other nominee.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has unanimously approved by vote of all participating directors the Merger Agreement and the transactions contemplated thereby, including the issuance of Standard BioTools Common Stock, and determined that the Merger Agreement and the Merger, including the issuance of Standard BioTools Common Stock in the Merger and an amendment to the Standard BioTools Charter to increase the number of shares of Standard BioTools Common Stock authorized for issuance thereunder, are advisable, fair to and in the best interests of Standard BioTools and its stockholders. The Standard BioTools Board unanimously recommends by vote of all participating directors that you vote “FOR” the Standard BioTools Share Issuance Proposal, “FOR” the Standard BioTools Charter Amendment Proposal, “FOR” the Standard BioTools Advisory Compensation Proposal, “FOR” the Standard BioTools Equity Incentive Plan Amendment Proposal and “FOR”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7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South San Francisco, California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1323975" cy="8667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132397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9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cordially invite you to attend a special meeting of the stockholders of SomaLogic, Inc., a Delaware corporation (“SomaLogic”), being held in connection with a proposed merger with Standard BioTools Inc., a Delaware corporation (“Standard BioTools”). On October 4, 2023, Standard BioTools, SomaLogic and Martis Merger Sub, Inc., a Delaware corporation and wholly owned subsidiary of Standard BioTools (“Merger Sub”), entered into an Agreement and Plan of Merger (the “Merger Agreement”), pursuant to which Merger Sub will merge with and into SomaLogic, with SomaLogic surviving as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take place exclusively online via webcast on            , at            (the “SomaLogic Special Meeting”). The meeting can be accessed by visiting            , where you will be able to listen to the meeting live, submit questions, and vote online. At the SomaLogic Special Meeting, you will be asked to consider and vote upon the following proposals: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 Merger Proposal</w:t>
      </w:r>
      <w:r>
        <w:rPr>
          <w:rFonts w:ascii="Times New Roman;Times;serif" w:hAnsi="Times New Roman;Times;serif"/>
          <w:b w:val="false"/>
          <w:i w:val="false"/>
          <w:caps w:val="false"/>
          <w:smallCaps w:val="false"/>
          <w:color w:val="000000"/>
          <w:spacing w:val="4"/>
          <w:sz w:val="20"/>
        </w:rPr>
        <w:t xml:space="preserve">.   To adopt the Merger Agreement, a copy of which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accompanying joint proxy statement/prospectus, and thereby approve the Merger and the other transactions contemplated thereby (the “SomaLogic Merger Proposal”); and </w:t>
      </w:r>
      <w:r>
        <mc:AlternateContent>
          <mc:Choice Requires="wps">
            <w:drawing>
              <wp:anchor behindDoc="0" distT="10033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8"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 Adjournment Proposal</w:t>
      </w:r>
      <w:r>
        <w:rPr>
          <w:rFonts w:ascii="Times New Roman;Times;serif" w:hAnsi="Times New Roman;Times;serif"/>
          <w:b w:val="false"/>
          <w:i w:val="false"/>
          <w:caps w:val="false"/>
          <w:smallCaps w:val="false"/>
          <w:color w:val="000000"/>
          <w:spacing w:val="4"/>
          <w:sz w:val="20"/>
        </w:rPr>
        <w:t xml:space="preserve">.   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the accompanying joint proxy statement/prospectus is timely provided to SomaLogic stockholders (the “SomaLogic Adjournment Proposal” and together with the SomaLogic Merger Proposal, the “SomaLogic Proposals”). </w:t>
      </w:r>
      <w:r>
        <mc:AlternateContent>
          <mc:Choice Requires="wps">
            <w:drawing>
              <wp:anchor behindDoc="0" distT="10033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9"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on each of these proposals. Approval of the SomaLogic Merger Proposal is required for the consummation of the Merger. The approval of the SomaLogic Adjournment Proposal is not required for the consummation of the Merger. The SomaLogic Board of Directors (the “SomaLogic Board”) is not aware of any other business to be acted upon at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all outstanding shares of SomaLogic common stock, par value $0.0001 per share (the “SomaLogic Common Stock”), entitled to vote at the SomaLogic Special Meeting. Approval of the SomaLogic Adjournment Proposal requires the affirmative vote of the holders of a majority in voting power of the votes cast on such proposal at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SomaLogic Merger Proposal and SomaLogic Adjournment Proposal is described in more detail in the accompanying joint proxy statement/prospectus, which you should read carefully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failure of any stockholder of record of SomaLogic to submit a signed proxy card, grant a proxy electronically over the Internet or by telephone or to vote in person by ballot at the SomaLogic Special Meeting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but will have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 on the outcome of the vote for the SomaLogic Adjournment Proposal. If you hold your shares of SomaLogic Common Stock in “street name” through a bank, broker or other nominee, failure to instruct your bank, broker, or other nominee on how to vote your shares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but will have no effect on the outcome of the vote for the SomaLogic Adjournment Proposal.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but will have no effect on the outcome of the vote for the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has set                  as the record date for the SomaLogic Special Meeting. Only holders of record of SomaLogic Common Stock as of 5:00 p.m. U.S. Eastern Time on        will be entitled to notice of and to vote at the SomaLogic Special Meeting and any adjournments thereof. Any stockholder entitled to attend and vote at the SomaLogic Special Meeting is entitled to appoint a proxy to attend and vote on such stockholder’s behalf. Such proxy need not be a holder of SomaLogic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Whether or not you expect to attend the SomaLogic Special Meeting, we urge you to submit your proxy with respect to your shares of SomaLogic as promptly as possible by: (1) accessing the Internet website specified on your proxy card; (2) calling the toll-free number specified on your proxy card; or (3) signing and returning the enclosed proxy card in the postage-paid envelope provided, to ensure that your shares of SomaLogic are represented and voted at the SomaLogic Special Meeting.</w:t>
      </w:r>
      <w:r>
        <w:rPr>
          <w:rFonts w:ascii="Times New Roman;Times;serif" w:hAnsi="Times New Roman;Times;serif"/>
          <w:b w:val="false"/>
          <w:i w:val="false"/>
          <w:caps w:val="false"/>
          <w:smallCaps w:val="false"/>
          <w:color w:val="000000"/>
          <w:spacing w:val="4"/>
          <w:sz w:val="20"/>
        </w:rPr>
        <w:t xml:space="preserve"> Submitting a proxy now will not prevent you from being able to vote in person at the SomaLogic Special Meeting. If your shares of SomaLogic Common Stock are held in “street name” in the name of a bank, broker, or other nominee, follow the instructions on the voting instruction card furnished to you by such bank, broker, or other nominee.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Board has unanimously approved by vote of all participating directors the Merger Agreement and the transactions contemplated thereby and determined that the Merger Agreement and the Merger are advisable, fair to, and in the best interests of SomaLogic and its stockholders. The SomaLogic Board therefore unanimously recommends by vote of all participating directors that you vote “FOR” the SomaLogic Merger Proposal and “FOR”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7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Adam Taich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Interim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Boulder, Colorado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ATTEND THE SOMALOGIC SPECIAL MEETING, WE URGE YOU TO SUBMIT YOUR PROXY AS PROMPTLY AS POSSIBLE (1) VIA THE INTERNET, (2) BY TELEPHONE OR (3) BY MARKING, SIGNING AND DATING THE ENCLOSED SOMALOGIC PROXY CARD AND RETURNING IT IN THE POSTAGE-PAID ENVELOPE PROVIDED. IF YOU ATTEND THE SOMALOGIC SPECIAL MEETING AND WISH TO VOTE YOUR SHARES OF SOMALOGIC COMMON STOCK, YOU MAY DO SO AT ANY TIME PRIOR TO CLOSING OF THE POLLS.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the polls close at the SomaLogic Special Meeting. If your shares of SomaLogic Common Stock are held in “street name” in the name of a bank, broker, or other nominee holder of record, please follow the instructions on the voting instruction form furnished to you by such record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the accompanying joint proxy statement/prospectus, including all documents incorporated by reference into the accompanying joint proxy statement/prospectus, and its annexes and exhibits carefully and in their entirety. If you have any questions concerning the Merger Agreement, the Merger, the SomaLogic Proposals, the SomaLogic Special Meeting or the accompanying joint proxy statement/prospectus, would like additional copies of the accompanying joint proxy statement/prospectus or need help voting your shares of SomaLogic Common Stock, please contact: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1657350" cy="4476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657350"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Toll-Free: (800) 662-5200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SLGC@info.morrowsodali.com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85900" cy="97155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485900" cy="9715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(303) 625-9000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investors@somalogic.com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https://investors.somalogic.com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WHETHER OR NOT YOU EXPECT TO ATTEND THE STANDARD BIOTOOLS SPECIAL MEETING, WE URGE YOU TO SUBMIT YOUR PROXY AS PROMPTLY AS POSSIBLE (1) VIA THE INTERNET, (2) BY TELEPHONE OR (3) BY MARKING, SIGNING AND DATING THE ENCLOSED STANDARD BIOTOOLS PROXY CARD AND RETURNING IT IN THE POSTAGE-PAID ENVELOPE PROVIDED. IF YOU ATTEND THE STANDARD BIOTOOLS SPECIAL MEETING AND WISH TO VOTE YOUR SHARES OF STANDARD BIOTOOLS, YOU MAY DO SO AT ANY TIME PRIOR TO THE CLOSING OF THE POLLS AT THE SPECIAL MEETING.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the polls close at the Standard BioTools Special Meeting. If your shares of Standard BioTools Common Stock or Series B Preferred Stock are held in “street name” in the name of a bank, broker or other nominee holder of record, please follow the instructions on the voting instruction form furnished to you by such record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urge you to read the accompanying joint proxy statement/prospectus, including all documents incorporated by reference into the accompanying joint proxy statement/prospectus, and its annexes and exhibits carefully and in their entirety. If you have any questions concerning the Merger Agreement, the Merger, the Standard BioTools Proposals, the Standard BioTools Special Meeting or the accompanying joint proxy statement/prospectus, would like additional copies of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need help voting your shares of Standard BioTools, please contact: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990600" cy="39052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90600"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200 Broadacres Drive, 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Bloomfield, NJ 07003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Toll-Free: (800) 574-5969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LAB@AllianceAdvisors.com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581150" cy="11430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581150" cy="1143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(650) 266-6000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ir@standardbio.com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https://investors.standardbio.com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37"/>
        <w:gridCol w:w="109"/>
        <w:gridCol w:w="109"/>
        <w:gridCol w:w="109"/>
        <w:gridCol w:w="109"/>
        <w:gridCol w:w="375"/>
        <w:gridCol w:w="109"/>
        <w:gridCol w:w="155"/>
      </w:tblGrid>
      <w:tr>
        <w:trPr/>
        <w:tc>
          <w:tcPr>
            <w:tcW w:w="77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2"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jc w:val="left"/>
              <w:rPr/>
            </w:pPr>
            <w:hyperlink w:anchor="tQAAA">
              <w:r>
                <w:rPr>
                  <w:rStyle w:val="InternetLink"/>
                  <w:spacing w:val="4"/>
                </w:rPr>
                <w:t xml:space="preserve">QUESTIONS AND ANSWERS ABOUT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QAAA">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PRSU">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OOTC">
              <w:r>
                <w:rPr>
                  <w:rStyle w:val="InternetLink"/>
                  <w:spacing w:val="4"/>
                </w:rPr>
                <w:t xml:space="preserve">Overview of 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OOTC">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SBI">
              <w:r>
                <w:rPr>
                  <w:rStyle w:val="InternetLink"/>
                  <w:spacing w:val="4"/>
                </w:rPr>
                <w:t xml:space="preserve">Standard BioTools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SBI">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SOIN">
              <w:r>
                <w:rPr>
                  <w:rStyle w:val="InternetLink"/>
                  <w:spacing w:val="4"/>
                </w:rPr>
                <w:t xml:space="preserve">SomaLogic,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SOIN">
              <w:r>
                <w:rPr>
                  <w:rStyle w:val="InternetLink"/>
                  <w:spacing w:val="4"/>
                </w:rPr>
                <w:t>15</w:t>
              </w:r>
            </w:hyperlink>
            <w:hyperlink w:anchor="tSO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MMSI">
              <w:r>
                <w:rPr>
                  <w:rStyle w:val="InternetLink"/>
                  <w:spacing w:val="4"/>
                </w:rPr>
                <w:t xml:space="preserve">Martis Merger Sub,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MMSI">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TMSP">
              <w:r>
                <w:rPr>
                  <w:rStyle w:val="InternetLink"/>
                  <w:spacing w:val="4"/>
                </w:rPr>
                <w:t xml:space="preserve">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TMSP">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RFTM">
              <w:r>
                <w:rPr>
                  <w:rStyle w:val="InternetLink"/>
                  <w:spacing w:val="4"/>
                </w:rPr>
                <w:t xml:space="preserve">Reasons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RFTM">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SBRF">
              <w:r>
                <w:rPr>
                  <w:rStyle w:val="InternetLink"/>
                  <w:spacing w:val="4"/>
                </w:rPr>
                <w:t>Standard BioTools’ Reasons for the Merger; Recommendation of the Standard BioTools Board</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SBRF">
              <w:r>
                <w:rPr>
                  <w:rStyle w:val="InternetLink"/>
                  <w:spacing w:val="4"/>
                </w:rPr>
                <w:t>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SRFT">
              <w:r>
                <w:rPr>
                  <w:rStyle w:val="InternetLink"/>
                  <w:spacing w:val="4"/>
                </w:rPr>
                <w:t>SomaLogic’s Reasons for the Merger; Recommendation of the SomaLogic Board</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SRFT">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OOSB">
              <w:r>
                <w:rPr>
                  <w:rStyle w:val="InternetLink"/>
                  <w:spacing w:val="4"/>
                </w:rPr>
                <w:t xml:space="preserve">Opinion of Standard BioTools’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OOSB">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OOSF">
              <w:r>
                <w:rPr>
                  <w:rStyle w:val="InternetLink"/>
                  <w:spacing w:val="4"/>
                </w:rPr>
                <w:t xml:space="preserve">Opinion of SomaLogic’s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OOSF">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IOCD">
              <w:r>
                <w:rPr>
                  <w:rStyle w:val="InternetLink"/>
                  <w:spacing w:val="4"/>
                </w:rPr>
                <w:t xml:space="preserve">Interests of Certain Directors, Officers and Affiliates of Standard BioTools and SomaLogic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IOSB">
              <w:r>
                <w:rPr>
                  <w:rStyle w:val="InternetLink"/>
                  <w:spacing w:val="4"/>
                </w:rPr>
                <w:t xml:space="preserve">Interests of Standard BioTools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IOSB">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IOSD">
              <w:r>
                <w:rPr>
                  <w:rStyle w:val="InternetLink"/>
                  <w:spacing w:val="4"/>
                </w:rPr>
                <w:t xml:space="preserve">Interests of SomaLogic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IOSD">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MFTM">
              <w:r>
                <w:rPr>
                  <w:rStyle w:val="InternetLink"/>
                  <w:spacing w:val="4"/>
                </w:rPr>
                <w:t xml:space="preserve">Board of Directors and Management Following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MFTM">
              <w:r>
                <w:rPr>
                  <w:rStyle w:val="InternetLink"/>
                  <w:spacing w:val="4"/>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TMAA">
              <w:r>
                <w:rPr>
                  <w:rStyle w:val="InternetLink"/>
                  <w:spacing w:val="4"/>
                </w:rPr>
                <w:t xml:space="preserve">The Merger Agreement and Agreements Related to 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TMAA">
              <w:r>
                <w:rPr>
                  <w:rStyle w:val="InternetLink"/>
                  <w:spacing w:val="4"/>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VOAG">
              <w:r>
                <w:rPr>
                  <w:rStyle w:val="InternetLink"/>
                  <w:spacing w:val="4"/>
                </w:rPr>
                <w:t xml:space="preserve">Voting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VOAG">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CTTC">
              <w:r>
                <w:rPr>
                  <w:rStyle w:val="InternetLink"/>
                  <w:spacing w:val="4"/>
                </w:rPr>
                <w:t xml:space="preserve">Conditions to the Completion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CTTC">
              <w:r>
                <w:rPr>
                  <w:rStyle w:val="InternetLink"/>
                  <w:spacing w:val="4"/>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NSSP">
              <w:r>
                <w:rPr>
                  <w:rStyle w:val="InternetLink"/>
                  <w:spacing w:val="4"/>
                </w:rPr>
                <w:t xml:space="preserve">No Solicitation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NSSP">
              <w:r>
                <w:rPr>
                  <w:rStyle w:val="InternetLink"/>
                  <w:spacing w:val="4"/>
                </w:rPr>
                <w:t>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TSP">
              <w:r>
                <w:rPr>
                  <w:rStyle w:val="InternetLink"/>
                  <w:spacing w:val="4"/>
                </w:rPr>
                <w:t xml:space="preserve">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TSP">
              <w:r>
                <w:rPr>
                  <w:rStyle w:val="InternetLink"/>
                  <w:spacing w:val="4"/>
                </w:rPr>
                <w:t>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TFSP">
              <w:r>
                <w:rPr>
                  <w:rStyle w:val="InternetLink"/>
                  <w:spacing w:val="4"/>
                </w:rPr>
                <w:t xml:space="preserve">Termination Fee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TFSP">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RARF">
              <w:r>
                <w:rPr>
                  <w:rStyle w:val="InternetLink"/>
                  <w:spacing w:val="4"/>
                </w:rPr>
                <w:t>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AATS">
              <w:r>
                <w:rPr>
                  <w:rStyle w:val="InternetLink"/>
                  <w:spacing w:val="4"/>
                </w:rPr>
                <w:t xml:space="preserve">Anticipated Accounting Treatment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AATS">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NARS">
              <w:r>
                <w:rPr>
                  <w:rStyle w:val="InternetLink"/>
                  <w:spacing w:val="4"/>
                </w:rPr>
                <w:t xml:space="preserve">No Appraisal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NARS">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MUFI">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COSR">
              <w:r>
                <w:rPr>
                  <w:rStyle w:val="InternetLink"/>
                  <w:spacing w:val="4"/>
                </w:rPr>
                <w:t xml:space="preserve">Comparison of Stockholder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COSR">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RFSP">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RFSP">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200"/>
              <w:jc w:val="left"/>
              <w:rPr/>
            </w:pPr>
            <w:hyperlink w:anchor="tSSBA">
              <w:r>
                <w:rPr>
                  <w:rStyle w:val="InternetLink"/>
                  <w:spacing w:val="4"/>
                </w:rPr>
                <w:t xml:space="preserve">SELECTED STANDARD BIOTOOLS AND SOMALOGIC UNAUDITED PRO FORMA CONDENSED COMBINED FINANCIAL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SSBA">
              <w:r>
                <w:rPr>
                  <w:rStyle w:val="InternetLink"/>
                  <w:spacing w:val="4"/>
                </w:rPr>
                <w:t>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jc w:val="left"/>
              <w:rPr/>
            </w:pPr>
            <w:hyperlink w:anchor="tCHAU">
              <w:r>
                <w:rPr>
                  <w:rStyle w:val="InternetLink"/>
                  <w:spacing w:val="4"/>
                </w:rPr>
                <w:t xml:space="preserve">COMPARATIVE HISTORICAL AND UNAUDITED PRO FORMA PER SHARE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CHAU">
              <w:r>
                <w:rPr>
                  <w:rStyle w:val="InternetLink"/>
                  <w:spacing w:val="4"/>
                </w:rPr>
                <w:t>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jc w:val="left"/>
              <w:rPr/>
            </w:pPr>
            <w:hyperlink w:anchor="tCPSM">
              <w:r>
                <w:rPr>
                  <w:rStyle w:val="InternetLink"/>
                  <w:spacing w:val="4"/>
                </w:rPr>
                <w:t xml:space="preserve">COMPARATIVE PER SHARE MARKET PRICE AND DIVIDEND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CPSM">
              <w:r>
                <w:rPr>
                  <w:rStyle w:val="InternetLink"/>
                  <w:spacing w:val="4"/>
                </w:rPr>
                <w:t>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MAPR">
              <w:r>
                <w:rPr>
                  <w:rStyle w:val="InternetLink"/>
                  <w:spacing w:val="4"/>
                </w:rPr>
                <w:t xml:space="preserve">Market Prices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MAPR">
              <w:r>
                <w:rPr>
                  <w:rStyle w:val="InternetLink"/>
                  <w:spacing w:val="4"/>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HOL">
              <w:r>
                <w:rPr>
                  <w:rStyle w:val="InternetLink"/>
                  <w:spacing w:val="4"/>
                </w:rPr>
                <w:t xml:space="preserv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HOL">
              <w:r>
                <w:rPr>
                  <w:rStyle w:val="InternetLink"/>
                  <w:spacing w:val="4"/>
                </w:rPr>
                <w:t>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RIFA">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RRTT">
              <w:r>
                <w:rPr>
                  <w:rStyle w:val="InternetLink"/>
                  <w:spacing w:val="4"/>
                </w:rPr>
                <w:t xml:space="preserve">Risks Related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RRTT">
              <w:r>
                <w:rPr>
                  <w:rStyle w:val="InternetLink"/>
                  <w:spacing w:val="4"/>
                </w:rPr>
                <w:t>31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RRTT2">
              <w:r>
                <w:rPr>
                  <w:rStyle w:val="InternetLink"/>
                  <w:spacing w:val="4"/>
                </w:rPr>
                <w:t xml:space="preserve">Risks Related to the Business of the Combined Company After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RRTT2">
              <w:r>
                <w:rPr>
                  <w:rStyle w:val="InternetLink"/>
                  <w:spacing w:val="4"/>
                </w:rPr>
                <w:t>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RRTT1">
              <w:r>
                <w:rPr>
                  <w:rStyle w:val="InternetLink"/>
                  <w:spacing w:val="4"/>
                </w:rPr>
                <w:t xml:space="preserve">Risks Related to the Standard BioTools Capital Structure.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RRTT1">
              <w:r>
                <w:rPr>
                  <w:rStyle w:val="InternetLink"/>
                  <w:spacing w:val="4"/>
                </w:rPr>
                <w:t>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ind w:left="200" w:right="0" w:hanging="0"/>
              <w:jc w:val="left"/>
              <w:rPr/>
            </w:pPr>
            <w:hyperlink w:anchor="tRRTS">
              <w:r>
                <w:rPr>
                  <w:rStyle w:val="InternetLink"/>
                  <w:spacing w:val="4"/>
                </w:rPr>
                <w:t xml:space="preserve">Risks Related to SomaLogic’s Business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RRTS">
              <w:r>
                <w:rPr>
                  <w:rStyle w:val="InternetLink"/>
                  <w:spacing w:val="4"/>
                </w:rPr>
                <w:t>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7" w:type="dxa"/>
            <w:tcBorders/>
            <w:shd w:fill="CCEEFF" w:val="clear"/>
            <w:tcMar>
              <w:bottom w:w="0" w:type="dxa"/>
            </w:tcMar>
            <w:vAlign w:val="center"/>
          </w:tcPr>
          <w:p>
            <w:pPr>
              <w:pStyle w:val="TableContents"/>
              <w:bidi w:val="0"/>
              <w:spacing w:before="0" w:after="0"/>
              <w:ind w:left="200" w:right="0" w:hanging="0"/>
              <w:jc w:val="left"/>
              <w:rPr/>
            </w:pPr>
            <w:hyperlink w:anchor="tRRTS1">
              <w:r>
                <w:rPr>
                  <w:rStyle w:val="InternetLink"/>
                  <w:spacing w:val="4"/>
                </w:rPr>
                <w:t xml:space="preserve">Risks Related to Standard BioTools’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hyperlink w:anchor="tRRTS1">
              <w:r>
                <w:rPr>
                  <w:rStyle w:val="InternetLink"/>
                  <w:spacing w:val="4"/>
                </w:rPr>
                <w:t>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7"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hyperlink w:anchor="tCSRF">
              <w:r>
                <w:rPr>
                  <w:rStyle w:val="InternetLink"/>
                  <w:spacing w:val="4"/>
                </w:rPr>
                <w:t>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13"/>
        <w:gridCol w:w="109"/>
        <w:gridCol w:w="109"/>
        <w:gridCol w:w="109"/>
        <w:gridCol w:w="109"/>
        <w:gridCol w:w="399"/>
        <w:gridCol w:w="109"/>
        <w:gridCol w:w="155"/>
      </w:tblGrid>
      <w:tr>
        <w:trPr/>
        <w:tc>
          <w:tcPr>
            <w:tcW w:w="77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TSSM">
              <w:r>
                <w:rPr>
                  <w:rStyle w:val="InternetLink"/>
                  <w:spacing w:val="4"/>
                </w:rPr>
                <w:t xml:space="preserve">THE SOMALOGIC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TSSM">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DTAP1">
              <w:r>
                <w:rPr>
                  <w:rStyle w:val="InternetLink"/>
                  <w:spacing w:val="4"/>
                </w:rPr>
                <w:t xml:space="preserve">Date, Time, and Place of 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DTAP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POTS1">
              <w:r>
                <w:rPr>
                  <w:rStyle w:val="InternetLink"/>
                  <w:spacing w:val="4"/>
                </w:rPr>
                <w:t xml:space="preserve">Purpose of the SomaLogic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POTS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ROTS1">
              <w:r>
                <w:rPr>
                  <w:rStyle w:val="InternetLink"/>
                  <w:spacing w:val="4"/>
                </w:rPr>
                <w:t xml:space="preserve">Recommendation of the SomaLogic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OTS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RDFT1">
              <w:r>
                <w:rPr>
                  <w:rStyle w:val="InternetLink"/>
                  <w:spacing w:val="4"/>
                </w:rPr>
                <w:t xml:space="preserve">Record Date for the SomaLogic Special Meeting and Quorum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RDFT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REDA1">
              <w:r>
                <w:rPr>
                  <w:rStyle w:val="InternetLink"/>
                  <w:spacing w:val="4"/>
                </w:rPr>
                <w:t xml:space="preserve">Record Date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EDA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QUO1">
              <w:r>
                <w:rPr>
                  <w:rStyle w:val="InternetLink"/>
                  <w:spacing w:val="4"/>
                </w:rPr>
                <w:t xml:space="preserve">Quorum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QUO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EVO1">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SVA">
              <w:r>
                <w:rPr>
                  <w:rStyle w:val="InternetLink"/>
                  <w:spacing w:val="4"/>
                </w:rPr>
                <w:t xml:space="preserve">SomaLogic Voting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SVA">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VBSA">
              <w:r>
                <w:rPr>
                  <w:rStyle w:val="InternetLink"/>
                  <w:spacing w:val="4"/>
                </w:rPr>
                <w:t xml:space="preserve">Voting by SomaLogic’s and Standard BioTools’ Directors and 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VBSA">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VOPI">
              <w:r>
                <w:rPr>
                  <w:rStyle w:val="InternetLink"/>
                  <w:spacing w:val="4"/>
                </w:rPr>
                <w:t xml:space="preserve">Voting of Proxies; Incomplete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VOPI">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FTVB">
              <w:r>
                <w:rPr>
                  <w:rStyle w:val="InternetLink"/>
                  <w:spacing w:val="4"/>
                </w:rPr>
                <w:t xml:space="preserve">Failures to Vote, Broker Non-Votes, and Abstentions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FTVB">
              <w:r>
                <w:rPr>
                  <w:rStyle w:val="InternetLink"/>
                  <w:spacing w:val="4"/>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ROPA">
              <w:r>
                <w:rPr>
                  <w:rStyle w:val="InternetLink"/>
                  <w:spacing w:val="4"/>
                </w:rPr>
                <w:t xml:space="preserve">Revocability of Proxies and Changes to a SomaLogic Stockholder’s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ROPA">
              <w:r>
                <w:rPr>
                  <w:rStyle w:val="InternetLink"/>
                  <w:spacing w:val="4"/>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OP">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DJ">
              <w:r>
                <w:rPr>
                  <w:rStyle w:val="InternetLink"/>
                  <w:spacing w:val="4"/>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POS">
              <w:r>
                <w:rPr>
                  <w:rStyle w:val="InternetLink"/>
                  <w:spacing w:val="4"/>
                </w:rPr>
                <w:t xml:space="preserve">Postponements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POS">
              <w:r>
                <w:rPr>
                  <w:rStyle w:val="InternetLink"/>
                  <w:spacing w:val="4"/>
                </w:rPr>
                <w:t>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ATSS">
              <w:r>
                <w:rPr>
                  <w:rStyle w:val="InternetLink"/>
                  <w:spacing w:val="4"/>
                </w:rPr>
                <w:t xml:space="preserve">Attending the SomaLogic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TSS">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STLI">
              <w:r>
                <w:rPr>
                  <w:rStyle w:val="InternetLink"/>
                  <w:spacing w:val="4"/>
                </w:rPr>
                <w:t xml:space="preserve">Stockholder List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TLI">
              <w:r>
                <w:rPr>
                  <w:rStyle w:val="InternetLink"/>
                  <w:spacing w:val="4"/>
                </w:rPr>
                <w:t>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ASS">
              <w:r>
                <w:rPr>
                  <w:rStyle w:val="InternetLink"/>
                  <w:spacing w:val="4"/>
                </w:rPr>
                <w:t xml:space="preserve">Assistance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SS">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SOPR">
              <w:r>
                <w:rPr>
                  <w:rStyle w:val="InternetLink"/>
                  <w:spacing w:val="4"/>
                </w:rPr>
                <w:t xml:space="preserve">SOMALOGIC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OPR">
              <w:r>
                <w:rPr>
                  <w:rStyle w:val="InternetLink"/>
                  <w:spacing w:val="4"/>
                </w:rPr>
                <w:t>53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SP1T">
              <w:r>
                <w:rPr>
                  <w:rStyle w:val="InternetLink"/>
                  <w:spacing w:val="4"/>
                </w:rPr>
                <w:t xml:space="preserve">SomaLogic Proposal 1: The SomaLogic Merger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SP1T">
              <w:r>
                <w:rPr>
                  <w:rStyle w:val="InternetLink"/>
                  <w:spacing w:val="4"/>
                </w:rPr>
                <w:t>53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SP2T">
              <w:r>
                <w:rPr>
                  <w:rStyle w:val="InternetLink"/>
                  <w:spacing w:val="4"/>
                </w:rPr>
                <w:t xml:space="preserve">SomaLogic Proposal 2: The SomaLogic Adjournment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P2T">
              <w:r>
                <w:rPr>
                  <w:rStyle w:val="InternetLink"/>
                  <w:spacing w:val="4"/>
                </w:rPr>
                <w:t>54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TSBS">
              <w:r>
                <w:rPr>
                  <w:rStyle w:val="InternetLink"/>
                  <w:spacing w:val="4"/>
                </w:rPr>
                <w:t xml:space="preserve">THE STANDARD BIOTOOLS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TSBS">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DTAP">
              <w:r>
                <w:rPr>
                  <w:rStyle w:val="InternetLink"/>
                  <w:spacing w:val="4"/>
                </w:rPr>
                <w:t xml:space="preserve">Date, Time, and Place of 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DTAP">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POTS">
              <w:r>
                <w:rPr>
                  <w:rStyle w:val="InternetLink"/>
                  <w:spacing w:val="4"/>
                </w:rPr>
                <w:t xml:space="preserve">Purpose of the Standard BioTools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POTS">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ROTS">
              <w:r>
                <w:rPr>
                  <w:rStyle w:val="InternetLink"/>
                  <w:spacing w:val="4"/>
                </w:rPr>
                <w:t xml:space="preserve">Recommendation of the Standard BioTools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OTS">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RDFT">
              <w:r>
                <w:rPr>
                  <w:rStyle w:val="InternetLink"/>
                  <w:spacing w:val="4"/>
                </w:rPr>
                <w:t xml:space="preserve">Record Date for the Standard BioTools Special Meeting and Quorum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RDFT">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REDA">
              <w:r>
                <w:rPr>
                  <w:rStyle w:val="InternetLink"/>
                  <w:spacing w:val="4"/>
                </w:rPr>
                <w:t xml:space="preserve">Record Date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EDA">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QUO">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EVO">
              <w:r>
                <w:rPr>
                  <w:rStyle w:val="InternetLink"/>
                  <w:spacing w:val="4"/>
                </w:rPr>
                <w:t>56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SBVA">
              <w:r>
                <w:rPr>
                  <w:rStyle w:val="InternetLink"/>
                  <w:spacing w:val="4"/>
                </w:rPr>
                <w:t xml:space="preserve">Standard BioTools Voting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SBVA">
              <w:r>
                <w:rPr>
                  <w:rStyle w:val="InternetLink"/>
                  <w:spacing w:val="4"/>
                </w:rPr>
                <w:t>56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VBSB">
              <w:r>
                <w:rPr>
                  <w:rStyle w:val="InternetLink"/>
                  <w:spacing w:val="4"/>
                </w:rPr>
                <w:t xml:space="preserve">Voting by Standard BioTools’ Directors and 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VBSB">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VOPI1">
              <w:r>
                <w:rPr>
                  <w:rStyle w:val="InternetLink"/>
                  <w:spacing w:val="4"/>
                </w:rPr>
                <w:t xml:space="preserve">Voting of Proxies; Incomplete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VOPI1">
              <w:r>
                <w:rPr>
                  <w:rStyle w:val="InternetLink"/>
                  <w:spacing w:val="4"/>
                </w:rPr>
                <w:t>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FTVB1">
              <w:r>
                <w:rPr>
                  <w:rStyle w:val="InternetLink"/>
                  <w:spacing w:val="4"/>
                </w:rPr>
                <w:t xml:space="preserve">Failures to Vote, Broker Non-Votes, and Abstentions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FTVB1">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ROPA1">
              <w:r>
                <w:rPr>
                  <w:rStyle w:val="InternetLink"/>
                  <w:spacing w:val="4"/>
                </w:rPr>
                <w:t xml:space="preserve">Revocability of Proxies and Changes to a Standard BioTools Common Stockholder’s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ROPA1">
              <w:r>
                <w:rPr>
                  <w:rStyle w:val="InternetLink"/>
                  <w:spacing w:val="4"/>
                </w:rPr>
                <w:t>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SOP1">
              <w:r>
                <w:rPr>
                  <w:rStyle w:val="InternetLink"/>
                  <w:spacing w:val="4"/>
                </w:rPr>
                <w:t xml:space="preserve">Solicitation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OP1">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ADJ1">
              <w:r>
                <w:rPr>
                  <w:rStyle w:val="InternetLink"/>
                  <w:spacing w:val="4"/>
                </w:rPr>
                <w:t xml:space="preserve">Adjournments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DJ1">
              <w:r>
                <w:rPr>
                  <w:rStyle w:val="InternetLink"/>
                  <w:spacing w:val="4"/>
                </w:rPr>
                <w:t>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POS1">
              <w:r>
                <w:rPr>
                  <w:rStyle w:val="InternetLink"/>
                  <w:spacing w:val="4"/>
                </w:rPr>
                <w:t xml:space="preserve">Postponements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POS1">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ATSB">
              <w:r>
                <w:rPr>
                  <w:rStyle w:val="InternetLink"/>
                  <w:spacing w:val="4"/>
                </w:rPr>
                <w:t xml:space="preserve">Attending the Standard BioTools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TSB">
              <w:r>
                <w:rPr>
                  <w:rStyle w:val="InternetLink"/>
                  <w:spacing w:val="4"/>
                </w:rPr>
                <w:t>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ind w:left="200" w:right="0" w:hanging="0"/>
              <w:jc w:val="left"/>
              <w:rPr/>
            </w:pPr>
            <w:hyperlink w:anchor="tSTLI1">
              <w:r>
                <w:rPr>
                  <w:rStyle w:val="InternetLink"/>
                  <w:spacing w:val="4"/>
                </w:rPr>
                <w:t xml:space="preserve">Stockholder List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TLI1">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ASS1">
              <w:r>
                <w:rPr>
                  <w:rStyle w:val="InternetLink"/>
                  <w:spacing w:val="4"/>
                </w:rPr>
                <w:t xml:space="preserve">Assistance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SS1">
              <w:r>
                <w:rPr>
                  <w:rStyle w:val="InternetLink"/>
                  <w:spacing w:val="4"/>
                </w:rPr>
                <w:t>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SBP">
              <w:r>
                <w:rPr>
                  <w:rStyle w:val="InternetLink"/>
                  <w:spacing w:val="4"/>
                </w:rPr>
                <w:t xml:space="preserve">STANDARD BIOTOOLS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SBP">
              <w:r>
                <w:rPr>
                  <w:rStyle w:val="InternetLink"/>
                  <w:spacing w:val="4"/>
                </w:rPr>
                <w:t>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0"/>
              <w:jc w:val="left"/>
              <w:rPr/>
            </w:pPr>
            <w:hyperlink w:anchor="tSBP1">
              <w:r>
                <w:rPr>
                  <w:rStyle w:val="InternetLink"/>
                  <w:spacing w:val="4"/>
                </w:rPr>
                <w:t xml:space="preserve">Standard BioTools Proposal 1: The Standard BioTools Share Issuance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SBP1">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97"/>
        <w:gridCol w:w="109"/>
        <w:gridCol w:w="109"/>
        <w:gridCol w:w="109"/>
        <w:gridCol w:w="109"/>
        <w:gridCol w:w="515"/>
        <w:gridCol w:w="109"/>
        <w:gridCol w:w="155"/>
      </w:tblGrid>
      <w:tr>
        <w:trPr/>
        <w:tc>
          <w:tcPr>
            <w:tcW w:w="75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2"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2">
              <w:r>
                <w:rPr>
                  <w:rStyle w:val="InternetLink"/>
                  <w:spacing w:val="4"/>
                </w:rPr>
                <w:t xml:space="preserve">Standard BioTools Proposal 2: The Standard BioTools Charter Amendment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2">
              <w:r>
                <w:rPr>
                  <w:rStyle w:val="InternetLink"/>
                  <w:spacing w:val="4"/>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BP3">
              <w:r>
                <w:rPr>
                  <w:rStyle w:val="InternetLink"/>
                  <w:spacing w:val="4"/>
                </w:rPr>
                <w:t xml:space="preserve">Standard BioTools Proposal 3: The Standard BioTools Advisory Compensation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P3">
              <w:r>
                <w:rPr>
                  <w:rStyle w:val="InternetLink"/>
                  <w:spacing w:val="4"/>
                </w:rPr>
                <w:t>64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400" w:right="0" w:hanging="200"/>
              <w:jc w:val="left"/>
              <w:rPr/>
            </w:pPr>
            <w:hyperlink w:anchor="tSBP4">
              <w:r>
                <w:rPr>
                  <w:rStyle w:val="InternetLink"/>
                  <w:spacing w:val="4"/>
                </w:rPr>
                <w:t xml:space="preserve">Standard BioTools Proposal 4: The Standard BioTools Equity Incentive Plan Amendment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4">
              <w:r>
                <w:rPr>
                  <w:rStyle w:val="InternetLink"/>
                  <w:spacing w:val="4"/>
                </w:rPr>
                <w:t>65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BP5">
              <w:r>
                <w:rPr>
                  <w:rStyle w:val="InternetLink"/>
                  <w:spacing w:val="4"/>
                </w:rPr>
                <w:t xml:space="preserve">Standard BioTools Proposal 5: The Standard BioTools Adjournment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P5">
              <w:r>
                <w:rPr>
                  <w:rStyle w:val="InternetLink"/>
                  <w:spacing w:val="4"/>
                </w:rPr>
                <w:t>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HME">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GDOT">
              <w:r>
                <w:rPr>
                  <w:rStyle w:val="InternetLink"/>
                  <w:spacing w:val="4"/>
                </w:rPr>
                <w:t xml:space="preserve">General Description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GDOT">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CTBR">
              <w:r>
                <w:rPr>
                  <w:rStyle w:val="InternetLink"/>
                  <w:spacing w:val="4"/>
                </w:rPr>
                <w:t xml:space="preserve">Consideration to be Received by the SomaLogic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CTBR">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BOTM">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RF1">
              <w:r>
                <w:rPr>
                  <w:rStyle w:val="InternetLink"/>
                  <w:spacing w:val="4"/>
                </w:rPr>
                <w:t xml:space="preserve">Standard BioTools’ Reasons for the Merger; Recommendation of the Standard BioTools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RF1">
              <w:r>
                <w:rPr>
                  <w:rStyle w:val="InternetLink"/>
                  <w:spacing w:val="4"/>
                </w:rPr>
                <w:t>93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RFT1">
              <w:r>
                <w:rPr>
                  <w:rStyle w:val="InternetLink"/>
                  <w:spacing w:val="4"/>
                </w:rPr>
                <w:t xml:space="preserve">SomaLogic’s Reasons for the Merger; Recommendation of the SomaLogic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RFT1">
              <w:r>
                <w:rPr>
                  <w:rStyle w:val="InternetLink"/>
                  <w:spacing w:val="4"/>
                </w:rPr>
                <w:t>97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OOSB1">
              <w:r>
                <w:rPr>
                  <w:rStyle w:val="InternetLink"/>
                  <w:spacing w:val="4"/>
                </w:rPr>
                <w:t xml:space="preserve">Opinion of Standard BioTools’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OOSB1">
              <w:r>
                <w:rPr>
                  <w:rStyle w:val="InternetLink"/>
                  <w:spacing w:val="4"/>
                </w:rPr>
                <w:t>101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OCF">
              <w:r>
                <w:rPr>
                  <w:rStyle w:val="InternetLink"/>
                  <w:spacing w:val="4"/>
                </w:rPr>
                <w:t xml:space="preserve">Summary of Centerview Financial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OCF">
              <w:r>
                <w:rPr>
                  <w:rStyle w:val="InternetLink"/>
                  <w:spacing w:val="4"/>
                </w:rPr>
                <w:t>103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400" w:right="0" w:hanging="200"/>
              <w:jc w:val="left"/>
              <w:rPr/>
            </w:pPr>
            <w:hyperlink w:anchor="tSOCS">
              <w:r>
                <w:rPr>
                  <w:rStyle w:val="InternetLink"/>
                  <w:spacing w:val="4"/>
                </w:rPr>
                <w:t xml:space="preserve">Summary of Certain Standard BioTools Management Unaudited Prospective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OCS">
              <w:r>
                <w:rPr>
                  <w:rStyle w:val="InternetLink"/>
                  <w:spacing w:val="4"/>
                </w:rPr>
                <w:t>109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OOSF1">
              <w:r>
                <w:rPr>
                  <w:rStyle w:val="InternetLink"/>
                  <w:spacing w:val="4"/>
                </w:rPr>
                <w:t xml:space="preserve">Opinion of SomaLogic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OOSF1">
              <w:r>
                <w:rPr>
                  <w:rStyle w:val="InternetLink"/>
                  <w:spacing w:val="4"/>
                </w:rPr>
                <w:t>113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OPA">
              <w:r>
                <w:rPr>
                  <w:rStyle w:val="InternetLink"/>
                  <w:spacing w:val="4"/>
                </w:rPr>
                <w:t xml:space="preserve">Summary of PWP’s Analyses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OPA">
              <w:r>
                <w:rPr>
                  <w:rStyle w:val="InternetLink"/>
                  <w:spacing w:val="4"/>
                </w:rPr>
                <w:t>116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OCS1">
              <w:r>
                <w:rPr>
                  <w:rStyle w:val="InternetLink"/>
                  <w:spacing w:val="4"/>
                </w:rPr>
                <w:t xml:space="preserve">Summary of Certain SomaLogic Unaudited Prospective Financial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OCS1">
              <w:r>
                <w:rPr>
                  <w:rStyle w:val="InternetLink"/>
                  <w:spacing w:val="4"/>
                </w:rPr>
                <w:t>121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IOSB1">
              <w:r>
                <w:rPr>
                  <w:rStyle w:val="InternetLink"/>
                  <w:spacing w:val="4"/>
                </w:rPr>
                <w:t xml:space="preserve">Interests of Standard BioTools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IOSB1">
              <w:r>
                <w:rPr>
                  <w:rStyle w:val="InternetLink"/>
                  <w:spacing w:val="4"/>
                </w:rPr>
                <w:t>123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IOSD1">
              <w:r>
                <w:rPr>
                  <w:rStyle w:val="InternetLink"/>
                  <w:spacing w:val="4"/>
                </w:rPr>
                <w:t xml:space="preserve">Interests of SomaLogic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IOSD1">
              <w:r>
                <w:rPr>
                  <w:rStyle w:val="InternetLink"/>
                  <w:spacing w:val="4"/>
                </w:rPr>
                <w:t>130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SomaLogic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DADO">
              <w:r>
                <w:rPr>
                  <w:rStyle w:val="InternetLink"/>
                  <w:spacing w:val="4"/>
                </w:rPr>
                <w:t>135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EAP">
              <w:r>
                <w:rPr>
                  <w:rStyle w:val="InternetLink"/>
                  <w:spacing w:val="4"/>
                </w:rPr>
                <w:t>Regulatory Approvals Required for the Merger</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EAP">
              <w:r>
                <w:rPr>
                  <w:rStyle w:val="InternetLink"/>
                  <w:spacing w:val="4"/>
                </w:rPr>
                <w:t>135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AAT">
              <w:r>
                <w:rPr>
                  <w:rStyle w:val="InternetLink"/>
                  <w:spacing w:val="4"/>
                </w:rPr>
                <w:t xml:space="preserve">Anticipated Accounting Treatment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AAT">
              <w:r>
                <w:rPr>
                  <w:rStyle w:val="InternetLink"/>
                  <w:spacing w:val="4"/>
                </w:rPr>
                <w:t>136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NAR">
              <w:r>
                <w:rPr>
                  <w:rStyle w:val="InternetLink"/>
                  <w:spacing w:val="4"/>
                </w:rPr>
                <w:t xml:space="preserve">No Appraisal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NAR">
              <w:r>
                <w:rPr>
                  <w:rStyle w:val="InternetLink"/>
                  <w:spacing w:val="4"/>
                </w:rPr>
                <w:t>136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MUFI1">
              <w:r>
                <w:rPr>
                  <w:rStyle w:val="InternetLink"/>
                  <w:spacing w:val="4"/>
                </w:rPr>
                <w:t xml:space="preserve">MATERIAL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UFI1">
              <w:r>
                <w:rPr>
                  <w:rStyle w:val="InternetLink"/>
                  <w:spacing w:val="4"/>
                </w:rPr>
                <w:t>137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UFIT">
              <w:r>
                <w:rPr>
                  <w:rStyle w:val="InternetLink"/>
                  <w:spacing w:val="4"/>
                </w:rPr>
                <w:t xml:space="preserve">U.S. Federal Income Tax Consequences of the Merger to U.S. Holders of SomaLogic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UFIT">
              <w:r>
                <w:rPr>
                  <w:rStyle w:val="InternetLink"/>
                  <w:spacing w:val="4"/>
                </w:rPr>
                <w:t>138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MA">
              <w:r>
                <w:rPr>
                  <w:rStyle w:val="InternetLink"/>
                  <w:spacing w:val="4"/>
                </w:rPr>
                <w:t>141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GEN">
              <w:r>
                <w:rPr>
                  <w:rStyle w:val="InternetLink"/>
                  <w:spacing w:val="4"/>
                </w:rPr>
                <w:t>141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ECO">
              <w:r>
                <w:rPr>
                  <w:rStyle w:val="InternetLink"/>
                  <w:spacing w:val="4"/>
                </w:rPr>
                <w:t>141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TOSS">
              <w:r>
                <w:rPr>
                  <w:rStyle w:val="InternetLink"/>
                  <w:spacing w:val="4"/>
                </w:rPr>
                <w:t xml:space="preserve">Treatment of SomaLogic Stock Options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OSS">
              <w:r>
                <w:rPr>
                  <w:rStyle w:val="InternetLink"/>
                  <w:spacing w:val="4"/>
                </w:rPr>
                <w:t>143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TOSR">
              <w:r>
                <w:rPr>
                  <w:rStyle w:val="InternetLink"/>
                  <w:spacing w:val="4"/>
                </w:rPr>
                <w:t xml:space="preserve">Treatment of SomaLogic RSUs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OSR">
              <w:r>
                <w:rPr>
                  <w:rStyle w:val="InternetLink"/>
                  <w:spacing w:val="4"/>
                </w:rPr>
                <w:t>144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TOSE">
              <w:r>
                <w:rPr>
                  <w:rStyle w:val="InternetLink"/>
                  <w:spacing w:val="4"/>
                </w:rPr>
                <w:t xml:space="preserve">Treatment of SomaLogic ESPP Options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OSE">
              <w:r>
                <w:rPr>
                  <w:rStyle w:val="InternetLink"/>
                  <w:spacing w:val="4"/>
                </w:rPr>
                <w:t>144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TOSW">
              <w:r>
                <w:rPr>
                  <w:rStyle w:val="InternetLink"/>
                  <w:spacing w:val="4"/>
                </w:rPr>
                <w:t xml:space="preserve">Treatment of SomaLogic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OSW">
              <w:r>
                <w:rPr>
                  <w:rStyle w:val="InternetLink"/>
                  <w:spacing w:val="4"/>
                </w:rPr>
                <w:t>144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DOAC">
              <w:r>
                <w:rPr>
                  <w:rStyle w:val="InternetLink"/>
                  <w:spacing w:val="4"/>
                </w:rPr>
                <w:t xml:space="preserve">Board of Directors and Management Following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DOAC">
              <w:r>
                <w:rPr>
                  <w:rStyle w:val="InternetLink"/>
                  <w:spacing w:val="4"/>
                </w:rPr>
                <w:t>144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CTTC1">
              <w:r>
                <w:rPr>
                  <w:rStyle w:val="InternetLink"/>
                  <w:spacing w:val="4"/>
                </w:rPr>
                <w:t xml:space="preserve">Conditions to the Completion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CTTC1">
              <w:r>
                <w:rPr>
                  <w:rStyle w:val="InternetLink"/>
                  <w:spacing w:val="4"/>
                </w:rPr>
                <w:t>145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AW">
              <w:r>
                <w:rPr>
                  <w:rStyle w:val="InternetLink"/>
                  <w:spacing w:val="4"/>
                </w:rPr>
                <w:t>147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NOSO">
              <w:r>
                <w:rPr>
                  <w:rStyle w:val="InternetLink"/>
                  <w:spacing w:val="4"/>
                </w:rPr>
                <w:t xml:space="preserve">No Solicitation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NOSO">
              <w:r>
                <w:rPr>
                  <w:rStyle w:val="InternetLink"/>
                  <w:spacing w:val="4"/>
                </w:rPr>
                <w:t>148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NCIR">
              <w:r>
                <w:rPr>
                  <w:rStyle w:val="InternetLink"/>
                  <w:spacing w:val="4"/>
                </w:rPr>
                <w:t xml:space="preserve">No Change in Recommendation or Alternative Acquisition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NCIR">
              <w:r>
                <w:rPr>
                  <w:rStyle w:val="InternetLink"/>
                  <w:spacing w:val="4"/>
                </w:rPr>
                <w:t>151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ETNC">
              <w:r>
                <w:rPr>
                  <w:rStyle w:val="InternetLink"/>
                  <w:spacing w:val="4"/>
                </w:rPr>
                <w:t xml:space="preserve">Exceptions to No Change in Recommendation and Alternative Acquisition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ETNC">
              <w:r>
                <w:rPr>
                  <w:rStyle w:val="InternetLink"/>
                  <w:spacing w:val="4"/>
                </w:rPr>
                <w:t>151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MOS">
              <w:r>
                <w:rPr>
                  <w:rStyle w:val="InternetLink"/>
                  <w:spacing w:val="4"/>
                </w:rPr>
                <w:t xml:space="preserve">Meetings of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MOS">
              <w:r>
                <w:rPr>
                  <w:rStyle w:val="InternetLink"/>
                  <w:spacing w:val="4"/>
                </w:rPr>
                <w:t>153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CCOB">
              <w:r>
                <w:rPr>
                  <w:rStyle w:val="InternetLink"/>
                  <w:spacing w:val="4"/>
                </w:rPr>
                <w:t xml:space="preserve">Covenants; Conduct of Business Pending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CCOB">
              <w:r>
                <w:rPr>
                  <w:rStyle w:val="InternetLink"/>
                  <w:spacing w:val="4"/>
                </w:rPr>
                <w:t>153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EAP1">
              <w:r>
                <w:rPr>
                  <w:rStyle w:val="InternetLink"/>
                  <w:spacing w:val="4"/>
                </w:rPr>
                <w:t xml:space="preserve">Regulatory Approvals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EAP1">
              <w:r>
                <w:rPr>
                  <w:rStyle w:val="InternetLink"/>
                  <w:spacing w:val="4"/>
                </w:rPr>
                <w:t>156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4"/>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IDAO">
              <w:r>
                <w:rPr>
                  <w:rStyle w:val="InternetLink"/>
                  <w:spacing w:val="4"/>
                </w:rPr>
                <w:t xml:space="preserve">Indemnification; Directors’ and Officers’ Insurance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DAO">
              <w:r>
                <w:rPr>
                  <w:rStyle w:val="InternetLink"/>
                  <w:spacing w:val="4"/>
                </w:rPr>
                <w:t>157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OTAG">
              <w:r>
                <w:rPr>
                  <w:rStyle w:val="InternetLink"/>
                  <w:spacing w:val="4"/>
                </w:rPr>
                <w:t xml:space="preserve">Other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OTAG">
              <w:r>
                <w:rPr>
                  <w:rStyle w:val="InternetLink"/>
                  <w:spacing w:val="4"/>
                </w:rPr>
                <w:t>158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ER">
              <w:r>
                <w:rPr>
                  <w:rStyle w:val="InternetLink"/>
                  <w:spacing w:val="4"/>
                </w:rPr>
                <w:t>159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TFAE">
              <w:r>
                <w:rPr>
                  <w:rStyle w:val="InternetLink"/>
                  <w:spacing w:val="4"/>
                </w:rPr>
                <w:t xml:space="preserve">Termination Fee and Expense Reimbursement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FAE">
              <w:r>
                <w:rPr>
                  <w:rStyle w:val="InternetLink"/>
                  <w:spacing w:val="4"/>
                </w:rPr>
                <w:t>160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PPE">
              <w:r>
                <w:rPr>
                  <w:rStyle w:val="InternetLink"/>
                  <w:spacing w:val="4"/>
                </w:rPr>
                <w:t>162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EXP">
              <w:r>
                <w:rPr>
                  <w:rStyle w:val="InternetLink"/>
                  <w:spacing w:val="4"/>
                </w:rPr>
                <w:t xml:space="preserve">Expenses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162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GOLA">
              <w:r>
                <w:rPr>
                  <w:rStyle w:val="InternetLink"/>
                  <w:spacing w:val="4"/>
                </w:rPr>
                <w:t>162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SBAS">
              <w:r>
                <w:rPr>
                  <w:rStyle w:val="InternetLink"/>
                  <w:spacing w:val="4"/>
                </w:rPr>
                <w:t xml:space="preserve">STANDARD BIOTOOLS AND SOMALOGIC UNAUDITED PRO FORMA CONDENSED COMBINED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BAS">
              <w:r>
                <w:rPr>
                  <w:rStyle w:val="InternetLink"/>
                  <w:spacing w:val="4"/>
                </w:rPr>
                <w:t>163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DOCS">
              <w:r>
                <w:rPr>
                  <w:rStyle w:val="InternetLink"/>
                  <w:spacing w:val="4"/>
                </w:rPr>
                <w:t>178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ACS">
              <w:r>
                <w:rPr>
                  <w:rStyle w:val="InternetLink"/>
                  <w:spacing w:val="4"/>
                </w:rPr>
                <w:t xml:space="preserve">Authorized Capital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CS">
              <w:r>
                <w:rPr>
                  <w:rStyle w:val="InternetLink"/>
                  <w:spacing w:val="4"/>
                </w:rPr>
                <w:t>178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COST">
              <w:r>
                <w:rPr>
                  <w:rStyle w:val="InternetLink"/>
                  <w:spacing w:val="4"/>
                </w:rPr>
                <w:t xml:space="preserve">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ST">
              <w:r>
                <w:rPr>
                  <w:rStyle w:val="InternetLink"/>
                  <w:spacing w:val="4"/>
                </w:rPr>
                <w:t>178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PRST">
              <w:r>
                <w:rPr>
                  <w:rStyle w:val="InternetLink"/>
                  <w:spacing w:val="4"/>
                </w:rPr>
                <w:t xml:space="preserve">Preferred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ST">
              <w:r>
                <w:rPr>
                  <w:rStyle w:val="InternetLink"/>
                  <w:spacing w:val="4"/>
                </w:rPr>
                <w:t>178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RA">
              <w:r>
                <w:rPr>
                  <w:rStyle w:val="InternetLink"/>
                  <w:spacing w:val="4"/>
                </w:rPr>
                <w:t xml:space="preserve">Registration Rights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RA">
              <w:r>
                <w:rPr>
                  <w:rStyle w:val="InternetLink"/>
                  <w:spacing w:val="4"/>
                </w:rPr>
                <w:t>183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PRST1">
              <w:r>
                <w:rPr>
                  <w:rStyle w:val="InternetLink"/>
                  <w:spacing w:val="4"/>
                </w:rPr>
                <w:t xml:space="preserve">Preemptive Rights; Standstill; Transfer Restrictions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ST1">
              <w:r>
                <w:rPr>
                  <w:rStyle w:val="InternetLink"/>
                  <w:spacing w:val="4"/>
                </w:rPr>
                <w:t>184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AEOD">
              <w:r>
                <w:rPr>
                  <w:rStyle w:val="InternetLink"/>
                  <w:spacing w:val="4"/>
                </w:rPr>
                <w:t xml:space="preserve">Anti-Takeover Effects of Delaware Law and Our Certificate of Incorporation and Bylaws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EOD">
              <w:r>
                <w:rPr>
                  <w:rStyle w:val="InternetLink"/>
                  <w:spacing w:val="4"/>
                </w:rPr>
                <w:t>184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OSR1">
              <w:r>
                <w:rPr>
                  <w:rStyle w:val="InternetLink"/>
                  <w:spacing w:val="4"/>
                </w:rPr>
                <w:t xml:space="preserve">COMPARISON OF STOCKHOLDER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OSR1">
              <w:r>
                <w:rPr>
                  <w:rStyle w:val="InternetLink"/>
                  <w:spacing w:val="4"/>
                </w:rPr>
                <w:t>186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SOOC">
              <w:r>
                <w:rPr>
                  <w:rStyle w:val="InternetLink"/>
                  <w:spacing w:val="4"/>
                </w:rPr>
                <w:t xml:space="preserve">SECURITY OWNERSHIP OF CERTAIN BENEFICIAL OWNERS AND MANAGEMENT OF </w:t>
              </w:r>
            </w:hyperlink>
            <w:hyperlink w:anchor="tSOOC">
              <w:r>
                <w:rPr>
                  <w:rStyle w:val="InternetLink"/>
                </w:rPr>
                <w:br/>
              </w:r>
            </w:hyperlink>
            <w:hyperlink w:anchor="tSOOC">
              <w:r>
                <w:rPr>
                  <w:rStyle w:val="InternetLink"/>
                  <w:spacing w:val="4"/>
                </w:rPr>
                <w:t xml:space="preserve">SOMALOGIC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OOC">
              <w:r>
                <w:rPr>
                  <w:rStyle w:val="InternetLink"/>
                  <w:spacing w:val="4"/>
                </w:rPr>
                <w:t>198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SOOC1">
              <w:r>
                <w:rPr>
                  <w:rStyle w:val="InternetLink"/>
                  <w:spacing w:val="4"/>
                </w:rPr>
                <w:t xml:space="preserve">SECURITY OWNERSHIP OF CERTAIN BENEFICIAL OWNERS AND MANAGEMENT OF </w:t>
              </w:r>
            </w:hyperlink>
            <w:hyperlink w:anchor="tSOOC1">
              <w:r>
                <w:rPr>
                  <w:rStyle w:val="InternetLink"/>
                </w:rPr>
                <w:br/>
              </w:r>
            </w:hyperlink>
            <w:hyperlink w:anchor="tSOOC1">
              <w:r>
                <w:rPr>
                  <w:rStyle w:val="InternetLink"/>
                  <w:spacing w:val="4"/>
                </w:rPr>
                <w:t xml:space="preserve">STANDARD BIOTOOLS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OOC1">
              <w:r>
                <w:rPr>
                  <w:rStyle w:val="InternetLink"/>
                  <w:spacing w:val="4"/>
                </w:rPr>
                <w:t>201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LEMA">
              <w:r>
                <w:rPr>
                  <w:rStyle w:val="InternetLink"/>
                  <w:spacing w:val="4"/>
                </w:rPr>
                <w:t>205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XP1">
              <w:r>
                <w:rPr>
                  <w:rStyle w:val="InternetLink"/>
                  <w:spacing w:val="4"/>
                </w:rPr>
                <w:t>205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IOCD1">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IOCD1">
              <w:r>
                <w:rPr>
                  <w:rStyle w:val="InternetLink"/>
                  <w:spacing w:val="4"/>
                </w:rPr>
                <w:t>206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208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HOPM">
              <w:r>
                <w:rPr>
                  <w:rStyle w:val="InternetLink"/>
                  <w:spacing w:val="4"/>
                </w:rPr>
                <w:t>209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FSB">
              <w:r>
                <w:rPr>
                  <w:rStyle w:val="InternetLink"/>
                  <w:spacing w:val="4"/>
                </w:rPr>
                <w:t xml:space="preserve">COMMUNICATIONS FROM STANDARD BIOTOOLS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FSB">
              <w:r>
                <w:rPr>
                  <w:rStyle w:val="InternetLink"/>
                  <w:spacing w:val="4"/>
                </w:rPr>
                <w:t>210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FSS">
              <w:r>
                <w:rPr>
                  <w:rStyle w:val="InternetLink"/>
                  <w:spacing w:val="4"/>
                </w:rPr>
                <w:t xml:space="preserve">COMMUNICATIONS FROM SOMALOGIC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FSS">
              <w:r>
                <w:rPr>
                  <w:rStyle w:val="InternetLink"/>
                  <w:spacing w:val="4"/>
                </w:rPr>
                <w:t>211</w:t>
              </w:r>
            </w:hyperlink>
            <w:hyperlink w:anchor="tCF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AAA">
              <w:r>
                <w:rPr>
                  <w:rStyle w:val="InternetLink"/>
                  <w:spacing w:val="4"/>
                </w:rPr>
                <w:t xml:space="preserve">Annex A — Agreement and Plan of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AA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ABOO">
              <w:r>
                <w:rPr>
                  <w:rStyle w:val="InternetLink"/>
                  <w:spacing w:val="4"/>
                </w:rPr>
                <w:t xml:space="preserve">Annex B — Opinion of Centerview Partners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BOO">
              <w:r>
                <w:rPr>
                  <w:rStyle w:val="InternetLink"/>
                  <w:spacing w:val="4"/>
                </w:rPr>
                <w:t>B-1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COO">
              <w:r>
                <w:rPr>
                  <w:rStyle w:val="InternetLink"/>
                  <w:spacing w:val="4"/>
                </w:rPr>
                <w:t xml:space="preserve">Annex C — Opinion of Perella Weinberg Partners 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COO">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ADAT">
              <w:r>
                <w:rPr>
                  <w:rStyle w:val="InternetLink"/>
                  <w:spacing w:val="4"/>
                </w:rPr>
                <w:t xml:space="preserve">Annex D — Amendment to the Standard BioTools Inc. Amended and Restated Certificate 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DAT">
              <w:r>
                <w:rPr>
                  <w:rStyle w:val="InternetLink"/>
                  <w:spacing w:val="4"/>
                </w:rPr>
                <w:t>D-1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ESB">
              <w:r>
                <w:rPr>
                  <w:rStyle w:val="InternetLink"/>
                  <w:spacing w:val="4"/>
                </w:rPr>
                <w:t xml:space="preserve">Annex E — Standard BioTools Inc. Amended and Restated 2011 Equity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ESB">
              <w:r>
                <w:rPr>
                  <w:rStyle w:val="InternetLink"/>
                  <w:spacing w:val="4"/>
                </w:rPr>
                <w:t>E-1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are answers to some questions that you, as a stockholder of Standard BioTools Inc., a Delaware corporation (“Standard BioTools”), or a stockholder of SomaLogic, Inc., a Delaware corporation (“SomaLogic”), may have regarding the proposed combination between Standard BioTools and SomaLogic (the “Merger”) and the proposals to be considered at the special meeting of Standard BioTools stockholders (the “Standard BioTools Special Meeting”) and the special meeting of SomaLogic stockholders (the “SomaLogic Special Meeting”). This section does not provide all the information that might be important to you with respect to the proposed combination between Standard BioTools and SomaLogic. Standard BioTools and SomaLogic urge you to carefully read the remainder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including the annexes.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joint proxy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SomaLogic and Martis Merger Sub, Inc. (“Merger Sub”), a Delaware corporation and a wholly owned subsidiary of Standard BioTools, have entered into an Agreement and Plan of Merger (as may be amended from time to time, the “Merger Agreement”). The Merger Agreement provides, among other things, that, upon the terms and subject to the conditions set forth in the Merger Agreement, Merger Sub will merge with and into SomaLogic, with SomaLogic surviving the Merger as a wholly owned subsidiary of Standard BioTools. A copy of the Merger Agreement is included in this joint proxy statement/prospectus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among other things, SomaLogic stockholders adopt the Merger Agreement. The approval of the Merger Agreement by Standard BioTools stockholders is not required for the Merger to be completed; however, the Merger cannot be completed unless Standard BioTools stockholders approve, among other matters, the issuance of shares of Standard BioTools’ common stock, par value $0.001 per share (“Standard BioTools Common Stock”) to SomaLogic stockholders in exchange for their shares of SomaLogic’s common stock, par value $0.0001 per share (“SomaLogic Common Stock”) in connection with the Merger and the amendment to the Standard BioTools Charter to increase the number of shares of Standard BioTools Common Stock authorized for issuance thereunder.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are using this document as a proxy statement to solicit proxies from Standard BioTools stockholders and SomaLogic stockholders in connection with proposals relating to the Merger at the Standard BioTools Special Meeting and SomaLogic Special Meeting, respectively. Standard BioTools is using this document as a prospectus by which Standard BioTools will offer and issue shares of Standard BioTools Common Stock in connection with the Merger. </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joint proxy statement/prospectus contains important information about the Merger and the proposals being voted on at the Standard BioTools Special Meeting and the SomaLogic Special Meeting. You should read it carefully and in its entirety. The enclosed materials allow Standard BioTools stockholders to have their shares voted by proxy without attending the Standard BioTools Special Meeting, which will be held virtually, and the SomaLogic stockholders to have their shares voted by proxy without attending the SomaLogic Special Meeting, which will be held virtually. Your vote is important. We encourage you to submit your proxy as soon as possible.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Standard BioTools Special Meeting, Standard BioTools stockholders will be asked to consider and vote on the following proposals: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issuance of shares of Standard BioTools Common Stock to stockholders of SomaLogic pursuant to the terms of the Merger Agreement and in accordance with Nasdaq Listing Rule 5635(a) (the “Standard BioTools Share Issuance Proposal”); </w:t>
      </w:r>
      <w:r>
        <mc:AlternateContent>
          <mc:Choice Requires="wps">
            <w:drawing>
              <wp:anchor behindDoc="0" distT="9779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Standard BioTools Eighth Amended and Restated Certificate of Incorporation, as amended (the “Standard BioTools Charter”), to increase the total number of shares of Standard BioTools Common Stock authorized for issuance thereunder from 400,000,000 shares to 600,000,000 shares (the “Standard BioTools Charter Amendment Proposal”); </w:t>
      </w:r>
      <w:r>
        <mc:AlternateContent>
          <mc:Choice Requires="wps">
            <w:drawing>
              <wp:anchor behindDoc="0" distT="9652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the compensation that may become payable to Standard BioTools’ named executive officers and to SomaLogic’s Chief Executive Officer that is based on or otherwise relates to the Merger (the “Standard BioTools Advisory Compensation Proposal”);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254000" cy="350520"/>
                <wp:effectExtent l="0" t="0" r="0" b="0"/>
                <wp:wrapSquare wrapText="right"/>
                <wp:docPr id="3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Standard BioTools Amended and Restated 2011 Equity Incentive Plan, as amended (the “A&amp;R 2011 Plan”), to increase the aggregate number of shares of Standard BioTools Common Stock that are available for issuance thereunder by 15,000,000 shares (the “Standard BioTools Equity Incentive Plan Amendment Proposal”); and </w:t>
      </w:r>
      <w:r>
        <mc:AlternateContent>
          <mc:Choice Requires="wps">
            <w:drawing>
              <wp:anchor behindDoc="0" distT="9779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adjournment of the Standard BioTools Special Meeting, from time to time, if necessary or appropriate, to solicit additional proxies in the event that there are insufficient votes at the time of the Standard BioTools Special Meeting or any adjournment or postponement thereof to approve the Standard BioTools Proposals or to ensure that any supplement or amendment to this joint proxy statement/prospectus is timely provided to Standard BioTools stockholders (the “Standard BioTools Adjournment Proposal,” and, together with the Standard BioTools Share Issuance Proposal, the Standard BioTools Charter Amendment Proposal, the Standard BioTools Advisory Compensation Proposal and the Standard BioTools Equity Incentive Plan Amendment Proposal, the “Standard BioTools Proposals”). </w:t>
      </w:r>
      <w:r>
        <mc:AlternateContent>
          <mc:Choice Requires="wps">
            <w:drawing>
              <wp:anchor behindDoc="0" distT="9779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SomaLogic Special Meeting, SomaLogic stockholders will be asked to consider and vote on the following proposals: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approve the adoption of the Merger Agreement, a copy of which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accompanying joint proxy statement/prospectus, and thereby approve the Merger and the other transactions contemplated thereby (the “SomaLogic Merger Proposal”); and </w:t>
      </w:r>
      <w:r>
        <mc:AlternateContent>
          <mc:Choice Requires="wps">
            <w:drawing>
              <wp:anchor behindDoc="0" distT="9779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this joint proxy statement/prospectus is timely provided to SomaLogic stockholders (the “SomaLogic Adjournment Proposal” and together with the SomaLogic Merger Proposal, the “SomaLogic Proposals”). </w:t>
      </w:r>
      <w:r>
        <mc:AlternateContent>
          <mc:Choice Requires="wps">
            <w:drawing>
              <wp:anchor behindDoc="0" distT="9779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Standard BioTools and SomaLogic proposing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Standard BioTools (the “Standard BioTools Board”) and the board of directors of SomaLogic (the “SomaLogic Board”) each believe that the Merger will provide substantial strategic and financial benefits to their respective companies and stockholders. To review the reasons for the Merger,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for more information.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Casdin Capital and Eli Casdin, its founder and Chief Investment Officer, each being a stockholder of Standard BioTools and SomaLogic and Mr. Casdin being a member of the board of directors of each company,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SomaLogic stockholders receive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each share of SomaLogic Common Stock outstanding at that time (other than certain shares of SomaLogic Common Stock that may be cancelled pursuant to the terms and conditions of the Merger Agreement) will be converted automatically into the right to receive a number of shares of Standard BioTools Common Stock equal to the Exchange Ratio (as defined below), subject to adjustment pursuant to the terms and conditions of the Merger Agreement.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Exchange Ratio?</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54000" cy="350520"/>
                <wp:effectExtent l="0" t="0" r="0" b="0"/>
                <wp:wrapSquare wrapText="right"/>
                <wp:docPr id="3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SomaLogic Common Stock issued and outstanding immediately prior to the Merger (other than certain shares of SomaLogic Common Stock that may be cancelled pursuant to the terms and conditions of the Merger Agreement) shall, at the Effective Time, be converted automatically into the right to receive 1.11 shares of Standard BioTools Common Stock (the “Exchange Ratio”). The Exchange Ratio is subject to customary equitable adjustment in the event of any recapitalization, stock split, reverse stock split or similar change.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SomaLogic stockholders guaranteed to receive exactly 1.11 shares of Standard BioTools Common Stock for each share of SomaLogic Common Stock exchanged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subject to equitable adjustments to the Exchange Ratio in the event of a stock split, recapitalization, or similar event involving one of the party’s stock.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SomaLogic stockholders hold in Standard BioTools immediately following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closing of the Merger, based upon the number of shares of Standard BioTools Common Stock expected to be issued in the Merger and an unadjusted Exchange Ratio, pre-Merger Standard BioTools stockholders will own approximately 43% of the outstanding equity of the combined company and pre-Merger SomaLogic stockholders will own approximately 57% of the outstanding equity of the combined company on a fully diluted basis.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Special Meeting will be held on       , at        unless postponed or adjourned to a later date. The Standard BioTools Special Meeting will be held entirely online at       , where you will be able to listen to the meeting live, submit questions and vote online.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Special Meeting will be held on       , at       , local time, unless postponed or adjourned to a later date. The SomaLogic Special Meeting will be held entirely online at       , where you will be able to listen to the meeting live, submit questions and vote online.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joint proxy statement/prospectus and have decided how you wish to vote your shares, please vote your shares promptly so that your shares are represented and voted at the Standard BioTools Special Meeting or the SomaLogic Special Meeting, as applicable, even if you plan on attending. If you hold your shares in your name as a stockholder of record, you must complete, sign and mail your proxy card in the enclosed postage-paid return envelope as soon as possible or vote by Internet or phone, following the instructions on your proxy card. If you hold your shares in “street name” through a bank, broker or other nominee, you must direct that organization how to vote in accordance with the instructions you have received from it.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will be present at the Standard BioTools Special Meeting if the holders of a majority of the shares of Standard BioTools capital stock issued and outstanding and entitled to vote as of the close of business on       , which is the record date of the Standard BioTools Special Meeting (the “Standard BioTools Record Date”), are present virtually at the Standard BioTools Special Meeting or represented by proxy. As of the close of business on the Standard BioTools Record Date, there were       shares of Standard BioTools Common Stock and       shares of Standard BioTools’ Series B Preferred Stock (consisting of Standard BioTools’ Series B-1 preferred stock, par value $0.001 per share (the “Series B-1 Preferred Stock”), and Standard BioTools’ Series B-2 preferred stock, par value $0.001 per share (the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Series B-2 Preferred Stock,” and together with the Series B-1 Preferred Stock, the “Series B Preferred Stock”)) issued and outstanding and entitled to vote. This means that at least       shares of Standard BioTools capital stock must be represented by stockholders present virtually at the Standard BioTools Special Meeting or represented by proxy to have a quorum. Your shares will be counted towards the quorum if you submit a valid proxy or attend the Standard BioTools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Standard BioTools capital stock represented at the Standard BioTools Special Meeting for purposes of determining whether a quorum has been achieved. However, your Standard BioTools capital stock will be counted toward determining whether a quorum is present if you instruct your bank, broker or other nominee on how to vote your Standard BioTools capital stock with respect to one or more of the Standard BioTools Proposals.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will be present at the SomaLogic Special Meeting if the holders of a majority in voting power of the shares of SomaLogic Common Stock issued and outstanding and entitled to vote at the SomaLogic Special Meeting on        (the “SomaLogic Record Date”) are present virtually or represented by proxy. As of the close of business on the SomaLogic Record Date, there were        shares of SomaLogic Common Stock issued and outstanding and entitled to vote. This means that at least        shares of SomaLogic Common Stock must be represented virtually or by proxy at the SomaLogic Special Meeting to have a quorum. Your shares will be counted towards the quorum if you submit a valid proxy or attend the SomaLogic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SomaLogic Common Stock represented at the SomaLogic Special Meeting for purposes of determining whether a quorum has been achieved. However, your shares of SomaLogic Common Stock will be counted toward determining whether a quorum is present if you instruct your bank, broker, or other nominee on how to vote your shares with respect to one or more of the SomaLogic Proposals.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vote required to approve each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Standard BioTools Proposals (other than the Standard BioTools Charter Amendment Proposal) requires the affirmative vote of the holders of a majority of the voting power of the shares present in person or represented by proxy at the Standard BioTools Special Meeting and entitled to vote on the Standard BioTools Proposals. </w:t>
      </w:r>
      <w:r>
        <w:rPr>
          <w:rFonts w:ascii="Times New Roman;Times;serif" w:hAnsi="Times New Roman;Times;serif"/>
          <w:b/>
          <w:i w:val="false"/>
          <w:caps w:val="false"/>
          <w:smallCaps w:val="false"/>
          <w:color w:val="000000"/>
          <w:spacing w:val="-4"/>
          <w:sz w:val="20"/>
        </w:rPr>
        <w:t xml:space="preserve">Assuming a quorum is present, if you mark “ABSTAIN” on your proxy card or when voting by Internet or phone with respect to the Standard BioTools Proposals (other than the Standard BioTools Charter Amendment Proposal), it will have the same effect as a vote “AGAINST” the proposal. </w:t>
      </w:r>
      <w:r>
        <w:rPr>
          <w:rFonts w:ascii="Times New Roman;Times;serif" w:hAnsi="Times New Roman;Times;serif"/>
          <w:b w:val="false"/>
          <w:i w:val="false"/>
          <w:caps w:val="false"/>
          <w:smallCaps w:val="false"/>
          <w:color w:val="000000"/>
          <w:spacing w:val="4"/>
          <w:sz w:val="20"/>
        </w:rPr>
        <w:t xml:space="preserve">Approval of the Standard BioTools Charter Amendment Proposal requires the affirmative vote of the majority of the votes cast on such proposal at the Standard BioTools Special Meeting. </w:t>
      </w:r>
      <w:r>
        <w:rPr>
          <w:rFonts w:ascii="Times New Roman;Times;serif" w:hAnsi="Times New Roman;Times;serif"/>
          <w:b/>
          <w:i w:val="false"/>
          <w:caps w:val="false"/>
          <w:smallCaps w:val="false"/>
          <w:color w:val="000000"/>
          <w:spacing w:val="-4"/>
          <w:sz w:val="20"/>
        </w:rPr>
        <w:t>Assuming a quorum is present, if you mark “ABSTAIN” on your proxy card or when voting by Internet or phone with respect to the Standard BioTools Charter Amendment Proposal, it will have no effect on the outcome of the vote for the proposal. If you fail to submit a proxy or fail to vote at the Standard BioTools Special Meeting it will have no effect on the outcome of the vote for the Standard BioTools Proposals.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Standard BioTools Proposals, which will have no effect on the outcome of the vote for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the outstanding shares of SomaLogic Common Stock entitled to vote thereon. </w:t>
      </w:r>
      <w:r>
        <w:rPr>
          <w:rFonts w:ascii="Times New Roman;Times;serif" w:hAnsi="Times New Roman;Times;serif"/>
          <w:b/>
          <w:i w:val="false"/>
          <w:caps w:val="false"/>
          <w:smallCaps w:val="false"/>
          <w:color w:val="000000"/>
          <w:spacing w:val="-4"/>
          <w:sz w:val="20"/>
        </w:rPr>
        <w:t xml:space="preserve">Assuming a quorum is present, if you mark “ABSTAIN” on your proxy card or when voting by Internet or phone, fail to submit a proxy or fail to vote at the SomaLogic Special Meeting with respect to the SomaLogic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it will have the same effect as a vote “AGAINST” the proposal.</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Approval of the SomaLogic Adjournment Proposal requires the affirmative vote of the holders of a majority in voting power of the votes cast on such proposal at the SomaLogic Special Meeting. </w:t>
      </w:r>
      <w:r>
        <w:rPr>
          <w:rFonts w:ascii="Times New Roman;Times;serif" w:hAnsi="Times New Roman;Times;serif"/>
          <w:b/>
          <w:i w:val="false"/>
          <w:caps w:val="false"/>
          <w:smallCaps w:val="false"/>
          <w:color w:val="000000"/>
          <w:spacing w:val="-4"/>
          <w:sz w:val="20"/>
        </w:rPr>
        <w:t>Assuming a quorum is present, if you mark “ABSTAIN” on your proxy card or when voting by Internet or phone, fail to submit a proxy, or fail to vote at the SomaLogic Special Meeting with respect to the SomaLogic Adjournment Proposal, it will have no effect on the outcome of the vote for the proposal. If you hold your shares of SomaLogic Common Stock in “street name” through a bank, broker or other nominee, failure to instruct your bank, broker or other nominee on how to vote your shares will have the same effect as a vote “AGAINST” the SomaLogic Merger Proposal but will have no effect on the outcome of the vote for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Standard BioTools Board recommend that I vote at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Board recommends that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Standard BioTools Adjournment Proposal.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SomaLogic Board recommend that I vote at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recommends that SomaLogic’s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SomaLogic Merger Proposal 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SomaLogic Adjournment Proposal.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 Standard BioTools stockholder, 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cannot be completed unless Standard BioTools stockholders approve the Standard BioTools Share Issuance Proposal and the Standard BioTools Charter Amendment Proposal. Your vote is important no matter how many shares you own. Please take the time to vote. Take a moment to read the instructions below. Choose the way to vote that is easiest and most convenient for you and cast your vote as soon as possible. </w:t>
      </w:r>
      <w:r>
        <w:rPr>
          <w:rFonts w:ascii="Times New Roman;Times;serif" w:hAnsi="Times New Roman;Times;serif"/>
          <w:b/>
          <w:i w:val="false"/>
          <w:caps w:val="false"/>
          <w:smallCaps w:val="false"/>
          <w:color w:val="000000"/>
          <w:spacing w:val="-4"/>
          <w:sz w:val="20"/>
        </w:rPr>
        <w:t>Any abstention will have the same effect as a vote “AGAINST” the Standard BioTools Proposals (but will have no effect on the outcome of the vote for the Standard BioTools Charter Amendment Proposal). If you hold your shares of Standard BioTools capital stock in “street name” through a bank, broker or other nominee, failure to instruct your bank, broker or other nominee on how to vote your shares will have no effect on the outcome of the vote for the Standard BioTools Proposals.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 SomaLogic stockholder, 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will not be completed unless SomaLogic stockholders vote to approve the SomaLogic Merger Proposal. Your vote is important no matter how many shares you own. Please take the time to vote. Take a moment to read the instructions below. Choose the way to vote that is easiest and most convenient for you and cast your vote as soon as possible. </w:t>
      </w:r>
      <w:r>
        <w:rPr>
          <w:rFonts w:ascii="Times New Roman;Times;serif" w:hAnsi="Times New Roman;Times;serif"/>
          <w:b/>
          <w:i w:val="false"/>
          <w:caps w:val="false"/>
          <w:smallCaps w:val="false"/>
          <w:color w:val="000000"/>
          <w:spacing w:val="-4"/>
          <w:sz w:val="20"/>
        </w:rPr>
        <w:t>Any abstention or failure to properly cast an affirmative vote of your shares of SomaLogic Common Stock for the SomaLogic Merger Proposal will have the same effect as a vote “AGAINST” the SomaLogic Merger Proposal. If you hold your shares of SomaLogic Common Stock in “street name” through a bank, broker or other nominee, failure to instruct your bank, broker or other nominee on how to vote your shares will have the same effect as a vote “AGAINST” the SomaLogic Merger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shares of Standard BioTools Common Stock and holders of outstanding shares of Series B Preferred Stock as of the close of business on the Standard BioTools Record Date are eligible to vote at the Standard BioTools Special Meeting.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shares of SomaLogic Common Stock on the SomaLogic Record Date are eligible to vote at the SomaLogic Special Meeting.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a Standard BioTools stockholder of record or a beneficial owner? Why does this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54000" cy="350520"/>
                <wp:effectExtent l="0" t="0" r="0" b="0"/>
                <wp:wrapSquare wrapText="right"/>
                <wp:docPr id="69"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Standard BioTools Record Date, your shares were registered directly in your name with Standard BioTools’ transfer agent, Computershare Trust Company, N.A., then you are a stockholder of record with respect to those shares.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Standard BioTools Record Date, your shares were held in an account at a broker, bank or other similar organization as your nominee, then you are the beneficial owner of shares held in “street name” and these proxy materials are being forwarded to you by that organization. The organization holding your account is considered the stockholder of record for purposes of voting at the Standard BioTools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in which you own your shares affects how you vote your shares and how you can change your vote.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a SomaLogic stockholder of record or a beneficial owner? Why does this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SomaLogic Record Date, your shares were registered directly in your name with SomaLogic’s transfer agent, Continental Stock Transfer &amp; Trust Company, then you are a stockholder of record with respect to those shares.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SomaLogic Record Date, your shares were held in an account at a broker, bank or other similar organization as your nominee, referred to as being held in “street name,” then you are the beneficial owner of such shares, and these proxy materials are being forwarded to you by that organization. The organization holding your account is considered the stockholder of record for purposes of voting at the SomaLogic Special Meeting. The form in which you own your shares affects how you vote your shares and how you can change your vote.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Standard BioTools Special Meeting or SomaLogic Special Meeting and how can I vote my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are conducting virtual special meetings so their stockholders can participate from any geographic location with Internet connectivity. Standard BioTools and SomaLogic have designed the format of the virtual online special meetings to provide stockholders the same ability to participate that they would have at an in-person meeting.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attend the Standard BioTools Special Meeting, you must go to the meeting website at        and enter the 16-digit control number found on your proxy card or voting instruction form sent to you by your bank, broker or other nominee. Once admitted, during the Standard BioTools Special Meeting, you may vote, submit questions and view the list of stockholders entitled to vote at the Standard BioTools Special Meeting by following the instructions available on the meeting website.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meeting platform will begin at       on       . If you encounter any difficulties accessing the virtual meeting during check-in or during the meeting, please call the technical support number that will be posted on the meeting website login page at       . Technical support will be available beginning at       on       and will remain available until the meeting has ended.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attend the SomaLogic Special Meeting, you must go to the meeting website       at and enter the 16-digit control number found on your proxy card or voting instruction form sent to you by your bank, broker or other nominee. Once admitted, during the SomaLogic Special Meeting, you may vote, submit questions and view the list of stockholders entitled to vote at the SomaLogic Special Meeting by following the instructions available on the meeting website.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meeting platform will begin at       on       . If you encounter any difficulties accessing the virtual meeting during check-in or during the meeting, please call the technical support number that will be posted on the meeting website login page at       . Technical support will be available beginning at       on       and will remain available until the meeting has ended.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for the conduct of the Standard BioTools Special Meeting and SomaLogic Special Meeting will be available on the applicable meeting website. To obtain a copy of the rules of conduct for the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Special Meeting in advance of the Standard BioTools Special Meeting, please submit an email to ir@standardbio.com. To obtain a copy of the rules of conduct for the SomaLogic Special Meeting in advance of the SomaLogic Special Meeting, please submit an email to investors@somalogic.com.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whether you plan to participate in the Standard BioTools Special Meeting or SomaLogic Special Meeting, it is important that your shares be represented and voted at the Standard BioTools Special Meeting or SomaLogic Special Meeting, respectively. Accordingly, Standard BioTools and SomaLogic encourage you to vote in advance of the Standard BioTools Special Meeting and SomaLogic Special Meeting.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Standard BioTools?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proposal, you may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each proposal,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from voting on such proposal.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“record holder” of your shares, meaning that you own your shares in your own name and not through a bank or brokerage firm, you may vote in one of four ways: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over the Internet.</w:t>
      </w:r>
      <w:r>
        <w:rPr>
          <w:rFonts w:ascii="Times New Roman;Times;serif" w:hAnsi="Times New Roman;Times;serif"/>
          <w:b w:val="false"/>
          <w:i w:val="false"/>
          <w:caps w:val="false"/>
          <w:smallCaps w:val="false"/>
          <w:color w:val="000000"/>
          <w:spacing w:val="4"/>
          <w:sz w:val="20"/>
        </w:rPr>
        <w:t xml:space="preserve">   If you have Internet access, you may vote your shares at by following the instructions on that site or on the “Vote by Internet” instructions on the enclosed proxy card. </w:t>
      </w:r>
      <w:r>
        <mc:AlternateContent>
          <mc:Choice Requires="wps">
            <w:drawing>
              <wp:anchor behindDoc="0" distT="1016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telephone.</w:t>
      </w:r>
      <w:r>
        <w:rPr>
          <w:rFonts w:ascii="Times New Roman;Times;serif" w:hAnsi="Times New Roman;Times;serif"/>
          <w:b w:val="false"/>
          <w:i w:val="false"/>
          <w:caps w:val="false"/>
          <w:smallCaps w:val="false"/>
          <w:color w:val="000000"/>
          <w:spacing w:val="4"/>
          <w:sz w:val="20"/>
        </w:rPr>
        <w:t xml:space="preserve">   You may vote your shares by calling       and following the instructions provided or following the “Vote by Phone” instructions on the enclosed proxy card. </w:t>
      </w:r>
      <w:r>
        <mc:AlternateContent>
          <mc:Choice Requires="wps">
            <w:drawing>
              <wp:anchor behindDoc="0" distT="1016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mail.</w:t>
      </w:r>
      <w:r>
        <w:rPr>
          <w:rFonts w:ascii="Times New Roman;Times;serif" w:hAnsi="Times New Roman;Times;serif"/>
          <w:b w:val="false"/>
          <w:i w:val="false"/>
          <w:caps w:val="false"/>
          <w:smallCaps w:val="false"/>
          <w:color w:val="000000"/>
          <w:spacing w:val="4"/>
          <w:sz w:val="20"/>
        </w:rPr>
        <w:t xml:space="preserve">   You may vote by completing and signing the proxy card enclosed with this joint proxy statement/prospectus and promptly mailing it in the enclosed postage-prepaid envelope. You do not need to put a stamp on the enclosed envelope if you mail it from the United States. The shares you own will be voted according to your completed proxy card. If you sign and return the proxy card, but do not give any instructions on a particular matter described in this joint proxy statement/prospectus, the Standard BioTools shares you own will be voted in accordance with the recommendations of the Standard BioTools Board. </w:t>
      </w:r>
      <w:r>
        <mc:AlternateContent>
          <mc:Choice Requires="wps">
            <w:drawing>
              <wp:anchor behindDoc="0" distT="1016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online during the Standard BioTools Special Meeting.</w:t>
      </w:r>
      <w:r>
        <w:rPr>
          <w:rFonts w:ascii="Times New Roman;Times;serif" w:hAnsi="Times New Roman;Times;serif"/>
          <w:b w:val="false"/>
          <w:i w:val="false"/>
          <w:caps w:val="false"/>
          <w:smallCaps w:val="false"/>
          <w:color w:val="000000"/>
          <w:spacing w:val="4"/>
          <w:sz w:val="20"/>
        </w:rPr>
        <w:t xml:space="preserve">   To attend the meeting virtually, you must go to the meeting website at       . Once admitted, during the Standard BioTools Special Meeting, you may vote by following the instructions available on the meeting website. </w:t>
      </w:r>
      <w:r>
        <mc:AlternateContent>
          <mc:Choice Requires="wps">
            <w:drawing>
              <wp:anchor behindDoc="0" distT="1016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receipt of a completed proxy card returned by mail at the address stated on the proxy card for the Standard BioTools Special Meeting is      on      . The deadline for voting via the Internet or by telephone is on      .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vote your shares by directing the broker, bank or other similar organization that holds your shares as your nominee on how to vote the shares in your account. Please refer to the voting instructions provided by your broker, bank or other nominee. Many organizations allow beneficial owners to give voting instructions via telephone or the Internet, as well as in writing. If you are a beneficial owner and would like to vote your shares at the Standard BioTools Special Meeting, please contact your broker, bank or other nominee for instructions and documents that may be required in order to do so.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SomaLogic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“record holder” of your shares, meaning that you own your shares in your own name and not through a bank or brokerage firm, you may vote in one of four ways: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over the Internet</w:t>
      </w:r>
      <w:r>
        <w:rPr>
          <w:rFonts w:ascii="Times New Roman;Times;serif" w:hAnsi="Times New Roman;Times;serif"/>
          <w:b w:val="false"/>
          <w:i w:val="false"/>
          <w:caps w:val="false"/>
          <w:smallCaps w:val="false"/>
          <w:color w:val="000000"/>
          <w:spacing w:val="4"/>
          <w:sz w:val="20"/>
        </w:rPr>
        <w:t xml:space="preserve">.   If you have Internet access, you may vote your shares at by following the instructions on that site or on the “Vote by Internet” instructions on the enclosed proxy card. </w:t>
      </w:r>
      <w:r>
        <mc:AlternateContent>
          <mc:Choice Requires="wps">
            <w:drawing>
              <wp:anchor behindDoc="0" distT="10160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telephone</w:t>
      </w:r>
      <w:r>
        <w:rPr>
          <w:rFonts w:ascii="Times New Roman;Times;serif" w:hAnsi="Times New Roman;Times;serif"/>
          <w:b w:val="false"/>
          <w:i w:val="false"/>
          <w:caps w:val="false"/>
          <w:smallCaps w:val="false"/>
          <w:color w:val="000000"/>
          <w:spacing w:val="4"/>
          <w:sz w:val="20"/>
        </w:rPr>
        <w:t xml:space="preserve">.   You may vote your shares by calling       and following the instructions provided or following the “Vote by Phone” instructions on the enclosed proxy card. </w:t>
      </w:r>
      <w:r>
        <mc:AlternateContent>
          <mc:Choice Requires="wps">
            <w:drawing>
              <wp:anchor behindDoc="0" distT="0" distB="0" distL="254000" distR="0" simplePos="0" locked="0" layoutInCell="1" allowOverlap="1" relativeHeight="87">
                <wp:simplePos x="0" y="0"/>
                <wp:positionH relativeFrom="column">
                  <wp:align>left</wp:align>
                </wp:positionH>
                <wp:positionV relativeFrom="line">
                  <wp:posOffset>635</wp:posOffset>
                </wp:positionV>
                <wp:extent cx="254000" cy="350520"/>
                <wp:effectExtent l="0" t="0" r="0" b="0"/>
                <wp:wrapSquare wrapText="right"/>
                <wp:docPr id="84"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mail</w:t>
      </w:r>
      <w:r>
        <w:rPr>
          <w:rFonts w:ascii="Times New Roman;Times;serif" w:hAnsi="Times New Roman;Times;serif"/>
          <w:b w:val="false"/>
          <w:i w:val="false"/>
          <w:caps w:val="false"/>
          <w:smallCaps w:val="false"/>
          <w:color w:val="000000"/>
          <w:spacing w:val="4"/>
          <w:sz w:val="20"/>
        </w:rPr>
        <w:t xml:space="preserve">.   You may vote by completing and signing the proxy card enclosed with this joint proxy statement/prospectus and promptly mailing it in the enclosed postage-prepaid envelope. You do not need to put a stamp on the enclosed envelope if you mail it from the United States. The shares you own will be voted according to your completed proxy card. If you sign and return the proxy card, but do not give any instructions on a particular matter described in this joint proxy statement/prospectus, the shares of SomaLogic Common Stock you own will be voted in accordance with the recommendations of the SomaLogic Board. </w:t>
      </w:r>
      <w:r>
        <mc:AlternateContent>
          <mc:Choice Requires="wps">
            <w:drawing>
              <wp:anchor behindDoc="0" distT="9779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online during the SomaLogic Special Meeting.</w:t>
      </w:r>
      <w:r>
        <w:rPr>
          <w:rFonts w:ascii="Times New Roman;Times;serif" w:hAnsi="Times New Roman;Times;serif"/>
          <w:b w:val="false"/>
          <w:i w:val="false"/>
          <w:caps w:val="false"/>
          <w:smallCaps w:val="false"/>
          <w:color w:val="000000"/>
          <w:spacing w:val="4"/>
          <w:sz w:val="20"/>
        </w:rPr>
        <w:t xml:space="preserve">   To attend the meeting virtually, you must go to the meeting website at       . Once admitted, during the SomaLogic Special Meeting, you may vote by following the instructions available on the meeting website. </w:t>
      </w:r>
      <w:r>
        <mc:AlternateContent>
          <mc:Choice Requires="wps">
            <w:drawing>
              <wp:anchor behindDoc="0" distT="9779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receipt of a completed proxy card returned by mail at the address stated on the proxy card for the SomaLogic Special Meeting is        on       . The deadline for voting via the Internet or by telephone is      on      .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vote your shares by directing the broker, bank or other similar organization that holds your shares as your nominee on how to vote the shares in your account. Please refer to the voting instructions provided by your broker, bank or other nominee. Many organizations allow beneficial owners to give voting instructions via telephone or the Internet, as well as in writing. If you are a beneficial owner and would like to vote your shares at the SomaLogic Special Meeting, please contact your broker, bank or other nominee for instructions and documents that may be required in order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if I return a Standard BioTools proxy card but do not make specific choices?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only receive a proxy card if you are the record holder of your shares of Standard BioTools Common Stock or Series B Preferred Stock. If you return a signed proxy card without marking any voting selections,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Standard BioTools Adjournment Proposal in accordance with the recommendation of the Standard BioTools Board. If any other matter is properly presented at the meeting, your proxy (one of the individuals named on your proxy card) will vote your shares using his or her best judgment.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if I return a SomaLogic proxy card but do not make specific choices?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only receive a proxy card if you are the record holder of your shares of SomaLogic Common Stock. If you return a signed proxy card without marking any voting selections,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SomaLogic Merger Proposal and the SomaLogic Adjournment Proposal in accordance with the recommendation of the SomaLogic Board. If any other matter is properly presented at the meeting, your proxy (one of the individuals named on your proxy card) will vote your shares using his or her best judgment. </w:t>
      </w:r>
      <w:r>
        <mc:AlternateContent>
          <mc:Choice Requires="wps">
            <w:drawing>
              <wp:anchor behindDoc="0" distT="1016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of Standard BioTools or SomaLogic are held in “street name” by my bank, broker or other nominee, will my bank, broker or other nominee automatically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If the shares you own are held in the name of a bank, broker or other nominee, also known as “street name,” such bank, broker or other nominee, as the record holder of your shares, is required to vote your shares according to your instructions. In order to vote your shares held in “street name,” you will need to follow the directions your bank, broker or other nominee provides you. Many banks, brokers or nominees also offer the option of voting over the Internet or by telephone, instructions for which would be provided by your bank, broker or nominee on your voting instruction form.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stock exchange rules, banks, brokers and other nominees may use their discretion to vote “uninstructed” shares (i.e., shares of record held by banks, brokers or other nominees, but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which the beneficial owner of such shares has not provided instructions on how to vote on a particular proposal) with respect to matters that are considered to be “discretionary.” Your bank, broker or other nominee will not be allowed to vote your shares with respect to certain “non-discretionary” items. A “broker non-vote” occurs when shares held by a bank, broker or other nominee in “street name” for a beneficial owner are voted on at least one proposal but not voted with respect to a particular proposal because that organization (i) has not received voting instructions from the beneficial owner for that proposal and (ii) lacks discretionary voting power to vote those shares for that proposal. </w:t>
      </w:r>
    </w:p>
    <w:p>
      <w:pPr>
        <w:pStyle w:val="TextBody"/>
        <w:bidi w:val="0"/>
        <w:spacing w:lineRule="atLeast" w:line="22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Merger Proposal and the SomaLogic Adjournment Proposal are each expected to be treated as non-discretionary items. Accordingly, SomaLogic does not expect there to be broker non-votes at the SomaLogic Special Meeting. However, if there are any broker non-votes, assuming a quorum is present they will have the effect of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and no effect on the outcome of the vote for the SomaLogic Adjournment Proposal. </w:t>
      </w:r>
      <w:r>
        <w:rPr>
          <w:rFonts w:ascii="Times New Roman;Times;serif" w:hAnsi="Times New Roman;Times;serif"/>
          <w:b/>
          <w:i w:val="false"/>
          <w:caps w:val="false"/>
          <w:smallCaps w:val="false"/>
          <w:color w:val="000000"/>
          <w:spacing w:val="-4"/>
          <w:sz w:val="20"/>
        </w:rPr>
        <w:t>If you hold your shares of SomaLogic Common Stock in “street name” through a bank, broker or other nominee, failure to instruct your bank, broker, or other nominee on how to vote your shares will have the same effect as a vote “AGAINST” the SomaLogic Merger Proposal but will have no effect on the outcome of the vote for the SomaLogic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Share Issuance Proposal, the Standard BioTools Charter Amendment Proposal, the Standard BioTools Advisory Compensation Proposal, the Standard BioTools Equity Incentive Plan Amendment Proposal and the Standard BioTools Adjournment Proposal are each expected to be treated as non-discretionary items. Therefore, your bank, broker or other nominee cannot vote your shares of Standard BioTools without your specific voting instructions. Because the only proposals for consideration at the Standard BioTools Special Meeting are non-routine proposals, it is not expected that there will be any broker non-votes at the Standard BioTools Special Meeting. However, if there are any broker non-votes, assuming a quorum is present they will have no effect on the outcome of the vote for the Standard BioTools Proposals. </w:t>
      </w:r>
      <w:r>
        <w:rPr>
          <w:rFonts w:ascii="Times New Roman;Times;serif" w:hAnsi="Times New Roman;Times;serif"/>
          <w:b/>
          <w:i w:val="false"/>
          <w:caps w:val="false"/>
          <w:smallCaps w:val="false"/>
          <w:color w:val="000000"/>
          <w:spacing w:val="-4"/>
          <w:sz w:val="20"/>
        </w:rPr>
        <w:t>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Standard BioTools Proposals, which will have no effect on the outcome of the vote for the Standard BioTools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would like to vote your shares at the Standard BioTools Special Meeting or SomaLogic Special Meeting, please contact your broker, bank or other nominee for instructions and documents that may be required in order to do so. </w:t>
      </w:r>
    </w:p>
    <w:p>
      <w:pPr>
        <w:pStyle w:val="TextBody"/>
        <w:bidi w:val="0"/>
        <w:spacing w:lineRule="atLeast" w:line="240" w:before="22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478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4pt;mso-wrap-distance-bottom:0pt;margin-top:11.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record holder of shares of Standard BioTools Common Stock or Series B Preferred Stock, you can revoke your proxy and change your vote at any time before the final vote at the Standard BioTools Special Meeting. To do so you must do one of the following: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return by mail another properly completed proxy card with a later date, which must be received at the address stated on the proxy card no later than       on       ; </w:t>
      </w:r>
      <w:r>
        <mc:AlternateContent>
          <mc:Choice Requires="wps">
            <w:drawing>
              <wp:anchor behindDoc="0" distT="9525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with a later date via the Internet or by telephone before the closing of those voting facilities at       on       ; </w:t>
      </w:r>
      <w:r>
        <mc:AlternateContent>
          <mc:Choice Requires="wps">
            <w:drawing>
              <wp:anchor behindDoc="0" distT="9525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participate in the virtual online Standard BioTools Special Meeting and vote at the meeting. Simply participating in the virtual online meeting will not, by itself, revoke your proxy; or </w:t>
      </w:r>
      <w:r>
        <mc:AlternateContent>
          <mc:Choice Requires="wps">
            <w:drawing>
              <wp:anchor behindDoc="0" distT="9398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may send a written notice that they are revoking their proxy to Standard BioTools’ Corporate Secretary at Standard BioTools Inc., 2 Tower Place, Suite 2000, South San Francisco, California 94080. </w:t>
      </w:r>
      <w:r>
        <mc:AlternateContent>
          <mc:Choice Requires="wps">
            <w:drawing>
              <wp:anchor behindDoc="0" distT="9398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revocation or later-dated proxy received by Standard BioTools after the vote will not affect the vote.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of shares of SomaLogic Common Stock, you can revoke your proxy and change your vote at any time before the final vote at the SomaLogic Special Meeting. To do so you must do one of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return by mail another properly completed proxy card with a later date, which must be received at the address stated on the proxy card no later than       on       ; </w:t>
      </w:r>
      <w:r>
        <mc:AlternateContent>
          <mc:Choice Requires="wps">
            <w:drawing>
              <wp:anchor behindDoc="0" distT="0" distB="0" distL="254000" distR="0" simplePos="0" locked="0" layoutInCell="1" allowOverlap="1" relativeHeight="100">
                <wp:simplePos x="0" y="0"/>
                <wp:positionH relativeFrom="column">
                  <wp:align>left</wp:align>
                </wp:positionH>
                <wp:positionV relativeFrom="line">
                  <wp:posOffset>635</wp:posOffset>
                </wp:positionV>
                <wp:extent cx="254000" cy="350520"/>
                <wp:effectExtent l="0" t="0" r="0" b="0"/>
                <wp:wrapSquare wrapText="right"/>
                <wp:docPr id="97"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with a later date via the Internet or by telephone before the closing of those voting facilities at       on       ; </w:t>
      </w:r>
      <w:r>
        <mc:AlternateContent>
          <mc:Choice Requires="wps">
            <w:drawing>
              <wp:anchor behindDoc="0" distT="10033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participate in the virtual online SomaLogic Special Meeting and vote at the meeting. Simply participating in the virtual online meeting will not, by itself, revoke your proxy; or </w:t>
      </w:r>
      <w:r>
        <mc:AlternateContent>
          <mc:Choice Requires="wps">
            <w:drawing>
              <wp:anchor behindDoc="0" distT="10033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may send a written notice that they are revoking their proxy to SomaLogic’s Corporate Secretary at 2945 Wilderness Place, Boulder, Colorado 80301. </w:t>
      </w:r>
      <w:r>
        <mc:AlternateContent>
          <mc:Choice Requires="wps">
            <w:drawing>
              <wp:anchor behindDoc="0" distT="10033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revocation or later-dated proxy received by SomaLogic after the vote will not affect the vote.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if you are a beneficial holder (and hold your shares in “street name” through a bank, broker or other nominee), you should contact that organization to revoke your proxy or change your vote in accordance with its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happens if I fail to submit a proxy or I abstain from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Standard BioTools stockholder and you fail to submit a proxy or fail to instruct your bank, broker or other nominee to vote, assuming a quorum is present at the Standard BioTools Special Meeting, it will have no effect on the outcome of the vote for the Standard BioTools Proposals. An abstention occurs when a Standard BioTools stockholder returns a proxy with an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instruction or virtually attends the Standard BioTools Special Meeting and abstains from voting. Assuming a quorum is present, abstentions also (i)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(ii) will have no effect on the outcome of the vote for the Standard BioTools Charter Amendment Proposal.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SomaLogic stockholder and you fail to submit a proxy or fail to instruct your bank, broker or other nominee to vote, assuming a quorum is present at the SomaLogic Special Meeting, (i) it will have the effect of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and (ii) it will have no effect on the outcome of the vote for the SomaLogic Adjournment Proposal. An abstention occurs when a SomaLogic stockholder returns a proxy with an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instruction or virtually attends the SomaLogic Special Meeting and abstains from voting. Assuming a quorum is present, abstentions also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and will have no effect on the outcome of the vote for the SomaLogic Adjournment Proposal.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SomaLogic equity awards be affected by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option to purchase shares of SomaLogic Common Stock (each, a “SomaLogic Stock Option”), whether vested or unvested, will be assumed at the Effective Time by Standard BioTools. The number of shares of Standard BioTools Common Stock underlying each such assumed SomaLogic Stock Option will be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next the nearest whole share, and the exercise price per share of each such assumed SomaLogic Stock Option will be equal to (a) the per share exercise price applicable to such SomaLogic Stock Option immediately prior to the Effective Time divided by (b) the Exchange Ratio, with the resulting exercise price per share rounded up to the next nearest whole cent. Except as noted above, each assumed and converted SomaLogic Stock Option will continue to be governed by substantially the same terms and conditions as were applicable to such SomaLogic Stock Option immediately prior to the Effective Time.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SomaLogic restricted stock unit (each, a “SomaLogic RSU”), without any action on the part of the holder thereof, will be assumed by Standard BioTools. The number of shares of Standard BioTools Common Stock underlying each such assumed SomaLogic RSU will be equal to the product of (i) the number of shares of SomaLogic Common Stock underlying the applicable SomaLogic RSU immediately prior to the Effective Time multiplied by (ii) the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Ratio, with the resulting number of shares of Standard BioTools Common Stock rounded to the next nearest share of Standard BioTools Common Stock. Except as noted above, each assumed and converted SomaLogic RSU will continue to be governed by substantially the same terms and conditions as were applicable to such SomaLogic RSU immediately prior to the Effective Time.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the SomaLogic 2021 Employee Stock Purchase Plan, as amended?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the SomaLogic Board will take action to terminate the purchase periods and offering periods then in effect under the terms of the SomaLogic 2021 Employee Stock Purchase Plan, as amended (the “SomaLogic ESPP”), to exercise all outstanding options under the SomaLogic ESPP to the extent of accumulated payroll deductions as of a date specified by the SomaLogic Board and to terminate the SomaLogic ESPP effective immediately prior to the Effective Time. No options under the SomaLogic ESPP will be outstanding from and after the Effective Time. </w:t>
      </w:r>
      <w:r>
        <mc:AlternateContent>
          <mc:Choice Requires="wps">
            <w:drawing>
              <wp:anchor behindDoc="0" distT="508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SomaLogic warrants be affected by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warrant to purchase shares of SomaLogic Common Stock (each, a “SomaLogic Warrant”) will be treated in accordance with its terms at and after the Effective Time. SomaLogic will provide notices required to be provided to the holders of SomaLogic Warrants and take all other actions that may be required in accordance with the terms of such SomaLogic Warrants.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engaged Alliance Advisors, LLC (“Alliance Advisors”) to assist in the solicitation of proxies for the Standard BioTools Special Meeting and to provide stockholder surveillance, related advice and informational support. Standard BioTools estimates that it will pay Alliance Advisors a fee of approximately $25,000, plus reimbursement of reasonable expenses. Standard BioTools has agreed to indemnify Alliance Advisors against various liabilities and expenses that relate to or arise out of its solicitation of proxies (subject to certain exceptions). </w:t>
      </w:r>
      <w:r>
        <mc:AlternateContent>
          <mc:Choice Requires="wps">
            <w:drawing>
              <wp:anchor behindDoc="0" distT="508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engaged Morrow Sodali LLC to assist in the solicitation of proxies for the SomaLogic Special Meeting and to provide related advice and informational support, for a services fee of $20,000 plus the reimbursement of customary disbursements. SomaLogic has agreed to indemnify Morrow Sodali LLC against various liabilities and expenses that relate to or arise out of its solicitation of proxies (subject to certain exceptions).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also may be required to reimburse banks, brokers and other custodians, nominees and fiduciaries or their respective agents for their expenses in forwarding proxy materials to beneficial owners of shares of Standard BioTools and SomaLogic, respectively. Standard BioTools’ directors, officers and employees and SomaLogic’s directors, officers and employees also may solicit proxies, by telephone, by mail, by electronic means or in person. They will not be paid any additional amounts for soliciting proxies.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 to SomaLogic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intended to qualify as a “reorganization” within the meaning of Section 368(a) of the Internal Revenue Code of 1986, as amended (the “Code”). The completion of the Merger is, however, not conditioned on the Merger qualifying as a “reorganization” within the meaning of Section 368(a) of the Code or upon the receipt of an opinion of counsel to that effect. No assurance can be given that the Merger will qualify as a “reorganization” within the meaning of Section 368(a) of the Code.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SomaLogic nor Standard BioTools has sought or intends to seek a ruling from the Internal Revenue Service (the “IRS”). If the IRS were to successfully challenge the qualification of the Merger as a “reorganization,” the tax consequences would differ materially from those described in this joint proxy statement/prospectus as discussed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the Merger qualifies as a “reorganization” within the meaning of Section 368(a) of the Code, subject to the limitations and qualifications described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a U.S. Holder (as defined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will generally (i) not recognize any gain or loss upon the exchange of SomaLogic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for Standard BioTools Common Stock in the Merger (other than with respect to cash received in lieu of a fractional share of SomaLogic Common Stock), (ii) have a tax basis in the Standard BioTools Common Stock received in the Merger (including any fractional share of SomaLogic Common Stock for which cash is received) equal to the tax basis of the SomaLogic Common Stock surrendered in exchange therefor, and (iii) have a holding period for the Standard BioTools Common Stock received in the Merger (including any fractional share of SomaLogic Common Stock for which cash is received) that includes its holding period for its SomaLogic Common Stock surrendered in exchange therefor.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further information, see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not in favor of the Merger, what are my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Neither Standard BioTools stockholders nor SomaLogic stockholders are entitled to appraisal rights under the Delaware General Corporation Law (the “DGCL”). If they are not in favor of the Merger, Standard BioTools stockholders may vote against the Standard BioTools Share Issuance Proposal and the Standard BioTools Charter Amendment Proposal, and SomaLogic stockholders may vote against the SomaLogic Merger Proposal. For more information, see the section entitled “</w:t>
      </w: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beginning on page </w:t>
      </w:r>
      <w:hyperlink w:anchor="tNAR">
        <w:r>
          <w:rPr>
            <w:rStyle w:val="InternetLink"/>
          </w:rPr>
          <w:t>136</w:t>
        </w:r>
      </w:hyperlink>
      <w:r>
        <w:rPr>
          <w:rFonts w:ascii="Times New Roman;Times;serif" w:hAnsi="Times New Roman;Times;serif"/>
          <w:b w:val="false"/>
          <w:i w:val="false"/>
          <w:caps w:val="false"/>
          <w:smallCaps w:val="false"/>
          <w:color w:val="000000"/>
          <w:spacing w:val="4"/>
          <w:sz w:val="20"/>
        </w:rPr>
        <w:t xml:space="preserve"> of this joint proxy statement/prospectus. Information about how Standard BioTools stockholders may vote on the proposals being considered in connection with the Merger can be found under the section entitled “</w:t>
      </w:r>
      <w:r>
        <w:rPr>
          <w:rFonts w:ascii="Times New Roman;Times;serif" w:hAnsi="Times New Roman;Times;serif"/>
          <w:b w:val="false"/>
          <w:i/>
          <w:caps w:val="false"/>
          <w:smallCaps w:val="false"/>
          <w:color w:val="000000"/>
          <w:spacing w:val="4"/>
          <w:sz w:val="20"/>
        </w:rPr>
        <w:t>The Standard BioTools Special Meeting</w:t>
      </w:r>
      <w:r>
        <w:rPr>
          <w:rFonts w:ascii="Times New Roman;Times;serif" w:hAnsi="Times New Roman;Times;serif"/>
          <w:b w:val="false"/>
          <w:i w:val="false"/>
          <w:caps w:val="false"/>
          <w:smallCaps w:val="false"/>
          <w:color w:val="000000"/>
          <w:spacing w:val="4"/>
          <w:sz w:val="20"/>
        </w:rPr>
        <w:t xml:space="preserve">” beginning on page </w:t>
      </w:r>
      <w:hyperlink w:anchor="tTSBS">
        <w:r>
          <w:rPr>
            <w:rStyle w:val="InternetLink"/>
          </w:rPr>
          <w:t>55</w:t>
        </w:r>
      </w:hyperlink>
      <w:r>
        <w:rPr>
          <w:rFonts w:ascii="Times New Roman;Times;serif" w:hAnsi="Times New Roman;Times;serif"/>
          <w:b w:val="false"/>
          <w:i w:val="false"/>
          <w:caps w:val="false"/>
          <w:smallCaps w:val="false"/>
          <w:color w:val="000000"/>
          <w:spacing w:val="4"/>
          <w:sz w:val="20"/>
        </w:rPr>
        <w:t xml:space="preserve"> of this joint proxy statement/prospectus. Information about how SomaLogic stockholders may vote on the proposals being considered in connection with the Merger can be found under the section entitled “</w:t>
      </w:r>
      <w:r>
        <w:rPr>
          <w:rFonts w:ascii="Times New Roman;Times;serif" w:hAnsi="Times New Roman;Times;serif"/>
          <w:b w:val="false"/>
          <w:i/>
          <w:caps w:val="false"/>
          <w:smallCaps w:val="false"/>
          <w:color w:val="000000"/>
          <w:spacing w:val="4"/>
          <w:sz w:val="20"/>
        </w:rPr>
        <w:t>The SomaLogic Special Meeting</w:t>
      </w:r>
      <w:r>
        <w:rPr>
          <w:rFonts w:ascii="Times New Roman;Times;serif" w:hAnsi="Times New Roman;Times;serif"/>
          <w:b w:val="false"/>
          <w:i w:val="false"/>
          <w:caps w:val="false"/>
          <w:smallCaps w:val="false"/>
          <w:color w:val="000000"/>
          <w:spacing w:val="4"/>
          <w:sz w:val="20"/>
        </w:rPr>
        <w:t xml:space="preserve">” beginning on page </w:t>
      </w:r>
      <w:hyperlink w:anchor="tTSSM">
        <w:r>
          <w:rPr>
            <w:rStyle w:val="InternetLink"/>
          </w:rPr>
          <w:t>48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SomaLogic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Please do not send in your SomaLogic stock certificates with your proxy. After the completion of the Merger, the exchange agent for the Merger, Computershare Trust Company, N.A. (the “Exchange Agent”), will send you instructions for exchanging SomaLogic stock certificates for the Merger consideration.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Whom may I contact if I cannot locate my SomaLogic stock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unable to locate your original SomaLogic stock certificate(s), you should contact SomaLogic’s transfer agent, Continental Stock Transfer &amp; Trust Company, at cstemail@continentalstock.com.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hold my shares of SomaLogic Common Stock in book-entry form directly with SomaLogic’s transfer agent, as opposed to a physical stock certificate?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required to take any special additional actions if your shares of SomaLogic Common Stock are not represented by a certificate and are instead held in book-entry form with SomaLogic’s transfer agent. After the completion of the Merger, the Exchange Agent will contact you to provide you with details regarding the Merger consideration, including shares of Standard BioTools in book-entry form and any cash to be paid instead of fractional shares in the Merger.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8"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9"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or SomaLogic stockholders may receive more than one set of voting materials, including multiple copies of this joint proxy statement/prospectus and multiple proxy cards. For example, if you hold shares of Standard BioTools Common Stock, Series B Preferred Stock or SomaLogic Common Stock in more than one brokerage account, you will receive a separate voting instruction card for each brokerage account in which you hold such shares. If you are a holder of record of Standard BioTools Common Stock, Series B Preferred Stock or SomaLogic Common Stock and your shares are registered in more than one name, you will receive more than one proxy card. Please complete, sign, date and return each proxy card and voting instruction form that you receive or otherwise follow the voting instructions set forth in this joint proxy statement/prospectus to ensure that you vote </w:t>
      </w:r>
      <w:r>
        <mc:AlternateContent>
          <mc:Choice Requires="wps">
            <w:drawing>
              <wp:anchor behindDoc="0" distT="1016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0"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share of Standard BioTools Common Stock, Series B Preferred Stock or SomaLogic Common Stock, as appropriate, that you own.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to complete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1"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and SomaLogic expect to complete the Merger in early 2024, subject to any potential regulatory review or approval. However, neither Standard BioTools nor SomaLogic can assure you of when or if the Merger will be completed. SomaLogic must obtain the approval of SomaLogic’s stockholders for the SomaLogic Merger Proposal and Standard BioTools must obtain the approval of Standard BioTools’ stockholders for the Standard BioTools Share Issuance Proposal and the Standard BioTools Charter Amendment Proposal, and certain closing conditions must be satisfied or waived (to the extent permitted by applicable law). If the Merger is not satisfied prior to the outside date of May 1, 2024, either party may elect to terminate the Merger Agreement, subject to certain caveats or extension of the outside date in accordance with the Merger Agreement. See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for more information regarding conditions to the completion of the Merger. </w:t>
      </w:r>
      <w:r>
        <mc:AlternateContent>
          <mc:Choice Requires="wps">
            <w:drawing>
              <wp:anchor behindDoc="0" distT="1016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3"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not completed, SomaLogic stockholders will not receive any consideration for their shares of SomaLogic Common Stock in connection with the Merger. Instead, Standard BioTools and SomaLogic will remain independent, public companies and, assuming that Standard BioTools and SomaLogic are able to comply with the required listing standards, Standard BioTools Common Stock will continue to be traded on The Nasdaq Global Select Market and SomaLogic Common Stock will continue to be traded on The Nasdaq Capital Market. In addition, if the Merger Agreement is terminated in certain circumstances, Standard BioTools and SomaLogic may be required to pay a termination fee or expense reimbursement. See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for a complete discussion of the circumstances under which a termination fee or expense reimbursement will be required to be paid.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Standard BioTools Special Meeting and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Standard BioTools Special Meeting and SomaLogic Special Meeting, respectively. In addition, within four business days following the Standard BioTools Special Meeting and SomaLogic Special Meeting, Standard BioTools and SomaLogic will each disclose the preliminary or, if available, final voting results of the Standard BioTools Special Meeting and SomaLogic Special Meeting on a Current Report on Form 8-K filed with the SEC. If preliminary voting results are disclosed, Standard BioTools and SomaLogic will each file an amended Current Report on Form 8-K with the SEC to disclose final voting results within four business days following certification of the final voting results. </w:t>
      </w:r>
      <w:r>
        <mc:AlternateContent>
          <mc:Choice Requires="wps">
            <w:drawing>
              <wp:anchor behindDoc="0" distT="1016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the completion of the Merger subject to a financing condition?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The completion of the Merger is not subject to any financing condition. </w:t>
      </w:r>
      <w:r>
        <mc:AlternateContent>
          <mc:Choice Requires="wps">
            <w:drawing>
              <wp:anchor behindDoc="0" distT="1016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know when the other conditions to completion of the Merger have been satisfied or waived?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joint proxy statement/prospectus, the parties have not satisfied the closing conditions to the Merger. If the closing conditions are satisfied or waived (to the extent permitted by applicable law), Standard BioTools and SomaLogic will each announce the closing of the Merger via the filing of a Current Report on Form 8-K with the SEC. There is also a possibility that the closing conditions to the Merger will not be satisfied or waived (to the extent applicable by law) prior to the outside date of May 1, 2024, after which date either party may elect to terminate the Merger Agreement, subject to certain caveats or extension of the outside date in accordance with the Merger Agreement. As a result, it is possible that factors outside the control of both companies could result in the Merger being completed at a different time or not at all.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0"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6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SomaLogic stockholders will not know the value of the Standard BioTools Common Stock to be received as merger consideration until after the date of the Standard BioTools Special Meeting and the SomaLogic Special Meeting.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risks that I should consider in deciding whether to vote for the adoption of the SomaLogic Proposals 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1"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You should read and carefully consider the risk factors set forth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Merger or the transactions contemplated by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 or the transactions contemplated by the Merger Agreement, or if you need additional copies of this joint proxy statement/prospectus, you should contact: </w:t>
      </w:r>
      <w:r>
        <mc:AlternateContent>
          <mc:Choice Requires="wps">
            <w:drawing>
              <wp:anchor behindDoc="0" distT="1016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305" w:type="dxa"/>
        <w:jc w:val="left"/>
        <w:tblInd w:w="1393" w:type="dxa"/>
        <w:tblLayout w:type="fixed"/>
        <w:tblCellMar>
          <w:top w:w="0" w:type="dxa"/>
          <w:left w:w="0" w:type="dxa"/>
          <w:bottom w:w="0" w:type="dxa"/>
          <w:right w:w="0" w:type="dxa"/>
        </w:tblCellMar>
      </w:tblPr>
      <w:tblGrid>
        <w:gridCol w:w="124"/>
        <w:gridCol w:w="3788"/>
        <w:gridCol w:w="109"/>
        <w:gridCol w:w="109"/>
        <w:gridCol w:w="4021"/>
        <w:gridCol w:w="154"/>
      </w:tblGrid>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For Standard BioTools stockholders:</w:t>
            </w:r>
            <w:r>
              <w:rPr/>
              <w:t xml:space="preserve"> </w:t>
              <w:br/>
            </w:r>
            <w:r>
              <w:rPr>
                <w:spacing w:val="4"/>
              </w:rPr>
              <w:t>Alliance Advisors, LLC</w:t>
            </w:r>
            <w:r>
              <w:rPr/>
              <w:t xml:space="preserve"> </w:t>
              <w:br/>
            </w:r>
            <w:r>
              <w:rPr>
                <w:spacing w:val="4"/>
              </w:rPr>
              <w:t>200 Broadacres Drive, 3rd Floor</w:t>
            </w:r>
            <w:r>
              <w:rPr/>
              <w:t xml:space="preserve"> </w:t>
              <w:br/>
            </w:r>
            <w:r>
              <w:rPr>
                <w:spacing w:val="4"/>
              </w:rPr>
              <w:t>Bloomfield, NJ 07003</w:t>
            </w:r>
            <w:r>
              <w:rPr/>
              <w:t xml:space="preserve"> </w:t>
              <w:br/>
            </w:r>
            <w:r>
              <w:rPr>
                <w:spacing w:val="4"/>
              </w:rPr>
              <w:t>Toll-Free: (800) 574-5969</w:t>
            </w:r>
            <w:r>
              <w:rPr/>
              <w:t xml:space="preserve"> </w:t>
              <w:br/>
            </w:r>
            <w:r>
              <w:rPr>
                <w:spacing w:val="4"/>
              </w:rPr>
              <w:t xml:space="preserve">Email: LAB@AllianceAdvisors.com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For SomaLogic stockholders:</w:t>
            </w:r>
            <w:r>
              <w:rPr/>
              <w:t xml:space="preserve"> </w:t>
              <w:br/>
            </w:r>
            <w:r>
              <w:rPr>
                <w:spacing w:val="4"/>
              </w:rPr>
              <w:t>Morrow Sodali LLC</w:t>
            </w:r>
            <w:r>
              <w:rPr/>
              <w:t xml:space="preserve"> </w:t>
              <w:br/>
            </w:r>
            <w:r>
              <w:rPr>
                <w:spacing w:val="4"/>
              </w:rPr>
              <w:t>430 Park Avenue, 14th Floor</w:t>
            </w:r>
            <w:r>
              <w:rPr/>
              <w:t xml:space="preserve"> </w:t>
              <w:br/>
            </w:r>
            <w:r>
              <w:rPr>
                <w:spacing w:val="4"/>
              </w:rPr>
              <w:t>New York, NY 10022</w:t>
            </w:r>
            <w:r>
              <w:rPr/>
              <w:t xml:space="preserve"> </w:t>
              <w:br/>
            </w:r>
            <w:r>
              <w:rPr>
                <w:spacing w:val="4"/>
              </w:rPr>
              <w:t>Toll-Free: (800) 662-5200</w:t>
            </w:r>
            <w:r>
              <w:rPr/>
              <w:t xml:space="preserve"> </w:t>
              <w:br/>
            </w:r>
            <w:r>
              <w:rPr>
                <w:spacing w:val="4"/>
              </w:rPr>
              <w:t>Email: SLGC@info.morrowsodali.com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SU"/>
      <w:bookmarkEnd w:id="7"/>
      <w:r>
        <w:rPr>
          <w:rFonts w:ascii="calibri;arial;sans-serif" w:hAnsi="calibri;arial;sans-serif"/>
          <w:b w:val="false"/>
          <w:i w:val="false"/>
          <w:caps w:val="false"/>
          <w:smallCaps w:val="false"/>
          <w:color w:val="000000"/>
          <w:sz w:val="16"/>
        </w:rPr>
        <w:t>​</w:t>
      </w:r>
      <w:bookmarkStart w:id="8" w:name="tOOTC"/>
      <w:bookmarkEnd w:id="8"/>
      <w:r>
        <w:rPr>
          <w:rFonts w:ascii="calibri;arial;sans-serif" w:hAnsi="calibri;arial;sans-serif"/>
          <w:b w:val="false"/>
          <w:i w:val="false"/>
          <w:caps w:val="false"/>
          <w:smallCaps w:val="false"/>
          <w:color w:val="000000"/>
          <w:sz w:val="16"/>
        </w:rPr>
        <w:t>​</w:t>
      </w:r>
      <w:bookmarkStart w:id="9" w:name="tSBI"/>
      <w:bookmarkEnd w:id="9"/>
      <w:r>
        <w:rPr>
          <w:rFonts w:ascii="calibri;arial;sans-serif" w:hAnsi="calibri;arial;sans-serif"/>
          <w:b w:val="false"/>
          <w:i w:val="false"/>
          <w:caps w:val="false"/>
          <w:smallCaps w:val="false"/>
          <w:color w:val="000000"/>
          <w:sz w:val="16"/>
        </w:rPr>
        <w:t>​</w:t>
      </w:r>
      <w:bookmarkStart w:id="10" w:name="tSOIN"/>
      <w:bookmarkEnd w:id="10"/>
      <w:r>
        <w:rPr>
          <w:rFonts w:ascii="calibri;arial;sans-serif" w:hAnsi="calibri;arial;sans-serif"/>
          <w:b w:val="false"/>
          <w:i w:val="false"/>
          <w:caps w:val="false"/>
          <w:smallCaps w:val="false"/>
          <w:color w:val="000000"/>
          <w:sz w:val="16"/>
        </w:rPr>
        <w:t>​</w:t>
      </w:r>
      <w:bookmarkStart w:id="11" w:name="tMMSI"/>
      <w:bookmarkEnd w:id="11"/>
      <w:r>
        <w:rPr>
          <w:rFonts w:ascii="calibri;arial;sans-serif" w:hAnsi="calibri;arial;sans-serif"/>
          <w:b w:val="false"/>
          <w:i w:val="false"/>
          <w:caps w:val="false"/>
          <w:smallCaps w:val="false"/>
          <w:color w:val="000000"/>
          <w:sz w:val="16"/>
        </w:rPr>
        <w:t>​</w:t>
      </w:r>
      <w:bookmarkStart w:id="12" w:name="tTMS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joint proxy statement/prospectus and may not contain all of the information that is important to you. To better understand the Merger and the proposals being considered at the Standard BioTools Special Meeting and the SomaLogic Special Meeting, you should read this entire proxy statement/prospectus carefully, including the Merger Agreement and the other annexes to which you are referred in this joint proxy statement/prospectus. For more information, please see the section entitled “Where You Can Find More Information” beginning on page </w:t>
      </w:r>
      <w:hyperlink w:anchor="tWYCF">
        <w:r>
          <w:rPr>
            <w:rStyle w:val="InternetLink"/>
          </w:rPr>
          <w:t>208</w:t>
        </w:r>
      </w:hyperlink>
      <w:r>
        <w:rPr>
          <w:rFonts w:ascii="Times New Roman;Times;serif" w:hAnsi="Times New Roman;Times;serif"/>
          <w:b w:val="false"/>
          <w:i/>
          <w:caps w:val="false"/>
          <w:smallCaps w:val="false"/>
          <w:color w:val="000000"/>
          <w:spacing w:val="4"/>
          <w:sz w:val="20"/>
          <w:bdr w:val="single" w:sz="8" w:space="1" w:color="000000"/>
        </w:rPr>
        <w:t xml:space="preserve"> of this joint proxy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 of the Companies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Standard BioTools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 Tower Place, Suite 2000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South San Francisco, California 94080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(650) 266-6000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Standard BioTools is driven by a bold purpose — unleashing tools to accelerate breakthroughs in human health. Standard BioTools has an established portfolio of essential, standardized next-generation high resolution technologies that assist biomedical researchers to develop medicines faster and better. Standard BioTools’ tools are designed to provide reliable and repeatable insights in health and disease using its proprietary mass cytometry and microfluidics technologies, which are useful in proteomics and genomics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Standard BioTools Common Stock is listed on The Nasdaq Global Select Market under the symbol “LAB.”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SomaLogic,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2945 Wilderness Place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Boulder, Colorado 80301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(303) 625-9000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SomaLogic is catalyzing drug research and development and biomarker identification as a global leader in proteomics technology. With a single 55 microliter plasma or serum sample, SomaLogic can run 11,000 protein measurements, covering more than a third of the approximately 20,000 proteins in the human body and twice as many as other proteomic platforms. For more than 20 years SomaLogic has supported pharmaceutical companies, and academic and contract research organizations who rely on SomaLogic’s protein detection and analysis technologies to fuel drug, disease, and treatment discoveries in such areas as oncology, diabetes, and cardiovascular, liver and metabolic diseases. SomaLogic Common Stock and SomaLogic Warrants are listed on The Nasdaq Capital Market under the symbols “SLGC” and “SLGCW,”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Martis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 Tower Place, Suite 2000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South San Francisco, California 94080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(650) 266-6000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direct, wholly owned subsidiary of Standard BioTools. Merger Sub was incorporated in the State of Delaware on September 29, 2023, solely for the purpose of carrying out the Merger. Merger Sub has not carried on any activities to date, except for activities incidental to its formation and activities undertaken in connection with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(see page </w:t>
      </w:r>
      <w:hyperlink w:anchor="tTHME">
        <w:r>
          <w:rPr>
            <w:rStyle w:val="InternetLink"/>
          </w:rPr>
          <w:t>76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4, 2023, Standard BioTools, SomaLogic and Merger Sub entered into the Merger Agreement. The Merger Agreement provides, among other things, that on the terms and subject to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FTM"/>
      <w:bookmarkEnd w:id="13"/>
      <w:r>
        <w:rPr>
          <w:rFonts w:ascii="calibri;arial;sans-serif" w:hAnsi="calibri;arial;sans-serif"/>
          <w:b w:val="false"/>
          <w:i w:val="false"/>
          <w:caps w:val="false"/>
          <w:smallCaps w:val="false"/>
          <w:color w:val="000000"/>
          <w:sz w:val="16"/>
        </w:rPr>
        <w:t>​</w:t>
      </w:r>
      <w:bookmarkStart w:id="14" w:name="tSBR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conditions set forth therein: (i) Merger Sub will merge with and into SomaLogic, with SomaLogic surviving as a wholly owned subsidiary of Standard BioTools (the “Merger” and, collectively with the other transactions contemplated by the Merger Agreement, the “Contemplated Transactions”), (ii) each share of SomaLogic Common Stock issued and outstanding immediately prior to the Merger (other than certain shares of SomaLogic Common Stock that may be cancelled pursuant to the terms and conditions of the Merger Agreement) shall be automatically converted into the right to receive 1.11 shares of Standard BioTools Common Stock, subject to customary equitable adjustment in the event of any recapitalization, stock split, reverse stock split or similar change, (iii) each outstanding SomaLogic Stock Option, whether vested or unvested and without any action on the part of the holder thereof, will be assumed by Standard BioTools at the Effective Time and become exercisable for shares of Standard BioTools Common Stock, (iv) each SomaLogic RSU, without any action on the part of the holder thereof, will be assumed by Standard BioTools at the Effective Time and (v) each SomaLogic Warrant will be treated in accordance with its terms at and after the Effective Time. Upon completion of the Merger, the Standard BioTools stockholders will own approximately 43% of the combined company’s outstanding common stock and the SomaLogic stockholders will own approximately 57% of the combined company’s outstanding common stock on a fully diluted basis, subject to the terms of the Merger Agreement. The Merger is intended to qualify as a reorganization within the meaning of Section 368(a)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Merger and the Exchange Ratio, please see the section entitled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in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will be completed as promptly as practicable, but in no event later than three business days following the day on which the last to be satisfied or waived (to the extent permitted by applicable law) of each of the conditions to consummation of the Merger set forth in the Merger Agreement (other than those conditions that by their nature are to be satisfied at the consummation of the Merger (the “Closing”), but subject to the satisfaction or waiver (to the extent permitted by applicable law) of those conditions) are satisfied or waived (to the extent permitted by applicable law), including the adoption of the Merger Agreement by the SomaLogic stockholders and the approval by the Standard BioTools stockholders of the issuance of Standard BioTools Common Stock in the Merger and the amendment to the Standard BioTools Charter to increase the number of shares of Standard BioTools Common Stock authorized for issuance thereunder. The Merger is anticipated to close promptly after the Standard BioTools Special Meeting and SomaLogic Special Meeting scheduled to be held on      , 2023. However, Standard BioTools and SomaLogic cannot predict the exact timing of the completion of the Merger because it is subject to the satisfaction or waiver (to the extent permitted by applicable law) of various conditions.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light of Casdin Capital and Eli Casdin, its founder and Chief Investment Officer, each being a stockholder of Standard BioTools and SomaLogic and Mr. Casdin being a member of the board of directors of each company,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Reasons for the Merger (see pages </w:t>
      </w:r>
      <w:hyperlink w:anchor="tSBRF1">
        <w:r>
          <w:rPr>
            <w:rStyle w:val="InternetLink"/>
          </w:rPr>
          <w:t>93</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SRFT1">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Standard BioTools’ Reasons for the Merger; Recommendation of the Standard BioTools Board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consideration and consultation with its senior management and its financial and legal advisors, the Standard BioTools Board determined that the Merger Agreement, the Merger and the other transactions contemplated thereby are advisable, fair to and in the best interests of Standard BioTools and its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Standard BioTools Board unanimously recommends by vote of all participating directors that Standard BioTools stockholders vote “FOR” the Standard BioTools Share Issuance Proposal, “FOR” the Standard BioTools Charter Amendment Proposal, “FOR” the Standard BioTools Advisory Compensation Proposal, “FOR” the Standard BioTools Equity Incentive Plan Amendment Proposal and “FOR” the Standard BioTools Adjournment Proposal.</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RFT"/>
      <w:bookmarkEnd w:id="15"/>
      <w:r>
        <w:rPr>
          <w:rFonts w:ascii="calibri;arial;sans-serif" w:hAnsi="calibri;arial;sans-serif"/>
          <w:b w:val="false"/>
          <w:i w:val="false"/>
          <w:caps w:val="false"/>
          <w:smallCaps w:val="false"/>
          <w:color w:val="000000"/>
          <w:sz w:val="16"/>
        </w:rPr>
        <w:t>​</w:t>
      </w:r>
      <w:bookmarkStart w:id="16" w:name="tOOSB"/>
      <w:bookmarkEnd w:id="16"/>
      <w:r>
        <w:rPr>
          <w:rFonts w:ascii="calibri;arial;sans-serif" w:hAnsi="calibri;arial;sans-serif"/>
          <w:b w:val="false"/>
          <w:i w:val="false"/>
          <w:caps w:val="false"/>
          <w:smallCaps w:val="false"/>
          <w:color w:val="000000"/>
          <w:sz w:val="16"/>
        </w:rPr>
        <w:t>​</w:t>
      </w:r>
      <w:bookmarkStart w:id="17" w:name="tOOS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the factors considered by the Standard BioTools Board in reaching its decision to approve the Merger Agreement and the transactions contemplated thereby, including the Merger and the Standard BioTools Share Issuance Proposal and Standard BioTools Charter Amendment Proposal, and to make the foregoing recommendations, see “</w:t>
      </w:r>
      <w:r>
        <w:rPr>
          <w:rFonts w:ascii="Times New Roman;Times;serif" w:hAnsi="Times New Roman;Times;serif"/>
          <w:b w:val="false"/>
          <w:i/>
          <w:caps w:val="false"/>
          <w:smallCaps w:val="false"/>
          <w:color w:val="000000"/>
          <w:spacing w:val="4"/>
          <w:sz w:val="20"/>
          <w:bdr w:val="single" w:sz="8" w:space="1" w:color="00000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SBRF1">
        <w:r>
          <w:rPr>
            <w:rStyle w:val="InternetLink"/>
          </w:rPr>
          <w:t>93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SomaLogic’s Reasons for the Merger; Recommendation of the SomaLogic Board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consideration and consultation with its senior management and its financial and legal advisors, the SomaLogic Board determined that the Merger Agreement, the Merger and the other transactions contemplated thereby are advisable, fair to and in the best interests of SomaLogic and its stockholders.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The SomaLogic Board unanimously recommends by vote of all participating directors that the SomaLogic stockholders vote “FOR” the SomaLogic Merger Proposal and “FOR” the SomaLogic Adjournment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the factors considered by the SomaLogic Board in reaching its decision to approve the Merger Agreement and the transactions contemplated thereby, including the Merger, and to make the foregoing recommendations, see “</w:t>
      </w:r>
      <w:r>
        <w:rPr>
          <w:rFonts w:ascii="Times New Roman;Times;serif" w:hAnsi="Times New Roman;Times;serif"/>
          <w:b w:val="false"/>
          <w:i/>
          <w:caps w:val="false"/>
          <w:smallCaps w:val="false"/>
          <w:color w:val="000000"/>
          <w:spacing w:val="4"/>
          <w:sz w:val="20"/>
          <w:bdr w:val="single" w:sz="8" w:space="1" w:color="00000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Standard BioTools’ Financial Advisor (see page </w:t>
      </w:r>
      <w:hyperlink w:anchor="tOOSB1">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Standard BioTools retained Centerview Partners LLC (“Centerview”) as financial advisor to the Standard BioTools Board in connection with the proposed Merger and the other transactions contemplated by the Merger Agreement, which are collectively referred to as the “Transaction” throughout this section and the summary of Centerview’s opinion below under the caption “</w:t>
      </w:r>
      <w:r>
        <w:rPr>
          <w:rFonts w:ascii="Times New Roman;Times;serif" w:hAnsi="Times New Roman;Times;serif"/>
          <w:b w:val="false"/>
          <w:i/>
          <w:caps w:val="false"/>
          <w:smallCaps w:val="false"/>
          <w:color w:val="000000"/>
          <w:spacing w:val="4"/>
          <w:sz w:val="20"/>
          <w:bdr w:val="single" w:sz="8" w:space="1" w:color="000000"/>
        </w:rPr>
        <w:t>The Merger — Opinion of Standard BioTools’ Financial Advisor.”</w:t>
      </w:r>
      <w:r>
        <w:rPr>
          <w:rFonts w:ascii="Times New Roman;Times;serif" w:hAnsi="Times New Roman;Times;serif"/>
          <w:b w:val="false"/>
          <w:i w:val="false"/>
          <w:caps w:val="false"/>
          <w:smallCaps w:val="false"/>
          <w:color w:val="000000"/>
          <w:spacing w:val="4"/>
          <w:sz w:val="20"/>
          <w:bdr w:val="single" w:sz="8" w:space="1" w:color="000000"/>
        </w:rPr>
        <w:t xml:space="preserve"> In connection with this engagement, the Standard BioTools Board requested that Centerview evaluate the fairness to Standard BioTools and provide an opinion, from a financial point of view, of the Exchange Ratio provided for pursuant to the Merger Agreement. On October 4, 2023, Centerview rendered to the Standard BioTools Board its oral opinion, which was subsequently confirmed by delivery of a written opinion dated October 4, 2023,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Centerview’s written opinion, dated October 4, 2023, which describes the assumptions made, procedures followed, matters considered and qualifications and limitations upon the review undertaken by Centerview in preparing its opinion, is attached as </w:t>
      </w:r>
      <w:r>
        <w:rPr>
          <w:rFonts w:ascii="Times New Roman;Times;serif" w:hAnsi="Times New Roman;Times;serif"/>
          <w:b w:val="false"/>
          <w:i w:val="false"/>
          <w:caps w:val="false"/>
          <w:smallCaps w:val="false"/>
          <w:color w:val="000000"/>
          <w:spacing w:val="4"/>
          <w:sz w:val="20"/>
          <w:u w:val="single"/>
          <w:bdr w:val="single" w:sz="8" w:space="1" w:color="000000"/>
        </w:rPr>
        <w:t>Annex B</w:t>
      </w:r>
      <w:r>
        <w:rPr>
          <w:rFonts w:ascii="Times New Roman;Times;serif" w:hAnsi="Times New Roman;Times;serif"/>
          <w:b w:val="false"/>
          <w:i w:val="false"/>
          <w:caps w:val="false"/>
          <w:smallCaps w:val="false"/>
          <w:color w:val="000000"/>
          <w:spacing w:val="4"/>
          <w:sz w:val="20"/>
          <w:bdr w:val="single" w:sz="8" w:space="1" w:color="000000"/>
        </w:rPr>
        <w:t xml:space="preserve"> to this joint proxy statement/prospectus and is incorporated herein by reference. Centerview’s financial advisory services and opinion were provided for the information and assistance of the Standard BioTools Board (in their capacity as directors and not in any other capacity) in connection with and for purposes of its consideration of the Transaction and Centerview’s opinion addressed only the fairness, from a financial point of view, as of the date thereof, to Standard BioTools of the Exchange Ratio provided for pursuant to the Merger Agreement. Centerview’s opinion did not address any other term or aspect of the Merger Agreement and/or the Transaction and does not constitute a recommendation to any stockholder of Standard BioTools or SomaLogic, or any other person, as to how such stockholder or other person should vote with respect to the Merger or otherwise act with respect to the Transaction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SomaLogic’s Financial Advisor (see page </w:t>
      </w:r>
      <w:hyperlink w:anchor="tOOSF1">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4, 2023, at a meeting of the SomaLogic Board held to evaluate the Merger, Perella Weinberg Partners LP (“PWP”) delivered an oral opinion to the effect that, as of such date and based upon and subject to the assumptions made, procedures followed, factors considered and qualifications and limitations on the review undertaken by PWP, as set forth in the written opinion delivered subsequently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OCD"/>
      <w:bookmarkEnd w:id="18"/>
      <w:r>
        <w:rPr>
          <w:rFonts w:ascii="calibri;arial;sans-serif" w:hAnsi="calibri;arial;sans-serif"/>
          <w:b w:val="false"/>
          <w:i w:val="false"/>
          <w:caps w:val="false"/>
          <w:smallCaps w:val="false"/>
          <w:color w:val="000000"/>
          <w:sz w:val="16"/>
        </w:rPr>
        <w:t>​</w:t>
      </w:r>
      <w:bookmarkStart w:id="19" w:name="tIOS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upon other matters as PWP considered relevant, the Merger consideration to be received by the holders of outstanding shares of SomaLogic Common Stock (other than Standard BioTools, Casdin Capital, LLC and each of their respective affiliates) (collectively, the “Unaffiliated Stockholders”) in the Merger pursuant to the Merger Agreement was fair, from a financial point of view, to the Unaffiliated Stockholders. PWP delivered its written opinion on October 4, 2023 to the SomaLogic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PWP’s opinion was directed to the SomaLogic Board (in its capacity as such), and only addressed the fairness, from a financial point of view, to the Unaffiliated Stockholders of the Merger consideration to be received by the Unaffiliated Stockholders in the Merger pursuant to the Merger Agreement and did not address any other term, aspect or implication (financial or otherwise) of the Merger. The summary of PWP’s opinion in this joint proxy statement/prospectus is qualified in its entirety by reference to the full text of its written opinion, which is included as </w:t>
      </w:r>
      <w:r>
        <w:rPr>
          <w:rFonts w:ascii="Times New Roman;Times;serif" w:hAnsi="Times New Roman;Times;serif"/>
          <w:b w:val="false"/>
          <w:i w:val="false"/>
          <w:caps w:val="false"/>
          <w:smallCaps w:val="false"/>
          <w:color w:val="000000"/>
          <w:spacing w:val="4"/>
          <w:sz w:val="20"/>
          <w:u w:val="single"/>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joint proxy statement/prospectus and sets forth the assumptions made, procedures followed, factors considered and qualifications and limitations on the review undertaken and other matters considered by PWP in preparing its opinion. However, neither PWP’s written opinion nor the summary of its opinion and the related analyses set forth in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are intended to be, and they do not constitute, advice or a recommendation to any SomaLogic stockholder as to how such holder should vote or act on any matter relating to the Merger.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see the section entitled “</w:t>
      </w:r>
      <w:r>
        <w:rPr>
          <w:rFonts w:ascii="Times New Roman;Times;serif" w:hAnsi="Times New Roman;Times;serif"/>
          <w:b w:val="false"/>
          <w:i/>
          <w:caps w:val="false"/>
          <w:smallCaps w:val="false"/>
          <w:color w:val="000000"/>
          <w:spacing w:val="4"/>
          <w:sz w:val="20"/>
          <w:bdr w:val="single" w:sz="8" w:space="1" w:color="000000"/>
        </w:rPr>
        <w:t>The Merger — Opinion of SomaLogic’s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PWP attached as </w:t>
      </w:r>
      <w:r>
        <w:rPr>
          <w:rFonts w:ascii="Times New Roman;Times;serif" w:hAnsi="Times New Roman;Times;serif"/>
          <w:b w:val="false"/>
          <w:i w:val="false"/>
          <w:caps w:val="false"/>
          <w:smallCaps w:val="false"/>
          <w:color w:val="000000"/>
          <w:spacing w:val="4"/>
          <w:sz w:val="20"/>
          <w:u w:val="single"/>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Directors, Officers and Affiliates of Standard BioTools and SomaLogic (see page </w:t>
      </w:r>
      <w:hyperlink w:anchor="tIOSB1">
        <w:r>
          <w:rPr>
            <w:rStyle w:val="InternetLink"/>
          </w:rPr>
          <w:t>123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Interests of Standard BioTools Directors and Executive Officers in the Merger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Standard BioTools Board with respect to issuing shares of Standard BioTools Common Stock pursuant to the Merger Agreement and the other matters to be acted upon by Standard BioTools stockholders at the Standard BioTools Special Meeting, Standard BioTools stockholders should be aware that certain members of the Standard BioTools Board and executive officers of Standard BioTools have interests in the Merger that may be different from, or in addition to, interests they have as Standard BioTools stockholders.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Michael Egholm, Ph.D., Fenel M. Eloi, Frank Witney, Ph.D. and Eli Casdin, members of the Standard BioTools Board, will continue as directors after the Merger, and following the closing of the Merger, Mr. Eloi, Dr. Witney and Mr. Casdin will be eligible to be compensated as directors of Standard BioTools pursuant to Standard BioTools’ outside director compensation policy that is expected to remain in place following the Merger. In addition, certain of Standard BioTools’ and SomaLogic’s current executive leadership teams are expected to continue to serve in roles in the combined company after the consummation of the Merger.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Mr. Casdin serves on each of the Standard BioTools Board and the SomaLogic Board, and he holds Standard BioTools Common Stock, stock options exercisable for shares of Standard BioTools Common Stock (each, a “Standard BioTools Stock Option”), restricted stock units with respect to shares of Standard BioTools Common Stock (each, a “Standard BioTools RSU”), SomaLogic Common Stock and SomaLogic Stock Options. Mr. Casdin serves as managing member of Casdin Capital, LLC. Casdin Capital, LLC and entities affiliated therewith hold shares of Standard BioTools Common Stock, all of the issued and outstanding Series B-1 Preferred Stock and shares of SomaLogic Common Stock.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members of the Standard BioTools Board will not continue as directors after the Merger. It is anticipated that, effective upon the Effective Time, all outstanding equity awards issued by Standard BioTools and held by such directors will become fully vested and that the period during which such directors may exercise such equity awards (as applicable) will be extended to the date that is twelve months following the Effective Time.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a termination without cause (as defined in the Standard BioTools Severance Plan) or a resignation for good reason (as defined in the Standard BioTools Severance Plan), during the period beginning three months before a change of control and ending 12 months after a change of control,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OSD"/>
      <w:bookmarkEnd w:id="20"/>
      <w:r>
        <w:rPr>
          <w:rFonts w:ascii="calibri;arial;sans-serif" w:hAnsi="calibri;arial;sans-serif"/>
          <w:b w:val="false"/>
          <w:i w:val="false"/>
          <w:caps w:val="false"/>
          <w:smallCaps w:val="false"/>
          <w:color w:val="000000"/>
          <w:sz w:val="16"/>
        </w:rPr>
        <w:t>​</w:t>
      </w:r>
      <w:bookmarkStart w:id="21" w:name="tMFTM"/>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executive officers of Standard BioTools would be entitled to certain severance benefits, which include, among other things, a lump sum payment of cash severance and bonus for each executive officer and immediate vesting any outstanding and unvested equity awards of the executive.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and others are discussed in more detail in the section entitled “</w:t>
      </w:r>
      <w:r>
        <w:rPr>
          <w:rFonts w:ascii="Times New Roman;Times;serif" w:hAnsi="Times New Roman;Times;serif"/>
          <w:b w:val="false"/>
          <w:i/>
          <w:caps w:val="false"/>
          <w:smallCaps w:val="false"/>
          <w:color w:val="000000"/>
          <w:spacing w:val="4"/>
          <w:sz w:val="20"/>
          <w:bdr w:val="single" w:sz="8" w:space="1" w:color="000000"/>
        </w:rPr>
        <w:t>The Merger — Interests of Standard BioTools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OSB1">
        <w:r>
          <w:rPr>
            <w:rStyle w:val="InternetLink"/>
          </w:rPr>
          <w:t>123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The Standard BioTools Board members were aware of and considered these interests, among other matters, in reaching their decisions to adopt the Merger Agreement, to approve the transactions contemplated by the Merger Agreement and to recommend the approval of the Standard BioTools Share Issuance Proposal to Standard BioTools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Interests of SomaLogic Directors and Executive Officers in the Merger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SomaLogic Board with respect to the SomaLogic Proposals, SomaLogic stockholders should be aware that certain members of the SomaLogic Board and certain executive officers of SomaLogic may have interests in the Merger that are different from, or are in addition to, interests of SomaLogic stockholders generally. These interests include, but are not limited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expected service as members of the board of directors of the combined company following consummation of the Merger and expected continued service of certain members of SomaLogic’s current executive leadership team in the combined company;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Mr. Casdin serves on each of the SomaLogic Board and the Standard BioTools Board; Mr. Casdin holds SomaLogic Common Stock, SomaLogic Stock Options, Standard BioTools Common Stock, Standard BioTools Stock Options and Standard BioTools RSUs; and Mr. Casdin serves as managing member of Casdin Capital, LLC, which, together with its affiliates, holds shares of SomaLogic Common Stock, shares of Standard BioTools Common Stock and all of the issued and outstanding Series B-1 Preferred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874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accelerated vesting of equity awards; </w:t>
      </w:r>
      <w:r>
        <mc:AlternateContent>
          <mc:Choice Requires="wps">
            <w:drawing>
              <wp:anchor behindDoc="0" distT="787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cash awards and equity grants under new employment agreements with Standard BioTools; </w:t>
      </w:r>
      <w:r>
        <mc:AlternateContent>
          <mc:Choice Requires="wps">
            <w:drawing>
              <wp:anchor behindDoc="0" distT="787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entitlement to severance benefits (including accelerated vesting of equity awards) under preexisting severance arrangements; and </w:t>
      </w:r>
      <w:r>
        <mc:AlternateContent>
          <mc:Choice Requires="wps">
            <w:drawing>
              <wp:anchor behindDoc="0" distT="787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in favor of the current and former directors and officers of SomaLogic, as well as certain obligations related to maintenance of directors’ and officers’ liability insurance. </w:t>
      </w:r>
      <w:r>
        <mc:AlternateContent>
          <mc:Choice Requires="wps">
            <w:drawing>
              <wp:anchor behindDoc="0" distT="7874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and others are discussed in more detail in the section entitled “</w:t>
      </w:r>
      <w:r>
        <w:rPr>
          <w:rFonts w:ascii="Times New Roman;Times;serif" w:hAnsi="Times New Roman;Times;serif"/>
          <w:b w:val="false"/>
          <w:i/>
          <w:caps w:val="false"/>
          <w:smallCaps w:val="false"/>
          <w:color w:val="000000"/>
          <w:spacing w:val="4"/>
          <w:sz w:val="20"/>
          <w:bdr w:val="single" w:sz="8" w:space="1" w:color="00000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OSD1">
        <w:r>
          <w:rPr>
            <w:rStyle w:val="InternetLink"/>
          </w:rPr>
          <w:t>130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The SomaLogic Board members were aware of and considered these interests, among other matters, in reaching their decisions to adopt the Merger Agreement, to approve the transactions contemplated by the Merger Agreement and to recommend the adoption of the Merger Agreement to SomaLogic’s stockholders.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Board of Directors and Management Following the Merger (see page </w:t>
      </w:r>
      <w:hyperlink w:anchor="tDOAC">
        <w:r>
          <w:rPr>
            <w:rStyle w:val="InternetLink"/>
          </w:rPr>
          <w:t>144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as of the Closing, the combined company’s executive officers are expected to be: </w:t>
      </w:r>
    </w:p>
    <w:tbl>
      <w:tblPr>
        <w:tblW w:w="6745" w:type="dxa"/>
        <w:jc w:val="left"/>
        <w:tblInd w:w="1393" w:type="dxa"/>
        <w:tblLayout w:type="fixed"/>
        <w:tblCellMar>
          <w:top w:w="0" w:type="dxa"/>
          <w:left w:w="0" w:type="dxa"/>
          <w:bottom w:w="50" w:type="dxa"/>
          <w:right w:w="0" w:type="dxa"/>
        </w:tblCellMar>
      </w:tblPr>
      <w:tblGrid>
        <w:gridCol w:w="2495"/>
        <w:gridCol w:w="109"/>
        <w:gridCol w:w="109"/>
        <w:gridCol w:w="3878"/>
        <w:gridCol w:w="154"/>
      </w:tblGrid>
      <w:tr>
        <w:trPr/>
        <w:tc>
          <w:tcPr>
            <w:tcW w:w="249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78"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Michael Egholm,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Hanjoon Alex Kim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pPr>
            <w:r>
              <w:rPr>
                <w:spacing w:val="4"/>
              </w:rPr>
              <w:t>Chief Operating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TMAA"/>
      <w:bookmarkEnd w:id="22"/>
      <w:r>
        <w:rPr>
          <w:rFonts w:ascii="calibri;arial;sans-serif" w:hAnsi="calibri;arial;sans-serif"/>
          <w:b w:val="false"/>
          <w:i w:val="false"/>
          <w:caps w:val="false"/>
          <w:smallCaps w:val="false"/>
          <w:color w:val="000000"/>
          <w:sz w:val="16"/>
        </w:rPr>
        <w:t>​</w:t>
      </w:r>
      <w:bookmarkStart w:id="23" w:name="tVOAG"/>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the Closing, the board of directors of the combined company is expected to be composed of seven members, consisting of Michael Egholm, Ph.D. (currently the Chief Executive Officer, President and a director of Standard BioTools), Fenel M. Eloi (currently a director of Standard BioTools), Frank Witney, Ph.D. (currently a director of Standard BioTools), Tom Carey (currently a director of SomaLogic), who is expected to chair the combined company’s board of directors, Troy Cox (currently a director of SomaLogic), Kathy Hibbs (currently a director of SomaLogic) and Eli Casdin (currently a director of Standard BioTools and SomaLogic).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and Agreements Related to the Merger Agreement (see page </w:t>
      </w:r>
      <w:hyperlink w:anchor="tTMA">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are contained in the Merger Agreement, which is attached to this joint proxy statement/prospectus as </w:t>
      </w:r>
      <w:r>
        <w:rPr>
          <w:rFonts w:ascii="Times New Roman;Times;serif" w:hAnsi="Times New Roman;Times;serif"/>
          <w:b w:val="false"/>
          <w:i w:val="false"/>
          <w:caps w:val="false"/>
          <w:smallCaps w:val="false"/>
          <w:color w:val="000000"/>
          <w:spacing w:val="4"/>
          <w:sz w:val="20"/>
          <w:u w:val="single"/>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and is incorporated by reference herein in its entirety. Standard BioTools and SomaLogic encourage you to read the Merger Agreement carefully, as it is the legal document that governs the business combination. For more information on the Merger Agreement, see the section entitled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Effective Time, Standard BioTools and SomaLogic will (i) designate the class of each member of the Standard BioTools Board as of immediately following the Effective Time (other than the designees selected by the holders of the Series B Preferred Stock, which are excluded from the classified board provisions of the Standard BioTools Charter), except that there will be only one designee of Standard BioTools and one designee of SomaLogic in each class, and (ii) mutually agree on the composition of the committees of the Standard BioTools Board as of immediately following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Voting Agreements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Viking Global Opportunities Illiquid Investments Sub-Master LP and Viking Global Opportunities Drawdown (Aggregator) LP (together, “Viking”) pursuant to which Viking has agreed, among other things, to vote the shares of Standard BioTools Common Stock and Series B-2 Preferred Stock that it owns as of the Standard BioTools Record Date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Viking is the beneficial owner of approximately    % of the outstanding shares of Standard BioTools Common Stock and    % of the outstanding shares of Series B-2 Preferred Stock as of the Standard BioTools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each of the directors and officers of Standard BioTools (excluding Eli Casdin), pursuant to which such directors and officers have agreed, among other things, to vote the shares of Standard BioTools Common Stock owned by them as of the Standard BioTools Record Date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directors and officers (excluding Eli Casdin and his affiliates) own beneficially and of record approximately      % of the outstanding shares of Standard BioTools Common Stock as of the Standard BioTools Record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each of the directors and officers of SomaLogic (excluding Eli Casdin), pursuant to which such directors and officers have agreed, among other things, to vote the shares of SomaLogic Common Stock owned by them as of the SomaLogic Record in favor of the SomaLogic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TTC"/>
      <w:bookmarkEnd w:id="24"/>
      <w:r>
        <w:rPr>
          <w:rFonts w:ascii="calibri;arial;sans-serif" w:hAnsi="calibri;arial;sans-serif"/>
          <w:b w:val="false"/>
          <w:i w:val="false"/>
          <w:caps w:val="false"/>
          <w:smallCaps w:val="false"/>
          <w:color w:val="000000"/>
          <w:sz w:val="16"/>
        </w:rPr>
        <w:t>​</w:t>
      </w:r>
      <w:bookmarkStart w:id="25" w:name="tNSS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Proposal and against approval of any proposal made in opposition to, in competition with, or inconsistent with, the Merger Agreement or the Merger and, if necessary, in favor of the SomaLogic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directors and officers (excluding Eli Casdin and his affiliates) own beneficially and of record approximately    % of the outstanding shares of SomaLogic Common Stock as of the SomaLogic Record Date for the SomaLogic Special Meeting.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Completion of the Merger (see page </w:t>
      </w:r>
      <w:hyperlink w:anchor="tCTTC1">
        <w:r>
          <w:rPr>
            <w:rStyle w:val="InternetLink"/>
          </w:rPr>
          <w:t>145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the Closing is subject to, and will take place following the satisfaction or waiver (to the extent permitted by applicable law) by Standard BioTools or SomaLogic, as applicable, of certain customary closing conditions, including, without limitation: (i) SomaLogic must obtain the approval of its stockholders of the Merger Agreement and the Contemplated Transactions; (ii) Standard BioTools must obtain approval of its stockholders of the issuance of shares of Standard BioTools Common Stock in connection with the Merger and the amendment to its certificate of incorporation to increase the number of authorized shares thereunder; (iii) the absence of any law, judgment, preliminary, temporary or permanent, or other legal restraint or binding order or determination by an governmental entity that is in effect and restrains, enjoins, makes illegal or otherwise prohibits the consummation of the Merger; (iv) the registration statement on Form S-4 of which this joint proxy statement/prospectus forms a part, which is being filed by Standard BioTools with the SEC to register the shares of Standard BioTools Common Stock to be issued to the holders of shares of SomaLogic Common Stock in connection with the Merger, must become effective and not subject to any stop order or proceeding seeking a stop order; (v) the existing shares of Standard BioTools Common Stock must be continually listed on The Nasdaq Stock Market (“Nasdaq”), and the shares of Standard BioTools Common Stock issuable pursuant to the Merger Agreement must be approved for listing on Nasdaq; (vi) the accuracy of Standard BioTools’ and SomaLogic’s representations and warranties, subject to specified materiality qualifications; (vii) the performance, in all material respects, by each of SomaLogic and Standard BioTools of such party’s respective obligations pursuant to the Merger Agreement; (viii) the waiting period (and any extension thereof) applicable to the Merger or any other transactions contemplated by the Merger Agreement under applicable antitrust laws must have expired or been terminated; (ix) the absence of a continuing “material adverse effect”, as such term is defined in the Merger Agreement, on the business, financial condition or results of operations of, respectively, (a) SomaLogic and its subsidiaries, taken as a whole or (b) Standard BioTools and its subsidiaries, taken as a whole; (x) Standard BioTools must effect the amendment to its certificate of incorporation to increase the number of authorized shares thereunder; and (xi) delivery of customary closing documents, including a customary officer certificate from each of Standard BioTools and SomaLogic, in each case, on terms further described in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(see page </w:t>
      </w:r>
      <w:hyperlink w:anchor="tNOSO">
        <w:r>
          <w:rPr>
            <w:rStyle w:val="InternetLink"/>
          </w:rPr>
          <w:t>148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Standard BioTools and SomaLogic agreed that, subject to limited exceptions, Standard BioTools and SomaLogic will not, and will cause their subsidiaries and their subsidiaries’ directors, officers and employees not to, and shall cause their respective investment bankers, attorneys, accountants and other advisors, agents and representatives of SomaLogic and Standard BioTools, not to, directly or indirectly: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solicit, initiate, induce, knowingly encourage or knowingly facilitate any inquiries or the making of any proposal or offer that constitutes, or could reasonably be expected to lead to, a Company Acquisition Proposal (as defined in the Merger Agreement) or Parent Acquisition Proposal (as defined in the Merger Agreement);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in any discussions or negotiations or cooperate in any way with any person regarding any Company Acquisition Proposal or Parent Acquisition Proposal or any inquiry, proposal or offer that could reasonably be expected to lead to a Company Acquisition Proposal or Parent Acquisition Proposal;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 any non-public information or data concerning Standard BioTools, SomaLogic or any of their subsidiaries to any person in connection with, or for the purpose of soliciting, initiating, inducing, encouraging or facilitating any Company Acquisition Proposal or Parent Acquisition Proposal or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TS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inquiry, proposal or offer that could reasonably be expected to lead to a Company Acquisition Proposal or Parent Acquisition Proposal;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or Parent Acquisition Proposal (other than an Acceptable Company Confidentiality Agreement (as defined in the Merger Agreement) entered into in accordance with the applicable provisions of the Merger Agreement;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adopt, approve, declare advisable or recommend or make any public statement approving or recommending any inquiry, proposal or offer that constitutes, or could reasonably be expected to lead to, a Company Acquisition Proposal or Parent Acquisition Proposal (including by approving any transaction, or approving any person becoming an “interested stockholder,” for purposes of Section 203 of the DGCL);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resolve, publicly propose or agree to do any of the foregoing actions.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(see page </w:t>
      </w:r>
      <w:hyperlink w:anchor="tTER">
        <w:r>
          <w:rPr>
            <w:rStyle w:val="InternetLink"/>
          </w:rPr>
          <w:t>159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under certain customary and limited circumstances at any time prior to the Closing,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Standard BioTools and SomaLogic;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Standard BioTools or SomaLogic, if (i) (a) the Merger has not been consummated by 11:59 p.m. (Eastern Time) on May 1, 2024 (the “Termination Date”), as such date may be extended in accordance with the Merger Agreement, (ii) the Merger Agreement has not been adopted by the requisite vote of the holders of SomaLogic Common Stock at the SomaLogic Special Meeting (the “SomaLogic Stockholder Approval”), (iii) the Standard BioTools Share Issuance Proposal and the Standard BioTools Charter Amendment Proposal have not been approved by the requisite vote of the holders of Standard BioTools capital stock at the Standard BioTools Special Meeting (the “Standard BioTools Stockholder Approval”), or (iv) if any applicable law, judgment or other legal restraint or binding order or determination by any governmental entity restrains, enjoins, makes illegal or otherwise prohibits the consummation of the Merger and such restraint shall have become final and non-appealable, in each of (i), (ii) and (iii) where the terminating party’s material breach of the Merger Agreement is not the cause of, or has resulted in, the failure of such condition and where the terminating party’s complied with its obligations with respect to regulatory matters under the Merger Agreement;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SomaLogic if: (i) a “Parent Change of Recommendation” ​(as such term is defined in the Merger Agreement) has occurred, the Standard BioTools Board fails to publicly reaffirm its recommendation within 10 business days after SomaLogic so requests in writing, the Standard BioTools Board fails to publicly recommend against any tender offer or exchange offer subject to Regulation 14D under the Exchange Act that constitutes one of Standard BioTools’ stockholder proposals within 10 business day of the commencement of such offer or Standard BioTools intentionally and materially breaches its no solicitation or negotiation and notice obligations as set forth in Section 5.3 of the Merger Agreement; (ii) SomaLogic, prior to obtaining the SomaLogic Stockholder Approval, in order to accept a “Company Superior Proposal” ​(as defined in the Merger Agreement), and substantially concurrently with such termination, enters into a “Company Specified Agreement” ​(as defined in the Merger Agreement), provided that SomaLogic has materially complied with the no solicitation or negotiation and notice requirements of Section 5.2 of the Merger Agreement related to such Company Superior Proposal and pays the termination fee; or (iii) Standard BioTools has materially breached or failed to perform any of its representations, warranties, covenants or agreements under the Merger Agreement, such that the Standard BioTools’ conditions to the closing of the Merger in the Merger Agreement would not be satisfied;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FSP"/>
      <w:bookmarkEnd w:id="27"/>
      <w:r>
        <w:rPr>
          <w:rFonts w:ascii="calibri;arial;sans-serif" w:hAnsi="calibri;arial;sans-serif"/>
          <w:b w:val="false"/>
          <w:i w:val="false"/>
          <w:caps w:val="false"/>
          <w:smallCaps w:val="false"/>
          <w:color w:val="000000"/>
          <w:sz w:val="16"/>
        </w:rPr>
        <w:t>​</w:t>
      </w:r>
      <w:bookmarkStart w:id="28" w:name="tRARF"/>
      <w:bookmarkEnd w:id="28"/>
      <w:r>
        <w:rPr>
          <w:rFonts w:ascii="calibri;arial;sans-serif" w:hAnsi="calibri;arial;sans-serif"/>
          <w:b w:val="false"/>
          <w:i w:val="false"/>
          <w:caps w:val="false"/>
          <w:smallCaps w:val="false"/>
          <w:color w:val="000000"/>
          <w:sz w:val="16"/>
        </w:rPr>
        <w:t>​</w:t>
      </w:r>
      <w:bookmarkStart w:id="29" w:name="tAAT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Standard BioTools if: (i) a “Company Change of Recommendation” ​(as such term is defined in the Merger Agreement) has occurred, the SomaLogic Board fails to publicly reaffirm its recommendation within 10 business days after Standard BioTools so requests in writing, the SomaLogic Board fails to publicly recommend against any tender offer or exchange offer subject to Regulation 14D under the Exchange Act that constitutes one of SomaLogic’s stockholder proposals within 10 business day of the commencement of such offer or SomaLogic intentionally and materially breaches its no solicitation or negotiation and notice obligations as set forth in Section 5.2 of the Merger Agreement; (ii) Standard BioTools, prior to obtaining the Standard BioTools Stockholder Approval, in order to accept a “Parent Superior Proposal” ​(as defined in the Merger Agreement), and substantially concurrently with such termination, enters into a “Parent Specified Agreement” ​(as defined in the Merger Agreement), provided that Standard BioTools has materially complied with the no solicitation or negotiation and notice requirements of Section 5.3 of the Merger Agreement and pays the termination fee or (iii) SomaLogic has materially breached or failed to perform any of its representations, warranties, covenants or agreements under the Merger Agreement, such that the SomaLogic’s conditions to the closing of the Merger in the Merger Agreement would not be satisfied. </w:t>
      </w:r>
      <w:r>
        <mc:AlternateContent>
          <mc:Choice Requires="wps">
            <w:drawing>
              <wp:anchor behindDoc="0" distT="0" distB="0" distL="254000" distR="0" simplePos="0" locked="0" layoutInCell="1" allowOverlap="1" relativeHeight="158">
                <wp:simplePos x="0" y="0"/>
                <wp:positionH relativeFrom="column">
                  <wp:align>left</wp:align>
                </wp:positionH>
                <wp:positionV relativeFrom="line">
                  <wp:posOffset>635</wp:posOffset>
                </wp:positionV>
                <wp:extent cx="127000" cy="350520"/>
                <wp:effectExtent l="0" t="0" r="0" b="0"/>
                <wp:wrapSquare wrapText="right"/>
                <wp:docPr id="15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(see page </w:t>
      </w:r>
      <w:hyperlink w:anchor="tTFAE">
        <w:r>
          <w:rPr>
            <w:rStyle w:val="InternetLink"/>
          </w:rPr>
          <w:t>160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a termination fee in the amount of $19,123,214, in the case of Standard BioTools, and in the amount of $17,176,173, in the case of SomaLogic, will be payable if the Merger Agreement is terminated under certain circumstances by Standard BioTools or SomaLogic, as applicable. It also provides that, under other circumstances, each party will reimburse the other party for all reasonable out of pocket fees and expenses incurred by such party in connection with the Merger Agreement and the Contemplated Transactions, up to a maximum of $2,000,000, if the Merger Agreement is terminated by Standard BioTools or SomaLogic, as applicable, under certain circumstances.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EAP">
        <w:r>
          <w:rPr>
            <w:rStyle w:val="InternetLink"/>
          </w:rPr>
          <w:t>135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consummate the Merger, SomaLogic and Standard BioTools must obtain approvals or consents from, or make filings with, the Federal Trade Commission (the “FTC”) and the Antitrust Division of the U.S. Department of Justice (the “DOJ”). Under the Hart-Scott-Rodino Antitrust Improvements Act of 1976, as amended (the “HSR Act”), the Merger cannot be consummated until, among other things, notifications have been given and certain information has been provided to the FTC and the Antitrust Division of the DOJ and all applicable waiting periods (and any extensions thereof) have expired or been terminated.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SomaLogic and Standard BioTools have made various filings and submissions for the above-referenced approvals and consents.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HSR approval condition is discussed under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EAP">
        <w:r>
          <w:rPr>
            <w:rStyle w:val="InternetLink"/>
          </w:rPr>
          <w:t>135</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Anticipated Accounting Treatment (see page </w:t>
      </w:r>
      <w:hyperlink w:anchor="tAAT">
        <w:r>
          <w:rPr>
            <w:rStyle w:val="InternetLink"/>
          </w:rPr>
          <w:t>136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expected to be accounted for as an acquisition of a business pursuant to Accounting Standards Codification (“ASC”) Topic 805, </w:t>
      </w:r>
      <w:r>
        <w:rPr>
          <w:rFonts w:ascii="Times New Roman;Times;serif" w:hAnsi="Times New Roman;Times;serif"/>
          <w:b w:val="false"/>
          <w:i/>
          <w:caps w:val="false"/>
          <w:smallCaps w:val="false"/>
          <w:color w:val="000000"/>
          <w:spacing w:val="4"/>
          <w:sz w:val="20"/>
          <w:bdr w:val="single" w:sz="8" w:space="1" w:color="000000"/>
        </w:rPr>
        <w:t>Business Combinations</w:t>
      </w:r>
      <w:r>
        <w:rPr>
          <w:rFonts w:ascii="Times New Roman;Times;serif" w:hAnsi="Times New Roman;Times;serif"/>
          <w:b w:val="false"/>
          <w:i w:val="false"/>
          <w:caps w:val="false"/>
          <w:smallCaps w:val="false"/>
          <w:color w:val="000000"/>
          <w:spacing w:val="4"/>
          <w:sz w:val="20"/>
          <w:bdr w:val="single" w:sz="8" w:space="1" w:color="00000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based on the structure and rationale of the Merger, value of consideration issued by Standard BioTools, and the anticipated members of the board of directors and senior management of the combined company.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NARS"/>
      <w:bookmarkEnd w:id="30"/>
      <w:r>
        <w:rPr>
          <w:rFonts w:ascii="calibri;arial;sans-serif" w:hAnsi="calibri;arial;sans-serif"/>
          <w:b w:val="false"/>
          <w:i w:val="false"/>
          <w:caps w:val="false"/>
          <w:smallCaps w:val="false"/>
          <w:color w:val="000000"/>
          <w:sz w:val="16"/>
        </w:rPr>
        <w:t>​</w:t>
      </w:r>
      <w:bookmarkStart w:id="31" w:name="tMUFI"/>
      <w:bookmarkEnd w:id="31"/>
      <w:r>
        <w:rPr>
          <w:rFonts w:ascii="calibri;arial;sans-serif" w:hAnsi="calibri;arial;sans-serif"/>
          <w:b w:val="false"/>
          <w:i w:val="false"/>
          <w:caps w:val="false"/>
          <w:smallCaps w:val="false"/>
          <w:color w:val="000000"/>
          <w:sz w:val="16"/>
        </w:rPr>
        <w:t>​</w:t>
      </w:r>
      <w:bookmarkStart w:id="32" w:name="tCOSR"/>
      <w:bookmarkEnd w:id="32"/>
      <w:r>
        <w:rPr>
          <w:rFonts w:ascii="calibri;arial;sans-serif" w:hAnsi="calibri;arial;sans-serif"/>
          <w:b w:val="false"/>
          <w:i w:val="false"/>
          <w:caps w:val="false"/>
          <w:smallCaps w:val="false"/>
          <w:color w:val="000000"/>
          <w:sz w:val="16"/>
        </w:rPr>
        <w:t>​</w:t>
      </w:r>
      <w:bookmarkStart w:id="33" w:name="tRFSP"/>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Standard BioTools stockholders nor SomaLogic stockholders are entitled to appraisal rights under the DGCL.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(see page </w:t>
      </w:r>
      <w:hyperlink w:anchor="tMUFI1">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Please review the information set forth in the section entitled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i/>
          <w:caps w:val="false"/>
          <w:smallCaps w:val="false"/>
          <w:color w:val="000000"/>
          <w:spacing w:val="-4"/>
          <w:sz w:val="20"/>
          <w:bdr w:val="single" w:sz="8" w:space="1" w:color="000000"/>
        </w:rPr>
        <w:t>Material U.S. Federal Income Tax Consequences</w:t>
      </w:r>
      <w:r>
        <w:rPr>
          <w:rFonts w:ascii="Times New Roman;Times;serif" w:hAnsi="Times New Roman;Times;serif"/>
          <w:b w:val="false"/>
          <w:i w:val="false"/>
          <w:caps w:val="false"/>
          <w:smallCaps w:val="false"/>
          <w:color w:val="000000"/>
          <w:spacing w:val="4"/>
          <w:sz w:val="20"/>
          <w:bdr w:val="single" w:sz="8" w:space="1" w:color="000000"/>
        </w:rPr>
        <w:t xml:space="preserve">” for a more complete description of the material U.S. federal income tax consequences of the Merger. Please consult your tax advisors as to the specific tax consequences to you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Stockholder Rights (see page </w:t>
      </w:r>
      <w:hyperlink w:anchor="tCOSR1">
        <w:r>
          <w:rPr>
            <w:rStyle w:val="InternetLink"/>
          </w:rPr>
          <w:t>186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a result of the Merger, the holders of SomaLogic Common Stock will become holders of Standard BioTools Common Stock, and their rights will be governed by the DGCL, the Standard BioTools Charter and the Standard BioTools Amended and Restated Bylaws (the “Standard BioTools Bylaws”), rather than the SomaLogic Amended and Restated Certificate of Incorporation, as amended (the “SomaLogic Charter”) and the SomaLogic Amended and Restated Bylaws (the “SomaLogic Bylaws”). Following the Merger, former SomaLogic stockholders will have different rights as Standard BioTools stockholders than they had as SomaLogic stockholders. For additional information on stockholder rights, see “</w:t>
      </w:r>
      <w:r>
        <w:rPr>
          <w:rFonts w:ascii="Times New Roman;Times;serif" w:hAnsi="Times New Roman;Times;serif"/>
          <w:b w:val="false"/>
          <w:i/>
          <w:caps w:val="false"/>
          <w:smallCaps w:val="false"/>
          <w:color w:val="000000"/>
          <w:spacing w:val="4"/>
          <w:sz w:val="20"/>
          <w:bdr w:val="single" w:sz="8" w:space="1" w:color="000000"/>
        </w:rPr>
        <w:t>Comparison of Stockholder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SR1">
        <w:r>
          <w:rPr>
            <w:rStyle w:val="InternetLink"/>
          </w:rPr>
          <w:t>186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deciding how to vote your shares of SomaLogic Common Stock or shares of Standard BioTools capital stock, you should read carefully this entire joint proxy statement/prospectus, including the documents incorporated by reference herein and the annexes and exhibits hereto, and in particular, you should read the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section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See also “</w:t>
      </w:r>
      <w:r>
        <w:rPr>
          <w:rFonts w:ascii="Times New Roman;Times;serif" w:hAnsi="Times New Roman;Times;serif"/>
          <w:b w:val="false"/>
          <w:i/>
          <w:caps w:val="false"/>
          <w:smallCaps w:val="false"/>
          <w:color w:val="000000"/>
          <w:spacing w:val="4"/>
          <w:sz w:val="20"/>
          <w:bdr w:val="single" w:sz="8" w:space="1" w:color="000000"/>
        </w:rPr>
        <w:t>Incorporation of Certain Documents by Reference</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pages </w:t>
      </w:r>
      <w:hyperlink w:anchor="tIOCD1">
        <w:r>
          <w:rPr>
            <w:rStyle w:val="InternetLink"/>
          </w:rPr>
          <w:t>206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hyperlink w:anchor="tWYCF">
        <w:r>
          <w:rPr>
            <w:rStyle w:val="InternetLink"/>
          </w:rPr>
          <w:t>208</w:t>
        </w:r>
      </w:hyperlink>
      <w:r>
        <w:rPr>
          <w:rFonts w:ascii="Times New Roman;Times;serif" w:hAnsi="Times New Roman;Times;serif"/>
          <w:b w:val="false"/>
          <w:i w:val="false"/>
          <w:caps w:val="false"/>
          <w:smallCaps w:val="false"/>
          <w:color w:val="000000"/>
          <w:spacing w:val="4"/>
          <w:sz w:val="20"/>
          <w:bdr w:val="single" w:sz="8" w:space="1" w:color="000000"/>
        </w:rPr>
        <w:t>, respectively, of this joint proxy statement/prospectus.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SSBA"/>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STANDARD BIOTOOLS AND SOMALOGIC UNAUDITED PRO FORMA</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CONDENSED COMBINED FINANCIAL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selected unaudited pro forma condensed combined financial data (the “selected pro forma data”) give effect to the Merger. The selected unaudited pro forma combined statements of operations and comprehensive loss for the year ended December 31, 2022 and the nine months ended September 30, 2023 give effect to the Merger under the acquisition method of accounting, as if the Merger had occurred on January 1, 2022. The selected unaudited pro forma combined balance sheet as of September 30, 2023 gives effect to the Merger under the acquisition method of accounting, as if the Merger had occurred on September 30, 2023, assuming each outstanding share of SomaLogic Common Stock, SomaLogic RSUs and SomaLogic Stock Options had become Standard BioTools Common Stock, Standard BioTools RSUs or Standard BioTools Stock Options, respectively, based on the Exchange Ratio.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consolidated financial information has been adjusted in the selected pro forma data to give effect to pro forma events that are (i) directly attributable to the Merger, (ii) factually supportable and (iii) with respect to the statements of operations and comprehensive loss, expected to have a continuing impact on Standard BioTools’ results after the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selected pro forma data have been derived from, and should be read in conjunction with, the more detailed unaudited pro forma combined financial information of Standard BioTools following the Merger appearing elsewhere in this joint proxy statement/prospectus and the accompanying notes to the unaudited pro forma combined financial information.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163</w:t>
        </w:r>
      </w:hyperlink>
      <w:r>
        <w:rPr>
          <w:rFonts w:ascii="Times New Roman;Times;serif" w:hAnsi="Times New Roman;Times;serif"/>
          <w:b w:val="false"/>
          <w:i w:val="false"/>
          <w:caps w:val="false"/>
          <w:smallCaps w:val="false"/>
          <w:color w:val="000000"/>
          <w:spacing w:val="4"/>
          <w:sz w:val="20"/>
        </w:rPr>
        <w:t xml:space="preserve"> of this joint proxy statement/prospectus. In addition, the selected pro forma data were based on, and should be read in conjunction with, the following historical consolidated financial statements and accompanying notes, which are incorporated by reference into this joint proxy statement/prospectus: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historical consolidated financial statements of Standard BioTools as of, and for the year ended and nine months ended, December 31, 2022 and September 30, 2023, respectively, and the related notes included in Standard BioTools’ Quarterly Report on Form 10-Q for the quarterly period ended September 30, 2023 and Standard BioTools’ Annual Report on Form 10-K for the year ended December 31, 2022; and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historical consolidated financial statements of SomaLogic as of, and for the year ended and nine months ended, December 31, 2022 and September 30, 2023, respectively, and the related notes included in SomaLogic’s Quarterly Report on Form 10-Q for the quarterly period ended September 30, 2023 and SomaLogic’s Annual Report on Form 10-K for the year ended December 31, 2022.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selected pro forma data have been prepared by Standard BioTools using the acquisition method of accounting in accordance with the Financial Accounting Standards Board and ASC 805 and uses the fair value concepts defined in 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(“ASC 820”). Standard BioTools has been treated as the acquirer in the Merger for accounting purposes. Acquisition accounting requires, among other things, that assets acquired and liabilities assumed be recognized at their fair values as of the acquisition date. Fair value measurements recorded in acquisition accounting are dependent upon certain valuation studies of SomaLogic’s assets and liabilities and other studies that have yet to commence or progress to a stage where there is sufficient information for a definitive measurement. Accordingly, the pro forma adjustments reflect the assets and liabilities of SomaLogic at their preliminary estimated fair values which use assumptions that Standard BioTools believes are reasonable based on information that is currently available to it. Differences between these preliminary estimates and the final acquisition accounting will occur, and those differences could have a material impact on the selected pro forma data. The pro forma adjustments are preliminary and have been made solely for the purpose of providing unaudited pro forma condensed combined financial information prepared in accordance with the rules and regulations of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pro forma data have been presented for informational purposes only. The selected pro forma data do not purport to represent the actual results of operations that Standard BioTools and SomaLogic would have achieved had the companies been combined during the periods presented in the selected financial data and is not intended to project the future results of operations that Standard BioTools may achieve after the Merger is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pro forma data do not reflect any cost savings that may be realized as a result of the Merger and also do not reflect any restructuring or integration-related costs to achieve those potential cost savings.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below are presented in thousands, except per share amounts.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Unaudited Pro Forma Condensed Combined Balance Sheet Data as of September 30, 2023</w:t>
      </w:r>
      <w:r>
        <w:rPr>
          <w:rFonts w:ascii="Times New Roman;Times;serif" w:hAnsi="Times New Roman;Times;serif"/>
          <w:b/>
          <w:i w:val="false"/>
          <w:caps w:val="false"/>
          <w:smallCaps w:val="false"/>
          <w:color w:val="000000"/>
          <w:spacing w:val="4"/>
          <w:sz w:val="20"/>
        </w:rPr>
        <w:t xml:space="preserve"> </w:t>
      </w:r>
    </w:p>
    <w:tbl>
      <w:tblPr>
        <w:tblW w:w="6566" w:type="dxa"/>
        <w:jc w:val="left"/>
        <w:tblInd w:w="1393" w:type="dxa"/>
        <w:tblLayout w:type="fixed"/>
        <w:tblCellMar>
          <w:top w:w="0" w:type="dxa"/>
          <w:left w:w="0" w:type="dxa"/>
          <w:bottom w:w="43" w:type="dxa"/>
          <w:right w:w="0" w:type="dxa"/>
        </w:tblCellMar>
      </w:tblPr>
      <w:tblGrid>
        <w:gridCol w:w="4112"/>
        <w:gridCol w:w="109"/>
        <w:gridCol w:w="109"/>
        <w:gridCol w:w="170"/>
        <w:gridCol w:w="353"/>
        <w:gridCol w:w="1386"/>
        <w:gridCol w:w="173"/>
        <w:gridCol w:w="154"/>
      </w:tblGrid>
      <w:tr>
        <w:trPr/>
        <w:tc>
          <w:tcPr>
            <w:tcW w:w="4112" w:type="dxa"/>
            <w:tcBorders>
              <w:bottom w:val="single" w:sz="2" w:space="0" w:color="FFFFFF"/>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2" w:type="dxa"/>
            <w:gridSpan w:val="4"/>
            <w:tcBorders>
              <w:bottom w:val="single" w:sz="2" w:space="0" w:color="000000"/>
            </w:tcBorders>
            <w:vAlign w:val="center"/>
          </w:tcPr>
          <w:p>
            <w:pPr>
              <w:pStyle w:val="TableContents"/>
              <w:bidi w:val="0"/>
              <w:spacing w:before="0" w:after="0"/>
              <w:jc w:val="center"/>
              <w:rPr/>
            </w:pPr>
            <w:r>
              <w:rPr>
                <w:spacing w:val="-3"/>
              </w:rPr>
              <w:t xml:space="preserve">As of September 30, </w:t>
            </w:r>
            <w:r>
              <w:rPr/>
              <w:br/>
            </w: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283"/>
              <w:jc w:val="left"/>
              <w:rPr/>
            </w:pPr>
            <w:r>
              <w:rPr>
                <w:spacing w:val="-4"/>
              </w:rPr>
              <w:t>Pro Forma Combined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12"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 xml:space="preserve">890,029 </w:t>
            </w:r>
          </w:p>
        </w:tc>
        <w:tc>
          <w:tcPr>
            <w:tcW w:w="17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 xml:space="preserve">241,221 </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12" w:type="dxa"/>
            <w:tcBorders/>
            <w:tcMar>
              <w:bottom w:w="0" w:type="dxa"/>
            </w:tcMar>
            <w:vAlign w:val="center"/>
          </w:tcPr>
          <w:p>
            <w:pPr>
              <w:pStyle w:val="TableContents"/>
              <w:bidi w:val="0"/>
              <w:spacing w:before="0" w:after="0"/>
              <w:jc w:val="left"/>
              <w:rPr/>
            </w:pPr>
            <w:r>
              <w:rPr>
                <w:spacing w:val="4"/>
              </w:rPr>
              <w:t>Total Mezzanine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311,253</w:t>
            </w:r>
          </w:p>
        </w:tc>
        <w:tc>
          <w:tcPr>
            <w:tcW w:w="17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337,555</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Unaudited Pro Forma Condensed Combined Statement of Operations Data for the Nine Months Ended September 30, 2023 and the Year Ended December 31, 2022</w:t>
      </w:r>
      <w:r>
        <w:rPr>
          <w:rFonts w:ascii="Times New Roman;Times;serif" w:hAnsi="Times New Roman;Times;serif"/>
          <w:b/>
          <w:i w:val="false"/>
          <w:caps w:val="false"/>
          <w:smallCaps w:val="false"/>
          <w:color w:val="000000"/>
          <w:spacing w:val="4"/>
          <w:sz w:val="20"/>
        </w:rPr>
        <w:t xml:space="preserve"> </w:t>
      </w:r>
    </w:p>
    <w:tbl>
      <w:tblPr>
        <w:tblW w:w="8680" w:type="dxa"/>
        <w:jc w:val="left"/>
        <w:tblInd w:w="1393" w:type="dxa"/>
        <w:tblLayout w:type="fixed"/>
        <w:tblCellMar>
          <w:top w:w="0" w:type="dxa"/>
          <w:left w:w="0" w:type="dxa"/>
          <w:bottom w:w="43" w:type="dxa"/>
          <w:right w:w="0" w:type="dxa"/>
        </w:tblCellMar>
      </w:tblPr>
      <w:tblGrid>
        <w:gridCol w:w="5010"/>
        <w:gridCol w:w="109"/>
        <w:gridCol w:w="109"/>
        <w:gridCol w:w="109"/>
        <w:gridCol w:w="226"/>
        <w:gridCol w:w="1096"/>
        <w:gridCol w:w="109"/>
        <w:gridCol w:w="109"/>
        <w:gridCol w:w="109"/>
        <w:gridCol w:w="109"/>
        <w:gridCol w:w="226"/>
        <w:gridCol w:w="1096"/>
        <w:gridCol w:w="109"/>
        <w:gridCol w:w="154"/>
      </w:tblGrid>
      <w:tr>
        <w:trPr/>
        <w:tc>
          <w:tcPr>
            <w:tcW w:w="5010"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0" w:type="dxa"/>
            <w:gridSpan w:val="4"/>
            <w:tcBorders>
              <w:bottom w:val="single" w:sz="2" w:space="0" w:color="000000"/>
            </w:tcBorders>
            <w:vAlign w:val="center"/>
          </w:tcPr>
          <w:p>
            <w:pPr>
              <w:pStyle w:val="TableContents"/>
              <w:bidi w:val="0"/>
              <w:spacing w:before="0" w:after="0"/>
              <w:jc w:val="center"/>
              <w:rPr/>
            </w:pPr>
            <w:r>
              <w:rPr>
                <w:spacing w:val="-3"/>
              </w:rPr>
              <w:t xml:space="preserve">Nine Months </w:t>
            </w:r>
            <w:r>
              <w:rPr/>
              <w:br/>
            </w:r>
            <w:r>
              <w:rPr>
                <w:spacing w:val="-3"/>
              </w:rPr>
              <w:t>Ended</w:t>
            </w:r>
            <w:r>
              <w:rPr/>
              <w:t xml:space="preserve"> </w:t>
              <w:br/>
            </w:r>
            <w:r>
              <w:rPr>
                <w:spacing w:val="-3"/>
              </w:rPr>
              <w:t xml:space="preserve">September 30, </w:t>
            </w:r>
            <w:r>
              <w:rPr/>
              <w:br/>
            </w:r>
            <w:r>
              <w:rPr>
                <w:spacing w:val="-3"/>
              </w:rPr>
              <w:t xml:space="preserve">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0"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r>
              <w:rPr/>
              <w:br/>
            </w:r>
            <w:r>
              <w:rPr>
                <w:spacing w:val="-3"/>
              </w:rPr>
              <w:t xml:space="preserve">2022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283"/>
              <w:jc w:val="left"/>
              <w:rPr/>
            </w:pPr>
            <w:r>
              <w:rPr>
                <w:spacing w:val="-4"/>
              </w:rPr>
              <w:t>Pro Forma Combined Statement of Operations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141,047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195,614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0"/>
              <w:jc w:val="left"/>
              <w:rPr/>
            </w:pPr>
            <w:r>
              <w:rPr>
                <w:spacing w:val="4"/>
              </w:rPr>
              <w:t>Operating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 xml:space="preserve">(145,966)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 xml:space="preserve">(282,608)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pPr>
            <w:r>
              <w:rPr>
                <w:spacing w:val="4"/>
              </w:rPr>
              <w:t>Net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 xml:space="preserve">(129,289)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 xml:space="preserve">(293,987)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Per Share, 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 xml:space="preserve">(1.02)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Net Loss Per Share,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 xml:space="preserve">(0.45)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HAU"/>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HISTORICAL AND UNAUDITED PRO FORMA PER SHARE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selected historical and unaudited pro forma combined per share information for Standard BioTools and SomaLogic.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Historical Per Share Information of Standard BioTools and SomaLogic</w:t>
      </w:r>
      <w:r>
        <w:rPr>
          <w:rFonts w:ascii="Times New Roman;Times;serif" w:hAnsi="Times New Roman;Times;serif"/>
          <w:b w:val="false"/>
          <w:i w:val="false"/>
          <w:caps w:val="false"/>
          <w:smallCaps w:val="false"/>
          <w:color w:val="000000"/>
          <w:spacing w:val="4"/>
          <w:sz w:val="20"/>
        </w:rPr>
        <w:t xml:space="preserve">.   The historical per share information of each of Standard BioTools and SomaLogic below is derived from the audited consolidated financial statements of each of Standard BioTools and SomaLogic as of, and for the year ended, December 31, 2022 and the unaudited condensed consolidated financial statements of each of Standard BioTools and SomaLogic as of, and for the nine months ended, September 30,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Unaudited Pro Forma Combined per Share Data of Standard BioTools</w:t>
      </w:r>
      <w:r>
        <w:rPr>
          <w:rFonts w:ascii="Times New Roman;Times;serif" w:hAnsi="Times New Roman;Times;serif"/>
          <w:b w:val="false"/>
          <w:i w:val="false"/>
          <w:caps w:val="false"/>
          <w:smallCaps w:val="false"/>
          <w:color w:val="000000"/>
          <w:spacing w:val="4"/>
          <w:sz w:val="20"/>
        </w:rPr>
        <w:t xml:space="preserve">.   The unaudited pro forma combined per share data of Standard BioTools set forth below gives effect to the Merger under the acquisition method of accounting, as if the Merger had been effective on January 1, 2022, the first day of Standard BioTools’ fiscal year ended December 31, 2022, in the case of net loss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per share data of Standard BioTools is derived from the audited consolidated financial statements of each of Standard BioTools and SomaLogic as of, and for the year ended, December 31, 2022, and the unaudited condensed consolidated financial statements of each of Standard BioTools and SomaLogic as of, and for the nine months ended, September 30,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method of accounting is based on Financial Accounting Standards Board and ASC 805 and uses the fair value concepts defined in ASC 820. Acquisition accounting requires, among other things, that assets acquired and liabilities assumed be recognized at their fair values as of the acquisition date. Fair value measurements recorded in acquisition accounting are dependent upon certain valuation studies of SomaLogic’s assets and liabilities and other studies that have yet to progress to a stage where there is sufficient information for a definitive measurement. Accordingly, the pro forma adjustments reflect the assets and liabilities of SomaLogic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per share data of Standard BioTools does not purport to represent the actual results of operations that Standard BioTools would have achieved had the companies been combined during these periods or to project the future results of operations that Standard BioTools may achieve after consummation of the Merger. </w:t>
      </w:r>
    </w:p>
    <w:p>
      <w:pPr>
        <w:pStyle w:val="TextBody"/>
        <w:bidi w:val="0"/>
        <w:spacing w:lineRule="atLeast" w:line="240" w:before="160" w:after="283"/>
        <w:ind w:left="1393" w:right="0" w:firstLine="400"/>
        <w:jc w:val="left"/>
        <w:rPr/>
      </w:pPr>
      <w:r>
        <w:rPr>
          <w:rFonts w:ascii="Times New Roman;Times;serif" w:hAnsi="Times New Roman;Times;serif"/>
          <w:b/>
          <w:i/>
          <w:caps w:val="false"/>
          <w:smallCaps w:val="false"/>
          <w:color w:val="000000"/>
          <w:spacing w:val="-4"/>
          <w:sz w:val="20"/>
        </w:rPr>
        <w:t>Generally</w:t>
      </w:r>
      <w:r>
        <w:rPr>
          <w:rFonts w:ascii="Times New Roman;Times;serif" w:hAnsi="Times New Roman;Times;serif"/>
          <w:b w:val="false"/>
          <w:i w:val="false"/>
          <w:caps w:val="false"/>
          <w:smallCaps w:val="false"/>
          <w:color w:val="000000"/>
          <w:spacing w:val="4"/>
          <w:sz w:val="20"/>
        </w:rPr>
        <w:t>.   You should read the below information in conjunction with the historical consolidated financial statements of Standard BioTools and SomaLogic and related notes that have been filed with the SEC, certain of which are incorporated by reference into this joint proxy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xml:space="preserve"> of this joint proxy statement/prospectus. The unaudited pro forma combined per share data of Standard BioTools is derived from, and should be read in conjunction with, the Standard BioTools and SomaLogic unaudited pro forma condensed combined financial statements and related notes included in this joint proxy statement/prospectus.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09"/>
        <w:gridCol w:w="109"/>
        <w:gridCol w:w="109"/>
        <w:gridCol w:w="109"/>
        <w:gridCol w:w="226"/>
        <w:gridCol w:w="637"/>
        <w:gridCol w:w="109"/>
        <w:gridCol w:w="109"/>
        <w:gridCol w:w="109"/>
        <w:gridCol w:w="122"/>
        <w:gridCol w:w="256"/>
        <w:gridCol w:w="696"/>
        <w:gridCol w:w="124"/>
        <w:gridCol w:w="109"/>
        <w:gridCol w:w="109"/>
        <w:gridCol w:w="109"/>
        <w:gridCol w:w="226"/>
        <w:gridCol w:w="637"/>
        <w:gridCol w:w="109"/>
        <w:gridCol w:w="109"/>
        <w:gridCol w:w="109"/>
        <w:gridCol w:w="110"/>
        <w:gridCol w:w="228"/>
        <w:gridCol w:w="662"/>
        <w:gridCol w:w="110"/>
        <w:gridCol w:w="161"/>
      </w:tblGrid>
      <w:tr>
        <w:trPr/>
        <w:tc>
          <w:tcPr>
            <w:tcW w:w="3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9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SomaLogic, Inc.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Standard BioTools Inc.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Pro Forma</w:t>
            </w:r>
            <w:r>
              <w:rPr/>
              <w:t xml:space="preserve"> </w:t>
              <w:br/>
            </w:r>
            <w:r>
              <w:rPr>
                <w:spacing w:val="-3"/>
              </w:rPr>
              <w:t>Equivalent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283"/>
              <w:jc w:val="left"/>
              <w:rPr/>
            </w:pPr>
            <w:r>
              <w:rPr>
                <w:spacing w:val="-4"/>
              </w:rPr>
              <w:t>Net loss per share attributable to common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283"/>
              <w:jc w:val="left"/>
              <w:rPr/>
            </w:pPr>
            <w:r>
              <w:rPr>
                <w:spacing w:val="4"/>
              </w:rPr>
              <w:t>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Nine Months Ended 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(0.50)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(0.45)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0"/>
              <w:ind w:left="200" w:right="0" w:hanging="0"/>
              <w:jc w:val="left"/>
              <w:rPr>
                <w:spacing w:val="4"/>
              </w:rPr>
            </w:pPr>
            <w:r>
              <w:rPr>
                <w:spacing w:val="4"/>
              </w:rPr>
              <w:t xml:space="preserve">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(1.13)</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(1.02)</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283"/>
              <w:jc w:val="left"/>
              <w:rPr/>
            </w:pPr>
            <w:r>
              <w:rPr>
                <w:spacing w:val="4"/>
              </w:rPr>
              <w:t>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0"/>
              <w:ind w:left="200" w:right="0" w:hanging="0"/>
              <w:jc w:val="left"/>
              <w:rPr>
                <w:spacing w:val="4"/>
              </w:rPr>
            </w:pPr>
            <w:r>
              <w:rPr>
                <w:spacing w:val="4"/>
              </w:rPr>
              <w:t xml:space="preserve">Nine Months Ended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(0.50)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(0.45)</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Year Ended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(1.13)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(1.02)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283"/>
              <w:jc w:val="left"/>
              <w:rPr/>
            </w:pPr>
            <w:r>
              <w:rPr>
                <w:spacing w:val="-4"/>
              </w:rPr>
              <w:t>Book Value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 xml:space="preserve">2.50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2.25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by multiplying the unaudited pro forma combined per share amounts by the Exchange Ratio of 1.11. </w:t>
      </w:r>
      <w:r>
        <mc:AlternateContent>
          <mc:Choice Requires="wps">
            <w:drawing>
              <wp:anchor behindDoc="0" distT="1016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8"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PSM"/>
      <w:bookmarkEnd w:id="36"/>
      <w:r>
        <w:rPr>
          <w:rFonts w:ascii="calibri;arial;sans-serif" w:hAnsi="calibri;arial;sans-serif"/>
          <w:b w:val="false"/>
          <w:i w:val="false"/>
          <w:caps w:val="false"/>
          <w:smallCaps w:val="false"/>
          <w:color w:val="000000"/>
          <w:sz w:val="16"/>
        </w:rPr>
        <w:t>​</w:t>
      </w:r>
      <w:bookmarkStart w:id="37" w:name="tMAPR"/>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AND 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trading market of Standard BioTools Common Stock is The Nasdaq Global Select Market and the principal trading market of SomaLogic Common Stock is The Nasdaq Capital Market. The following table sets forth, for the calendar periods indicated, the high and low sales prices per share of Standard BioTools Common Stock and per share of SomaLogic Common Stock as reported by The Nasdaq Global Select Market and The Nasdaq Capital Market, respectively. Standard BioTools Common Stock is traded under the symbol “LAB,” and SomaLogic Common Stock is traded under the symbol “SLGC.” </w:t>
      </w:r>
    </w:p>
    <w:tbl>
      <w:tblPr>
        <w:tblW w:w="8812" w:type="dxa"/>
        <w:jc w:val="left"/>
        <w:tblInd w:w="1393" w:type="dxa"/>
        <w:tblLayout w:type="fixed"/>
        <w:tblCellMar>
          <w:top w:w="0" w:type="dxa"/>
          <w:left w:w="0" w:type="dxa"/>
          <w:bottom w:w="28" w:type="dxa"/>
          <w:right w:w="0" w:type="dxa"/>
        </w:tblCellMar>
      </w:tblPr>
      <w:tblGrid>
        <w:gridCol w:w="3666"/>
        <w:gridCol w:w="109"/>
        <w:gridCol w:w="109"/>
        <w:gridCol w:w="109"/>
        <w:gridCol w:w="226"/>
        <w:gridCol w:w="526"/>
        <w:gridCol w:w="109"/>
        <w:gridCol w:w="109"/>
        <w:gridCol w:w="109"/>
        <w:gridCol w:w="109"/>
        <w:gridCol w:w="226"/>
        <w:gridCol w:w="526"/>
        <w:gridCol w:w="109"/>
        <w:gridCol w:w="109"/>
        <w:gridCol w:w="109"/>
        <w:gridCol w:w="109"/>
        <w:gridCol w:w="226"/>
        <w:gridCol w:w="646"/>
        <w:gridCol w:w="109"/>
        <w:gridCol w:w="109"/>
        <w:gridCol w:w="109"/>
        <w:gridCol w:w="109"/>
        <w:gridCol w:w="226"/>
        <w:gridCol w:w="646"/>
        <w:gridCol w:w="109"/>
        <w:gridCol w:w="154"/>
      </w:tblGrid>
      <w:tr>
        <w:trPr/>
        <w:tc>
          <w:tcPr>
            <w:tcW w:w="36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BioTools </w:t>
            </w:r>
            <w:r>
              <w:rPr/>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SomaLogic </w:t>
            </w:r>
            <w:r>
              <w:rPr/>
              <w:br/>
            </w:r>
            <w:r>
              <w:rPr>
                <w:spacing w:val="-3"/>
              </w:rPr>
              <w:t xml:space="preserve">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283"/>
              <w:jc w:val="left"/>
              <w:rPr/>
            </w:pPr>
            <w:r>
              <w:rPr>
                <w:spacing w:val="-4"/>
              </w:rPr>
              <w:t>2021: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pPr>
            <w:r>
              <w:rPr>
                <w:spacing w:val="4"/>
              </w:rPr>
              <w:t>Second Quarter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283"/>
              <w:jc w:val="left"/>
              <w:rPr/>
            </w:pPr>
            <w:r>
              <w:rPr>
                <w:spacing w:val="-4"/>
              </w:rPr>
              <w:t>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283"/>
              <w:jc w:val="left"/>
              <w:rPr/>
            </w:pPr>
            <w:r>
              <w:rPr>
                <w:spacing w:val="-4"/>
              </w:rPr>
              <w:t>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(through October 15,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August 23, 2021 with respect to SomaLogic Common Stock. </w:t>
      </w:r>
      <w:r>
        <mc:AlternateContent>
          <mc:Choice Requires="wps">
            <w:drawing>
              <wp:anchor behindDoc="0" distT="10287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9"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prices per share of Standard BioTools Common Stock and per share of SomaLogic Common Stock as reported on The Nasdaq Global Select Market and The Nasdaq Capital Market, respectively, as of October 3, 2023, the last trading day before the public announcement of the Merger Agreement, and as of         , the latest practicable date before the filing of this joint proxy statement/prospectus. The table also shows the implied value of the merger consideration payable per share of SomaLogic Common Stock pursuant to the Merger Agreement on each of the dates, which has been determined by multiplying the closing price of a share of Standard BioTools Common Stock on each of the dates by the Exchange Ratio of 1.11. </w:t>
      </w:r>
    </w:p>
    <w:tbl>
      <w:tblPr>
        <w:tblW w:w="6325" w:type="dxa"/>
        <w:jc w:val="left"/>
        <w:tblInd w:w="1393" w:type="dxa"/>
        <w:tblLayout w:type="fixed"/>
        <w:tblCellMar>
          <w:top w:w="0" w:type="dxa"/>
          <w:left w:w="0" w:type="dxa"/>
          <w:bottom w:w="28" w:type="dxa"/>
          <w:right w:w="0" w:type="dxa"/>
        </w:tblCellMar>
      </w:tblPr>
      <w:tblGrid>
        <w:gridCol w:w="1766"/>
        <w:gridCol w:w="109"/>
        <w:gridCol w:w="109"/>
        <w:gridCol w:w="115"/>
        <w:gridCol w:w="240"/>
        <w:gridCol w:w="561"/>
        <w:gridCol w:w="117"/>
        <w:gridCol w:w="109"/>
        <w:gridCol w:w="109"/>
        <w:gridCol w:w="138"/>
        <w:gridCol w:w="287"/>
        <w:gridCol w:w="670"/>
        <w:gridCol w:w="139"/>
        <w:gridCol w:w="109"/>
        <w:gridCol w:w="109"/>
        <w:gridCol w:w="166"/>
        <w:gridCol w:w="345"/>
        <w:gridCol w:w="805"/>
        <w:gridCol w:w="168"/>
        <w:gridCol w:w="154"/>
      </w:tblGrid>
      <w:tr>
        <w:trPr/>
        <w:tc>
          <w:tcPr>
            <w:tcW w:w="17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SomaLogic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Value </w:t>
            </w:r>
            <w:r>
              <w:rPr/>
              <w:br/>
            </w:r>
            <w:r>
              <w:rPr>
                <w:spacing w:val="-3"/>
              </w:rPr>
              <w:t xml:space="preserve">of Merger </w:t>
            </w:r>
            <w:r>
              <w:rPr/>
              <w:br/>
            </w:r>
            <w:r>
              <w:rPr>
                <w:spacing w:val="-3"/>
              </w:rPr>
              <w:t xml:space="preserve">Consideration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66" w:type="dxa"/>
            <w:tcBorders/>
            <w:shd w:fill="CCEEFF" w:val="clear"/>
            <w:tcMar>
              <w:bottom w:w="0" w:type="dxa"/>
            </w:tcMar>
            <w:vAlign w:val="center"/>
          </w:tcPr>
          <w:p>
            <w:pPr>
              <w:pStyle w:val="TableContents"/>
              <w:bidi w:val="0"/>
              <w:spacing w:before="0" w:after="0"/>
              <w:jc w:val="left"/>
              <w:rPr>
                <w:spacing w:val="4"/>
              </w:rPr>
            </w:pPr>
            <w:r>
              <w:rPr>
                <w:spacing w:val="4"/>
              </w:rPr>
              <w:t xml:space="preserve">October 3,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561" w:type="dxa"/>
            <w:tcBorders/>
            <w:shd w:fill="CCEEFF" w:val="clear"/>
            <w:tcMar>
              <w:bottom w:w="0" w:type="dxa"/>
            </w:tcMar>
            <w:vAlign w:val="center"/>
          </w:tcPr>
          <w:p>
            <w:pPr>
              <w:pStyle w:val="TableContents"/>
              <w:bidi w:val="0"/>
              <w:spacing w:before="0" w:after="283"/>
              <w:jc w:val="right"/>
              <w:rPr/>
            </w:pPr>
            <w:r>
              <w:rPr/>
              <w:t>2.70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670" w:type="dxa"/>
            <w:tcBorders/>
            <w:shd w:fill="CCEEFF" w:val="clear"/>
            <w:tcMar>
              <w:bottom w:w="0" w:type="dxa"/>
            </w:tcMar>
            <w:vAlign w:val="center"/>
          </w:tcPr>
          <w:p>
            <w:pPr>
              <w:pStyle w:val="TableContents"/>
              <w:bidi w:val="0"/>
              <w:spacing w:before="0" w:after="283"/>
              <w:jc w:val="right"/>
              <w:rPr/>
            </w:pPr>
            <w:r>
              <w:rPr/>
              <w:t>2.30</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345" w:type="dxa"/>
            <w:tcBorders/>
            <w:shd w:fill="CCEEFF" w:val="clear"/>
            <w:tcMar>
              <w:bottom w:w="0" w:type="dxa"/>
            </w:tcMar>
            <w:vAlign w:val="center"/>
          </w:tcPr>
          <w:p>
            <w:pPr>
              <w:pStyle w:val="TableContents"/>
              <w:bidi w:val="0"/>
              <w:spacing w:before="0" w:after="283"/>
              <w:jc w:val="right"/>
              <w:rPr/>
            </w:pPr>
            <w:r>
              <w:rPr/>
              <w:t>$</w:t>
            </w:r>
          </w:p>
        </w:tc>
        <w:tc>
          <w:tcPr>
            <w:tcW w:w="805" w:type="dxa"/>
            <w:tcBorders/>
            <w:shd w:fill="CCEEFF" w:val="clear"/>
            <w:tcMar>
              <w:bottom w:w="0" w:type="dxa"/>
            </w:tcMar>
            <w:vAlign w:val="center"/>
          </w:tcPr>
          <w:p>
            <w:pPr>
              <w:pStyle w:val="TableContents"/>
              <w:bidi w:val="0"/>
              <w:spacing w:before="0" w:after="283"/>
              <w:jc w:val="right"/>
              <w:rPr/>
            </w:pPr>
            <w:r>
              <w:rPr/>
              <w:t>3.00</w:t>
            </w:r>
          </w:p>
        </w:tc>
        <w:tc>
          <w:tcPr>
            <w:tcW w:w="16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561" w:type="dxa"/>
            <w:tcBorders/>
            <w:tcMar>
              <w:bottom w:w="0" w:type="dxa"/>
            </w:tcMar>
            <w:vAlign w:val="center"/>
          </w:tcPr>
          <w:p>
            <w:pPr>
              <w:pStyle w:val="TableContents"/>
              <w:bidi w:val="0"/>
              <w:spacing w:before="0" w:after="283"/>
              <w:jc w:val="left"/>
              <w:rPr>
                <w:sz w:val="4"/>
                <w:szCs w:val="4"/>
              </w:rPr>
            </w:pPr>
            <w:r>
              <w:rPr>
                <w:sz w:val="4"/>
                <w:szCs w:val="4"/>
              </w:rPr>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670" w:type="dxa"/>
            <w:tcBorders/>
            <w:tcMar>
              <w:bottom w:w="0" w:type="dxa"/>
            </w:tcMar>
            <w:vAlign w:val="center"/>
          </w:tcPr>
          <w:p>
            <w:pPr>
              <w:pStyle w:val="TableContents"/>
              <w:bidi w:val="0"/>
              <w:spacing w:before="0" w:after="283"/>
              <w:jc w:val="left"/>
              <w:rPr>
                <w:sz w:val="4"/>
                <w:szCs w:val="4"/>
              </w:rPr>
            </w:pPr>
            <w:r>
              <w:rPr>
                <w:sz w:val="4"/>
                <w:szCs w:val="4"/>
              </w:rPr>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345" w:type="dxa"/>
            <w:tcBorders/>
            <w:tcMar>
              <w:bottom w:w="0" w:type="dxa"/>
            </w:tcMar>
            <w:vAlign w:val="center"/>
          </w:tcPr>
          <w:p>
            <w:pPr>
              <w:pStyle w:val="TableContents"/>
              <w:bidi w:val="0"/>
              <w:spacing w:before="0" w:after="283"/>
              <w:jc w:val="right"/>
              <w:rPr/>
            </w:pPr>
            <w:r>
              <w:rPr/>
              <w:t>$</w:t>
            </w:r>
          </w:p>
        </w:tc>
        <w:tc>
          <w:tcPr>
            <w:tcW w:w="805" w:type="dxa"/>
            <w:tcBorders/>
            <w:tcMar>
              <w:bottom w:w="0" w:type="dxa"/>
            </w:tcMar>
            <w:vAlign w:val="center"/>
          </w:tcPr>
          <w:p>
            <w:pPr>
              <w:pStyle w:val="TableContents"/>
              <w:bidi w:val="0"/>
              <w:spacing w:before="0" w:after="283"/>
              <w:jc w:val="right"/>
              <w:rPr/>
            </w:pPr>
            <w:r>
              <w:rPr/>
              <w:t>​</w:t>
            </w:r>
          </w:p>
        </w:tc>
        <w:tc>
          <w:tcPr>
            <w:tcW w:w="16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prices of Standard BioTools Common Stock and SomaLogic Common Stock have fluctuated since the date of the announcement of the Merger Agreement and will continue to fluctuate from the date of this joint proxy statement/prospectus to the date of the Standard BioTools Special Meeting and the SomaLogic Special Meeting and the date the Merger is consummated and thereafter. No assurance can be given concerning the market prices of Standard BioTools Common Stock or SomaLogic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HOL"/>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before consummation of the Merger or the market price of Standard BioTools Common Stock after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5:00 p.m. U.S. Eastern Time on the Standard BioTools Record Date,         shares of Standard BioTools Common Stock, held by         holders of record, and         shares of Series B Preferred Stock, held by         holders of record, were outstanding and entitled to vote at the Standard BioTools Special Meeting. As of 5:00 p.m. U.S. Eastern Time on the SomaLogic Record Date,         shares of SomaLogic Common Stock, held by         holders of record, were outstanding and entitled to vote at the SomaLogic Special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RIFA"/>
      <w:bookmarkEnd w:id="39"/>
      <w:r>
        <w:rPr>
          <w:rFonts w:ascii="calibri;arial;sans-serif" w:hAnsi="calibri;arial;sans-serif"/>
          <w:b w:val="false"/>
          <w:i w:val="false"/>
          <w:caps w:val="false"/>
          <w:smallCaps w:val="false"/>
          <w:color w:val="000000"/>
          <w:sz w:val="16"/>
        </w:rPr>
        <w:t>​</w:t>
      </w:r>
      <w:bookmarkStart w:id="40" w:name="tRRTT"/>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prospectus, including the matters addressed under “Cautionary Statement Regarding Forward-Looking Statements” of this joint proxy statement/prospectus, Standard BioTools stockholders should carefully consider the following risks in deciding whether to vote for the approval of the Standard BioTools Proposals, and SomaLogic stockholders should carefully consider the following risks in deciding whether to vote for the approval of the SomaLogic Proposals. Descriptions of some of these risks can be found in the Annual Report for Standard BioTools on Form 10-K for the year ended December 31, 2022, the Quarterly Report for Standard BioTools on Form 10-Q for the quarter ended September 30, 2023, the Annual Report for SomaLogic on Form 10-K for the year ended December 31, 2022 and the Quarterly Reports for SomaLogic on Form 10-Q for the quarters ended June 30, 2023 and September 30, 2023, and any amendments thereto, as such risks may be updated or supplemented in each company’s subsequently filed Quarterly Reports on Form 10-Q or Current Reports on Form 8-K, and other filings with the SEC from time to time, which are incorporated by reference into this joint proxy statement/prospectus. You should read carefully this entire joint proxy statement/prospectus and its annexes and exhibits and the other documents incorporated by reference into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See also “Incorporation of Certain Documents by Reference” and “Where You Can Find More Information” beginning on pages </w:t>
      </w:r>
      <w:hyperlink w:anchor="tIOCD1">
        <w:r>
          <w:rPr>
            <w:rStyle w:val="InternetLink"/>
          </w:rPr>
          <w:t>206</w:t>
        </w:r>
      </w:hyperlink>
      <w:r>
        <w:rPr>
          <w:rFonts w:ascii="Times New Roman;Times;serif" w:hAnsi="Times New Roman;Times;serif"/>
          <w:b w:val="false"/>
          <w:i/>
          <w:caps w:val="false"/>
          <w:smallCaps w:val="false"/>
          <w:color w:val="000000"/>
          <w:spacing w:val="4"/>
          <w:sz w:val="20"/>
        </w:rPr>
        <w:t xml:space="preserve"> and </w:t>
      </w:r>
      <w:hyperlink w:anchor="tWYCF">
        <w:r>
          <w:rPr>
            <w:rStyle w:val="InternetLink"/>
          </w:rPr>
          <w:t>208</w:t>
        </w:r>
      </w:hyperlink>
      <w:r>
        <w:rPr>
          <w:rFonts w:ascii="Times New Roman;Times;serif" w:hAnsi="Times New Roman;Times;serif"/>
          <w:b w:val="false"/>
          <w:i/>
          <w:caps w:val="false"/>
          <w:smallCaps w:val="false"/>
          <w:color w:val="000000"/>
          <w:spacing w:val="4"/>
          <w:sz w:val="20"/>
        </w:rPr>
        <w:t xml:space="preserve">, respectively,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Fluctuations in the market price of Standard BioTools Common Stock will affect the value of the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Merger, each share of SomaLogic Common Stock issued and outstanding immediately prior to the Effective Time will become the right to receive 1.11 shares of Standard BioTools Common Stock based on the Exchange Ratio (plus cash in lieu of fractional shares). The Exchange Ratio will not be adjusted in the event of any change in the market price of Standard BioTools Common Stock or SomaLogic Common Stock and as a result, prior to the Effective Time, SomaLogic stockholders and Standard BioTools stockholders cannot be sure of the value of the Standard BioTools Common Stock to be issued in connection with the Merger. Based on the closing price per share of Standard BioTools Common Stock on The Nasdaq Global Select Market on       , the latest practicable date before the filing of this joint proxy statement/prospectus, the 1.11 shares of Standard BioTools Common Stock that each share of SomaLogic Common Stock will convert into at the Effective Time would have a value of approximately $       .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dollar value of the Standard BioTools Common Stock that the Standard BioTools stockholders and the SomaLogic stockholders will hold upon consummation of the Merger will not be known at the time of the Standard BioTools Special Meeting or the SomaLogic Special Meeting and may be greater than, the same as or less than the current market price of the Standard BioTools Common Stock at the time of the Standard BioTools Special Meeting or the SomaLogic Special Meeting. The market price of Standard BioTools Common Stock is subject to general price fluctuations in the market for publicly traded equity securities and has experienced volatility in the past and may vary significantly from the dates of the Standard BioTools Special Meeting and the SomaLogic Special Meeting. As a result of these fluctuations, the value of the Merger consideration will also vary. For example, based on the range of closing prices of Standard BioTools Common Stock during the period from October 3, 2023, the last trading day before public announcement of the Merger, through         , the latest practicable trading date before the filing of this joint proxy statement/prospectus, the Exchange Ratio represented a value ranging from a low of $        to a high of $       for each share of SomaLogic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price changes may result from a variety of factors, including general market, industry and economic conditions, changes in the respective businesses, operations and prospects of SomaLogic and Standard BioTools, regulatory considerations, results of the SomaLogic Special Meeting and the Standard BioTools Special Meeting, announcements with respect to the Merger or any of the foregoing, and other factors beyond the control of SomaLogic or Standard BioTools. You should obtain current market price quotations for SomaLogic Common Stock and for Standard BioTools Common Stock, but as indicated above, the prices at the time the Merger is consummated may be greater than, the same as or less than such price quotations.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not be consummated unless important conditions are satisfied or waived and there can be no assurance that the Merger will be consummated.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 number of conditions that must be satisfied or waived (to the extent permitted by applicable law) to consummate the Merger. Those conditions include, among others: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by the SomaLogic stockholders; </w:t>
      </w:r>
      <w:r>
        <mc:AlternateContent>
          <mc:Choice Requires="wps">
            <w:drawing>
              <wp:anchor behindDoc="0" distT="7874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Share Issuance Proposal and Standard BioTools Charter Amendment Proposal by the Standard BioTools stockholders; </w:t>
      </w:r>
      <w:r>
        <mc:AlternateContent>
          <mc:Choice Requires="wps">
            <w:drawing>
              <wp:anchor behindDoc="0" distT="7874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for listing on The Nasdaq Global Select Market of the Standard BioTools Common Stock to be issued to SomaLogic stockholders in connection with the Merger, subject to official notice of issuance; </w:t>
      </w:r>
      <w:r>
        <mc:AlternateContent>
          <mc:Choice Requires="wps">
            <w:drawing>
              <wp:anchor behindDoc="0" distT="7874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or termination of the waiting period relating to the Merger under applicable antitrust laws;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law, judgment, order or other legal restraint prohibiting the Merger; and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joint proxy statement/prospectus is a part. </w:t>
      </w:r>
      <w:r>
        <mc:AlternateContent>
          <mc:Choice Requires="wps">
            <w:drawing>
              <wp:anchor behindDoc="0" distT="7747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5"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These conditions to the consummation of the Merger may not be satisfied or waived (to the extent permitted by applicable law) and, as a result, the Merger may not be consummated at the time expected, or at all. For additional information regarding the conditions to the Merger, see “</w:t>
      </w:r>
      <w:r>
        <w:rPr>
          <w:rFonts w:ascii="Times New Roman;Times;serif" w:hAnsi="Times New Roman;Times;serif"/>
          <w:b w:val="false"/>
          <w:i/>
          <w:caps w:val="false"/>
          <w:smallCaps w:val="false"/>
          <w:color w:val="000000"/>
          <w:spacing w:val="4"/>
          <w:sz w:val="20"/>
        </w:rPr>
        <w:t>The Merger Agreement —  Conditions to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SomaLogic or Standard BioTools may elect to terminate the Merger Agreement in certain circumstances. See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beginning on page </w:t>
      </w:r>
      <w:hyperlink w:anchor="tTER">
        <w:r>
          <w:rPr>
            <w:rStyle w:val="InternetLink"/>
          </w:rPr>
          <w:t>159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contains provisions that could discourage a potential competing acquirer of either SomaLogic or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Merger Agreement contains “no shop” provisions that restrict each of Standard BioTools’ and SomaLogic’s ability to solicit, initiate, induce, knowingly encourage or knowingly facilitate, or take any other action designed to facilitate, competing third-party proposals relating to a merger, reorganization or consolidation of the respective company or an acquisition of the respective company’s stock or assets. In addition, the other party generally has an opportunity to offer to modify the terms of the Merger Agreement in response to any competing acquisition proposals before the board of directors of the company that has received a third-party proposal may withdraw or qualify its recommendation with respect to the Merger. If the Merger Agreement is terminated in connection with the pursuit of a third-party transaction by one of the parties, that party will be required to pay a termination fee of $19,123,214 (in the case of Standard BioTools) or $17,176,173 (in the case of SomaLogic) to the other party. See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pages </w:t>
      </w:r>
      <w:hyperlink w:anchor="tNOSO">
        <w:r>
          <w:rPr>
            <w:rStyle w:val="InternetLink"/>
          </w:rPr>
          <w:t>148</w:t>
        </w:r>
      </w:hyperlink>
      <w:r>
        <w:rPr>
          <w:rFonts w:ascii="Times New Roman;Times;serif" w:hAnsi="Times New Roman;Times;serif"/>
          <w:b w:val="false"/>
          <w:i w:val="false"/>
          <w:caps w:val="false"/>
          <w:smallCaps w:val="false"/>
          <w:color w:val="000000"/>
          <w:spacing w:val="4"/>
          <w:sz w:val="20"/>
        </w:rPr>
        <w:t xml:space="preserve">, </w:t>
      </w:r>
      <w:hyperlink w:anchor="tTER">
        <w:r>
          <w:rPr>
            <w:rStyle w:val="InternetLink"/>
          </w:rPr>
          <w:t>159</w:t>
        </w:r>
      </w:hyperlink>
      <w:r>
        <w:rPr>
          <w:rFonts w:ascii="Times New Roman;Times;serif" w:hAnsi="Times New Roman;Times;serif"/>
          <w:b w:val="false"/>
          <w:i w:val="false"/>
          <w:caps w:val="false"/>
          <w:smallCaps w:val="false"/>
          <w:color w:val="000000"/>
          <w:spacing w:val="4"/>
          <w:sz w:val="20"/>
        </w:rPr>
        <w:t xml:space="preserve"> and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could discourage a potential third-party acquirer that might have an interest in acquiring all or a significant portion of Standard BioTools or SomaLogic from considering or proposing an acquisition, even if it were prepared to pay consideration with a higher per share cash or market value than the market value proposed to be received or realized in the Merger. A potential third-party acquirer maintaining interest in the face of these provisions might propose to pay a lower price to the stockholders than it might otherwise have proposed to pay because of the added expense of the applicable termination fee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and either Standard BioTools or SomaLogic determines to seek another business combination, it may not be able to negotiate a transaction with another party on terms comparable to, or better than, the terms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pendency of the Merger could materially adversely affect the business, financial condition, results of operations or cash flows of SomaLogic or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and pendency of the Merger could disrupt SomaLogic’s or Standard BioTools’ businesses, in any of the following ways,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SomaLogic’s or Standard BioTools’ employees may experience uncertainty about their future roles with the combined company, which might adversely affect each company’s ability to retain and hire key managers and other employees;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6"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attention of SomaLogic management or Standard BioTools management may be directed toward completion of the Merger, integration planning and transaction-related considerations and may be diverted from each company’s day-to-day business operations and, following the completion of the Merger, the attention of the combined company’s management may also be diverted to such matters;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7"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vendors, suppliers, business partners or others may seek to modify or terminate their business relationship with SomaLogic or Standard BioTools or the combined company following completion of the Merger;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8"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or Standard BioTools, or the combined company following completion of the Merger, and their respective directors could become subject to lawsuits relating to the Merger; and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9"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or Standard BioTools may experience negative reactions from their stockholders, among others.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disruptions could be exacerbated by a delay in the completion of the Merger or termination of the Merger Agreement. Additionally, if the Merger is not consummated, each company will have incurred significant costs and diverted the time and attention of management. A failure to consummate the Merger may also result in negative publicity, reputational harm, litigation against SomaLogic or Standard BioTools or their respective directors and officers, and a negative impression of the companies in the financial markets. The occurrence of any of these events individually or in combination could have a material adverse effect on either or both companies’ financial statements and stock price.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the Merger Agreement restricts Standard BioTools and SomaLogic from taking certain actions until the Effective Time without the consent of the other party, including, among others: the payment of dividends; the issuance of equity (including certain equity incentive awards); certain increases to employee compensation and benefits; capital expenditures; the incurrence of indebtedness; acquisitions and divestitures; and the entry into or amending certain material contracts. Standard BioTools and SomaLogic are required to conduct business in the ordinary course consistent with past practice. The restrictive covenants, which are subject to various specific exceptions, may prevent Standard BioTools or SomaLogic from pursuing attractive business opportunities that may arise prior to the consummation of the Merger. Although Standard BioTools and SomaLogic may be able to pursue such activities with the other company’s consent, the other company may not be willing to provide its consent. For a description of the restrictive covenants applicable to Standard BioTools and SomaLogic, see “</w:t>
      </w:r>
      <w:r>
        <w:rPr>
          <w:rFonts w:ascii="Times New Roman;Times;serif" w:hAnsi="Times New Roman;Times;serif"/>
          <w:b w:val="false"/>
          <w:i/>
          <w:caps w:val="false"/>
          <w:smallCaps w:val="false"/>
          <w:color w:val="000000"/>
          <w:spacing w:val="4"/>
          <w:sz w:val="20"/>
        </w:rPr>
        <w:t>The Merger Agreement — Covenants; Conduct of Business Pending the Merger</w:t>
      </w:r>
      <w:r>
        <w:rPr>
          <w:rFonts w:ascii="Times New Roman;Times;serif" w:hAnsi="Times New Roman;Times;serif"/>
          <w:b w:val="false"/>
          <w:i w:val="false"/>
          <w:caps w:val="false"/>
          <w:smallCaps w:val="false"/>
          <w:color w:val="000000"/>
          <w:spacing w:val="4"/>
          <w:sz w:val="20"/>
        </w:rPr>
        <w:t xml:space="preserve">” beginning on page </w:t>
      </w:r>
      <w:hyperlink w:anchor="tCCOB">
        <w:r>
          <w:rPr>
            <w:rStyle w:val="InternetLink"/>
          </w:rPr>
          <w:t>153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be completed even though a material adverse effect may result from the announcement of the Merger, industry wide changes or other causes.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neither Standard BioTools nor SomaLogic is obligated to complete the Merger if there is a continuing material adverse effect affecting the other party between October 4, 2023, the date of the Merger Agreement, and the Closing. However, certain types of changes are excluded from the concept of a “material adverse effect.” Such exclusions include, but are not limited to, changes in general business or economic conditions that generally affect the industry, political conditions, acts of war or terrorism or the outbreak or escalation of armed hostilities, natural disasters, epidemics and pandemics (including COVID-19 and any evolutions or mutations thereof), other acts of God or force majeure events, changes in financial, banking or securities markets, including changes in interest rates in the United States or any other country or region in the world, changes in laws or U.S. Generally Accepted Accounting Principles (“GAAP”), certain changes in the price or trading volume of Standard BioTools Common Stock or SomaLogic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certain failures by Standard BioTools or SomaLogic to meet internal or analysts’ expectations or projections or the results of operations, and changes resulting from the announcement, performance or pendency of the Merger. Therefore, if any of these events were to occur, impacting Standard BioTools or SomaLogic, the other party would still be obliged to consummate the closing of the Merger. If any such adverse changes occur and Standard BioTools and SomaLogic consummate the closing of the Merger, the stock price of the combined company may suffer. This in turn may reduce the value of the Merger to the stockholders of Standard BioTools, SomaLogic or both. For a more complete discussion of what constitutes a material adverse effect on Standard BioTools or SomaLogic, see the section entitled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Standard BioTools and SomaLogic complete the Merger, the combined company may need to raise additional capital by issuing equity securities or additional debt or through licensing arrangements, which may cause significant dilution to the combined company’s stockholders or restrict the combined company’s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Standard BioTools’ pre-Merger stockholders and SomaLogic’s former stockholders.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Litigation that may be filed against SomaLogic, Standard BioTools, Merger Sub and/or the members of the SomaLogic Board or the Standard BioTools Board could prevent or delay the consummation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lawsuit that may be filed challenging the Merger is uncertain. One of the conditions to the closing of the Merger is that no governmental authority has issued or entered any order after the date of the Merger Agreement having the effect of enjoining or otherwise prohibiting the consummation of the Merger. Accordingly, if any future lawsuit is successful in obtaining any order enjoining consummation of the Merger, then such order may prevent the Merger from being consummated, or from being consummated within the expected time frame, and could result in substantial costs to SomaLogic and Standard BioTools, including but not limited to, costs associated with the indemnification of directors and officers. Any such injunction or delay in the Merger being completed may adversely affect SomaLogic’s or Standard BioTools’ business, financial condition, results of operations, and cash flows.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directors and executive officers and Standard BioTools directors and executive officers have interests in the Merger that may be different from, or in addition to, the interests of SomaLogic stockholders and Standard BioTools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directors and executive officers of SomaLogic and certain of the directors and executive officers of Standard BioTools negotiated the terms of the Merger Agreement and these individuals have interests in the Merger that may be different from, or in addition to, those of SomaLogic stockholders and Standard BioTools stockholders, respectively. These interests include, but are not limited to, the continued service of certain of these individuals as directors and executive officers of Standard BioTools after the date of the consummation of the Merger (the “Closing Date”), the interests of Mr. Casdin as a director and of Casdin Capital, LLC (of which Mr. Casdin serves as managing member) as a stockholder of both Standard BioTools and SomaLogic, the treatment in the Merger of SomaLogic RSUs, SomaLogic Stock Options and certain other compensation arrangements with the SomaLogic and Standard BioTools directors and executive officers, and provisions in the Merger Agreement regarding continued indemnification of and advancement of expenses of the directors and executive officers of SomaLogic and Standard BioTools. SomaLogic stockholders and Standard BioTools stockholders should be aware of these interests when they consider their respective board of directors’ recommendations that they vote in favor of the Merger-related proposals.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pPr>
      <w:r>
        <w:rPr>
          <w:rFonts w:ascii="Times New Roman;Times;serif" w:hAnsi="Times New Roman;Times;serif"/>
          <w:b w:val="false"/>
          <w:i w:val="false"/>
          <w:caps w:val="false"/>
          <w:smallCaps w:val="false"/>
          <w:color w:val="000000"/>
          <w:spacing w:val="4"/>
          <w:sz w:val="20"/>
        </w:rPr>
        <w:t>The members of the SomaLogic Board were aware of and considered these interests relating to SomaLogic, among other matters, in evaluating the Merger Agreement and the Merger, and in recommending that SomaLogic stockholders approve the SomaLogic Proposals. The interests of SomaLogic directors and executive officers are described in more detail under “</w:t>
      </w:r>
      <w:r>
        <w:rPr>
          <w:rFonts w:ascii="Times New Roman;Times;serif" w:hAnsi="Times New Roman;Times;serif"/>
          <w:b w:val="false"/>
          <w:i/>
          <w:caps w:val="false"/>
          <w:smallCaps w:val="false"/>
          <w:color w:val="000000"/>
          <w:spacing w:val="4"/>
          <w:sz w:val="2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D1">
        <w:r>
          <w:rPr>
            <w:rStyle w:val="InternetLink"/>
          </w:rPr>
          <w:t>130</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members of the Standard BioTools Board were aware of and considered these interests relating to Standard BioTools, among other matters, in evaluating the Merger Agreement and the Merger, and in recommending that Standard BioTools stockholders approve the Standard BioTools Proposals. The interests of Standard BioTools directors and executive officers are described in more detail under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B1">
        <w:r>
          <w:rPr>
            <w:rStyle w:val="InternetLink"/>
          </w:rPr>
          <w:t>123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Following the consummation of the Merger, the composition of the board of directors and management of the combined company will be different from the composition of the current board of directors and management of each of Standard BioTools and SomaLogic and Standard BioTools’ current stockholders will not have a majority ownership and voting interest in the combined company, which may affect the strategy and operations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following the consummation of the Merger, the board of directors of the combined company will consist of (i) Dr. Egholm, Mr. Eloi (as the designee of the holders of the Series B-2 Preferred Stock), and Dr. Witney, who will be the Standard BioTools Board designees; (ii) Mr. Carey (who is expected to chair the combined company’s board of directors), Mr. Cox, and Ms. Hibbs, who will be the SomaLogic Board designees; and (iii) Mr. Casdin (as the designee of the holders of the Series B-1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Standard BioTools will take all necessary action to cause Dr. Egholm to continue as Chief Executive Officer of the combined company. In the event that Dr. Egholm is not the Chief Executive Officer of Standard BioTools immediately prior to the Effective Time, Standard BioTools will select another individual reasonably acceptable to SomaLogic to be appointed as Chief Executive Officer of the combined company as of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Dr. Egholm, certain of Standard BioTools’ current executive leadership team are expected to continue to serve in the same roles in the combined company after the consummation of the Merger, including Jeffrey Black, Chief Financial Officer, and Hanjoon Alex Kim, Chief Operating Officer. 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composition of the board of directors of the combined company may affect the combined company’s business strategy and operating decisions following the consummation of the Merger, as compared to those of Standard BioTools and SomaLogic prior to the Merger. In addition, there can be no assurances that the board of directors of the combined company will function effectively as a team and that any differences or difficulties, should they arise, will not have an adverse effect on the combined company’s business or results after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immediately following completion of the Merger and the issuance of the Standard BioTools Common Stock to the SomaLogic stockholders at the Effective Time, Standard BioTools’ current stockholders in the aggregate will not have a majority ownership and voting interest in the combined company, which may result in Standard BioTools stockholders having less influence on the combined company’s management and policies. Standard BioTools stockholders currently have the right to vote for the election of directors to the Standard BioTools Board and on other matters affecting Standard BioTools. Immediately following completion of the Merger, based on the companies’ fully diluted market capitalizations as of the signing of the Merger Agreement, Standard BioTools stockholders and SomaLogic stockholders are expected to own approximately 43% and 57%, respectively, of the combined company’s outstanding shares. As a result, current Standard BioTools stockholders may have less influence on the combined company’s management and policies than they currently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opinions of SomaLogic’s and Standard BioTools’ financial advisors do not reflect changes in circumstances that may have occurred or that may occur between the signing of the Merger Agreement and the consummation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opinion rendered to the SomaLogic Board by PWP, and the opinion rendered to the Standard BioTools Board by Centerview, were provided in connection with, and at the time of, the SomaLogic and Standard BioTools Boards’ respective evaluations of the Merger. These opinions were based on the respective financial analyses performed, which considered market and other conditions then in effect, and financial forecasts and other information made available to them, as of the date of their respective opinions, which may have changed, or may change, after the date of the opinions. Neither the SomaLogic Board nor the Standard BioTools Board has obtained updated opinions from their respective financial advisors as of the date of this joint proxy statement/prospectus or as of any other date, nor does either expect to receive updated, revised or reaffirmed opinions prior to the consummation of the Merger. Changes in the operations and prospects of SomaLogic or Standard BioTools, general market and economic conditions and other factors that may be beyond the control of SomaLogic or Standard BioTools, and which changes were not taken into account by SomaLogic’s and Standard BioTools’ financial advisors in rendering their respective opinions, may significantly alter the value of SomaLogic or Standard BioTools or the prices of SomaLogic Common Stock or Standard BioTools Common Stock by the time the Merger is consummated. The opinions do not speak as of the time the Merger will be consummated or as of any date other than the date of such opinions. Because there are no plans for SomaLogic’s and Standard BioTools’ financial advisors to update their opinions, the opinions do not address the fairness of the Exchange Ratio or the Merger consideration, as applicable, from a financial point of view, at any time other than the time such opinions were rendered, even though the SomaLogic Board’s recommendation that SomaLogic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Proposals and the Standard BioTools Board’s recommendation that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Proposals are made as of the date of this joint proxy statement/prospectus. For a description of the opinions that the SomaLogic Board and the Standard BioTools Board received from their respective financial advisors,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beginning on pages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and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respectively, of this joint proxy statement/prospectus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consummate the Merger could negatively impact respective future stock prices, operations and financial results of SomaLogic and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consummated for any reason, SomaLogic and Standard BioTools may be subject to a number of material risks,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market prices of SomaLogic Common Stock or Standard BioTools Common Stock to the extent that their current market prices reflect a market assumption that the Merger will be consummated and will be beneficial to the value of the business of Standard BioTools after the Closing Date;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having to pay certain costs related to the proposed Merger, such as legal, accounting, financial advisory, printing and mailing fees, which must be paid regardless of whether the Merger is consummated;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2"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addressing the consequences of operational decisions made since the signing of the Merger Agreement, including because of restrictions on SomaLogic’s or Standard BioTools’ operations imposed by the terms of the Merger Agreement and decisions to delay or defer capital expenditures;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returning the focus of management and personnel to operating SomaLogic or Standard BioTools, as applicable, on a standalone basis, without any of the benefits expected to have been provided by the consummation of the Merger; and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reactions from their respective stockholders, suppliers and employees.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5"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risks, SomaLogic or Standard BioTools may be required, under certain circumstances, to pay a termination fee of up to $19,123,214 (in the case of Standard BioTools) or $17,176,173 (in the case of SomaLogic) to the other party, or in some cases reimburse the other party’s transaction-related expenses (up to $2,000,000), which may materially adversely affect SomaLogic’s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financial condition, as applicable. The business of SomaLogic or Standard BioTools may be adversely impacted by the failure to pursue other beneficial opportunities due to the focus of SomaLogic and Standard BioTools management on the Merger. A failure to consummate the Merger may also result in negative publicity, reputational harm, litigation against SomaLogic or Standard BioTools or their respective directors and officers, and a negative impression of the companies in the financial markets.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consummated, we cannot assure the Standard BioTools stockholders or the SomaLogic stockholders that these risks will not materialize and will not materially adversely affect the business, financial results and stock price of the respective companies.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stockholders and Standard BioTools stockholders will not be entitled to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 262(b), stockholders do not have appraisal rights if the shares of stock they hold, as of the record date for determination of stockholders entitled to vote at the meeting of stockholders to act upon a merger, are either (i) listed on a national securities exchange or (ii)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Standard BioTools Common Stock is listed on The Nasdaq Global Select Market, a national securities exchange, and is expected to continue to be so listed on the Standard BioTools Record Date, Standard BioTools stockholders will not be entitled to appraisal rights in the Merger with respect to their Standard BioTools Common Stock. Similarly, the SomaLogic Common Stock is listed on The Nasdaq Capital Market and is expected to continue to be so listed on the SomaLogic Record Date. Because holders of SomaLogic Common Stock will also receive Standard BioTools Common Stock in the Merger and cash in lieu of fractional shares, holders of SomaLogic Common Stock will also not be entitled to appraisal rights in the Merger with respect to their SomaLogic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projections regarding SomaLogic and Standard BioTools may not prove accurate.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SomaLogic and Standard BioTools prepared and considered internal financial forecasts for SomaLogic and Standard BioTools. These financial projections are based on several assumptions, including regarding future operating cash flows, expenditures and income of SomaLogic and Standard BioTools, including benefits to be realized from the Merger. These financial projections were not prepared with a view to public disclosure, are subject to significant economic, competitive, industry and other uncertainties and may not be achieved in full, within projected timeframes or at all. The failure of SomaLogic or Standard BioTools to achieve projected results could have a material adverse effect on the price of the Standard BioTools Common Stock, the combined company’s financial position after the Closing Date, and the combined company’s ability to pay dividends, and/or pay dividends at or above the rate currently paid by Standard BioTools or SomaLogic (if any), following the consummation of the Merger.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for Standard BioTools Common Stock following completion of the Merger will continue to fluctuate and may be affected by factors different from those that historically have affected Standard BioTools Common Stock and SomaLogic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Standard BioTools stockholders and SomaLogic stockholders will be stockholders in the combined company. Based on the number of outstanding shares of SomaLogic Common Stock as of the SomaLogic Record Date, Standard BioTools would issue approximately        million shares of Standard BioTools Common Stock as Merger Consideration. SomaLogic stockholders may decide not to hold the Standard BioTools Common Stock they receive in the Merger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such as funds with limitations on the amount of stock they are permitted hold in individual issuers, may be required to sell Standard BioTools Common Stock that they receive in the Merger. Such sales, or market perception of such sales, of Standard BioTools Common Stock could result in a higher-than-average trading volume following the closing of the Merger and may cause the market price for Standard BioTools Common Stock to decline.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SomaLogic’s business differs in important respects from that of Standard BioTools and the combined company’s business will differ from that of Standard BioTools and SomaLogic prior to the completion of the Merger. Accordingly, the results of operations of the combined company and the market price of Standard BioTools Common Stock after the completion of the Merger may be affected by factors different from those currently affecting the independent results of operations of each of Standard BioTools and SomaLogic. This joint proxy statement/prospectus describes the businesses of SomaLogic and Standard BioTools and incorporates by reference important information regarding the businesses of SomaLogic and Standard BioTools and also describes important factors to consider in connection with those businesses and the business of the combined company.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or SomaLogic may waive one or more of the conditions to the Merger and may do so without re-soliciting stockholder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 may agree to waive (to the extent permitted by applicable law), in whole or in part, some of the conditions to each party’s obligations to complete the Merger, to the extent permitted by applicable law. For example, it is a condition to Standard BioTools’ and SomaLogic’s respective obligations to close the Merger that certain of the representations and warranties of the other party are true and correct in all respects as of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such breach by the other party, then such board of directors may elect to waive that condition (to the extent permitted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waiver of a condition (to the extent permitted by applicable law), the boards of directors of Standard BioTools and SomaLogic will evaluate the materiality of any such waiver to determine whether amendment of this joint proxy statement/prospectus and re-solicitation of proxies is necessary. In the event that the boards of directors of the waiving party, in its own reasonable discretion, determines any such waiver is not significant enough to require re-solicitation of its stockholders, it will have the discretion to cause the Merger to be completed without seeking further stockholder approval, which decision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certain closing conditions may not be waived due to applicable law, or otherwise. The following closing conditions may not be waived: receipt of the requisite stockholder approvals; the effectiveness of the registration statement of which this joint proxy statement/prospectus forms a part; and the absence of any order or injunction that has the effect of prohibiting the consummation of the Merger. The foregoing closing conditions are the only closing conditions to the Merger that may not be waived. All other closing conditions to the Merger may be waived (to the extent permitted by applicable law) by Standard BioTools and/or SomaLogic, as applicable. See the section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for further information.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not qualify as a “reorganization” within the meaning of Section 368(a) of the Code, resulting in recognition of taxable gain or loss by SomaLogic stockholders in respect of their SomaLogic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discussed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the Merger is intended to qualify as a “reorganization” within the meaning of Section 368(a) Code. However, SomaLogic has not sought and does not intend to seek a ruling from the IRS or an opinion of counsel regarding the intended tax treatment of the Merger. Consequently, there can be no assurance that the IRS will not challenge the intended tax treatment of the Merger and, if challenged, that a court would not sustain the IRS’s position. In the event that the Merger does not qualify as a “reorganization” within the meaning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RRTT2"/>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368(a) of the Code, each U.S. Holder (as defined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would recognize gain or loss upon the exchange of shares of SomaLogic Common Stock for Standard BioTools Common Stock in the Merger equal to the difference between the fair market value of the shares of Standard BioTools Common Stock received in exchange for the shares of SomaLogic Common Stock (plus any cash received in lieu of a fractional share) and such U.S. Holder’s adjusted tax basis in the shares of SomaLogic Common Stock surrendered. Each SomaLogic stockholder is urged to consult with his, her or its own tax advisor with respect to the tax consequences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might not be able to utilize a significant portion of its net operating loss carryforwards and research and development tax credit carryforwards.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incurred significant net losses since its inception and cannot guarantee when, if ever, it will become profitable. Unused net operating loss (“NOL”) and tax credit carryforwards will carry forward to offset future taxable income, subject to applicable limitations on the use of those losses. Federal NOLs incurred in taxable years ending on or before December 31, 2017 are eligible to be carried forward for up to 20 years, and to be deducted in full against income for the years to which they may be carried. Federal NOLs incurred in taxable years ending after December 31, 2017 are eligible to be carried forward indefinitely, but may offset no more than 80% of the taxable income for the years to which they are carried (computed without regard to the deduction for carryovers of NOLs). To the extent they expire unused, these NOLs and tax credit carryforwards will not be available to offset future income tax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NOLs and tax credit carryovers to reduce its tax liability for post-change periods may be limited. SomaLogic may have experienced ownership changes in the past. It is likely that SomaLogic will experience an ownership change as a result of the Merger, and may experience future ownership changes as a result of subsequent shifts in its stock ownership, some of which may be outside of its control. As a result, SomaLogic’s ability to use its historical NOLs and tax credit carryovers to offset future income tax liabilities is limited by prior ownership changes and may become limited by additional ownership changes in the future (including any ownership change resulting from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Business of the Combined Company After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the two companies may be more difficult, costly or time consuming than expected, and Standard BioTools may not realize all of the anticipated benefits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Standard BioTools have operated and, until the consummation of the Merger, will continue to operate, independently. The success of the Merger will depend on, among other things, the combined company’s ability to integrate the businesses of SomaLogic and Standard BioTools in a timely fashion. Additionally, the combined company may not be able to successfully achieve the level of cost savings, revenue enhancements and synergies that it expects. If the combined company is not able to successfully achieve these objectives, the anticipated benefits of the Merger may not be realized fully or at all or may take longer to realize than expected. In addition, failure to successfully integrate the businesses in the expected timeframe may adversely affect the combined company’s business, financial condition, results of operations or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combined operation of two businesses may be a complex, costly and time-consuming process. The difficulties of combining the operations of the companies include, among others: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attention to integration matters;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6"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integrating functions, personnel and systems;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assimilating employees and in attracting and retaining key personnel;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8"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achieving anticipated cost savings, synergies, business opportunities and growth prospects from the combination;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9"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of managing a larger combined company following the Merger, including challenges of conforming standards, controls, procedures and accounting and other policies and compensation structures; </w:t>
      </w:r>
      <w:r>
        <mc:AlternateContent>
          <mc:Choice Requires="wps">
            <w:drawing>
              <wp:anchor behindDoc="0" distT="0" distB="0" distL="254000" distR="0" simplePos="0" locked="0" layoutInCell="1" allowOverlap="1" relativeHeight="183">
                <wp:simplePos x="0" y="0"/>
                <wp:positionH relativeFrom="column">
                  <wp:align>left</wp:align>
                </wp:positionH>
                <wp:positionV relativeFrom="line">
                  <wp:posOffset>635</wp:posOffset>
                </wp:positionV>
                <wp:extent cx="127000" cy="350520"/>
                <wp:effectExtent l="0" t="0" r="0" b="0"/>
                <wp:wrapSquare wrapText="right"/>
                <wp:docPr id="180"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Standard BioTools’ results of operations, financial condition or cash flows; </w:t>
      </w:r>
      <w:r>
        <mc:AlternateContent>
          <mc:Choice Requires="wps">
            <w:drawing>
              <wp:anchor behindDoc="0" distT="7747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1"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market price of Standard BioTools Common Stock; </w:t>
      </w:r>
      <w:r>
        <mc:AlternateContent>
          <mc:Choice Requires="wps">
            <w:drawing>
              <wp:anchor behindDoc="0" distT="7747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2"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contingent liabilities that are larger than expected;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3"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unknown liabilities, adverse consequences and unforeseen increased expenses associated with the Merger;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tax effects of the Merger, including the ability to realize the benefits of any deferred tax assets or liabilities;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existing relationships with business partners, and other constituencies; and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6"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disruption of, or the loss of momentum in, ongoing research and development activities. </w:t>
      </w:r>
      <w:r>
        <mc:AlternateContent>
          <mc:Choice Requires="wps">
            <w:drawing>
              <wp:anchor behindDoc="0" distT="7747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these factors are outside the control of SomaLogic and Standard BioTools,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accretive effect of the Merger and negatively impact the price of Standard BioTools Common Stock. As a result, it cannot be assured that the combined company will realize the full benefits anticipated from the Merger within the anticipated time frames,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following the Merger, Standard BioTools will become responsible for SomaLogic’s liabilities and obligations, including with respect to legal, financial, regulatory, and compliance matters. These obligations will result in additional cost and investment by Standard BioTools and, if Standard BioTools has underestimated the amount of these costs and investments or if Standard BioTools fails to satisfy any such obligations, Standard BioTools may not realize the anticipated benefits of the Merger. Further, it is possible that there may be unknown, contingent or other liabilities or problems that may arise in the future, the existence and/or magnitude of which Standard BioTools was previously unaware. Any such liabilities or problems could have an adverse effect on the combined company’s business, financial condition, results of operations or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Merger is successfully consummated and the businesses integrated, there can be no assurance that the Merger will result in the realization of the full benefit of the anticipated synergies and cost savings or that these benefits will be realized within the expected time frames or at all. Difficulties in integrating the businesses could harm the reputation of the combined company. In addition, by engaging in the Merger, Standard BioTools may forego or delay pursuit of other opportunities that may have proven to have greater commercial potential.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and Standard BioTools will incur substantial direct and indirect costs as a result of the Merger and the combined company will incur substantial direct and indirect costs in connection with combining the business of SomaLogic and Standard BioTools following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Standard BioTools will incur substantial expenses in connection with and as a result of consummating the Merger, and over a period of time following the consummation of the Merger, Standard BioTools also expects to incur substantial expenses as a combined company in connection with coordinating and, in certain cases, combining the businesses, operations, policies and procedures of SomaLogic and Standard BioTools. A portion of the transaction costs related to the Merger will be incurred regardless of whether the Merger is consummated. While SomaLogic and Standard BioTools have assumed that a certain level of transaction expenses will be incurred, factors beyond SomaLogic’s and Standard BioTools’ control could affect the total amount or the timing of these expenses. Although many of the expenses that will be incurred, by their nature, are difficult to estimate accurately, the current estimate of the aggregate expenses that will be incurred by SomaLogic and Standard BioTools is approximately $23.0 million, which is subject to change. These expenses may exceed the costs historically borne by SomaLogic and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expenses could adversely affect the financial condition, results of operations and cash flows of the combined company following the consummation of the Merger.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actual financial position and results of operations after the Merger as a combined company may differ materially from the unaudited pro forma financial information included in this joint proxy statement/prospectus.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financial information included in this joint proxy statement/prospectus is presented for informational purposes only and may not be an indication of what Standard BioTools’ financial position or results of operations would have been had the Merger been consummated on the dates indicated. The unaudited pro forma financial information has been derived from the audited and unaudited historical financial statements of Standard BioTools and SomaLogic and certain adjustments and assumptions regarding Standard BioTools after giving effect to the Merger. The assets and liabilities of SomaLogic have been measured at fair value based on various preliminary estimates using assumptions that Standard BioTools and SomaLogic management believes are reasonable, utilizing information currently available. These fair value measurements can be highly subjective, and the reasonable application of measurement principles may result in a range of alternative estimates using the same facts and circumstances. These estimates, which require extensive use of accounting estimates and management judgment, may be revised as additional information becomes available and as additional analyses are performed. Differences between preliminary estimates in the unaudited pro forma financial information and the final acquisition accounting will occur and could have a material impact on the unaudited pro forma financial information and the combined company’s financial position and future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management performed a preliminary review of SomaLogic’s accounting policies and did not identify any material adjustments to be made to align accounting policies. Following the consummation of the proposed Merger, Standard BioTools' management will perform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 contained in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the assumptions used in preparing the unaudited pro forma financial information may not prove to be accurate, and other factors may affect the combined company’s financial condition or results of operations following the consummation of the Merger. Any material variance from the pro forma financial information may cause significant variations in the market price of the Standard BioTools Common Stock.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will be dilutive to Standard BioTools’ earnings per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Standard BioTools Common Stock will be issued in connection with the Merger, the Merger will be dilutive to Standard BioTools’ earnings per share. 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Standard BioTools’ earnings per share could cause the price of Standard BioTools’ Shares to decline or grow at a reduced rate.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Standard BioTools records goodwill and other intangible assets as a result of the Merger, such goodwill and/or other intangible assets could become impaired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standards in the United States require that one party to the Merger be identified as the acquirer. In accordance with these standards, the Merger will be accounted for as an acquisition of SomaLogic Common Stock by Standard BioTools and will follow the acquisition method of accounting for business combinations. The Standard BioTools assets and liabilities will be consolidated with those of SomaLogic on Standard BioTools’ financial statements. The combined company will measure SomaLogic’s assets acquired and liabilities assumed at their fair values, including net tangible and identifiable intangible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acquired and liabilities assumed, if any, as of the consummation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GAAP, the combined company will be required to periodically assess these assets to determine if they are impaired. To the extent goodwill or other intangible assets become impaired, the combined company may be required to incur material charges relating to such impairment. Such a potential impairment charge could have a material impact on future operating results and statements of financial position of the combined company. </w:t>
      </w:r>
    </w:p>
    <w:p>
      <w:pPr>
        <w:pStyle w:val="TextBody"/>
        <w:bidi w:val="0"/>
        <w:spacing w:lineRule="atLeast" w:line="23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If third parties terminate, modify or threaten to terminate existing contracts or relationships with Standard BioTools or SomaLogic, Standard BioTools’ and SomaLogic’s respective businesses may be materially harmed.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contracts with customers, suppliers, vendors, landlords, licensors and other business partners that may require SomaLogic to obtain consents from these other parties in connection with the Merger. If these consents cannot be obtained, the combined company may suffer a loss of potential future revenues and may lose rights that are material to the business of the combined company. In addition, third parties with whom Standard BioTools or SomaLogic currently have relationships may determine to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company’s ability to utilize its net operating loss carryforwards and tax credit carryforwards may be subject to limitations.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combined company’s ability to use its federal and state NOL and tax credit carryforwards to offset future taxable income and related income taxes that would otherwise be due is dependent upon the combined company’s generation of future taxable income, and SomaLogic and Standard BioTools cannot predict with certainty when, or whether, the combined company will generate sufficient taxable income to use all of its NOLs. In addition, under Sections 382 and 383 of the Code, and corresponding provisions of state law, if a corporation undergoes an “ownership change,” its ability to use its NOL carryforwards and tax credit carryforwards to offset its future taxable income and related income taxes, if any, will be limited. This limitation would generally apply in the event of a cumulative change in ownership of SomaLogic or Standard BioTools of more than 50% within a three-year period. SomaLogic and Standard BioTools may have experienced ownership changes in the past. Specifically, in 2022, Standard BioTools experienced an ownership change. In addition, private placements and other transactions that have occurred since SomaLogic’s inception may also have triggered one or more ownership change pursuant to Section 382 of the Code. It is expected that Standard BioTools will experience, and it is likely that SomaLogic will also experience, an ownership change as a result of the Merger. Any historical limitations or limitations resulting from the Merger or otherwise may significantly reduce the combined company’s ability to utilize the NOL carryforwards and tax credit carryforwards of SomaLogic and Standard BioTools before they expire. Consequently, even if the combined company achieves profitability, it may not be able to utilize a material portion of the NOL carryforwards and other tax attributes of SomaLogic, Standard BioTools or the combined company, which could have a material adverse effect on cash flow and results of operations of the combined company. There is also a risk that due to regulatory changes, such as suspensions on the use of NOLs or other unforeseen reasons, SomaLogic’s and Standard BioTools’ existing NOLs could expire or otherwise be unavailable to offset future income tax liabilities.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exposed to increased litigation, including stockholder litigation, which could have an adverse effect on the combined company’s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may be exposed to increased litigation from stockholders, customers, suppliers and other third parties due to the combination of Standard BioTools’ business and SomaLogic’s business following the Merger. Such litigation may have an adverse impact on the combined company’s business and results of operations or may cause disruptions to the combined company’s operations. In addition,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RRTT1"/>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past, stockholders have initiated class action lawsuits against biotechnology companies following periods of volatility in the market prices of these companies’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equity research analysts do not publish research or reports, or publish unfavorable research or reports, about the combined company, its business or its market, its stock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have broad discretion in the use of the cash and cash equivalents of the combined company and may invest or spend such resources in ways with which you do not agree and in ways that may not increase the value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will have broad discretion over the use of the cash and cash equivalents of the combined company. You may not agree with the combined company’s decisions, and its use of these resources may not yield any return on your investment. The combined company’s failure to apply these resources effectively could compromise its ability to pursue its growth strategy and the combined company might not be able to yield a significant return, if any, on its investment of these resources. You will not have the opportunity to influence its decisions on how to use the combined company’s cash resources.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Standard BioTools Capital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Series B Preferred Stock have rights, preferences and privileges that are not held by, and are preferential to, the rights of the holders of Standard BioTools Common Stock, which could adversely affect the liquidity and financial condition of the combined company, result in the interests of holders of the Series B Preferred Stock differing from those of the holders of Standard BioTools Common Stock and make an acquisition of the combined company more difficult.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B Preferred Stock have (i) a liquidation preference, (ii) rights to dividends, which are senior to all of the other equity securities of Standard BioTools, (iii) the right to require Standard BioTools to repurchase any or all of the Series B Preferred Stock in connection with certain change of control events, and (iv) conversion price adjustments upon the occurrence of certain events, each subject to the terms, conditions and exceptions contained in the applicable Certificate of Designations of the Series B Preferred Stock. These dividend and other rights and obligations could impact the liquidity of the combined company and reduce the amount of cash flows available for working capital, capital expenditures, growth opportunities, acquisitions, and other general corporate purposes.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Series B Preferred Stock could also limit the ability of the combined company to obtain additional financing or increase borrowing costs, which could have an adverse effect on the financial condition of the combined company. The preferential rights could also result in divergent interests between the holders of the Series B Preferred Stock and holders of the Standard BioTools Common Stock. Furthermore, a sale of Standard BioTools, as a change of control event, may require Standard BioTools to repurchase the Series B Preferred Stock, which could have the effect of making an acquisition of the combined company more expensive and potentially deterring proposed transactions that may otherwise be beneficial to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Series B Preferred Stock are entitled to vote with the holders of the Standard BioTools Common Stock with voting power measured in a manner related to the conversion ratio of the shares of Series B Preferred Stock, and holders of our Series B Preferred Stock have rights to approve certain actions. Holders of the Series B Preferred Stock may exercise influence over the combined company, including through the ability of the holders of the Series B-1 Preferred Stock and the holders of the Series B-2 Preferred Stock to each designate a member of the Standard BioTools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B Preferred Stock are generally entitled to vote with the holders of the Standard BioTools Common Stock on all matters submitted for a vote of holders of the Standard BioTools Common Stock (voting together with the holders of Standard BioTools Common Stock as one class) with voting power measured in a manner related to the conversion ratio of the shares of Series B Preferred Stock, subject to certain voting limitations as described in the applicable Certificate of Designations. Additionally, the consent of the holders of at least 60% of the shares of Series B Preferred Stock is required for, among other things, (i) amendments to the Standard BioTools certificate of incorporation or bylaws that have an adverse effect on the rights, preferences, privileges or voting powers of the Series B Preferred Stock and (ii) issuances by Standard BioTools of securities that are senior to, or equal in priority with, the Series B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pursuant to the Certificates of Designations for the Series B Preferred Stock, the holders of a majority of the outstanding Series B-1 Preferred Stock and the holders of a majority of the outstanding Series B-2 Preferred Stock each have the right to nominate and elect one member to the Standard BioTools Board at each annual meeting of the stockholders of Standard BioTools or at any special meeting called for the purpose of electing directors, for so long as the Casdin Preferred Percentage or Viking Preferred Percentage (each as defined in the applicable Certificate of Designations), as applicable, is equal to or greater than 7.5%. Such directors are not subject to the classified board of directors provisions of the Standard BioTools certificate of incorporation and are entitled to serve on committees of the Standard BioTools Board, subject to applicable law and Nasdaq rules. Notwithstanding the fact that all directors will be subject to fiduciary duties to Standard BioTools and to applicable law, the interests of the directors designated by the holders of Series B Preferred Stock may differ from the interests of the Standard BioTools security holders as a whole or of our other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significant stockholders may be able to determine or significantly influence matters requiring stockholder approval. The interests of significant stockholders may not always coincide with the interests of Standard BioTools or the interests of other stockholders. The Certificates of Designations for the Series B Preferred Stock also provide that for so long as the Casdin Preferred Percentage or Viking Preferred Percentage, as applicable, is equal to or greater than 7.5%, the director designated by the holders of the Series B-1 Preferred Stock or the Series B-2 Preferred Stock, as applicable, will have certain consent rights over, among other things: (i) any increase in the number of directors on the Standard BioTools Board beyond seven; (ii) the hiring, promotion, demotion, or termination of the Standard BioTools Chief Executive Officer; (iii) entering into or modifying (including by waiver) any transaction, agreement or arrangement with any Related Person (as defined in the Certificates of Designations for the Series B Preferred Stock), subject to certain exceptions; (iv) any voluntary petition under any applicable federal or state bankruptcy or insolvency law effected by Standard BioTools; (v) any change in the principal business of Standard BioTools or entry by Standard BioTools into any material new line of business; and (vi) for a period of three years after the closing date of the private placement issuance to the holders of the Series B Preferred Stock,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dispositions of inventory or equipment in the ordinary course of business consistent with past practice, for consideration in excess of $50,000,000 in the aggregate in any six-month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the holders of the Series B Preferred Stock have the ability to influence the outcome of certain matters affecting governance and capitalization of the combined company. The obligations to the holders of the Series B Preferred Stock could also limit the ability to obtain additional financing or increase borrowing costs, which could have an adverse effect on the financial condition of the combined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RRTS"/>
      <w:bookmarkEnd w:id="43"/>
      <w:r>
        <w:rPr>
          <w:rFonts w:ascii="calibri;arial;sans-serif" w:hAnsi="calibri;arial;sans-serif"/>
          <w:b w:val="false"/>
          <w:i w:val="false"/>
          <w:caps w:val="false"/>
          <w:smallCaps w:val="false"/>
          <w:color w:val="000000"/>
          <w:sz w:val="16"/>
        </w:rPr>
        <w:t>​</w:t>
      </w:r>
      <w:bookmarkStart w:id="44" w:name="tRRTS1"/>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SomaLogic’s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read and consider the risk factors specific to SomaLogic’s business that will also affect Standard BioTools after the Merger. These risks are described in Part I, Item 1A of SomaLogic’s Annual Report on Form 10-K for the fiscal year ended December 31, 2022, and any amendments thereto, as such risks have been or may be updated or supplemented in SomaLogic’s subsequently filed Quarterly Reports on Form 10-Q or Current Reports on Form 8-K, and in other documents that are incorporated by reference into this joint proxy statement/prospectus.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pages </w:t>
      </w:r>
      <w:hyperlink w:anchor="tIOCD1">
        <w:r>
          <w:rPr>
            <w:rStyle w:val="InternetLink"/>
          </w:rPr>
          <w:t>206</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Standard BioTools’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read and consider the risk factors specific to Standard BioTools’ business that will also affect Standard BioTools after the Merger. These risks are described in Part I, Item 1A of Standard BioTools’ Annual Report on Form 10-K for the year ended December 31, 2022, and any amendments thereto, as such risks have been or may be updated or supplemented in Standard BioTools’ subsequently filed Quarterly Reports on Form 10-Q or Current Reports on Form 8-K, and in other documents that are incorporated by reference into this joint proxy statement/prospectus.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pages </w:t>
      </w:r>
      <w:hyperlink w:anchor="tIOCD1">
        <w:r>
          <w:rPr>
            <w:rStyle w:val="InternetLink"/>
          </w:rPr>
          <w:t>206</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CSRF"/>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contains certain forward-looking statements within the meaning of the federal securities law. Such statements are based upon current plans, estimates and expectations that are subject to various risks and uncertainties. The inclusion of forward-looking statements should not be regarded as a representation that such plans, estimates and expectations will be achieved. Words such as “anticipate,” “expect,” “project,” “intend,” “believe,” “may,” “will,” “should,” “plan,” “could,” “target,” “contemplate,” “estimate,” “position,” “predict,” “potential,” “opportunity” and words and terms of similar substance used in connection with any discussion of future plans, actions or events identify forward-looking statements. All statements, other than historical facts, including statements regarding the closing of the Merger; the ability of the parties to complete the Merger considering the various closing conditions; the expected benefits of the Merger, including estimations of anticipated synergies, cost savings and cash and cash equivalent resources;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are forward-looking statements. Important factors that could cause actual results to differ materially from Standard BioTools’ and SomaLogic’s plans, estimates or expectations could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in a timely manner or at all, which may adversely affect Standard BioTools’ and SomaLogic’s businesses and the price of their respective securities;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as to the timing of the consummation of the Merger and the potential failure to satisfy the conditions to the consummation of the Merger, including obtaining stockholder and regulatory approvals; </w:t>
      </w:r>
      <w:r>
        <mc:AlternateContent>
          <mc:Choice Requires="wps">
            <w:drawing>
              <wp:anchor behindDoc="0" distT="6858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may involve unexpected costs, liabilities or delays; </w:t>
      </w:r>
      <w:r>
        <mc:AlternateContent>
          <mc:Choice Requires="wps">
            <w:drawing>
              <wp:anchor behindDoc="0" distT="6858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announcement, pendency or completion of the Merger on the ability of Standard BioTools or SomaLogic to attract, motivate, retain and hire key personnel and maintain relationships with customers, suppliers and others with whom Standard BioTools or SomaLogic does business, or on Standard BioTools’ or SomaLogic’s operating results and business generally; </w:t>
      </w:r>
      <w:r>
        <mc:AlternateContent>
          <mc:Choice Requires="wps">
            <w:drawing>
              <wp:anchor behindDoc="0" distT="6858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1"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SomaLogic’s respective businesses may suffer as a result of uncertainty surrounding the Merger and disruption of management’s attention due to the Merger; </w:t>
      </w:r>
      <w:r>
        <mc:AlternateContent>
          <mc:Choice Requires="wps">
            <w:drawing>
              <wp:anchor behindDoc="0" distT="6858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2"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Merger or otherwise, or the impact of the Merger thereupon; </w:t>
      </w:r>
      <w:r>
        <mc:AlternateContent>
          <mc:Choice Requires="wps">
            <w:drawing>
              <wp:anchor behindDoc="0" distT="6858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3"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 may be adversely affected by other economic, business and/or competitive factors; </w:t>
      </w:r>
      <w:r>
        <mc:AlternateContent>
          <mc:Choice Requires="wps">
            <w:drawing>
              <wp:anchor behindDoc="0" distT="6858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4"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circumstances that could give rise to the termination of the Merger Agreement and the Merger; </w:t>
      </w:r>
      <w:r>
        <mc:AlternateContent>
          <mc:Choice Requires="wps">
            <w:drawing>
              <wp:anchor behindDoc="0" distT="6858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during the pendency of the Merger that may impact Standard BioTools’ or SomaLogic’s ability to pursue certain business opportunities or strategic transactions; </w:t>
      </w:r>
      <w:r>
        <mc:AlternateContent>
          <mc:Choice Requires="wps">
            <w:drawing>
              <wp:anchor behindDoc="0" distT="6858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w:t>
      </w:r>
      <w:r>
        <mc:AlternateContent>
          <mc:Choice Requires="wps">
            <w:drawing>
              <wp:anchor behindDoc="0" distT="6858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that the anticipated benefits of the Merger or other commercial opportunities may otherwise not be fully realized or may take longer to realize than expected; </w:t>
      </w:r>
      <w:r>
        <mc:AlternateContent>
          <mc:Choice Requires="wps">
            <w:drawing>
              <wp:anchor behindDoc="0" distT="6731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legislative, regulatory, economic, competitive and technological changes; </w:t>
      </w:r>
      <w:r>
        <mc:AlternateContent>
          <mc:Choice Requires="wps">
            <w:drawing>
              <wp:anchor behindDoc="0" distT="6731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the value of the Standard BioTools shares to be issued in the Merger; </w:t>
      </w:r>
      <w:r>
        <mc:AlternateContent>
          <mc:Choice Requires="wps">
            <w:drawing>
              <wp:anchor behindDoc="0" distT="6731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post-closing integration may not occur as anticipated or the combined company may not be able to achieve the benefits expected from the Merger, as well as the risk of potential delays, challenges and expenses associated with integrating the combined company’s existing businesses; </w:t>
      </w:r>
      <w:r>
        <mc:AlternateContent>
          <mc:Choice Requires="wps">
            <w:drawing>
              <wp:anchor behindDoc="0" distT="6731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1"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exposure to inflation, currency rate and interest rate fluctuations, as well as fluctuations in the market price of Standard BioTools’ and SomaLogic’s traded securities; </w:t>
      </w:r>
      <w:r>
        <mc:AlternateContent>
          <mc:Choice Requires="wps">
            <w:drawing>
              <wp:anchor behindDoc="0" distT="0" distB="0" distL="254000" distR="0" simplePos="0" locked="0" layoutInCell="1" allowOverlap="1" relativeHeight="205">
                <wp:simplePos x="0" y="0"/>
                <wp:positionH relativeFrom="column">
                  <wp:align>left</wp:align>
                </wp:positionH>
                <wp:positionV relativeFrom="line">
                  <wp:posOffset>635</wp:posOffset>
                </wp:positionV>
                <wp:extent cx="127000" cy="350520"/>
                <wp:effectExtent l="0" t="0" r="0" b="0"/>
                <wp:wrapSquare wrapText="right"/>
                <wp:docPr id="202"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lingering effects of the COVID-19 pandemic or the impact of geopolitical conflicts on Standard BioTools’ and SomaLogic’s industry and individual companies, including on counterparties, the supply chain, the execution of research and development programs, access to financing and the allocation of government resources;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3"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Standard BioTools or SomaLogic to protect and enforce intellectual property rights; and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4"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unpredictability and severity of catastrophic events, including, but not limited to, acts of terrorism or outbreak of war or hostilities, as well as Standard BioTools’ and SomaLogic’s response to any of the aforementioned factors.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5"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 detailed discussion of risks related to the Merger is included above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of this joint proxy statement/prospectus. A detailed discussion of risks related to Standard BioTools’ business is included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Standard BioTools’ Annual Report on Form 10-K for the year ended December 31, 2022 filed with the SEC on March 14, 2023 and Standard BioTools’ Quarterly Report on Form 10-Q for the quarter ended September 30, 2023, each available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under “Investors Resources”, as well as any subsequently filed amendments or Current Reports on Form 8-K or other filings with the SEC updating or supplementing such factors. A detailed discussion of risks related to SomaLogic’s business is included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SomaLogic’s Annual Report on Form 10-K for the fiscal year ended December 31, 2022 filed with the SEC on March 28, 2023 and any amendments thereto and available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under “Investors” as well as any subsequently filed Quarterly Reports on Form 10-Q or Current Reports on Form 8-K or other SEC filings updating or supplementing such factors. Actual results may differ materially from those projected in the forward looking statements. Any forward looking statements in this joint proxy statement/prospectus are only made as of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unless otherwise specified, and, except as required by law, neither Standard BioTools nor SomaLogic undertakes any obligation to update or revise any forward looking statements.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beginning on pages </w:t>
      </w:r>
      <w:hyperlink w:anchor="tIOCD1">
        <w:r>
          <w:rPr>
            <w:rStyle w:val="InternetLink"/>
          </w:rPr>
          <w:t>206</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respectively, of this joint proxy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TSSM"/>
      <w:bookmarkEnd w:id="46"/>
      <w:r>
        <w:rPr>
          <w:rFonts w:ascii="calibri;arial;sans-serif" w:hAnsi="calibri;arial;sans-serif"/>
          <w:b w:val="false"/>
          <w:i w:val="false"/>
          <w:caps w:val="false"/>
          <w:smallCaps w:val="false"/>
          <w:color w:val="000000"/>
          <w:sz w:val="16"/>
        </w:rPr>
        <w:t>​</w:t>
      </w:r>
      <w:bookmarkStart w:id="47" w:name="tDTAP1"/>
      <w:bookmarkEnd w:id="47"/>
      <w:r>
        <w:rPr>
          <w:rFonts w:ascii="calibri;arial;sans-serif" w:hAnsi="calibri;arial;sans-serif"/>
          <w:b w:val="false"/>
          <w:i w:val="false"/>
          <w:caps w:val="false"/>
          <w:smallCaps w:val="false"/>
          <w:color w:val="000000"/>
          <w:sz w:val="16"/>
        </w:rPr>
        <w:t>​</w:t>
      </w:r>
      <w:bookmarkStart w:id="48" w:name="tPOTS1"/>
      <w:bookmarkEnd w:id="48"/>
      <w:r>
        <w:rPr>
          <w:rFonts w:ascii="calibri;arial;sans-serif" w:hAnsi="calibri;arial;sans-serif"/>
          <w:b w:val="false"/>
          <w:i w:val="false"/>
          <w:caps w:val="false"/>
          <w:smallCaps w:val="false"/>
          <w:color w:val="000000"/>
          <w:sz w:val="16"/>
        </w:rPr>
        <w:t>​</w:t>
      </w:r>
      <w:bookmarkStart w:id="49" w:name="tROTS1"/>
      <w:bookmarkEnd w:id="49"/>
      <w:r>
        <w:rPr>
          <w:rFonts w:ascii="calibri;arial;sans-serif" w:hAnsi="calibri;arial;sans-serif"/>
          <w:b w:val="false"/>
          <w:i w:val="false"/>
          <w:caps w:val="false"/>
          <w:smallCaps w:val="false"/>
          <w:color w:val="000000"/>
          <w:sz w:val="16"/>
        </w:rPr>
        <w:t>​</w:t>
      </w:r>
      <w:bookmarkStart w:id="50" w:name="tRDFT1"/>
      <w:bookmarkEnd w:id="50"/>
      <w:r>
        <w:rPr>
          <w:rFonts w:ascii="calibri;arial;sans-serif" w:hAnsi="calibri;arial;sans-serif"/>
          <w:b w:val="false"/>
          <w:i w:val="false"/>
          <w:caps w:val="false"/>
          <w:smallCaps w:val="false"/>
          <w:color w:val="000000"/>
          <w:sz w:val="16"/>
        </w:rPr>
        <w:t>​</w:t>
      </w:r>
      <w:bookmarkStart w:id="51" w:name="tREDA1"/>
      <w:bookmarkEnd w:id="51"/>
      <w:r>
        <w:rPr>
          <w:rFonts w:ascii="calibri;arial;sans-serif" w:hAnsi="calibri;arial;sans-serif"/>
          <w:b w:val="false"/>
          <w:i w:val="false"/>
          <w:caps w:val="false"/>
          <w:smallCaps w:val="false"/>
          <w:color w:val="000000"/>
          <w:sz w:val="16"/>
        </w:rPr>
        <w:t>​</w:t>
      </w:r>
      <w:bookmarkStart w:id="52" w:name="tQUO1"/>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Special Meeting will be held at         , Mountain Time, on         , 2023, virtually, via a live video webcast on the Internet at         . On or about         , 2023, SomaLogic commenced mailing this joint proxy statement/prospectus and the enclosed form of proxy card to its stockholders entitled to vote at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SomaLogic Special Meeting, SomaLogic stockholders will be asked to consider and vote upon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Merger Proposal; and </w:t>
      </w:r>
      <w:r>
        <mc:AlternateContent>
          <mc:Choice Requires="wps">
            <w:drawing>
              <wp:anchor behindDoc="0" distT="99060" distB="0" distL="254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6"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Adjournment Proposal. </w:t>
      </w:r>
      <w:r>
        <mc:AlternateContent>
          <mc:Choice Requires="wps">
            <w:drawing>
              <wp:anchor behindDoc="0" distT="9906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7"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SomaLogic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SomaLogic Board recommends that the SomaLogic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Adjournment Proposal. See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Consummation of the Merger is conditioned on approval of the SomaLogic Merger Proposal. If you abstain or fail to vote on the SomaLogic Merger Proposal, or if you fail to give voting instructions to your bank, broker, or other nominee,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Consummation of the Merger is not conditioned on the approval of the SomaLogic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for the SomaLogic Special Meeting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Record Date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SomaLogic Common Stock at the close of business on                  , the record date for the SomaLogic Special Meeting, will be entitled to receive notice of, and to vote, at the SomaLogic Special Meeting or any postponements or adjournments thereof. Each share of SomaLogic Common Stock entitles the holder thereof to cast one vote on each matter that comes before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SomaLogic Record Date, there were         shares of SomaLogic Common Stock outstanding and entitled to vote at the SomaLogic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business to be conducted at the SomaLogic Special Meeting, a quorum must be present. A quorum requires the presence of the SomaLogic stockholders representing a majority in voting power of the issued and outstanding stock of SomaLogic entitled to vote at the SomaLogic Special Meeting, present in person, or by remote communication, if applicable, or represented by proxy. For purposes of determining whether there is a quorum, all shares that are present will count towards the quorum, which will include proxies received but marked as abstentions. If a quorum is present when the SomaLogic Special Meeting is convened, the SomaLogic stockholders present may continue to transact business until adjournment, even if the withdrawal of a number of the SomaLogic stockholders originally present leaves less than the proportion or number otherwise required for a quorum. Abstentions (SomaLogic Common Stock for which proxies have been received but for which the holders have abstained from voting or as to which the holder attends the SomaLogic Special Meeting online but does not vote) will be counted as present and entitled to vote for purposes of determining a quorum. A failure to instruct your bank, broker, or other nominee will result in your shares not being included in the calculation of the number of shares of SomaLogic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REVO1"/>
      <w:bookmarkEnd w:id="53"/>
      <w:r>
        <w:rPr>
          <w:rFonts w:ascii="calibri;arial;sans-serif" w:hAnsi="calibri;arial;sans-serif"/>
          <w:b w:val="false"/>
          <w:i w:val="false"/>
          <w:caps w:val="false"/>
          <w:smallCaps w:val="false"/>
          <w:color w:val="000000"/>
          <w:sz w:val="16"/>
        </w:rPr>
        <w:t>​</w:t>
      </w:r>
      <w:bookmarkStart w:id="54" w:name="tRVTA"/>
      <w:bookmarkEnd w:id="54"/>
      <w:r>
        <w:rPr>
          <w:rFonts w:ascii="calibri;arial;sans-serif" w:hAnsi="calibri;arial;sans-serif"/>
          <w:b w:val="false"/>
          <w:i w:val="false"/>
          <w:caps w:val="false"/>
          <w:smallCaps w:val="false"/>
          <w:color w:val="000000"/>
          <w:sz w:val="16"/>
        </w:rPr>
        <w:t>​</w:t>
      </w:r>
      <w:bookmarkStart w:id="55" w:name="tRVTA1"/>
      <w:bookmarkEnd w:id="55"/>
      <w:r>
        <w:rPr>
          <w:rFonts w:ascii="calibri;arial;sans-serif" w:hAnsi="calibri;arial;sans-serif"/>
          <w:b w:val="false"/>
          <w:i w:val="false"/>
          <w:caps w:val="false"/>
          <w:smallCaps w:val="false"/>
          <w:color w:val="000000"/>
          <w:sz w:val="16"/>
        </w:rPr>
        <w:t>​</w:t>
      </w:r>
      <w:bookmarkStart w:id="56" w:name="tSVA"/>
      <w:bookmarkEnd w:id="56"/>
      <w:r>
        <w:rPr>
          <w:rFonts w:ascii="calibri;arial;sans-serif" w:hAnsi="calibri;arial;sans-serif"/>
          <w:b w:val="false"/>
          <w:i w:val="false"/>
          <w:caps w:val="false"/>
          <w:smallCaps w:val="false"/>
          <w:color w:val="000000"/>
          <w:sz w:val="16"/>
        </w:rPr>
        <w:t>​</w:t>
      </w:r>
      <w:bookmarkStart w:id="57" w:name="tVBSA"/>
      <w:bookmarkEnd w:id="57"/>
      <w:r>
        <w:rPr>
          <w:rFonts w:ascii="calibri;arial;sans-serif" w:hAnsi="calibri;arial;sans-serif"/>
          <w:b w:val="false"/>
          <w:i w:val="false"/>
          <w:caps w:val="false"/>
          <w:smallCaps w:val="false"/>
          <w:color w:val="000000"/>
          <w:sz w:val="16"/>
        </w:rPr>
        <w:t>​</w:t>
      </w:r>
      <w:bookmarkStart w:id="58" w:name="tVOPI"/>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represented at the SomaLogic Special Meeting for purposes of determining whether a quorum has been achieved. However, your SomaLogic Common Stock will be counted toward determining whether a quorum is present if you instruct your bank, broker, or other nominee on how to vote your shares with respect to one or more of the SomaLogic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is a condition to the consummation of the Merger. If the SomaLogic Merger Proposal is not approved, the Merger will not be consummated. Approval of the SomaLogic Adjournment Proposal is not a condition to the consummation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SomaLogic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the outstanding shares of SomaLogic Common Stock entitled to vote at the SomaLogic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SomaLogic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Adjournment Proposal requires the affirmative vote of the holders of a majority in voting power of the votes cast on such proposal at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Simultaneously with the execution of the Merger Agreement, SomaLogic’s directors and executive officers (excluding Mr. Casdin) entered into a voting agreement with Standard BioTools, SomaLogic and Merger Sub, pursuant to which SomaLogic’s directors and executive officers (excluding Eli Casdin) have agreed, among other things, subject to the terms and conditions therein, to vote the shares of SomaLogic Common Stock owned by them beneficially and of record in favor of the SomaLogic Merger Proposal, against approval of any proposal made in opposition to, in competition with, or inconsistent with, the Merger Agreement or the Merger and, if necessary, in favor of the SomaLogic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SomaLogic’s and Standard BioTools’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SomaLogic Record Date, directors and executive officers of SomaLogic and their affiliates owned and were entitled to vote               shares of SomaLogic Common Stock, representing approximately               of the SomaLogic Common Stock outstanding on that date, and directors and executive officers of Standard BioTools and their affiliates owned and were entitled to vote           shares of SomaLogic Common Stock, representing           of the SomaLogic Common Stock outstanding on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SomaLogic Common Stock as of the SomaLogic Record Date, a proxy card is enclosed for your use. SomaLogic requests that SomaLogic stockholders submit their proxies over the Internet, by telephone or by completing and signing the accompanying proxy card and returning it to SomaLogic promptly in the enclosed postage-paid envelope as soon as possible. SomaLogic stockholders may also authorize a proxy to vote their shares by telephone or through the Internet. Information and applicable deadlines for authorizing a proxy to vote by telephone or through the Internet are set forth on the enclosed proxy card. When the accompanying proxy card is returned properly executed, the shares of SomaLogic Common Stock represented by it will be voted at the SomaLogic Special Meeting or any adjournment or postponement thereof in accordance with the instructions contained on in the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is signed and returned without an indication as to how the shares of SomaLogic Common Stock represented by the proxy are to be voted with regard to a particular proposal, the shares of SomaLogic Common Stock represented by the proxy will be voted in favor of each such proposal, as applicable, in accordance with the recommendation of the SomaLogic Board. In accordance with the SomaLogic bylaws and the DGCL, except as otherwise required by law, business transacted at the SomaLogic Special Meeting will be limited to those matters set forth in the notice of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FTVB"/>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Accordingly, please submit a proxy as soon as possible by telephone, over the Internet, or by signing and returning the enclosed proxy card, whether or not you plan to attend the SomaLogic Special Meeting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Failures to Vote, 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SomaLogic Common Stock in a stock brokerage account or if your shares of SomaLogic Common Stock are held by a bank or other nominee (that is, in “street name”), you must provide the record holder of your shares with instructions on how to vote your shares of SomaLogic Common Stock. Please follow the voting instructions provided by your bank, broker, or other nominee. Please note that you are not permitted to vote shares of SomaLogic Common Stock held in “street name” by returning a proxy card directly to SomaLogic or by voting virtually at the SomaLogic Special Meeting unless you provide a “legal proxy,” which you must obtain from your bank, broker, or other nominee. Obtaining a legal proxy may take several days. Further, brokers who hold shares of SomaLogic Common Stock on behalf of their customers may not give a proxy to SomaLogic to vote those shares without specific instructions from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bank, broker, or other nominee holds your shares of SomaLogic Common Stock in “street name,” your shares of SomaLogic Common Stock will be counted toward determining whether a quorum is present only if you instruct your bank, broker, or other nominee on how to vote your shares with respect to one or more of the SomaLogic Proposals.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bank, broker, or other nominee holds your shares of SomaLogic Common Stock in “street name,” your bank, broker, or other nominee will vote your shares only if you provide instructions on how to vote on the relevant proposal.</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Therefore, if your shares of SomaLogic Common Stock are held in “street name” and you do not instruct your bank, broker, or other nominee on how to vote your shares: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your bank, broker, or other nominee will not be permitted to vote your shares of SomaLogic Common Stock on the SomaLogic Merger Proposal, and this failure to instruct your bank, broker, or other nominee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this proposal; and </w:t>
      </w:r>
      <w:r>
        <mc:AlternateContent>
          <mc:Choice Requires="wps">
            <w:drawing>
              <wp:anchor behindDoc="0" distT="9906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8"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will not be permitted to vote your shares of SomaLogic Common Stock on the SomaLogic Adjournment Proposal, and this failure to instruct your bank, broker, or other nominee will have no effect on the outcome of the vote for this proposal. </w:t>
      </w:r>
      <w:r>
        <mc:AlternateContent>
          <mc:Choice Requires="wps">
            <w:drawing>
              <wp:anchor behindDoc="0" distT="9906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09"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your shares of SomaLogic Common Stock are held in “street name,” you are welcome to attend the SomaLogic Special Meeting. If your shares of SomaLogic Common Stock are held in “street name,” you may not vote your shares of SomaLogic Common Stock virtually at the SomaLogic Special Meeting unless you obtain a proxy, executed in your favor, from the holder of record (i.e., your bank, broker, or other nominee). If you hold your shares of SomaLogic Common Stock in “street name” and wish to vote online at the SomaLogic Special Meeting, please contact your bank, broker, or other nominee before the SomaLogic Special Meeting to obtain the necessary proxy from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SomaLogic Special Meeting are non-routine and brokers will not have discretionary authority to vote on any of the SomaLogic Proposals, SomaLogic does not expect to receive any broker non-votes. If broker non-votes were received, they would not have any impact on the outcome of the SomaLogic Adjournment Proposal but would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Failures to attend the SomaLogic Special Meeting (in person or by proxy) and vote will also not be counted for purposes of determining whether a quorum is present and will have no effect on the outcome of the vote for the SomaLogic Adjournment Proposal. An abstention will have no effect on the outcome of the vote for the SomaLogic Adjournment Proposal. An abstention or a failure to attend the SomaLogic Special Meeting (in person or by proxy) and vote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ROPA"/>
      <w:bookmarkEnd w:id="60"/>
      <w:r>
        <w:rPr>
          <w:rFonts w:ascii="calibri;arial;sans-serif" w:hAnsi="calibri;arial;sans-serif"/>
          <w:b w:val="false"/>
          <w:i w:val="false"/>
          <w:caps w:val="false"/>
          <w:smallCaps w:val="false"/>
          <w:color w:val="000000"/>
          <w:sz w:val="16"/>
        </w:rPr>
        <w:t>​</w:t>
      </w:r>
      <w:bookmarkStart w:id="61" w:name="tSOP"/>
      <w:bookmarkEnd w:id="61"/>
      <w:r>
        <w:rPr>
          <w:rFonts w:ascii="calibri;arial;sans-serif" w:hAnsi="calibri;arial;sans-serif"/>
          <w:b w:val="false"/>
          <w:i w:val="false"/>
          <w:caps w:val="false"/>
          <w:smallCaps w:val="false"/>
          <w:color w:val="000000"/>
          <w:sz w:val="16"/>
        </w:rPr>
        <w:t>​</w:t>
      </w:r>
      <w:bookmarkStart w:id="62" w:name="tADJ"/>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 and Changes to a SomaLogic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shares of SomaLogic Common Stock as of the record date for the SomaLogic Record Date, you have the power to revoke your proxy at any time before it is voted at the SomaLogic Special Meeting. You can revoke your proxy in one of three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notice of revocation that is received by SomaLogic prior to 9:59 p.m., Mountain Time, on the day preceding the SomaLogic Special Meeting, stating that you would like to revoke your proxy, to SomaLogic’s Office of General Counsel at 2945 Wilderness Place Boulder, CO 80301;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0"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bearing a later date (by Internet, telephone or mail) that is received by SomaLogic prior to 9:59 p.m., Mountain Time, on the day preceding the SomaLogic Special Meeting; or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1"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SomaLogic Special Meeting online and voting during the meeting (your attendance at the meeting will not, by itself, revoke your proxy; you must vote online by ballot at the meeting to change your vote).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2"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wish to change or revoke your vote at the SomaLogic Special Meeting, you must vote virtually at such meeting or if you wish to revoke your vote at the SomaLogic Special Meeting, you must present a written notice of revocation to the Secretary of the SomaLogic Special Meeting prior to the voting at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latest dated completed proxy will be the one that counts. Written notices of revocation and other communications with respect to the revocation of any proxies should be addressed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General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SomaLogic stockholder whose shares of SomaLogic Common Stock are held in “street name” by a bank, broker, or other nominee, you may revoke your proxy or voting instructions and vote your shares of SomaLogic Common Stock online at the SomaLogic Special Meeting only in accordance with applicable rules and procedures as employed by your bank, broker, or other nominee. If your shares of SomaLogic Common Stock are held in “street name” in an account at a bank, broker, or other nominee, you must follow the directions you receive from your bank, broker, or other nominee in order to change or revoke your proxy or voting instructions and should contact your bank, broker, or other nominee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the solicitation of proxies from SomaLogic stockholders will be borne by SomaLogic. In addition to solicitations by mail, SomaLogic’s directors, officers and employees may solicit proxies personally, by telephone, by facsimile or otherwise, without additional compensation. SomaLogic will also request brokerage firms, nominees, custodians and fiduciaries to forward proxy materials to the beneficial owners of shares of SomaLogic Common Stock held of record on the SomaLogic Record Date and will provide customary reimbursement to such firms for the cost of forwarding these materials. SomaLogic has retained Morrow Sodali LLC (“Morrow Sodali”) to assist in the solicitation of proxies and has agreed to pay them a fee of approximately $20,000, plus reasonable and documented expenses, for these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currently expected, the SomaLogic Special Meeting may be adjourned for the purpose of soliciting additional proxies if SomaLogic has not received sufficient proxies to constitute a quorum or sufficient votes for approval of the SomaLogic Merger Proposal. If a quorum is not present, the SomaLogic Special Meeting may be adjourned by the person presiding over the SomaLogic Special Meeting or by a majority in voting power of the SomaLogic stockholders present (in person or by proxy) and entitled to vote at the SomaLogic Special Meeting, or in the case that no SomaLogic stockholders are present at the SomaLogic Special Meeting, the person presiding over the SomaLogic Special Meeting may adjourn the SomaLogic Special Meeting. Pursuant to the SomaLogic Bylaws, notice need not be given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POS"/>
      <w:bookmarkEnd w:id="63"/>
      <w:r>
        <w:rPr>
          <w:rFonts w:ascii="calibri;arial;sans-serif" w:hAnsi="calibri;arial;sans-serif"/>
          <w:b w:val="false"/>
          <w:i w:val="false"/>
          <w:caps w:val="false"/>
          <w:smallCaps w:val="false"/>
          <w:color w:val="000000"/>
          <w:sz w:val="16"/>
        </w:rPr>
        <w:t>​</w:t>
      </w:r>
      <w:bookmarkStart w:id="64" w:name="tATSS"/>
      <w:bookmarkEnd w:id="64"/>
      <w:r>
        <w:rPr>
          <w:rFonts w:ascii="calibri;arial;sans-serif" w:hAnsi="calibri;arial;sans-serif"/>
          <w:b w:val="false"/>
          <w:i w:val="false"/>
          <w:caps w:val="false"/>
          <w:smallCaps w:val="false"/>
          <w:color w:val="000000"/>
          <w:sz w:val="16"/>
        </w:rPr>
        <w:t>​</w:t>
      </w:r>
      <w:bookmarkStart w:id="65" w:name="tSTLI"/>
      <w:bookmarkEnd w:id="65"/>
      <w:r>
        <w:rPr>
          <w:rFonts w:ascii="calibri;arial;sans-serif" w:hAnsi="calibri;arial;sans-serif"/>
          <w:b w:val="false"/>
          <w:i w:val="false"/>
          <w:caps w:val="false"/>
          <w:smallCaps w:val="false"/>
          <w:color w:val="000000"/>
          <w:sz w:val="16"/>
        </w:rPr>
        <w:t>​</w:t>
      </w:r>
      <w:bookmarkStart w:id="66" w:name="tASS"/>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adjourned meeting if the time and place thereof are announced at the meeting at which adjournment is taken. If the SomaLogic Special Meeting is adjourned, stockholders who have already sent in their proxies will be allowed to revoke them at any time prior to their use. The Merger Agreement provides that the SomaLogic Special Meeting will not be adjourned to a date that is more than 30 days after the date for which the SomaLogic Special Meeting was originally scheduled.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Postponements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convening the SomaLogic Special Meeting, the SomaLogic Board may postpone the SomaLogic Special Meeting for the purpose of soliciting additional proxies if SomaLogic has not received sufficient proxies to constitute a quorum or sufficient votes for approval of the SomaLogic Merger Proposal. The Merger Agreement provides that the SomaLogic Special Meeting will not be postponed to a date that is more than 30 days after the date for which the SomaLogic Special Meeting was originally scheduled. Although it is not currently expected, the SomaLogic Board may postpone the SomaLogic Special Meeting for the purpose of soliciting additional proxies if SomaLogic has not received sufficient proxies to constitute a quorum or sufficient votes for approval of the SomaLogic Merger Proposal. If the SomaLogic Special Meeting is postponed for the purpose of soliciting additional proxies, stockholders who have already sent in their proxies will be allowed to revoke them at any time prior to their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attend the SomaLogic Special Meeting, you must visit               . Upon entry of your control number and other required information, you will receive further instructions via email providing you access to the SomaLogic Special Meeting and the ability to vote and submit questions during the SomaLogic Special Meeting.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attendance process, you must enter the control number located on your proxy card or in the instructions that accompanied your proxy materials. If you are a beneficial owner of SomaLogic Common Stock registered in the name of a broker, bank or other nominee, you may also need to provide the registered name on your account and the name of your broker, bank or other nominee as part of the attendance process.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day of the SomaLogic Special Meeting, stockholders may begin to log in to the virtual-only SomaLogic Special Meeting fifteen minutes prior to the SomaLogic Special Meeting. The SomaLogic Special Meeting will begin promptly at               Mountain Time.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Technicians will be ready to assist you with any technical difficulties you may have accessing the SomaLogic Special Meeting. If you encounter any difficulties accessing the virtual-only SomaLogic Special Meeting platform, including any difficulties voting or submitting questions, you may call the technical support number that will be posted in your instructional email.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SomaLogic stockholders entitled to vote at the SomaLogic Special Meeting will be available for inspection for any purpose germane to the SomaLogic Special Meeting for a period of at least 10 days prior to the SomaLogic Special Meeting (i) on a reasonably accessible electronic network, provided that the information required to gain access to such list is provided with the notice of the SomaLogic Special Meeting, or (ii) during ordinary business hours, at SomaLogic’s principal executive office, located at 2945 Wilderness Place, Boulder, CO 80301.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or have questions regarding the SomaLogic Special Meeting, please contact Morrow Sodali, SomaLogic’s proxy solicitor. Stockholders may call toll-free at (800) 662-5200 or email at SLGC@info.morrowsodali.com. Brokers and banks may call toll-free at (203) 658-9400.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SOPR"/>
      <w:bookmarkEnd w:id="67"/>
      <w:r>
        <w:rPr>
          <w:rFonts w:ascii="calibri;arial;sans-serif" w:hAnsi="calibri;arial;sans-serif"/>
          <w:b w:val="false"/>
          <w:i w:val="false"/>
          <w:caps w:val="false"/>
          <w:smallCaps w:val="false"/>
          <w:color w:val="000000"/>
          <w:sz w:val="16"/>
        </w:rPr>
        <w:t>​</w:t>
      </w:r>
      <w:bookmarkStart w:id="68" w:name="tSP1T"/>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 1: The SomaLogic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SomaLogic stockholders are asked to adopt the Merger Agreement that it has entered into with Standard BioTools and Merger Sub. SomaLogic stockholders should carefully read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in its entirety, including the documents incorporated by reference and the Merger Agreement, for more detailed information concerning the Merger Agreement and the SomaLogic Merger Proposal. For a summary and detailed information regarding this SomaLogic Merger Proposal, see the information about the Merger and the Merger Agreement throughout this joint proxy statement/prospectus, including the information set forth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beginning on pages </w:t>
      </w:r>
      <w:hyperlink w:anchor="tTHME">
        <w:r>
          <w:rPr>
            <w:rStyle w:val="InternetLink"/>
          </w:rPr>
          <w:t>76</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141</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A copy of the Merger Agreement dated as of October 4, 2023, by and among Standard BioTools, SomaLogic and Merger Sub,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SomaLogic Merger Proposal is a condition to the consummation of the Merger.</w:t>
      </w:r>
      <w:r>
        <w:rPr>
          <w:rFonts w:ascii="Times New Roman;Times;serif" w:hAnsi="Times New Roman;Times;serif"/>
          <w:b w:val="false"/>
          <w:i w:val="false"/>
          <w:caps w:val="false"/>
          <w:smallCaps w:val="false"/>
          <w:color w:val="000000"/>
          <w:spacing w:val="4"/>
          <w:sz w:val="20"/>
        </w:rPr>
        <w:t>   If the SomaLogic Merger Proposal is not approved, the Merger will not occur. Approval of the SomaLogic Merger Proposal requires the affirmative vote of the holders of a majority of all outstanding shares of SomaLogic Common Stock entitled to vote at the SomaLogic Special Meeting. If you abstain from voting, fail to cast your vote, in person or by proxy, or fail to give voting instructions to your brokerage firm, bank, trust or other nominee,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proposal to adopt the Merger Agreement. See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reviewed and evaluated the Merger, the Merger Agreement and the transactions contemplated thereby, including the SomaLogic Merger Proposal, and considered and evaluated alternatives available to SomaLogic. The SomaLogic Board unanimously determined by vote of all participating directors that the Merger and the Merger Agreement were advisable and in the best interests of SomaLogic and its stockholders, approved the Merger Agreement and recommended that SomaLogic stockholders adopt the Merger Agreement.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unanimously recommends by vote of all participating directors that SomaLogic stockholders vote “FOR” the SomaLogic Merger Proposal to adopt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P2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 2: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are asked to approve adjournments of the SomaLogic Special Meeting from time to time, if necessary or appropriate, to solicit additional affirmative votes in favor of the SomaLogic Merger Proposal if there are insufficient votes at the time of such adjournment to approve the SomaLogic Merger Proposal or to ensure that any supplement or amendment to this joint proxy statement/prospectus is timely provided to SomaLogic stockholders. The Merger Agreement provides that the SomaLogic Special Meeting will not be postponed or adjourned to a date that is more than 30 days after the date for which the SomaLogic Special Meeting was originally scheduled. Consummation of the Merger is not conditioned on the approval of this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SomaLogic stockholders approve this SomaLogic Adjournment Proposal, SomaLogic could adjourn or postpone the SomaLogic Special Meeting, and any adjourned or postponed session of the SomaLogic Special Meeting and use the additional time to solicit additional proxies for the approval of the SomaLogic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SomaLogic Special Meeting, the number of shares of SomaLogic Common Stock present in person or by proxy and voting in favor of the SomaLogic Merger Proposal is not sufficient to approve that proposal, SomaLogic may move to adjourn the Special Meeting in order to enable the SomaLogic Board to solicit additional proxies for the approval of the SomaLogic Merger Proposal. In that event, the SomaLogic stockholders will be asked to vote only upon the SomaLogic Adjournment Proposal, and not the SomaLogic Merger Proposal. The approval of the SomaLogic Adjournment Proposal requires the affirmative vote of the holders of a majority in voting power of the votes cast on such proposal at the SomaLogic Special Meeting. If you abstain from voting on the SomaLogic Adjournment Proposal, it will have no effect on the outcome of the vote for the SomaLogic Adjournment Proposal. If you fail to cast your vote, in person or by proxy, or fail to give voting instructions to your brokerage firm, bank, trust or other nominee, it will have no effect on the outcome of the vote for the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Adjournment Proposal relates only to adjournments of the SomaLogic Special Meeting occurring for purposes of soliciting additional proxies for approval of SomaLogic Merger Proposal in the event that there are insufficient votes to approve that proposal or to ensure that any supplement or amendment to this joint proxy statement/prospectus is timely provided to SomaLogic stockholders. SomaLogic may also choose to (i) adjourn the meeting at any time or (ii) postpone the meeting before it is convened without stockholder approval, in each case under the authority provided by the SomaLogic Bylaws and Delaware law. In the case that a quorum is not present at the SomaLogic Special Meeting, the SomaLogic Bylaws provide that the meeting may be adjourned by either (i) the person presiding over the Special Meeting or (ii) a majority in voting power of the SomaLogic stockholders entitled to vote at the Special Meeting, present in person, or by remote communication, if applicable, or represented by proxy. If a quorum is not present at the SomaLogic Special Meeting, each vote cast in favor of the SomaLogic Adjournment Proposal will also count as a vote cast in favor of adjourning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unanimously recommends by vote of all participating directors that SomaLogic stockholders vote “FOR” the SomaLogic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TSBS"/>
      <w:bookmarkEnd w:id="70"/>
      <w:r>
        <w:rPr>
          <w:rFonts w:ascii="calibri;arial;sans-serif" w:hAnsi="calibri;arial;sans-serif"/>
          <w:b w:val="false"/>
          <w:i w:val="false"/>
          <w:caps w:val="false"/>
          <w:smallCaps w:val="false"/>
          <w:color w:val="000000"/>
          <w:sz w:val="16"/>
        </w:rPr>
        <w:t>​</w:t>
      </w:r>
      <w:bookmarkStart w:id="71" w:name="tDTAP"/>
      <w:bookmarkEnd w:id="71"/>
      <w:r>
        <w:rPr>
          <w:rFonts w:ascii="calibri;arial;sans-serif" w:hAnsi="calibri;arial;sans-serif"/>
          <w:b w:val="false"/>
          <w:i w:val="false"/>
          <w:caps w:val="false"/>
          <w:smallCaps w:val="false"/>
          <w:color w:val="000000"/>
          <w:sz w:val="16"/>
        </w:rPr>
        <w:t>​</w:t>
      </w:r>
      <w:bookmarkStart w:id="72" w:name="tPOTS"/>
      <w:bookmarkEnd w:id="72"/>
      <w:r>
        <w:rPr>
          <w:rFonts w:ascii="calibri;arial;sans-serif" w:hAnsi="calibri;arial;sans-serif"/>
          <w:b w:val="false"/>
          <w:i w:val="false"/>
          <w:caps w:val="false"/>
          <w:smallCaps w:val="false"/>
          <w:color w:val="000000"/>
          <w:sz w:val="16"/>
        </w:rPr>
        <w:t>​</w:t>
      </w:r>
      <w:bookmarkStart w:id="73" w:name="tROTS"/>
      <w:bookmarkEnd w:id="73"/>
      <w:r>
        <w:rPr>
          <w:rFonts w:ascii="calibri;arial;sans-serif" w:hAnsi="calibri;arial;sans-serif"/>
          <w:b w:val="false"/>
          <w:i w:val="false"/>
          <w:caps w:val="false"/>
          <w:smallCaps w:val="false"/>
          <w:color w:val="000000"/>
          <w:sz w:val="16"/>
        </w:rPr>
        <w:t>​</w:t>
      </w:r>
      <w:bookmarkStart w:id="74" w:name="tRDFT"/>
      <w:bookmarkEnd w:id="74"/>
      <w:r>
        <w:rPr>
          <w:rFonts w:ascii="calibri;arial;sans-serif" w:hAnsi="calibri;arial;sans-serif"/>
          <w:b w:val="false"/>
          <w:i w:val="false"/>
          <w:caps w:val="false"/>
          <w:smallCaps w:val="false"/>
          <w:color w:val="000000"/>
          <w:sz w:val="16"/>
        </w:rPr>
        <w:t>​</w:t>
      </w:r>
      <w:bookmarkStart w:id="75" w:name="tREDA"/>
      <w:bookmarkEnd w:id="75"/>
      <w:r>
        <w:rPr>
          <w:rFonts w:ascii="calibri;arial;sans-serif" w:hAnsi="calibri;arial;sans-serif"/>
          <w:b w:val="false"/>
          <w:i w:val="false"/>
          <w:caps w:val="false"/>
          <w:smallCaps w:val="false"/>
          <w:color w:val="000000"/>
          <w:sz w:val="16"/>
        </w:rPr>
        <w:t>​</w:t>
      </w:r>
      <w:bookmarkStart w:id="76" w:name="tQUO"/>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Special Meeting will be held at               , local time, on               , 2023, entirely online by accessing                . On or about               , 2023, Standard BioTools commenced mailing this joint proxy statement/prospectus and the enclosed form of proxy card to its stockholders entitled to vote at the Standard BioTools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Standard BioTools Special Meeting, Standard BioTools stockholders will be asked to consider and vote upon the following proposals: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 Issuance Proposal; </w:t>
      </w:r>
      <w:r>
        <mc:AlternateContent>
          <mc:Choice Requires="wps">
            <w:drawing>
              <wp:anchor behindDoc="0" distT="8890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3"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Charter Amendment Proposal; </w:t>
      </w:r>
      <w:r>
        <mc:AlternateContent>
          <mc:Choice Requires="wps">
            <w:drawing>
              <wp:anchor behindDoc="0" distT="8890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14"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Advisory Compensation Proposal; </w:t>
      </w:r>
      <w:r>
        <mc:AlternateContent>
          <mc:Choice Requires="wps">
            <w:drawing>
              <wp:anchor behindDoc="0" distT="8890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5"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Equity Incentive Plan Amendment Proposal; and </w:t>
      </w:r>
      <w:r>
        <mc:AlternateContent>
          <mc:Choice Requires="wps">
            <w:drawing>
              <wp:anchor behindDoc="0" distT="8890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6"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Adjournment Proposal. </w:t>
      </w:r>
      <w:r>
        <mc:AlternateContent>
          <mc:Choice Requires="wps">
            <w:drawing>
              <wp:anchor behindDoc="0" distT="8890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7"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Standard BioTools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Board recommends that the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Adjournment Proposal.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beginning on page </w:t>
      </w:r>
      <w:hyperlink w:anchor="tSBRF1">
        <w:r>
          <w:rPr>
            <w:rStyle w:val="InternetLink"/>
          </w:rPr>
          <w:t>93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the Merger is conditioned on approval of the Standard BioTools Share Issuance Proposal and the Standard BioTools Charter Amendment Proposal. Consummation of the Merger is not conditioned on the approval of the Standard BioTools Advisory Compensation Proposal, the Standard BioTools Equity Incentive Plan Amendment Proposal and/or the Standard BioTools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for the Standard BioTools Special Meeting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Record Date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Standard BioTools Common Stock, Standard BioTools’ Series B-1 preferred stock (the “Series B-1 Preferred Stock”) and Standard BioTools’ Series B-2 preferred stock (the “Series B-2 Preferred Stock,” and together with the Series B-1 Preferred Stock, the “Series B Preferred Stock”) at 5:00 p.m. U.S. Eastern Time on               , the record date for the Standard BioTools Special Meeting, will be entitled to notice of, and to vote at, the Standard BioTools Special Meeting or any postponements or adjournments thereof. Each share of Standard BioTools Common Stock entitles the holder thereof to cast one vote on each matter that comes before the Standard BioTools Special Meeting. Each holder of Series B-1 Preferred Stock or Series B-2 Preferred Stock is entitled to the number of votes per share of Series B-1 Preferred Stock and Series B-2 Preferred Stock calculated in accordance with the Certificates of Designations filed herewith as Exhibits 3.6 and 3.7,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Standard BioTools Record Date, there were               shares of Standard BioTools Common Stock and               shares of Series B Preferred Stock outstanding and entitled to vote at the Standard BioTools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business to be conducted at the Standard BioTools Special Meeting, a quorum must be present. A quorum will be present at the Standard BioTools Special Meeting if the holders of a majority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REVO"/>
      <w:bookmarkEnd w:id="77"/>
      <w:r>
        <w:rPr>
          <w:rFonts w:ascii="calibri;arial;sans-serif" w:hAnsi="calibri;arial;sans-serif"/>
          <w:b w:val="false"/>
          <w:i w:val="false"/>
          <w:caps w:val="false"/>
          <w:smallCaps w:val="false"/>
          <w:color w:val="000000"/>
          <w:sz w:val="16"/>
        </w:rPr>
        <w:t>​</w:t>
      </w:r>
      <w:bookmarkStart w:id="78" w:name="tSBVA"/>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Standard BioTools capital stock issued and outstanding and entitled to vote as of the close of business on the Standard BioTools Record Date are present virtually at the Standard BioTools Special Meeting or represented by proxy. Abstentions (Standard BioTools shares for which proxies have been received but for which the holders have abstained from voting or as to which the holder attends the Standard BioTools Special Meeting but does not vote) will be counted as present and entitled to vote for purposes of determining a quorum. A failure to instruct your bank, broker or other nominee will result in your shares not being included in the calculation of the number of shares of Standard BioTools capital stock represented at the Standard BioTools Special Meeting for purposes of determining whether a quorum has been achieved. However, your shares of Standard BioTools capital stock will be counted toward determining whether a quorum is present if you instruct your bank, broker or other nominee on how to vote your shares of Standard BioTools capital stock with respect to one or more of the Standard BioTools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by Standard BioTools stockholders of the Standard BioTools Share Issuance Proposal and the Standard BioTools Charter Amendment Proposal is a condition to the consummation of the Merger. If the Standard BioTools Share Issuance Proposal or the Standard BioTools Charter Amendment Proposal is not approved, the Merger will not be consummated. Approval by the Standard BioTools stockholders of the Standard BioTools Advisory Compensation Proposal, the Standard BioTools Equity Incentive Plan Amendment Proposal and/or the Standard BioTools Adjournment Proposal is not a condition to the consummation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Share Issuance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Share Issuance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Charter Amendment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Charter Amendment Proposal requires the affirmative vote of the majority of the votes cast on such proposal at the Standard BioTools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Advisory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Advisory Compensation Proposal requires the affirmative vote of the holders of a majority of the voting power of the shares present in person or represented by proxy at the Standard BioTools Special Meeting and entitled to vote on the subject matter. Because the vote on the Standard BioTools Advisory Compensation Proposal is advisory only, it will not be binding on Standard BioTools.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Equity Incentive Plan Amendment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Equity Incentive Plan Amendment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Adjournment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Simultaneously with the execution of the Merger Agreement, Standard BioTools entered into voting agreements with its directors and officers (excluding Eli Casdin) and Viking (in its capacity as a stockholder of Standard BioTools), which collectively owned beneficially and of record, approximately 16%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VBSB"/>
      <w:bookmarkEnd w:id="79"/>
      <w:r>
        <w:rPr>
          <w:rFonts w:ascii="calibri;arial;sans-serif" w:hAnsi="calibri;arial;sans-serif"/>
          <w:b w:val="false"/>
          <w:i w:val="false"/>
          <w:caps w:val="false"/>
          <w:smallCaps w:val="false"/>
          <w:color w:val="000000"/>
          <w:sz w:val="16"/>
        </w:rPr>
        <w:t>​</w:t>
      </w:r>
      <w:bookmarkStart w:id="80" w:name="tVOPI1"/>
      <w:bookmarkEnd w:id="80"/>
      <w:r>
        <w:rPr>
          <w:rFonts w:ascii="calibri;arial;sans-serif" w:hAnsi="calibri;arial;sans-serif"/>
          <w:b w:val="false"/>
          <w:i w:val="false"/>
          <w:caps w:val="false"/>
          <w:smallCaps w:val="false"/>
          <w:color w:val="000000"/>
          <w:sz w:val="16"/>
        </w:rPr>
        <w:t>​</w:t>
      </w:r>
      <w:bookmarkStart w:id="81" w:name="tFTVB1"/>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shares of Standard BioTools capital stock, pursuant to which such stockholders have agreed, among other things, to vote the shares of Standard BioTools capital stock. owned by such stockholders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Standard BioTools’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Standard BioTools Record Date, directors and executive officers of Standard BioTools and their affiliates owned and were entitled to vote            shares of Standard BioTools Common Stock, representing approximately            % of the Standard BioTools Common Stock outstanding on that date, and               shares of Series B Preferred Stock, representing approximately           % of the Series B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The Merger — Standard BioTools Voting Agreements</w:t>
      </w:r>
      <w:r>
        <w:rPr>
          <w:rFonts w:ascii="Times New Roman;Times;serif" w:hAnsi="Times New Roman;Times;serif"/>
          <w:b w:val="false"/>
          <w:i w:val="false"/>
          <w:caps w:val="false"/>
          <w:smallCaps w:val="false"/>
          <w:color w:val="000000"/>
          <w:spacing w:val="4"/>
          <w:sz w:val="20"/>
        </w:rPr>
        <w:t xml:space="preserve">” for a description of voting agreements entered into by Standard BioTools’ directors and executive officers (excluding Eli Casdin) and Viking, in its capacity as a stockholder of Standard BioTools.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Standard BioTools Common Stock or Series B Preferred Stock as of the Standard BioTools Record Date, a proxy card is enclosed for your use. Standard BioTools requests that Standard BioTools stockholders sign the accompanying proxy and return it promptly in the enclosed postage-paid envelope. Standard BioTools stockholders may also authorize a proxy to vote their Standard BioTools Common Stock or Series B Preferred Stock by telephone or through the Internet. Information and applicable deadlines for authorizing a proxy to vote by telephone or through the Internet are set forth on the enclosed proxy card. When the accompanying proxy is returned properly executed, the Standard BioTools Common Stock or Series B Preferred Stock represented by it will be voted at the Standard BioTools Special Meeting or any adjournment or postponement thereof in accordance with the instructions contained in the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is signed and returned without an indication as to how the Standard BioTools Common Stock or Series B Preferred Stock represented by the proxy are to be voted with regard to a particular proposal, the Standard BioTools Common Stock or Series B Preferred Stock represented by the proxy will be voted in favor of each such proposal, as applicable, in accordance with the recommendation of the Standard BioTools Board. In accordance with the Standard BioTools Bylaws and the DGCL, except as otherwise required by law, business transacted at the Standard BioTools Special Meeting will be limited to those matters set forth in the notice of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Accordingly, please submit a proxy as soon as possible by telephone, over the Internet, or by signing and returning the enclosed proxy card, whether or not you plan to attend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Failures to Vote, 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Standard BioTools shares in a stock brokerage account or if your Standard BioTools shares are held by a bank, broker, or other nominee (that is, in “street name”), you must provide the record holder of your shares with instructions on how to vote your Standard BioTools shares. Please follow the voting instructions provided by your bank, broker, or other nominee. Please note that you are not permitted to vote Standard BioTools shares held in “street name” by returning a proxy card directly to Standard BioTools or by voting virtually at the Standard BioTools Special Meeting unless you provide a “legal proxy,” which you must obtain from your bank, broker, or other nominee. Obtaining a legal proxy may take several days. Further, brokers who hold Standard BioTools shares on behalf of their customers may not give a proxy to Standard BioTools to vote those shares without specific instructions from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your bank, broker, or other nominee holds your Standard BioTools shares in “street name” as of the Standard BioTools Record Date and you fail to instruct your bank, broker, or other nominee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ROPA1"/>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your Standard BioTools shares, your bank, broker or other nominee will not be permitted to vote on your behalf on the Standard BioTools Proposals and your Standard BioTools shares will not be counted towards determining whether a quorum is present. Your Standard BioTools shares will, however, be counted toward determining whether a quorum is present if you instruct your bank, broker or other nominee on how to vote your Standard BioTools shares with respect to each of the Standard BioTools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your Standard BioTools shares are held in “street name,” you are welcome to attend the Standard BioTools Special Meeting. If your Standard BioTools shares are held in street name, you may not vote your Standard BioTools shares virtually at the Standard BioTools Special Meeting unless you obtain a proxy, executed in your favor, from the holder of record (i.e., your bank, broker, or other nominee). If you hold your Standard BioTools shares in “street name” and wish to vote virtually at the Standard BioTools Special Meeting, please contact your bank, broker or other nominee before the Standard BioTools Special Meeting to obtain the necessary proxy from the holder of record.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Standard BioTools Special Meeting are non-routine and brokers will not have discretionary authority to vote on any of the Standard BioTools Proposals, Standard BioTools does not expect to receive any broker non-votes. If broker non-votes were received, they would not have any impact on the outcome of the Standard BioTools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(virtually or by proxy)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will have no effect on the outcome of the vote for the Standard BioTools Charter Amendment Proposal. If you fail to submit a proxy or fail to vote at the Standard BioTools Special Meeting it will have no effect on the outcome of the vote for the Standard BioTools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 and Changes to a Standard BioTools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Standard BioTools shares on the Standard BioTools Record Date, you have the power to revoke your proxy at any time before your proxy is exercised at the Standard BioTools Special Meeting. You can revoke your proxy in one of three ways: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notice of revocation that is received by Standard BioTools prior to 11:59 p.m., U.S. Eastern Time, on the day preceding the Standard BioTools Special Meeting, stating that you would like to revoke your proxy, to Standard BioTools’ Corporate Secretary at Standard BioTools Inc., 2 Tower Place, Suite 2000, South San Francisco, California 94080, Attn: Corporate Secretary; </w:t>
      </w:r>
      <w:r>
        <mc:AlternateContent>
          <mc:Choice Requires="wps">
            <w:drawing>
              <wp:anchor behindDoc="0" distT="7747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bearing a later date (by Internet, telephone or mail) that is received by Standard BioTools prior to 11:59 p.m., U.S. Eastern Time, on the day preceding the Standard BioTools Special Meeting; or </w:t>
      </w:r>
      <w:r>
        <mc:AlternateContent>
          <mc:Choice Requires="wps">
            <w:drawing>
              <wp:anchor behindDoc="0" distT="7747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attending the Standard BioTools Special Meeting and voting virtually or bringing a written notice of revocation to the Secretary of the Standard BioTools Special Meeting prior to the voting at the Standard BioTools Special Meeting (your attendance at the meeting will not, by itself, revoke your proxy; you must vote virtually by ballot at the meeting to change your vote or submit a written notice of revocation to revoke your proxy). Attending the Standard BioTools Special Meeting will not automatically revoke a proxy that was submitted through the Internet or by telephone or mail. </w:t>
      </w:r>
      <w:r>
        <w:rPr>
          <w:rFonts w:ascii="Times New Roman;Times;serif" w:hAnsi="Times New Roman;Times;serif"/>
          <w:b/>
          <w:i w:val="false"/>
          <w:caps w:val="false"/>
          <w:smallCaps w:val="false"/>
          <w:color w:val="000000"/>
          <w:spacing w:val="-4"/>
          <w:sz w:val="20"/>
        </w:rPr>
        <w:t>If you wish to change your vote at the Standard BioTools Special Meeting, you must vote by ballot at such meeting to change your vote, or if you wish to revoke your vote at the Standard BioTools Special Meeting you must bring a written notice of revocation to the Secretary of the Standard BioTools Special Meeting prior to the voting of the Standard BioTools Special Meeting.</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Standard BioTools stockholder whose shares are held in “street name” by a bank, broker, or other nominee, you may revoke your proxy and vote your Standard BioTools shares virtually at the Standard BioTools Special Meeting only in accordance with applicable rules and procedures as employed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SOP1"/>
      <w:bookmarkEnd w:id="83"/>
      <w:r>
        <w:rPr>
          <w:rFonts w:ascii="calibri;arial;sans-serif" w:hAnsi="calibri;arial;sans-serif"/>
          <w:b w:val="false"/>
          <w:i w:val="false"/>
          <w:caps w:val="false"/>
          <w:smallCaps w:val="false"/>
          <w:color w:val="000000"/>
          <w:sz w:val="16"/>
        </w:rPr>
        <w:t>​</w:t>
      </w:r>
      <w:bookmarkStart w:id="84" w:name="tADJ1"/>
      <w:bookmarkEnd w:id="84"/>
      <w:r>
        <w:rPr>
          <w:rFonts w:ascii="calibri;arial;sans-serif" w:hAnsi="calibri;arial;sans-serif"/>
          <w:b w:val="false"/>
          <w:i w:val="false"/>
          <w:caps w:val="false"/>
          <w:smallCaps w:val="false"/>
          <w:color w:val="000000"/>
          <w:sz w:val="16"/>
        </w:rPr>
        <w:t>​</w:t>
      </w:r>
      <w:bookmarkStart w:id="85" w:name="tPOS1"/>
      <w:bookmarkEnd w:id="85"/>
      <w:r>
        <w:rPr>
          <w:rFonts w:ascii="calibri;arial;sans-serif" w:hAnsi="calibri;arial;sans-serif"/>
          <w:b w:val="false"/>
          <w:i w:val="false"/>
          <w:caps w:val="false"/>
          <w:smallCaps w:val="false"/>
          <w:color w:val="000000"/>
          <w:sz w:val="16"/>
        </w:rPr>
        <w:t>​</w:t>
      </w:r>
      <w:bookmarkStart w:id="86" w:name="tATSB"/>
      <w:bookmarkEnd w:id="86"/>
      <w:r>
        <w:rPr>
          <w:rFonts w:ascii="calibri;arial;sans-serif" w:hAnsi="calibri;arial;sans-serif"/>
          <w:b w:val="false"/>
          <w:i w:val="false"/>
          <w:caps w:val="false"/>
          <w:smallCaps w:val="false"/>
          <w:color w:val="000000"/>
          <w:sz w:val="16"/>
        </w:rPr>
        <w:t>​</w:t>
      </w:r>
      <w:bookmarkStart w:id="87" w:name="tSTLI1"/>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bank, broker, or other nominee. If your shares are held in an account at a bank, broker, or other nominee, you should contact your bank, broker, or other nominee to change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the solicitation of proxies from Standard BioTools stockholders will be borne by Standard BioTools. In addition to solicitations by mail, Standard BioTools’ directors, officers and employees may solicit proxies personally, by telephone, by facsimile or otherwise, without additional compensation. Standard BioTools will also request brokerage firms, nominees, custodians and fiduciaries to forward proxy materials to the beneficial owners of Standard BioTools shares held of record on the Standard BioTools Record Date and will provide customary reimbursement to such firms for the cost of forwarding these materials. Standard BioTools has retained Alliance Advisors, LLC (“Alliance Advisors”) to assist in the solicitation of proxies and has agreed to pay them a fee of approximately $25,000, plus reasonable and documented expenses, for these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currently expected, the Standard BioTools Special Meeting may be adjourned for the purpose of soliciting additional proxies if Standard BioTools has not received sufficient proxies to constitute a quorum or sufficient votes for approval of the Standard BioTools Share Issuance Proposal and the Standard BioTools Charter Amendment Proposal or to ensure that any supplement or amendment to this joint proxy statement/prospectus is timely provided to Standard BioTools stockholders. Pursuant to the Standard BioTools Bylaws, notice need not be given of any such adjourned meeting if the time and place thereof are announced at the meeting at which adjournment is taken. If the Standard BioTools Special Meeting is adjourned for the purpose of soliciting additional proxies, stockholders who have already sent in their proxies will be allowed to revoke them at any time prior to their use. The Merger Agreement provides that the Standard BioTools Special Meeting will not be adjourned to a date that is more than an aggregate of 30 days after the date for which the Standard BioTools Special Meeting was originally scheduled.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Postponements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convening the Standard BioTools Special Meeting, the Standard BioTools Board may postpone the meeting for any reason without the approval of the Standard BioTools stockholders. The Merger Agreement provides that the Standard BioTools Special Meeting will not be postponed to a date that is more than 10 business days after the date for which the Standard BioTools Special Meeting was originally scheduled without the consent of SomaLogic. Although it is not currently expected, the Standard BioTools Board may postpone the Standard BioTools Special Meeting for the purpose of soliciting additional proxies if Standard BioTools has not received sufficient proxies to constitute a quorum or sufficient votes for approval of the Standard BioTools Share Issuance Proposal. If the Standard BioTools Special Meeting is postponed for the purpose of soliciting additional proxies, stockholders who have already sent in their proxies will be allowed to revoke them at any time prior to their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space availability and certain security procedures, all Standard BioTools stockholders as of the Standard BioTools Record Date, or their duly appointed proxies, may attend the Standard BioTools Special Meeting. Each person attending the Standard BioTools Special Meeting must have proof of ownership of Standard BioTools shares, as well as a valid government-issued photo identification, such as a driver’s license or passport, to be admitted to the meeting. If you hold your Standard BioTools shares in your name as a stockholder of record, you will need proof of ownership of Standard BioTools shares. If your Standard BioTools shares are held in “street name” in the name of a bank, broker, or other nominee and you plan to attend the Standard BioTools Special Meeting, you must present proof of your ownership of Standard BioTools shares, such as a bank or brokerage account statement, to be admitted to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Standard BioTools stockholders entitled to vote at the Standard BioTools Special Meeting will be available for inspection for any purpose germane to the Standard BioTools Special Meeting for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ASS1"/>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of at least 10 days prior to the Standard BioTools Special Meeting (i) on a reasonably accessible electronic network, provided that the information required to gain access to such list is provided with the notice of the Standard BioTools Special Meeting, or (ii) during ordinary business hours, at Standard BioTools’ corporate office, located at 2 Tower Place, Suite 2000, South San Francisco, California 94080.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or have questions regarding the Standard BioTools Special Meeting, please contact Alliance Advisors, the proxy solicitor for Standard BioTools, by telephone toll-free at (800) 574-5969.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SBP"/>
      <w:bookmarkEnd w:id="89"/>
      <w:r>
        <w:rPr>
          <w:rFonts w:ascii="calibri;arial;sans-serif" w:hAnsi="calibri;arial;sans-serif"/>
          <w:b w:val="false"/>
          <w:i w:val="false"/>
          <w:caps w:val="false"/>
          <w:smallCaps w:val="false"/>
          <w:color w:val="000000"/>
          <w:sz w:val="16"/>
        </w:rPr>
        <w:t>​</w:t>
      </w:r>
      <w:bookmarkStart w:id="90" w:name="tSBP1"/>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1: The Standard BioTools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stockholders are asked to approve the issuance of Standard BioTools Common Stock to SomaLogic stockholders in connection with the Merger in accordance with Nasdaq Listing Rule 5625(a). Standard BioTools stockholders should carefully read this joint proxy statement/prospectus in its entirety, including the documents incorporated by reference, and the Merger Agreement, for more detailed information concerning the Merger Agreement and the Standard BioTools Share Issuance Proposal. For a detailed discussion of the terms of the Merger Agreement and the Merger, including the proposed Standard BioTools share issuance, see the information about the Merger and the Merger Agreement throughout this joint proxy statement/prospectus, including the information set forth in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beginning on pages </w:t>
      </w:r>
      <w:hyperlink w:anchor="tTHME">
        <w:r>
          <w:rPr>
            <w:rStyle w:val="InternetLink"/>
          </w:rPr>
          <w:t>76</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141</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A copy of the Merger Agreement is attached as </w:t>
      </w:r>
      <w:r>
        <w:rPr>
          <w:rFonts w:ascii="Times New Roman;Times;serif" w:hAnsi="Times New Roman;Times;serif"/>
          <w:b w:val="false"/>
          <w:i w:val="false"/>
          <w:caps w:val="false"/>
          <w:smallCaps w:val="false"/>
          <w:color w:val="000000"/>
          <w:spacing w:val="4"/>
          <w:sz w:val="20"/>
          <w:u w:val="single"/>
        </w:rPr>
        <w:t xml:space="preserve">Annex A </w:t>
      </w:r>
      <w:r>
        <w:rPr>
          <w:rFonts w:ascii="Times New Roman;Times;serif" w:hAnsi="Times New Roman;Times;serif"/>
          <w:b w:val="false"/>
          <w:i w:val="false"/>
          <w:caps w:val="false"/>
          <w:smallCaps w:val="false"/>
          <w:color w:val="000000"/>
          <w:spacing w:val="4"/>
          <w:sz w:val="20"/>
        </w:rPr>
        <w:t>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Standard BioTools Share Issuance Proposal is a condition to the consummation of the Merger.   </w:t>
      </w:r>
      <w:r>
        <w:rPr>
          <w:rFonts w:ascii="Times New Roman;Times;serif" w:hAnsi="Times New Roman;Times;serif"/>
          <w:b w:val="false"/>
          <w:i w:val="false"/>
          <w:caps w:val="false"/>
          <w:smallCaps w:val="false"/>
          <w:color w:val="000000"/>
          <w:spacing w:val="4"/>
          <w:sz w:val="20"/>
        </w:rPr>
        <w:t>If the Standard BioTools Share Issuance Proposal is not approved, the Merger will not occur. For a detailed discussion of the conditions of the Merger, see “</w:t>
      </w:r>
      <w:r>
        <w:rPr>
          <w:rFonts w:ascii="Times New Roman;Times;serif" w:hAnsi="Times New Roman;Times;serif"/>
          <w:b w:val="false"/>
          <w:i/>
          <w:caps w:val="false"/>
          <w:smallCaps w:val="false"/>
          <w:color w:val="000000"/>
          <w:spacing w:val="4"/>
          <w:sz w:val="20"/>
        </w:rPr>
        <w:t>The Merger Agreement — Conditions to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Share Issuance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Share Issuance Proposal. If you fail to cast your vote, in person or by proxy, or fail to give voting instructions to your brokerage firm, bank, trust or other nominee, it will have no effect on the outcome of the vote for the Standard BioTools Share Issuance Proposal.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Board formed a transaction committee (the “Standard BioTools Transaction Committee”) of three independent directors as further described in “</w:t>
      </w:r>
      <w:r>
        <w:rPr>
          <w:rFonts w:ascii="Times New Roman;Times;serif" w:hAnsi="Times New Roman;Times;serif"/>
          <w:b w:val="false"/>
          <w:i/>
          <w:caps w:val="false"/>
          <w:smallCaps w:val="false"/>
          <w:color w:val="000000"/>
          <w:spacing w:val="4"/>
          <w:sz w:val="20"/>
        </w:rPr>
        <w:t>The Merger — Background of the Merger</w:t>
      </w:r>
      <w:r>
        <w:rPr>
          <w:rFonts w:ascii="Times New Roman;Times;serif" w:hAnsi="Times New Roman;Times;serif"/>
          <w:b w:val="false"/>
          <w:i w:val="false"/>
          <w:caps w:val="false"/>
          <w:smallCaps w:val="false"/>
          <w:color w:val="000000"/>
          <w:spacing w:val="4"/>
          <w:sz w:val="20"/>
        </w:rPr>
        <w:t xml:space="preserve">” beginning on page </w:t>
      </w:r>
      <w:hyperlink w:anchor="tBOTM">
        <w:r>
          <w:rPr>
            <w:rStyle w:val="InternetLink"/>
          </w:rPr>
          <w:t>76</w:t>
        </w:r>
      </w:hyperlink>
      <w:r>
        <w:rPr>
          <w:rFonts w:ascii="Times New Roman;Times;serif" w:hAnsi="Times New Roman;Times;serif"/>
          <w:b w:val="false"/>
          <w:i w:val="false"/>
          <w:caps w:val="false"/>
          <w:smallCaps w:val="false"/>
          <w:color w:val="000000"/>
          <w:spacing w:val="4"/>
          <w:sz w:val="20"/>
        </w:rPr>
        <w:t xml:space="preserve"> of this joint proxy statement/prospectus. The Standard BioTools Board, upon the unanimous recommendation of the Standard BioTools Transaction Committee, unanimously determined by vote of all participating directors that the Merger Agreement and the Merger are advisable and in the best interests of Standard BioTools and its stockholders, adopted and approved the Merger Agreement and transactions contemplated thereby, and recommended that Standard BioTools stockholders approve the Standard BioTools Share Issuance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Share Issuance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SBP2"/>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2: The Standard BioTools Charter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stockholders are asked to approve an amendment to the Standard BioTools Charter to increase the number of authorized shares of Standard BioTools Common Stock from 400,000,000 shares to 600,000,000 shares. A copy of the proposed amendment is attached as </w:t>
      </w:r>
      <w:r>
        <w:rPr>
          <w:rFonts w:ascii="Times New Roman;Times;serif" w:hAnsi="Times New Roman;Times;serif"/>
          <w:b w:val="false"/>
          <w:i w:val="false"/>
          <w:caps w:val="false"/>
          <w:smallCaps w:val="false"/>
          <w:color w:val="000000"/>
          <w:spacing w:val="4"/>
          <w:sz w:val="20"/>
          <w:u w:val="single"/>
        </w:rPr>
        <w:t>Annex D</w:t>
      </w:r>
      <w:r>
        <w:rPr>
          <w:rFonts w:ascii="Times New Roman;Times;serif" w:hAnsi="Times New Roman;Times;serif"/>
          <w:b w:val="false"/>
          <w:i w:val="false"/>
          <w:caps w:val="false"/>
          <w:smallCaps w:val="false"/>
          <w:color w:val="000000"/>
          <w:spacing w:val="4"/>
          <w:sz w:val="20"/>
        </w:rPr>
        <w:t xml:space="preserve"> to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Standard BioTools will be required to issue shares of Standard BioTools Common Stock to SomaLogic stockholders pursuant to the terms of the Merger Agreement. Additionally, as a result of the Merger, Standard BioTools may be required to issue additional shares of Standard BioTools Common Stock in satisfaction of certain obligations of the combined company, as described herein. Further, if the Standard BioTools Equity Incentive Plan Amendment Proposal is approved, Standard BioTools will reserve additional shares of Standard BioTools Common Stock for future issuance under the A&amp;R 2011 Plan. Given the foregoing, the Standard BioTools Board believes the increase in the number of authorized shares of Standard BioTools Common Stock contemplated by the Standard BioTools Charter Amendment Proposal is necessary to ensure an adequate number of shares of Standard BioTools Common Stock are available for the: (i) issuance of shares of Standard BioTools Common Stock to SomaLogic stockholders pursuant to the terms of the Merger Agreement, (ii) future issuance of shares of Standard BioTools Common Stock under the A&amp;R 2011 Plan and the SomaLogic Plans being assumed by Standard BioTools as a result of the Merger, (iii) future issuance of shares of Standard BioTools Common Stock underlying Assumed SomaLogic Awards, (iv) future issuance of shares of Standard BioTools Common Stock underlying SomaLogic Warrants and (v) future issuance of shares of Standard BioTools Common Stock in satisfaction of milestone consideration that may become payable by Standard BioTools pursuant to the Palamedrix Merger Agreement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Standard BioTools Board believes the increase in the number of authorized shares of Standard BioTools Common Stock contemplated by the Standard BioTools Charter Amendment Proposal is necessary to ensure there will be sufficient shares available for issuance in connection with possible future acquisitions, equity and equity-based financings, possible future awards under employee benefit plans and other corporate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herein, Standard BioTools does not currently have any plans, proposals or arrangement to issue any of its authorized but unissued shares of Standard BioTools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amendment would not increase or otherwise affect the Standard BioTools authorized preferred stock, nor would it have any effect on par value. The Standard BioTools Common Stock is all of a single class, with equal voting, distribution, liquidation and other rights. The additional Standard BioTools Common Stock to be authorized by adoption of the amendment would have rights identical to the currently outstanding Standard BioTools Common Stock. The Standard BioTools stockholders do not have preemptive rights with respect to the Standard BioTools Common Stock, nor do they have cumulative voting rights. Accordingly, should the Standard BioTools Board issue additional shares of Standard BioTools Common Stock, existing stockholders would not have any preferential rights to purchase any of such shares, and their percentage ownership of the then outstanding common stock could be reduced.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stockholders approve the Standard BioTools Charter Amendment Proposal, subject to the discretion of the Standard BioTools Board, Standard BioTools will file the amendment to the Standard BioTools Charter with the Secretary of State of the State of Delaware as soon as practicable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will not solicit further authorization by vote of the stockholders for the issuance of the additional shares of Standard BioTools Common Stock proposed to be authorized, except as required by law, regulatory authorities or rules of The Nasdaq Stock Market or any other stock exchange on which the shares of Standard BioTools Common Stock may then be listed. The issuance of additional shares of Standard BioTools Common Stock could have the effect of diluting existing stockholder earnings per share, book value per share and voting power.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Standard BioTools Charter Amendment Proposal is a condition to the consummation of the Merger.</w:t>
      </w:r>
      <w:r>
        <w:rPr>
          <w:rFonts w:ascii="Times New Roman;Times;serif" w:hAnsi="Times New Roman;Times;serif"/>
          <w:b w:val="false"/>
          <w:i w:val="false"/>
          <w:caps w:val="false"/>
          <w:smallCaps w:val="false"/>
          <w:color w:val="000000"/>
          <w:spacing w:val="4"/>
          <w:sz w:val="20"/>
        </w:rPr>
        <w:t xml:space="preserve"> If the Standard BioTools Charter Amendment Proposal is not approved, the Merger will not occur. For a detailed discussion of the conditions of the Merger, see “</w:t>
      </w:r>
      <w:r>
        <w:rPr>
          <w:rFonts w:ascii="Times New Roman;Times;serif" w:hAnsi="Times New Roman;Times;serif"/>
          <w:b w:val="false"/>
          <w:i/>
          <w:caps w:val="false"/>
          <w:smallCaps w:val="false"/>
          <w:color w:val="000000"/>
          <w:spacing w:val="4"/>
          <w:sz w:val="20"/>
        </w:rPr>
        <w:t>The Merger Agreement — Conditions to Consummation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CM1">
        <w:r>
          <w:rPr>
            <w:rStyle w:val="InternetLink"/>
          </w:rPr>
          <w:t>99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Standard BioTools Charter Amendment Proposal requires the affirmative vote of the majority of the votes cast on such proposal at the Standard BioTools Special Meeting. Abstentions will have no effect on the outcome of the vote on such proposal. If you fail to cast your vote, in person or by proxy, or fail to give voting instructions to your brokerage firm, bank, trust or other nominee, it will have no effect on the outcome of the vote for the Standard BioTools Charter Amendment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upon the unanimous recommendation of the Standard BioTools Transaction Committee, unanimously recommended by vote of all participating directors that Standard BioTools stockholders approve the Standard BioTools Charter Amendment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Charter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SBP3"/>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3: The Standard BioTools Advisory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stockholders are asked to approve, pursuant to Section 14A of the Exchange Act and Rule 14a-21(c) thereunder, on a non-binding, advisory basis, of the compensation that will or may be payable to Standard BioTools’ named executive officers and to SomaLogic’s Chief Executive Officer in connection with the Merger as disclosed in the section entitled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xml:space="preserve">” beginning on page </w:t>
      </w:r>
      <w:hyperlink w:anchor="tQOPP">
        <w:r>
          <w:rPr>
            <w:rStyle w:val="InternetLink"/>
          </w:rPr>
          <w:t>127</w:t>
        </w:r>
      </w:hyperlink>
      <w:r>
        <w:rPr>
          <w:rFonts w:ascii="Times New Roman;Times;serif" w:hAnsi="Times New Roman;Times;serif"/>
          <w:b w:val="false"/>
          <w:i w:val="false"/>
          <w:caps w:val="false"/>
          <w:smallCaps w:val="false"/>
          <w:color w:val="000000"/>
          <w:spacing w:val="4"/>
          <w:sz w:val="20"/>
        </w:rPr>
        <w:t xml:space="preserve"> of this joint proxy statement/prospectus. The Standard BioTools Advisory Compensation Proposal gives Standard BioTools stockholders the opportunity to express their views on the Merger-related compensation of Standard BioTools’ named executive officers and to SomaLogic’s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Standard BioTools is asking its stockholders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following resolution, on a non-binding, advisory basis: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compensation that will or may be paid or become payable to Standard BioTools’ named executive officers and to SomaLogic’s Chief Executive Officer in connection with the Merger, and the agreements or understandings pursuant to which such compensation will or may be paid or become payable, in each case as disclosed pursuant to Item 402(t) of Regulation S-K in the section entitled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 this meeting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vote on the Standard BioTools Advisory Compensation Proposal is advisory only, it will not be binding on Standard BioTools. If the Merger is completed, the Merger-related compensation may be paid to Standard BioTools’ named executive officers and to SomaLogic’s Chief Executive Officer to the extent payable in accordance with the terms of the compensation agreements and arrangements even if stockholders fail to approve the Standard BioTools Advisory Compensation Proposal. If you fail to cast your vote, in person or by proxy, or fail to give voting instructions to your brokerage firm, bank, trust or other nominee, it will have no effect on the outcome of the vote for the Standard BioTools Advisory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Advisory Compensation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Advisory Compensation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Advisory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SBP4"/>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4: The Standard BioTools Equity Incentive Plan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determined that it is necessary and appropriate to amend the Standard BioTools Amended and Restated 2011 Equity Incentive Plan, as amended (the “A&amp;R 2011 Plan”), to increase the number of shares of Standard BioTools Common Stock reserved for issuance under the A&amp;R 2011 Plan by 15,000,000 shares (the “Amendment”), pursuant to which the combined company will be able to make grants of equity-based awards to employees, officers, directors and consultants of the combined company following the Closing of the Merger. Standard BioTools stockholders are being asked to approve the Amendment. Other than the Amendment, no material changes will be made to the A&amp;R 2011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combined company will have a substantially larger number of employees who are eligible to receive equity-based awards, and the Standard BioTools Board believes that the Amendment is needed to ensure that the combined company has a sufficient number of shares available pursuant to the A&amp;R 2011 Plan to make these grants following the Closing of the Merger. The Standard BioTools stockholders previously approved an amendment to the A&amp;R 2011 Plan at the Standard BioTools 2023 Annual Meeting of the Stockholders, and Standard BioTools seeks, in connection with the Merger and contingent on the closing of the transactions contemplated by the Merger Agreement and subject to the approval of the stockholders of the Standard BioTools Equity Incentive Plan Amendment Proposal, to again increase the number of shares reserved for issuance under the A&amp;R 2011 Plan. A copy of the A&amp;R 2011 Plan, as amended by the Amendment, is attached as </w:t>
      </w:r>
      <w:r>
        <w:rPr>
          <w:rFonts w:ascii="Times New Roman;Times;serif" w:hAnsi="Times New Roman;Times;serif"/>
          <w:b w:val="false"/>
          <w:i w:val="false"/>
          <w:caps w:val="false"/>
          <w:smallCaps w:val="false"/>
          <w:color w:val="000000"/>
          <w:spacing w:val="4"/>
          <w:sz w:val="20"/>
          <w:u w:val="single"/>
        </w:rPr>
        <w:t>Annex E</w:t>
      </w:r>
      <w:r>
        <w:rPr>
          <w:rFonts w:ascii="Times New Roman;Times;serif" w:hAnsi="Times New Roman;Times;serif"/>
          <w:b w:val="false"/>
          <w:i w:val="false"/>
          <w:caps w:val="false"/>
          <w:smallCaps w:val="false"/>
          <w:color w:val="000000"/>
          <w:spacing w:val="4"/>
          <w:sz w:val="20"/>
        </w:rPr>
        <w:t xml:space="preserve"> to this joint proxy statement/prospectus. If the Amendment is not approved by the stockholders, the A&amp;R 2011 Plan will continue by its terms, without the Amendment, and will terminate automatically on June 14, 2033.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Amendment, the aggregate number of shares of Standard BioTools Common Stock reserved for issuance under the A&amp;R 2011 Plan during its entire term was 19,188,924, plus any shares forfeited under pre-existing equity incentive plans after the effectiveness of the A&amp;R 2011 Plan. As of September 30, 2023, 16,871,721 shares of Standard BioTools Common Stock were subject to outstanding awards granted under all of the Standard BioTools equity plans and 6,946,597 shares of Standard BioTools Common Stock were available for issuance under all of the Standard BioTools equity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14, 2023, the Standard BioTools stockholders approved an amendment to the A&amp;R 2011 Plan to increase the number of shares of Standard BioTools Common Stock reserved thereunder by 4,700,000 shares, which was expected to provide a sufficient number of shares for approximately one year. As a result of the Merger, the number of eligible participants in the A&amp;R 2011 Plan is expected to increase significantly. As of September 30, 2023, Standard BioTools had six non-employee directors, approximately 73 consultants, and approximately 530 employees (including our employee director). As of the Effective Time, the combined company is expected to have six non-employee directors, approximately 104 consultants and approximately 953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determining and recommending the increase to the share reserve under the A&amp;R 2011 Plan, the Standard BioTools Board carefully considered a number of factors, including the impact of the Merger on the number of eligible plan participants, anticipated future equity needs, historical equity compensation practices, dilutive impact, burn rate, and plan duration. The number of additional shares being requested for authorization under the A&amp;R 2011 Plan is 15,000,000 shares. If the Amendment to the A&amp;R 2011 Plan is approved by the Standard BioTools stockholders, Standard BioTools will have, in the aggregate, 21,946,597 shares available for issuance under all of the Standard BioTools equity plans, of which 181,457 are available for issuance to only newly hired employees pursuant to the 2022 Inducement Equity Incentive Plan (the “2022 Inducement Plan”). Under the Merger Agreement, at the Effective Time of the Merger, Standard BioTools will assume the SomaLogic 2021 Omnibus Incentive Plan, 2017 Equity Incentive Plan, 2009 Equity Incentive Plan and any stand-alone equity agreements (the “SomaLogic Plans”) and each SomaLogic Stock Option, whether or not issued under a SomaLogic Plan, to the extent then outstanding and unexercised, and each outstanding SomaLogic RSU will automatically, without any action on the part of the holders thereof, be assumed by Standard BioTools. Standard BioTools does not plan to issue new awards under the SomaLogic Plans following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Historical Grant Practices</w:t>
      </w:r>
      <w:r>
        <w:rPr>
          <w:rFonts w:ascii="Times New Roman;Times;serif" w:hAnsi="Times New Roman;Times;serif"/>
          <w:b w:val="false"/>
          <w:i w:val="false"/>
          <w:caps w:val="false"/>
          <w:smallCaps w:val="false"/>
          <w:color w:val="000000"/>
          <w:spacing w:val="4"/>
          <w:sz w:val="20"/>
        </w:rPr>
        <w:t xml:space="preserve">.   The Standard BioTools Board considered the historical numbers of stock options, RSUs, performance-based stock options, and performance-based RSUs that it has granted in the past three years. The share usage in 2022 was higher than historical practice due to the staking grants provided in connection with the investments made by Casdin and Viking into Standard BioTools. The annual share usage, or burn rate, under the Standard BioTools equity compensation program for the last three years was as follows: </w:t>
      </w:r>
    </w:p>
    <w:tbl>
      <w:tblPr>
        <w:tblW w:w="9078" w:type="dxa"/>
        <w:jc w:val="left"/>
        <w:tblInd w:w="1393" w:type="dxa"/>
        <w:tblLayout w:type="fixed"/>
        <w:tblCellMar>
          <w:top w:w="0" w:type="dxa"/>
          <w:left w:w="0" w:type="dxa"/>
          <w:bottom w:w="50" w:type="dxa"/>
          <w:right w:w="0" w:type="dxa"/>
        </w:tblCellMar>
      </w:tblPr>
      <w:tblGrid>
        <w:gridCol w:w="2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2000" w:type="dxa"/>
            <w:tcBorders>
              <w:bottom w:val="single" w:sz="2" w:space="0" w:color="000000"/>
            </w:tcBorders>
            <w:vAlign w:val="center"/>
          </w:tcPr>
          <w:p>
            <w:pPr>
              <w:pStyle w:val="TableContents"/>
              <w:bidi w:val="0"/>
              <w:spacing w:before="0" w:after="0"/>
              <w:jc w:val="left"/>
              <w:rPr>
                <w:spacing w:val="-3"/>
              </w:rPr>
            </w:pPr>
            <w:r>
              <w:rPr>
                <w:spacing w:val="-3"/>
              </w:rPr>
              <w:t xml:space="preserve">Annual Share Usage 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Three-Year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Stock options granted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117,202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7,809,969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2,673,194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Non-performance RSUs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3,787,648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3,294,511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6,769,474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4,617,211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Non-performance RSUs vested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1,139,053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2,225,372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2,462,553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1,942,326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Performance-based stock options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Performance-based RSUs granted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509,082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416,442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308,508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Performance-based RSUs vested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133,484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45,814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pPr>
            <w:r>
              <w:rPr>
                <w:spacing w:val="4"/>
              </w:rPr>
              <w:t>Total equity awards granted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4,413,932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3,803,365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14,579,443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7,598,913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ind w:left="200" w:right="0" w:hanging="200"/>
              <w:jc w:val="left"/>
              <w:rPr>
                <w:spacing w:val="4"/>
              </w:rPr>
            </w:pPr>
            <w:r>
              <w:rPr>
                <w:spacing w:val="4"/>
              </w:rPr>
              <w:t xml:space="preserve">Basic weighted average shares of common stock outstanding as of December 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72,043,755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75,785,857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78,304,653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75,378,088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Annual share usage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3,561,210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2,863,922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9,973,647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5,466,260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stock options, performance-based stock options, RSUs, and performance-based RSUs. </w:t>
      </w:r>
      <w:r>
        <mc:AlternateContent>
          <mc:Choice Requires="wps">
            <w:drawing>
              <wp:anchor behindDoc="0" distT="10033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1"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Forecasted Grant Practices</w:t>
      </w:r>
      <w:r>
        <w:rPr>
          <w:rFonts w:ascii="Times New Roman;Times;serif" w:hAnsi="Times New Roman;Times;serif"/>
          <w:b w:val="false"/>
          <w:i w:val="false"/>
          <w:caps w:val="false"/>
          <w:smallCaps w:val="false"/>
          <w:color w:val="000000"/>
          <w:spacing w:val="4"/>
          <w:sz w:val="20"/>
        </w:rPr>
        <w:t xml:space="preserve">.   Based on historical grant practices and including the anticipated grants of annual employee equity awards, new hire equity grants and performance-based long-term incentive awards described above (including in the combined company), Standard BioTools currently forecasts granting equity awards covering approximately 15,000,000 shares to employees of the combined company and other eligible participants over the next 18-month period from the date of this joint proxy statement/prospectus, which is equal to approximately 10% of the fully diluted number of shares of Standard BioTools Common Stock outstanding as of September 30, 2023 and 3% of the fully diluted number of shares of Standard BioTools Common Stock immediately following the Merger (based on the number of outstanding shares of SomaLogic Common Stock and outstanding equity awards under the SomaLogic Plans as of November 6, 2023). In light of this forecast, Standard BioTools believes, and the Standard BioTools Board considered, that the requested increase to the A&amp;R 2011 Plan’s share reserve will provide a sufficient number of shares to allow Standard BioTools to grant equity awards for the purpose of expected annual awards, new hires, focal awards, any special retention needs and employee growth through any opportunistic acquisitions or hiring for approximately 18 months. However, circumstances could alter this projection, such as a change in business conditions, stock price, competitive pressures for attracting and retaining employees, or Standard BioTools’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Awards Outstanding Under Existing Grants and Dilutive Impact</w:t>
      </w:r>
      <w:r>
        <w:rPr>
          <w:rFonts w:ascii="Times New Roman;Times;serif" w:hAnsi="Times New Roman;Times;serif"/>
          <w:b w:val="false"/>
          <w:i w:val="false"/>
          <w:caps w:val="false"/>
          <w:smallCaps w:val="false"/>
          <w:color w:val="000000"/>
          <w:spacing w:val="4"/>
          <w:sz w:val="20"/>
        </w:rPr>
        <w:t xml:space="preserve">.   As of September 30, 2023, Standard BioTools had outstanding equity awards under the A&amp;R 2011 Plan, the 2022 Inducement Plan and prior plans covering approximately 16,871,721 shares, assuming performance awards are earned at maximum achievement (the “Standard BioTools Awards”). These Standard BioTools Awards (commonly referred to as the “existing overhang”), together with the 4,982,778 shares of Standard BioTools Common Stock currently available for grant under the A&amp;R 2011 Plan represented approximately 23% of the fully diluted number of shares of Standard BioTools Common Stock as of September 30, 2023. Under the Merger Agreement, at the Effective Time of the Merger, Standard BioTools will assume the SomaLogic Plans and each SomaLogic Stock Option, to the extent then outstanding and unexercised, and each outstanding SomaLogic RSU will automatically, without any action on the part of the holders thereof, be assumed by Standard BioTools (the “Assumed SomaLogic Awards”). Following the Merger, the Assumed SomaLogic Awards, together with the Standard BioTools Awards and the 4,982,778 shares of Standard BioTools Common Stock currently available for grant under the A&amp;R 2011 Plan represented approximately 16% of the fully diluted number of shares of Standard BioTools Common Stock immediately following the Merger (based on the number of outstanding shares of SomaLogic Common Stock and outstanding equity awards under the SomaLogic Plans as of November 6, 2023) (“total overhang”). The dilutive impact of the additional 15,000,000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available for issuance under the A&amp;R 2011 Plan would increase the overhang percentage by approximately 4 percentage points to approximately 20%, each based on the fully diluted number of shares of Standard BioTools Common Stock (based on the number of outstanding shares of SomaLogic Common Stock and outstanding equity awards under the SomaLogic Plans as of November 6, 2023) immediately following the Merger (in all cases without consideration of shares potentially issuable upon conversion of outstanding convertible indebtedness and convertible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capital structure includes outstanding convertible debt and convertible preferred stock. The Standard BioTools existing overhang is 10%, calculated based on the sum of (i) the Standard BioTools Common Stock outstanding as of September 30, 2023 (79,469,908 shares; “x” shares) and (ii) the shares subject to Standard BioTools’ convertible debt or preferred stock (96,321,286 shares; “y” shares). Following the Merger, Standard BioTools’ total overhang would be 13%, calculated based on the sum of “x” shares immediately following the Merger and “y” shares. If the proposed additional 15,000,000 shares of Standard BioTools Common Stock are made available for issuance under the A&amp;R 2011 Plan, then the potential dilution would increase by approximately 3 percentage points to approximately 16%, calculated based on the sum of “x” shares immediately following the Merger and “y”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Standard BioTools stockholders do not approve the Amendment, the A&amp;R 2011 Plan will continue on its current terms. In that case, the shares reserved for issuance under the A&amp;R 2011 Plan may be insufficient to achieve future incentive, recruiting and retention objectives. Consequently, without stockholder approval of the Amendment, Standard BioTools believes its ability to attract and retain the individuals necessary to drive performance and increase long-term stockholder value will be impaired. The Standard BioTools Board therefore believes that stockholder approval of the Amendment is important to Standard BioTools’ continued success.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executive officers and directors have an interest in the approval of the Amendment to the A&amp;R 2011 Plan by the stockholders because they would be eligible to receive awards under the A&amp;R 2011 Plan. The Standard BioTools Board has approved the Amendment subject to the approval of the stockholders at the Standard BioTools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Why You Should Vote in Favor of the Approval of the Amendment to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recommends a vote for the approval of the Amendment of the A&amp;R 2011 Plan because it believes the plan is in the best interests of Standard BioTools and its stockholders.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Aligns director, employee and stockholder interests</w:t>
      </w:r>
      <w:r>
        <w:rPr>
          <w:rFonts w:ascii="Times New Roman;Times;serif" w:hAnsi="Times New Roman;Times;serif"/>
          <w:b w:val="false"/>
          <w:i w:val="false"/>
          <w:caps w:val="false"/>
          <w:smallCaps w:val="false"/>
          <w:color w:val="000000"/>
          <w:spacing w:val="4"/>
          <w:sz w:val="20"/>
        </w:rPr>
        <w:t xml:space="preserve">.   Standard BioTools currently provides long-term incentives by compensating participants with equity awards. With stockholder approval of the Amendment, Standard BioTools will be able to continue to maintain this means of aligning the interests of key personnel with the interests of the stockholders. </w:t>
      </w:r>
      <w:r>
        <mc:AlternateContent>
          <mc:Choice Requires="wps">
            <w:drawing>
              <wp:anchor behindDoc="0" distT="736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is necessary to continue an equity-based compensation program.</w:t>
      </w:r>
      <w:r>
        <w:rPr>
          <w:rFonts w:ascii="Times New Roman;Times;serif" w:hAnsi="Times New Roman;Times;serif"/>
          <w:b w:val="false"/>
          <w:i w:val="false"/>
          <w:caps w:val="false"/>
          <w:smallCaps w:val="false"/>
          <w:color w:val="000000"/>
          <w:spacing w:val="4"/>
          <w:sz w:val="20"/>
        </w:rPr>
        <w:t xml:space="preserve">   If the stockholders do not approve the Amendment, Standard BioTools may have to shift to a long-term compensation program that is heavily paid in cash for both employees and directors, which would less closely align with the interests of stockholders and negatively impact cash management. Based on the remaining capacity the A&amp;R 2011 Plan, Standard BioTools may not have sufficient capacity to make future grants of equity awards.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Attracts and retains talent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A&amp;R 2011 Plan, as amended by the Amendment, will be a critical tool to the continued success of Standard BioTools and the combined company by continuing to attract, retain and motivate key personnel and providing participants with incentives directly related to increases in the value of Standard BioTools.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Includes best corporate governance features.</w:t>
      </w:r>
      <w:r>
        <w:rPr>
          <w:rFonts w:ascii="Times New Roman;Times;serif" w:hAnsi="Times New Roman;Times;serif"/>
          <w:b w:val="false"/>
          <w:i w:val="false"/>
          <w:caps w:val="false"/>
          <w:smallCaps w:val="false"/>
          <w:color w:val="000000"/>
          <w:spacing w:val="4"/>
          <w:sz w:val="20"/>
        </w:rPr>
        <w:t xml:space="preserve">   As described below, the A&amp;R 2011 Plan has sound governance features and includes “best practices” provisions.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believe that the benefits to the stockholders from equity award grants to employees and directors outweigh the potential dilutive effect of grants under the A&amp;R 2011 Plan. Standard BioTools believes that paying a significant portion of annual variable compensation in the form of equity awards is an effective method of aligning the interests of senior employees with those of stockholders, encouraging ownership in Standard BioTools and retaining, attracting and rewarding talented employees.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also believes that having a vehicle to pay a portion of compensation for non-employee directors in stock awards is appropriate and consistent with market practices.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this joint proxy statement/prospectus is updated by the following information regarding all existing equity compensation plans as of September 30, 2023: </w:t>
      </w:r>
    </w:p>
    <w:tbl>
      <w:tblPr>
        <w:tblW w:w="8812" w:type="dxa"/>
        <w:jc w:val="left"/>
        <w:tblInd w:w="1393" w:type="dxa"/>
        <w:tblLayout w:type="fixed"/>
        <w:tblCellMar>
          <w:top w:w="0" w:type="dxa"/>
          <w:left w:w="0" w:type="dxa"/>
          <w:bottom w:w="0" w:type="dxa"/>
          <w:right w:w="0" w:type="dxa"/>
        </w:tblCellMar>
      </w:tblPr>
      <w:tblGrid>
        <w:gridCol w:w="124"/>
        <w:gridCol w:w="6686"/>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Total stock options outstanding</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9,248,628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Weighted-average exercise price of stock options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3.63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Weighted-average remaining duration of stock options outstanding (years)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8.7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pPr>
            <w:r>
              <w:rPr>
                <w:spacing w:val="4"/>
              </w:rPr>
              <w:t>Total full value awards outstanding</w:t>
            </w:r>
            <w:r>
              <w:rPr>
                <w:spacing w:val="3"/>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6,946,597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Shares available for grant under the A&amp;R 2011 Plan</w:t>
            </w:r>
            <w:r>
              <w:rPr>
                <w:spacing w:val="3"/>
                <w:sz w:val="15"/>
              </w:rPr>
              <w:t>(3)</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4,928,778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Shares available for grant under the 2022 Inducement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181,457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Total shares of common stock outstanding</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79,469,908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time-based stock options outstanding. No stock appreciation rights were outstanding as of September 30, 2023. </w:t>
      </w:r>
      <w:r>
        <mc:AlternateContent>
          <mc:Choice Requires="wps">
            <w:drawing>
              <wp:anchor behindDoc="0" distT="8890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6"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outstanding performance-based RSUs assumes performance at the maximum level. </w:t>
      </w:r>
      <w:r>
        <mc:AlternateContent>
          <mc:Choice Requires="wps">
            <w:drawing>
              <wp:anchor behindDoc="0" distT="3810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7"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outstanding performance-based RSUs at the maximum level. </w:t>
      </w:r>
      <w:r>
        <mc:AlternateContent>
          <mc:Choice Requires="wps">
            <w:drawing>
              <wp:anchor behindDoc="0" distT="3810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8"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Highlights of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2011 Plan incorporates the current governance best practices, which further align the Standard BioTools equity compensation program with the interest of the Standard BioTools stockholders.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“evergreen” provision</w:t>
      </w:r>
      <w:r>
        <w:rPr>
          <w:rFonts w:ascii="Times New Roman;Times;serif" w:hAnsi="Times New Roman;Times;serif"/>
          <w:b w:val="false"/>
          <w:i w:val="false"/>
          <w:caps w:val="false"/>
          <w:smallCaps w:val="false"/>
          <w:color w:val="000000"/>
          <w:spacing w:val="4"/>
          <w:sz w:val="20"/>
        </w:rPr>
        <w:t xml:space="preserve">.   The number of shares of Standard BioTools Common Stock available for issuance under the A&amp;R 2011 Plan is fixed and will not adjust based upon the number of shares outstanding. </w:t>
      </w:r>
      <w:r>
        <mc:AlternateContent>
          <mc:Choice Requires="wps">
            <w:drawing>
              <wp:anchor behindDoc="0" distT="9906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29"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are not discounted</w:t>
      </w:r>
      <w:r>
        <w:rPr>
          <w:rFonts w:ascii="Times New Roman;Times;serif" w:hAnsi="Times New Roman;Times;serif"/>
          <w:b w:val="false"/>
          <w:i w:val="false"/>
          <w:caps w:val="false"/>
          <w:smallCaps w:val="false"/>
          <w:color w:val="000000"/>
          <w:spacing w:val="4"/>
          <w:sz w:val="20"/>
        </w:rPr>
        <w:t xml:space="preserve">.   The A&amp;R 2011 Plan prohibits granting stock options with exercise prices with grant prices lower than the fair market value of a Standard BioTools share on the grant date, except in connection with the issuance or assumption of awards in connection with certain mergers, consolidations, acquisitions of property or stock or reorganizations. </w:t>
      </w:r>
      <w:r>
        <mc:AlternateContent>
          <mc:Choice Requires="wps">
            <w:drawing>
              <wp:anchor behindDoc="0" distT="9906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0"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Clawback” provision</w:t>
      </w:r>
      <w:r>
        <w:rPr>
          <w:rFonts w:ascii="Times New Roman;Times;serif" w:hAnsi="Times New Roman;Times;serif"/>
          <w:b w:val="false"/>
          <w:i w:val="false"/>
          <w:caps w:val="false"/>
          <w:smallCaps w:val="false"/>
          <w:color w:val="000000"/>
          <w:spacing w:val="4"/>
          <w:sz w:val="20"/>
        </w:rPr>
        <w:t xml:space="preserve">.   Awards granted under the A&amp;R 2011 Plan are subject to recoupment under Standard BioTools’ current clawback policy and any clawback policy that Standard BioTools is required to adopt pursuant to the listing standards of any national securities exchange or association on which shares of Standard BioTools Common Stock are listed or as otherwise required by law. </w:t>
      </w:r>
      <w:r>
        <mc:AlternateContent>
          <mc:Choice Requires="wps">
            <w:drawing>
              <wp:anchor behindDoc="0" distT="9906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1"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ownership guidelines</w:t>
      </w:r>
      <w:r>
        <w:rPr>
          <w:rFonts w:ascii="Times New Roman;Times;serif" w:hAnsi="Times New Roman;Times;serif"/>
          <w:b w:val="false"/>
          <w:i w:val="false"/>
          <w:caps w:val="false"/>
          <w:smallCaps w:val="false"/>
          <w:color w:val="000000"/>
          <w:spacing w:val="4"/>
          <w:sz w:val="20"/>
        </w:rPr>
        <w:t xml:space="preserve">.   Standard BioTools directors and covered officers are expected to achieve minimum stock ownership values, as described in this joint proxy statement/prospectus, within five years of eligibility or promotion. </w:t>
      </w:r>
      <w:r>
        <mc:AlternateContent>
          <mc:Choice Requires="wps">
            <w:drawing>
              <wp:anchor behindDoc="0" distT="9906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2"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tax gross-ups</w:t>
      </w:r>
      <w:r>
        <w:rPr>
          <w:rFonts w:ascii="Times New Roman;Times;serif" w:hAnsi="Times New Roman;Times;serif"/>
          <w:b w:val="false"/>
          <w:i w:val="false"/>
          <w:caps w:val="false"/>
          <w:smallCaps w:val="false"/>
          <w:color w:val="000000"/>
          <w:spacing w:val="4"/>
          <w:sz w:val="20"/>
        </w:rPr>
        <w:t xml:space="preserve">.   No participant is entitled under the A&amp;R 2011 Plan to any tax gross-up payments for any excise tax pursuant to Sections 280G or 4999 of the Code that may be incurred in connection with awards under the A&amp;R 2011 Plan. </w:t>
      </w:r>
      <w:r>
        <mc:AlternateContent>
          <mc:Choice Requires="wps">
            <w:drawing>
              <wp:anchor behindDoc="0" distT="9906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3"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to the A&amp;R 2011 Plan was approved by the Standard BioTools Board in October 2023 and remains subject to stockholder approval to take effect. The following general description of the material features of the A&amp;R 2011 Plan is qualified in its entirety by reference to the provisions of the A&amp;R 2011 Plan set forth in Exhibit I to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The A&amp;R 2011 Plan provides for the grant of incentive stock options, within the meaning of Section 422 of the Code to employees and the employees of Standard BioTools’ subsidiaries, and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of nonstatutory stock options, restricted stock, restricted stock units, stock appreciation rights, performance units and performance shares to employees, directors and consultants and the employees and consultants of Standard BioTools’ subsidiaries. As of September 30, 2023, Standard BioTools had six non-employee directors, approximately 73 consultants, and approximately 530 employees (including our employee director). As of the Effective Time, the combined company is expected to have six non-employee directors, approximately 104 consultants and approximately 953 employees.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Available for Grant and Shares Outstanding</w:t>
      </w:r>
      <w:r>
        <w:rPr>
          <w:rFonts w:ascii="Times New Roman;Times;serif" w:hAnsi="Times New Roman;Times;serif"/>
          <w:b w:val="false"/>
          <w:i w:val="false"/>
          <w:caps w:val="false"/>
          <w:smallCaps w:val="false"/>
          <w:color w:val="000000"/>
          <w:spacing w:val="4"/>
          <w:sz w:val="20"/>
        </w:rPr>
        <w:t xml:space="preserve">.   If the Amendment is approved by the Standard BioTools stockholders, the total number of shares of Standard BioTools Common Stock available for issuance under the A&amp;R 2011 Plan would be equal to 19,982,778 shares (assuming the shares available for grant as of September 30, 2023 remain available upon the Standard BioTools Special Meeting). As of September 30, 2023, 16,871,721 shares of Standard BioTools Common Stock are subject to outstanding awards granted under all Standard BioTools equity plans. If the Standard BioTools stockholders do not approve the Amendment, the total number of shares of Standard BioTools Common Stock available for issuance under the A&amp;R 2011 Plan will be 4,982,778 (assuming the shares available for grant as of September 30, 2023 remain available upon the Standard BioTools Special Meeting). As described in the paragraph below, outstanding awards under the A&amp;R 2011 Plan that expire or are forfeited return to the pool to be available for grant.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an option award expires or becomes unexercisable without having been exercised in full, or if restricted stock, performance shares or shares subject to restricted stock units or performance units are forfeited or repurchased by Standard BioTools due to failure to vest, the unpurchased, forfeited or repurchased shares that were subject to such awards will become available for future grant or sale under the A&amp;R 2011 Plan (unless it has terminated). With respect to stock appreciation rights, the gross shares actually issued will cease to be available.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A&amp;R 2011 Plan will be reduced by the gross number of shares for which the option is exercised. To the extent an award is paid out in cash rather than shares, such cash payment will not reduce the number of shares available for issuance. However, if the Standard BioTools stockholders do not approve the Amendment, shares used to pay the exercise price of a stock option or to satisfy the tax withholding obligations for a stock option will also become available for future issuance under the A&amp;R 2011 Plan, and only the net shares subject to the stock appreciation right will cease to become available for future issuance under the A&amp;R 2011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The A&amp;R 2011 Plan is administered by the Standard BioTools Board or a committee appointed by the Standard BioTools Board. Currently, the Standard BioTools Compensation Committee administers the A&amp;R 2011 Plan. Different committees may administer the A&amp;R 2011 Plan with respect to different groups of service providers. To make grants to certain officers and key employees, the members of the committee must qualify as “non-employee directors” under Rule 16b-3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A&amp;R 2011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w:t>
      </w:r>
      <w:r>
        <w:rPr>
          <w:rFonts w:ascii="Times New Roman;Times;serif" w:hAnsi="Times New Roman;Times;serif"/>
          <w:b w:val="false"/>
          <w:i w:val="false"/>
          <w:caps w:val="false"/>
          <w:smallCaps w:val="false"/>
          <w:color w:val="000000"/>
          <w:spacing w:val="4"/>
          <w:sz w:val="20"/>
        </w:rPr>
        <w:t xml:space="preserve">.   Options may be granted under the A&amp;R 2011 Plan. Subject to the provisions of the A&amp;R 2011 Plan, the administrator determines the terms and conditions of options, including when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vest and become exercisable (and the administrator has the discretion to accelerate the time at which such options will vest or become exercisable). The per share exercise price of any option generally must be at least 100% of the fair market value of a share of Standard BioTools Common Stock on the date of grant, and the term of an incentive stock option may not be more than 10 years. However, with respect to any incentive stock option granted to an individual who owns 10% of the voting power of all classes of stock of Standard BioTools or any of its Standard BioTools or subsidiary corporations, the term of such option must not exceed 5 years, and the per share exercise price of such incentive stock option must be at least 110% of the fair market value of a share of Standard BioTools Common Stock on the grant date. After a participant’s service terminates, he or she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w:t>
      </w:r>
      <w:r>
        <w:rPr>
          <w:rFonts w:ascii="Times New Roman;Times;serif" w:hAnsi="Times New Roman;Times;serif"/>
          <w:b w:val="false"/>
          <w:i w:val="false"/>
          <w:caps w:val="false"/>
          <w:smallCaps w:val="false"/>
          <w:color w:val="000000"/>
          <w:spacing w:val="4"/>
          <w:sz w:val="20"/>
        </w:rPr>
        <w:t xml:space="preserve">.   Stock appreciation rights may be granted under the A&amp;R 2011 Plan. Stock appreciation rights allow the recipient to receive the appreciation in the fair market value of shares of Standard BioTools Common Stock between the exercise date and the date of grant. Subject to the provisions of the A&amp;R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Standard BioTools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Restricted stock may be granted under the A&amp;R 2011 Plan. Restricted stock awards are grants of Standard BioTools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Standard BioTools’ right of repurchase or forfeiture.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Restricted stock units may be granted under the A&amp;R 2011 Plan. Restricted stock units are bookkeeping entries representing an amount equal to the fair market value of one share of Standard BioTools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Units and 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under the A&amp;R 2011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Performance units will have an initial dollar value established by the administrator on or before the grant date. Performance shares will have an initial value equal to the fair market value of Standard BioTools Common Stock on the grant date. The administrator has the discretion to pay earned performance units or performance shares in the form of cash, shares, or in some combination of both.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Death and Disability</w:t>
      </w:r>
      <w:r>
        <w:rPr>
          <w:rFonts w:ascii="Times New Roman;Times;serif" w:hAnsi="Times New Roman;Times;serif"/>
          <w:b w:val="false"/>
          <w:i w:val="false"/>
          <w:caps w:val="false"/>
          <w:smallCaps w:val="false"/>
          <w:color w:val="000000"/>
          <w:spacing w:val="4"/>
          <w:sz w:val="20"/>
        </w:rPr>
        <w:t xml:space="preserve">.   If the holder of an award issued under the A&amp;R 2011 Plan incurs a termination of service as a result of death or disability, then 100% of the unvested shares subject to the award will accelerate and vest.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Transferability of Awards</w:t>
      </w:r>
      <w:r>
        <w:rPr>
          <w:rFonts w:ascii="Times New Roman;Times;serif" w:hAnsi="Times New Roman;Times;serif"/>
          <w:b w:val="false"/>
          <w:i w:val="false"/>
          <w:caps w:val="false"/>
          <w:smallCaps w:val="false"/>
          <w:color w:val="000000"/>
          <w:spacing w:val="4"/>
          <w:sz w:val="20"/>
        </w:rPr>
        <w:t xml:space="preserve">.   The A&amp;R 2011 Plan does not allow for the transfer of awards unless the administrator provides otherwise, and in no event may an award be transferred for value or consideration. Additionally, only the recipient of an award may exercise an award during his or her lifetime.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Outside Directors</w:t>
      </w:r>
      <w:r>
        <w:rPr>
          <w:rFonts w:ascii="Times New Roman;Times;serif" w:hAnsi="Times New Roman;Times;serif"/>
          <w:b w:val="false"/>
          <w:i w:val="false"/>
          <w:caps w:val="false"/>
          <w:smallCaps w:val="false"/>
          <w:color w:val="000000"/>
          <w:spacing w:val="4"/>
          <w:sz w:val="20"/>
        </w:rPr>
        <w:t xml:space="preserve">.   The A&amp;R 2011 Plan provides that any outside (non-employee) director, in any fiscal year, may not be granted equity awards under the plan with an aggregate grant date fair value of more than $400,000, or $500,000 with respect to his or her first year of service as an outside director. For purposes of this limitation, the grant date fair value is determined in accordance with U.S. generally accepted accounting principles (“GAAP”). Any equity awards granted under the A&amp;R 2011 Plan to an outside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 The outside (non-employee) director annual limits were developed with input from Meridian Compensation Partners, LLC, an independent compensation consulting firm, based on a review of non-employee director limits in equity plans for comparable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Certain Adjustments</w:t>
      </w:r>
      <w:r>
        <w:rPr>
          <w:rFonts w:ascii="Times New Roman;Times;serif" w:hAnsi="Times New Roman;Times;serif"/>
          <w:b w:val="false"/>
          <w:i w:val="false"/>
          <w:caps w:val="false"/>
          <w:smallCaps w:val="false"/>
          <w:color w:val="000000"/>
          <w:spacing w:val="4"/>
          <w:sz w:val="20"/>
        </w:rPr>
        <w:t xml:space="preserve">.   If there are certain changes in Standard BioTools’ capitalization, the administrator will adjust the number and class of shares that may be delivered under the A&amp;R 2011 Plan; the number, class, and price of shares covered by each outstanding award; and the numerical share limits contained in the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Dissolution or Liquidation</w:t>
      </w:r>
      <w:r>
        <w:rPr>
          <w:rFonts w:ascii="Times New Roman;Times;serif" w:hAnsi="Times New Roman;Times;serif"/>
          <w:b w:val="false"/>
          <w:i w:val="false"/>
          <w:caps w:val="false"/>
          <w:smallCaps w:val="false"/>
          <w:color w:val="000000"/>
          <w:spacing w:val="4"/>
          <w:sz w:val="20"/>
        </w:rPr>
        <w:t xml:space="preserve">.   If there is a proposed liquidation or dissolution of Standard BioTools, the administrator will notify participants as soon as practicable before the effective date of such event and all awards, to the extent that they have not been previously exercised, will terminate immediately before the consummation of such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or Change in Control</w:t>
      </w:r>
      <w:r>
        <w:rPr>
          <w:rFonts w:ascii="Times New Roman;Times;serif" w:hAnsi="Times New Roman;Times;serif"/>
          <w:b w:val="false"/>
          <w:i w:val="false"/>
          <w:caps w:val="false"/>
          <w:smallCaps w:val="false"/>
          <w:color w:val="000000"/>
          <w:spacing w:val="4"/>
          <w:sz w:val="20"/>
        </w:rPr>
        <w:t xml:space="preserve">.   The A&amp;R 2011 Plan provides that if there is a merger of Standard BioTools with or into another company or a “change in control” ​(as defined under the A&amp;R 2011 Plan) of Standard BioTools,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performance units and performance shares, all performance goals or other vesting criteria will be deemed achieved at 100% of target levels and all other terms and conditions met in the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Forfeiture and Clawback</w:t>
      </w:r>
      <w:r>
        <w:rPr>
          <w:rFonts w:ascii="Times New Roman;Times;serif" w:hAnsi="Times New Roman;Times;serif"/>
          <w:b w:val="false"/>
          <w:i w:val="false"/>
          <w:caps w:val="false"/>
          <w:smallCaps w:val="false"/>
          <w:color w:val="000000"/>
          <w:spacing w:val="4"/>
          <w:sz w:val="20"/>
        </w:rPr>
        <w:t xml:space="preserve">.   All awards granted under the A&amp;R 2011 Plan will be subject to recoupment under Standard BioTools’ current clawback policy and any clawback policy that Standard BioTools is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Plan Amendments and Termination</w:t>
      </w:r>
      <w:r>
        <w:rPr>
          <w:rFonts w:ascii="Times New Roman;Times;serif" w:hAnsi="Times New Roman;Times;serif"/>
          <w:b w:val="false"/>
          <w:i w:val="false"/>
          <w:caps w:val="false"/>
          <w:smallCaps w:val="false"/>
          <w:color w:val="000000"/>
          <w:spacing w:val="4"/>
          <w:sz w:val="20"/>
        </w:rPr>
        <w:t xml:space="preserve">.   The A&amp;R 2011 Plan will automatically terminate in 2033, unless terminated sooner. In addition, the Standard BioTools Board has the authority to amend, suspend or terminate the A&amp;R 2011 Plan, but such action will not impair the rights of any participant without his or her written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general summary of the material U.S. federal income tax consequences of the grant and exercise and vesting of awards under the A&amp;R 2011 Plan and the disposition of shares acquired pursuant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w:t>
      </w:r>
      <w:r>
        <w:rPr>
          <w:rFonts w:ascii="Times New Roman;Times;serif" w:hAnsi="Times New Roman;Times;serif"/>
          <w:b w:val="false"/>
          <w:i w:val="false"/>
          <w:caps w:val="false"/>
          <w:smallCaps w:val="false"/>
          <w:color w:val="000000"/>
          <w:spacing w:val="4"/>
          <w:sz w:val="20"/>
        </w:rPr>
        <w:t xml:space="preserve">   The Code requires that, for treatment of an option as an incentive stock option, Standard BioTools 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Standard BioTools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Standard BioTools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w:t>
      </w:r>
      <w:r>
        <w:rPr>
          <w:rFonts w:ascii="Times New Roman;Times;serif" w:hAnsi="Times New Roman;Times;serif"/>
          <w:b w:val="false"/>
          <w:i w:val="false"/>
          <w:caps w:val="false"/>
          <w:smallCaps w:val="false"/>
          <w:color w:val="000000"/>
          <w:spacing w:val="4"/>
          <w:sz w:val="20"/>
        </w:rPr>
        <w:t xml:space="preserve">   No income will be realized by a participant upon grant of a stock appreciation right. Upon the exercise of a stock appreciation right, the participant will recognize ordinary compensation income in an amount equal to the fair market value of the payment received in respect of the SAR. Standard BioTools will be able to deduct this same amount for U.S. federal income tax purposes, but such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Standard BioTools (special rules apply to the receipt and disposition of restricted shares received by officers and directors who are subject to Section 16(b) of the Securities Exchange Act of 1934, as amended). Standard BioTools will be 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A participant will not be subject to tax upon the grant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Standard BioTools will be able to deduct the amount of taxable compensation to the participant for U.S. federal income tax purposes, but the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Section 162(m).</w:t>
      </w:r>
      <w:r>
        <w:rPr>
          <w:rFonts w:ascii="Times New Roman;Times;serif" w:hAnsi="Times New Roman;Times;serif"/>
          <w:b w:val="false"/>
          <w:i w:val="false"/>
          <w:caps w:val="false"/>
          <w:smallCaps w:val="false"/>
          <w:color w:val="000000"/>
          <w:spacing w:val="4"/>
          <w:sz w:val="20"/>
        </w:rPr>
        <w:t xml:space="preserve">   In general, Section 162(m) of the Code denies a publicly held corporation a deduction for U.S. federal income tax 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Importance of Consulting a Tax Advisor</w:t>
      </w:r>
      <w:r>
        <w:rPr>
          <w:rFonts w:ascii="Times New Roman;Times;serif" w:hAnsi="Times New Roman;Times;serif"/>
          <w:b w:val="false"/>
          <w:i w:val="false"/>
          <w:caps w:val="false"/>
          <w:smallCaps w:val="false"/>
          <w:color w:val="000000"/>
          <w:spacing w:val="4"/>
          <w:sz w:val="20"/>
        </w:rPr>
        <w:t xml:space="preserve">.   The foregoing discussion is a summary only and does not purport to 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adoption of the A&amp;R 2011 Plan through October 15, 2023, Standard BioTools has granted the following stock options and RSUs under the A&amp;R 2011 Plan to the individuals and groups listed below. In all cases, the securities underlying such stock options and RSUs are shares of Standard BioTools Common Stock. </w:t>
      </w:r>
    </w:p>
    <w:tbl>
      <w:tblPr>
        <w:tblW w:w="8812" w:type="dxa"/>
        <w:jc w:val="left"/>
        <w:tblInd w:w="1393" w:type="dxa"/>
        <w:tblLayout w:type="fixed"/>
        <w:tblCellMar>
          <w:top w:w="0" w:type="dxa"/>
          <w:left w:w="0" w:type="dxa"/>
          <w:bottom w:w="43" w:type="dxa"/>
          <w:right w:w="0" w:type="dxa"/>
        </w:tblCellMar>
      </w:tblPr>
      <w:tblGrid>
        <w:gridCol w:w="4390"/>
        <w:gridCol w:w="109"/>
        <w:gridCol w:w="109"/>
        <w:gridCol w:w="141"/>
        <w:gridCol w:w="141"/>
        <w:gridCol w:w="1389"/>
        <w:gridCol w:w="141"/>
        <w:gridCol w:w="109"/>
        <w:gridCol w:w="109"/>
        <w:gridCol w:w="144"/>
        <w:gridCol w:w="144"/>
        <w:gridCol w:w="1582"/>
        <w:gridCol w:w="144"/>
        <w:gridCol w:w="160"/>
      </w:tblGrid>
      <w:tr>
        <w:trPr/>
        <w:tc>
          <w:tcPr>
            <w:tcW w:w="4390"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2"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Subject to Stock</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14"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Subject to Restricted</w:t>
            </w:r>
            <w:r>
              <w:rPr/>
              <w:t xml:space="preserve"> </w:t>
              <w:br/>
            </w:r>
            <w:r>
              <w:rPr>
                <w:spacing w:val="-3"/>
              </w:rPr>
              <w:t xml:space="preserve">Stock Units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Stephen Christopher Linthwaite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495,000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1,920,229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Former 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231,579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77,185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Chief Operating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150,000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650,000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Chief Commercial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Executive officers as a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2,064,001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4,031,579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jc w:val="left"/>
              <w:rPr>
                <w:spacing w:val="4"/>
              </w:rPr>
            </w:pPr>
            <w:r>
              <w:rPr>
                <w:spacing w:val="4"/>
              </w:rPr>
              <w:t xml:space="preserve">Non-employee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1,160,594</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870,873</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All employees (excluding executive officers)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3,517,501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16,492,647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of future grants under the A&amp;R 2011 Plan are not determinable and will be granted at the sole discretion of the Standard BioTools Compensation Committee or other delegated persons. We cannot determine at this time either the persons who will receive such awards under the A&amp;R 2011 Plan or the amount or types of any such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 the closing market price per share of Standard BioTools Common Stock was $      , as reported by The Nasdaq Stock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Standard BioTools Equity Incentive Plan Amendment Proposal requires the affirmative vote of the holders of a majority of the voting power of the shares present in person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Standard BioTools Equity Incentive Plan Amendment Proposal. If you fail to cast your vote, in person or by proxy, or fail to give voting instructions to your brokerage firm, bank, trust or other nominee, it will have no effect on the outcome of the vote for the Standard BioTools Equity Incentive Plan Amendment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Equity Incentive Plan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SBP5"/>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5: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are asked to approve adjournments of the Standard BioTools Special Meeting from time to time, if necessary or appropriate, to solicit additional affirmative votes in favor of the Standard BioTools Share Issuance Proposal and the Standard BioTools Charter Amendment Proposal if there are insufficient votes at the time of such adjournment to approve such proposals or to ensure that any supplement or amendment to this joint proxy statement/prospectus is timely provided to Standard BioTools stockholders. The Merger Agreement provides that the Standard BioTools Special Meeting will not be postponed or adjourned to a date that is more than 30 days after the date for which the Standard BioTools Special Meeting was originally scheduled without the consent of SomaLogic. Consummation of the Merger is not conditioned on the approval of this Standard BioTools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Standard BioTools stockholders approve this Standard BioTools Adjournment Proposal, Standard BioTools could adjourn or postpone the Standard BioTools Special Meeting, and any adjourned or postponed session of the Standard BioTools Special Meeting and use the additional time to solicit additional proxies for the approval of the Standard BioTools Share Issuance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Standard BioTools Special Meeting, the number of shares of Standard BioTools Common Stock present or represented and voting in favor of the Standard BioTools Share Issuance Proposal and the Standard BioTools Charter Amendment Proposal is insufficient to approve such proposal, Standard BioTools may move to adjourn the Standard BioTools Special Meeting in order to enable the Standard BioTools Board to solicit additional proxies for approval of the Standard BioTools Share Issuance Proposal and the Standard BioTools Charter Amendment Proposal. In that event, the Standard BioTools stockholders will be asked to vote only upon the Standard BioTools Adjournment Proposal, and not the Standard BioTools Share Issuance Proposal and the Standard BioTools Charter Amendment Proposal. Standard BioTools may also adjourn the Standard BioTools Special Meeting to ensure that any supplement or amendment to this joint proxy statement/prospectus is timely provided to Standard BioTools stockholders. Additionally, pursuant to the Standard BioTools Bylaws, the chairperson of the meeting may adjourn the meeting without the approval of the Standard BioTools stockholders. Approval of the Standard BioTools Adjournment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Adjournment Proposal relates only to adjournments of the Standard BioTools Special Meeting occurring for purposes of soliciting additional proxies for approval of the Standard BioTools Share Issuance Proposal and the Standard BioTools Charter Amendment Proposal in the event that there are insufficient votes to approve that proposal or ensuring that any supplement or amendment to this joint proxy statement/prospectus is timely provided to Standard BioTools stockholders. Standard BioTools retains full authority to the extent set forth in its bylaws and Delaware law (subject to the terms of the Merger Agreement) to adjourn the Standard BioTools Special Meeting for any other purpose, or to postpone the Standard BioTools Special Meeting before it is convened, without the consent of any Standard BioTools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Adjournment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Standard BioTools Adjournment Proposal. If you fail to cast your vote, in person or by proxy, or fail to give voting instructions to your brokerage firm, bank, trust or other nominee, it will have no effect on the outcome of the vote for the Standard BioTools Adjournment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unanimously recommends by vote of all participating directors that Standard BioTools stockholders vote “FOR” the Standard BioTools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THME"/>
      <w:bookmarkEnd w:id="95"/>
      <w:r>
        <w:rPr>
          <w:rFonts w:ascii="calibri;arial;sans-serif" w:hAnsi="calibri;arial;sans-serif"/>
          <w:b w:val="false"/>
          <w:i w:val="false"/>
          <w:caps w:val="false"/>
          <w:smallCaps w:val="false"/>
          <w:color w:val="000000"/>
          <w:sz w:val="16"/>
        </w:rPr>
        <w:t>​</w:t>
      </w:r>
      <w:bookmarkStart w:id="96" w:name="tGDOT"/>
      <w:bookmarkEnd w:id="96"/>
      <w:r>
        <w:rPr>
          <w:rFonts w:ascii="calibri;arial;sans-serif" w:hAnsi="calibri;arial;sans-serif"/>
          <w:b w:val="false"/>
          <w:i w:val="false"/>
          <w:caps w:val="false"/>
          <w:smallCaps w:val="false"/>
          <w:color w:val="000000"/>
          <w:sz w:val="16"/>
        </w:rPr>
        <w:t>​</w:t>
      </w:r>
      <w:bookmarkStart w:id="97" w:name="tCTBR"/>
      <w:bookmarkEnd w:id="97"/>
      <w:r>
        <w:rPr>
          <w:rFonts w:ascii="calibri;arial;sans-serif" w:hAnsi="calibri;arial;sans-serif"/>
          <w:b w:val="false"/>
          <w:i w:val="false"/>
          <w:caps w:val="false"/>
          <w:smallCaps w:val="false"/>
          <w:color w:val="000000"/>
          <w:sz w:val="16"/>
        </w:rPr>
        <w:t>​</w:t>
      </w:r>
      <w:bookmarkStart w:id="98" w:name="tBOTM"/>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certain material aspects of the proposed Merger. This section may not contain all of the information that is important to you. You should carefully read this entire joint proxy statement/prospectus and the documents incorporated herein by reference, including the full text of the Merger Agreement, which is attached as </w:t>
      </w:r>
      <w:r>
        <w:rPr>
          <w:rFonts w:ascii="Times New Roman;Times;serif" w:hAnsi="Times New Roman;Times;serif"/>
          <w:b w:val="false"/>
          <w:i/>
          <w:caps w:val="false"/>
          <w:smallCaps w:val="false"/>
          <w:color w:val="000000"/>
          <w:spacing w:val="4"/>
          <w:sz w:val="20"/>
          <w:u w:val="single"/>
        </w:rPr>
        <w:t>Annex A</w:t>
      </w:r>
      <w:r>
        <w:rPr>
          <w:rFonts w:ascii="Times New Roman;Times;serif" w:hAnsi="Times New Roman;Times;serif"/>
          <w:b w:val="false"/>
          <w:i/>
          <w:caps w:val="false"/>
          <w:smallCaps w:val="false"/>
          <w:color w:val="000000"/>
          <w:spacing w:val="4"/>
          <w:sz w:val="20"/>
        </w:rPr>
        <w:t xml:space="preserve">, for a more complete understanding of the Merger. In addition, (i) important business and financial information about Standard BioTools is incorporated into this joint proxy statement/prospectus by reference and (ii) important business and financial information about SomaLogic is incorporated into this joint proxy statement/prospectus by reference. See also “Where You Can Find More Information” beginning on page </w:t>
      </w:r>
      <w:hyperlink w:anchor="tWYCF">
        <w:r>
          <w:rPr>
            <w:rStyle w:val="InternetLink"/>
          </w:rPr>
          <w:t>208</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Description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SomaLogic and Merger Sub, a wholly owned subsidiary of Standard BioTools, have entered into the Merger Agreement, dated as of October 4, 2023, which provides for the Merger of Merger Sub with and into SomaLogic. As a result of the Merger, the separate existence of Merger Sub will cease and SomaLogic will continue its existence under the laws of the State of Delaware as the surviving corporation and as a wholly owned subsidiary of Standard BioTools. It is expected that the name of the surviving company will continue to be “Standard BioTools Inc.” after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to be Received by the SomaLogic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further action on the part of the parties, holders of any securities of SomaLogic, Merger Sub or of any other person, each share of SomaLogic Common Stock issued and outstanding immediately prior to the Effective Time (other than shares of SomaLogic Common Stock held in treasury or owned by SomaLogic, Standard BioTools or any of their respective subsidiaries, including Merger Sub, or any Earn-Out Shares (as defined in that certain Agreement and Plan of Merger, dated March 28, 2021, by and among CM Life Sciences II, Inc., S-Craft Merger Sub, Inc. and SomaLogic) (collectively, the “Excluded Shares”)) will be automatically converted into the right to receive 1.11 shares of Standard BioTools Common Stock and cash in lieu of any fractional shares of Standard BioTools Common Stock any former holder of SomaLogic Common Stock would otherwise be entitled to receive.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Ratio is fixed, which means that it will not change between now and the Effective Time. Therefore, the value of the Merger consideration will depend on the market price of Standard BioTools Common Stock at the Effective Time. The market price of Standard BioTools Common Stock has fluctuated since the date of the announcement of the Merger Agreement and may continue to fluctuate from the date of this joint proxy statement/prospectus to the date of the special meetings, the date the Merger is completed and thereafter. The market price of Standard BioTools Common Stock, when received by SomaLogic stockholders after the Merger is completed, could be greater than, less than or the same as the market price of Standard BioTools Common Stock on the date of this joint proxy statement/prospectus or at the time of the Standard BioTools Special Meeting. Accordingly, you should obtain current market quotations for Standard BioTools Common Stock and SomaLogic Common Stock before deciding how to vote with respect to any of the proposals described in this joint proxy statement/prospectus. Standard BioTools Common Stock is traded on The Nasdaq Global Select Market under the symbol “LAB,” and SomaLogic Common Stock and SomaLogic Warrants are traded on The Nasdaq Capital Market under the symbols “SLGC” and “SLGCW,”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Excluded Shares will be cancelled and will cease to exist, and no payment or any consideration will be delivered in exchange for such Excluded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events that led to the signing of the Merger Agreement. This chronology does not catalogue every interaction of or among members of the Standard BioTools Board or SomaLogic Board, members of Standard BioTools management or SomaLogic management, Standard BioTools’ or SomaLogic’s financial or legal advisors or any other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Standard BioTools Board and the SomaLogic Board, together with members of their respective management teams, regularly reviews and assesses the performance, future growth prospects, business plans and overall strategic direction of Standard BioTools and SomaLogic, respectively, and considers a variety of strategic alternatives that may be available to Standard BioTools and SomaLogic, respectively, including continuing to pursue each respective company’s strategy as a standalone company or pursuing potential strategic transactions with third parties, in each case with the goal of maximizing 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greater detail below, with the commencement of discussions of any specific transaction, each company considered whether any potential conflicts of interest might exist among any board members and took appropriate corporate governance steps to enhance and protect the independence of deliberations by the board of directors of the companies involved, including the recusal of board members and the establishment of independent transaction committees. This includes the process described below relating to Casdin Capital, LLC (together with its affiliated entities, “Casdin Capital”) as a stockholder in each company and Eli Casdin, as Casdin Capital’s founder and Chief Investment Officer and a member of the board of directors of each company, that was followed in discussions between Standard BioTools and SomaLogic through the announcement of a definitive agreement on October 4,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2021, the SomaLogic Board engaged Cowen and Company, LLC (“Cowen”) to assist in a review of potential acquisitions and financing alternatives available to SomaLogic (the “2021-2022 SomaLogic Strategic Review”).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2021, SomaLogic completed a business combination transaction with CM Life Sciences II, a special purpose acquisition company (the “SomaLogic SPAC Transaction”). Following the closing of the SomaLogic SPAC Transaction, and as part of its stated strategy, SomaLogic continued to actively explore strategic transaction opportunities to scale and expand its business with the assistance of Cowen. As part of the 2021-2022 SomaLogic Strategic Review, Cowen contacted six potential strategic parties, including Standard BioTools, to discuss their interest in potential strategic transactions with SomaLogic, including financing alternatives and the acquisition of, or a merger with, SomaLogic. In addition to the discussions in June 2022 described below, following the closing of the SomaLogic SPAC Transaction, SomaLogic had preliminary discussions with Standard BioTools (which was then called Fluidigm Corporation) to ascertain each party’s interest in exploring a potential strategic transaction, but these discussions did not result in any proposals for a transaction. As part of those discussions, SomaLogic and Fluidigm Corporation entered into a mutual confidential disclosure agreement on February 14, 2022. This mutual confidential disclosure agreement did not include a standstill provision.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following the SomaLogic SPAC Transaction, the SomaLogic Board utilized a transaction committee of the SomaLogic Board (the “SomaLogic Transaction Committee”) to review potential strategic opportunities, including the 2021-2022 SomaLogic Strategic Review. The composition of the SomaLogic Transaction committee changed over time as the composition of the SomaLogic Board changed (including as described below). The SomaLogic Board did not delegate any authority to approve a transaction to the SomaLogic Transaction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April 2022, Standard BioTools (previously known as Fluidigm Corporation) embarked on a strategic restructuring of the company. The restructuring involved a $250 million Series B Convertible Preferred Stock investment (the “2022 Standard BioTools Investment”) from entities affiliated with Viking Global Investors LP (“Viking”) and Casdin Capital LLC, the appointment of an experienced executive leadership team, led by President and Chief Executive Officer Michael Egholm, Ph.D., former Chief Technology Officer of Danaher Life Sciences, and the implementation of a strategy focused on unlocking value in the highly fragmented life science tools space at scale. Specifically, since the completion of this restructuring, Standard BioTools has focused on, among other matters, actively pursuing business development opportunities in the life sciences industry with an objective to leverage its management expertise and operating discipline to drive value creation for stockholders. For a discussion of Standard BioTools’ business strategies, see “— </w:t>
      </w:r>
      <w:r>
        <w:rPr>
          <w:rFonts w:ascii="Times New Roman;Times;serif" w:hAnsi="Times New Roman;Times;serif"/>
          <w:b w:val="false"/>
          <w:i/>
          <w:caps w:val="false"/>
          <w:smallCaps w:val="false"/>
          <w:color w:val="000000"/>
          <w:spacing w:val="4"/>
          <w:sz w:val="20"/>
        </w:rPr>
        <w:t>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consistent with its business strategy, Standard BioTools engaged in outreach and preliminary discussions with third parties about potential strategic acquisitions by Standard BioTools.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outreach was directed at a range of companies in the life sciences tools sector, including private companies and public companies, that could potentially complement Standard BioTools’ business and align with its growth-focused strategy, including SomaLogic. This process was overseen by a special advisory committee of the Standard BioTools Board, formed on May 3, 2022, and consisting of the directors Martin Madaus, Frank Witney, Bill Colston and Mr. Casdin. The special advisory committee’s mandate was initially to oversee and negotiate the terms of a proposed transaction with a specific company (which was not SomaLogic). Subsequently, the work of the special advisory committee became more general, consisting of assisting Standard BioTools management in evaluating and negotiating preliminary terms of potential strategic opportunities generally. Most of this outreach was conducted by Standard BioTools’ internal business development team, but some outreach was assisted by Centerview Partners LLC (“Centerview”) as financial advisor to Standard BioTools. Centerview was chosen to assist Standard BioTools given its expertise and experience with similar transactions and industry knowledge, as well as its familiarity with Standard BioTools. As a result of this outreach, in 2022, Standard BioTools entered into 16 confidential disclosure agreements, including with SomaLogic, as described below. Of these 16 confidential disclosure agreements, only two (including the confidential disclosure agreement with SomaLogic) contained a standstill provision. Such standstill provisions (1) were mutual or binding only on Standard BioTools, (2) were for a duration of either 12 or 24 months and (3) terminated if, among other things, the party able to enforce the standstill entered into an agreement providing for a change of control transaction with a third party. One of these standstill provisions (not with SomaLogic) was subject to a “don’t ask, don’t waive” provision. Initial mutual management presentations were held and preliminary business due diligence was conducted with respect to each party, including SomaLogic on August 8, 2022 as described below. As a result, in the fourth quarter of 2022, Standard BioTools sent written non-binding indications of interest to three of these companies (none of which was SomaLogic). Each of these indications of interest was highly preliminary and involved a proposed acquisition using shares of Standard BioTools common stock or a combination of shares of Standard BioTools common stock and cash. Two of the indications of interest did not result in further discussions. One of the companies that was sent an indication of interest was subsequently acquired by another company and Standard BioTools engaged in preliminary discussions with the successor entity thereof in 2023, as referenced below. A more detailed description of the interactions between Standard BioTools and SomaLogic in 2022 is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2022, Dr. Egholm and Roy Smythe, then-Chief Executive Officer of SomaLogic, held an introductory call to discuss potential interest in exploring a combination of Standard BioTools and SomaLogic. On July 12, 2022, Standard BioTools and SomaLogic entered into a new mutual confidential disclosure agreement to facilitate the exchange of diligence information. This mutual confidential disclosure agreement contained a standstill provision that (1) was binding only on Standard BioTools, (2) was for a duration of 12 months, (3) would terminate if, among other things, SomaLogic entered into an agreement providing for a change of control transaction with a third party and (4) was not subject to a “don’t ask, don’t waive” provision.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discussions between SomaLogic and Standard BioTools progressed through initial business due diligence, including a preliminary meeting on August 8, 2022 at SomaLogic’s headquarters in Boulder, Colorado and a subsequent meeting on October 3, 2022 in San Diego, California. In November 2022, these preliminary discussions were terminated without any specific valuation or other terms being proposed or any written non-binding indication of interest being delivered.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preliminary meetings with Standard BioTools, as part of the 2021-2022 SomaLogic Strategic Review, SomaLogic also entered into a mutual confidential disclosure agreement with a party referred to as Counterparty A on September 27, 2022 in order to discuss a potential combination with Counterparty A. This mutual confidential disclosure agreement did not include a standstill provision. Other than Standard BioTools and Counterparty A, no parties entered into confidential disclosure agreements or expressed interest in a potential strategic transaction with SomaLogic, and no substantive discussions emerged regarding potential transactions from the 2021-2022 SomaLogic Strategic Review. After reviewing the results of the outreach and the discussions with Standard BioTools and Counterparty A and the lack of any proposal for a strategic transaction, the SomaLogic Board decided to pause its exploration of strategic initiatives with Cowen in December 2022.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28, 2023, SomaLogic announced the appointment of Mr. Taich as interim Chief Executive Officer, the resignation of Dr. Smythe as Chief Executive Officer and as a member of the SomaLogic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retirement of two independent members of the SomaLogic Board and the addition of four new independent members of the SomaLogic Board. As part of the nomination process for the new directors, the SomaLogic Board determined that each of the new directors was independent under relevant laws, regulations and listing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2023, Standard BioTools continued, pursuant to its business strategy, to actively explore other strategic opportunities with a range of companies, including private companies and public companies, in the life sciences tools sector that Standard BioTools assessed could potentially complement Standard BioTools’ business and align with its growth-focused strategy, including SomaLogic. As a result, in 2023, Standard BioTools’ entered into nine confidential disclosure agreements, including a new agreement with SomaLogic, as described below, of which three (including the confidential disclosure agreement with SomaLogic) contained a standstill provision on terms consistent with the description above (unless otherwise specified below). Initial mutual management presentations were held, and preliminary business due diligence was conducted with respect to each party. As a result, in the first, second and third quarters of 2023, Standard BioTools sent written non-binding indications of interest to five companies (including SomaLogic, as described further below). Each of these indications of interest was highly preliminary and involved a proposed acquisition using shares of Standard BioTools common stock or a combination of shares of Standard BioTools common stock and cash. None of these indications of interest resulted in further discussions, except with respect to SomaLogic, as described below in more detail.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SomaLogic Transaction Committee, then consisting of Jason Ryan, Tom Carey, Troy Cox, Tycho Peterson and Mr. Casdin, reconvened to review SomaLogic’s past strategic discussions and outreach, and to oversee any future strategic process and review of strategic alternatives with a focus on strategic alternatives that would increase scale and the diversity of products and lead to enhanced operating efficiencies that would result in an accelerated path to profitability.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28, 2023, Dr. Egholm, Mr. Kim and Mr. Taich held a telephone call in which Dr. Egholm and Mr. Kim congratulated Mr. Taich on his appointment as Interim Chief Executive Officer. The parties also had a high-level discussion as to whether there might be mutual interest in a potential combination of the two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May 2023, SomaLogic engaged Perella Weinberg Partners LP (“PWP”) to assist in a new review of potential strategic initiatives, based on its qualifications, expertise, reputation, and its knowledge of SomaLogic’s business and the industry in which it operates. As described below, following the receipt of the June 16 Proposal (as defined below), PWP contacted 16 parties, at the direction of the SomaLogic Transaction Committee, to ascertain their interest in a potential strategic transaction with SomaLogic,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2023, at the direction of Standard BioTools’ independent directors, Centerview contacted PWP to discuss whether SomaLogic would be interested in reviving the prior discussions between SomaLogic and Standard BioTools regarding a potential combination of the two companies. Centerview and PWP held a further call on May 16, 2023 to discuss a potential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May and early June 2023, the management teams of each company maintained informal discussions with each other, including the periodic involvement of representatives of PWP and Centerview, to further explore the strategic rationale of a potential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June 6, 2023, the SomaLogic Board held a regularly scheduled board meeting, with members of SomaLogic senior management and representatives of PWP, SomaLogic’s outside legal counsel, Fenwick &amp; West LLP (“Fenwick”), and Boston Consulting Group (“BCG”) in attendance. At this meeting, the SomaLogic Board and representatives of PWP discussed SomaLogic’s potential strategic alternatives and the challenges to SomaLogic’s growth and profitability resulting from its current lack of scale and dependence on its proteomics analysis platform. A further description of such challenges are included in the section of this joint proxy statement/prospectus captioned “— </w:t>
      </w:r>
      <w:r>
        <w:rPr>
          <w:rFonts w:ascii="Times New Roman;Times;serif" w:hAnsi="Times New Roman;Times;serif"/>
          <w:b w:val="false"/>
          <w:i/>
          <w:caps w:val="false"/>
          <w:smallCaps w:val="false"/>
          <w:color w:val="000000"/>
          <w:spacing w:val="4"/>
          <w:sz w:val="20"/>
        </w:rPr>
        <w:t>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In addition, members of SomaLogic senior management and BCG reviewed, and the SomaLogic Board discussed, an updated long-range financial plan through 2027 (the “SomaLogic Forecast”) that had been prepared by SomaLogic management, as described in the section of this joint proxy statement/prospectus captioned “— </w:t>
      </w:r>
      <w:r>
        <w:rPr>
          <w:rFonts w:ascii="Times New Roman;Times;serif" w:hAnsi="Times New Roman;Times;serif"/>
          <w:b w:val="false"/>
          <w:i/>
          <w:caps w:val="false"/>
          <w:smallCaps w:val="false"/>
          <w:color w:val="000000"/>
          <w:spacing w:val="4"/>
          <w:sz w:val="20"/>
        </w:rPr>
        <w:t>Summary of Certain SomaLogic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With the commencement of substantive discussions between Standard BioTools and SomaLogic in 2023 through the announcement of a definitive agreement on October 4, 2023, the Standard BioTools Board and the SomaLogic Board, each after considering relevant factors and after discussion, independently implemented the following corporate governance measures to enhance and protect the independence of deliberations by the boards of directors of both companies given Casdin Capital and Mr. Casdin’s relationships with both Standard BioTools and SomaLogic, as described herein. Specifically, (1) Mr. Casdin would be excluded from any board meetings, board deliberations and board communications at both companies that addressed the potential transaction, (2) each of Standard BioTools and SomaLogic separately established independent board transaction committees (which excluded Mr. Casdin) to oversee such process, as described further below, and (3) an appropriate recusal process would be utilized with respect to any ultimate board vote by either side, if the potential transaction were to progress to such a point. In addition, Mr. Casdin agreed to waive his right to notice of any board meeting or to receive information relating to any proposed transaction from either Standard BioTools, SomaLogic or representatives of either party. These measures were in place with respect to all the board meetings, board deliberations and board communications (including committees of the board) at both companies described below, unless otherwise noted. For a summary description of Casdin Capital’s and Mr. Casdin’s relationship as a stockholder, including as a holder of Series B-1 Preferred Stock, and as a member of the board of directors of each company,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Relationships with Casdin Capital</w:t>
      </w:r>
      <w:r>
        <w:rPr>
          <w:rFonts w:ascii="Times New Roman;Times;serif" w:hAnsi="Times New Roman;Times;serif"/>
          <w:b w:val="false"/>
          <w:i w:val="false"/>
          <w:caps w:val="false"/>
          <w:smallCaps w:val="false"/>
          <w:color w:val="000000"/>
          <w:spacing w:val="4"/>
          <w:sz w:val="20"/>
        </w:rPr>
        <w:t xml:space="preserve">” beginning on page </w:t>
      </w:r>
      <w:hyperlink w:anchor="tRWC2">
        <w:r>
          <w:rPr>
            <w:rStyle w:val="InternetLink"/>
          </w:rPr>
          <w:t>124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2023, Standard BioTools management, after discussion with members of the Standard BioTools Board, delivered to SomaLogic a written preliminary, non-binding indication of interest outlining the terms of a proposed all-stock business combination (the “June 16 Proposal”). The June 16 Proposal proposed a transaction pursuant to which Standard BioTools would issue shares of its Common Stock to SomaLogic equityholders based on a fixed exchange ratio equal to between 1.2600 and 1.5200 shares of Standard BioTools Common Stock for each share of SomaLogic Common Stock, resulting in a post-closing ownership split of approximately 36% to 40% for Standard BioTools stockholders and 60% to 64% for SomaLogic stockholders on a fully diluted basis (including the Series B Preferred Stock on an as-converted basis and the settlement of Standard BioTools’ convertible notes on a “net basis” with cash being paid for the principal amount). The June 16 Proposal implied a price per share to SomaLogic stockholders of between $2.92 and $3.50, which represented a premium of approximately 0% to 20% based on SomaLogic’s 10-day volume weighted average price (“VWAP”) as of June 15, 2023 (which was $2.92), the last trading day prior to Standard BioTools’ delivery of the June 16 Proposal. The June 16 Proposal also proposed a period of exclusive negotiations. Mr. Casdin was recused from all discussions regarding the June 16 Proposal, which were conducted by the independent members of the Standard BioTools Board and, from and after July 7, 2023, by the Standard BioTools Transaction Committee,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16, 2023, Standard BioTools and SomaLogic entered into a new mutual confidential disclosure agreement on the same terms as their prior confidential disclosure agreement, except with a mutual one-year standstill provision commencing on the date thereof that would terminate if, among other things, either party entered into an agreement providing for a change of control transaction with a third party, and having other standstill terms consistent with the prior confidential disclosure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June 2023, following the receipt of the June 16 Proposal, Mr. Casdin ceased to be a member of the SomaLogic Transaction Committee and had no further involvement with the SomaLogic Transaction Committee. The SomaLogic Board believed that the members of the SomaLogic Transaction Committee did not have any relationships that would represent a conflict of interest with respect to a potential transaction with Standard BioTools.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16, 2023, members of the SomaLogic Transaction Committee met, with Mr. Taich and representatives of PWP and Fenwick in attendance, to review the June 16 Proposal. The members of the SomaLogic Transaction Committee then requested that PWP prepare a financial review of the June 16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21, 2023, the SomaLogic Transaction Committee met, with members of SomaLogic senior management and representatives of PWP and Fenwick in attendance, and discussed the June 16 Proposal. PWP reviewed the June 16 Proposal, including its terms and rationale, the trading prices of SomaLogic’s Common Stock and Standard BioTools’ Common Stock, and the pro forma financial contribution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parties to the combined company based on recent historical results. The SomaLogic Transaction Committee discussed the increased scale and cost synergies that could be realized by the combined company and potential value creation that may result from the combination of the two parties. The SomaLogic Transaction Committee discussed the ownership of Series B Preferred Stock of Standard BioTools by Casdin Capital and Viking, and each of their Series B Put Rights. The SomaLogic Transaction Committee and representatives of PWP then discussed other parties that might be interested in an acquisition of, or merger with, SomaLogic. Following discussion, the SomaLogic Transaction Committee directed PWP to contact Centerview to facilitate exploration of a potential transaction with Standard BioTools, and to indicate to Centerview that SomaLogic would need to complete diligence on Standard BioTools’ financial position and forecast, synergy expectations and other aspects of the proposed transaction prior to engaging in a substantive discussion regarding the material terms of the transaction, including the exchange ratio. In addition, the SomaLogic Transaction Committee directed PWP to inform Centerview that SomaLogic would not agree to exclusivity and would only explore a potential transaction that would not cause the Series B Put Right to become exercisable in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22, 2023, representatives of PWP informed representatives of Centerview that SomaLogic would be willing to explore a potential transaction, but would need to complete diligence on Standard BioTools’ financial position and forecast, synergy expectations and other aspects of the proposed transaction prior to engaging in a substantive discussion regarding the material terms of the transaction, including the exchange ratio. Representatives of PWP also indicated to representatives of Centerview that SomaLogic would not agree to exclusivity, and that SomaLogic would only explore a potential transaction that would not cause the Series B Put Right to become exercisable.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24, 2023, the SomaLogic Transaction Committee met, with members of SomaLogic senior management and representatives of PWP and Fenwick in attendance, to discuss the June 16 Proposal and the status of discussions with Standard BioTools. A representative of Fenwick reviewed the terms of the Series B Preferred Stock and the transaction structure proposed in the June 16 Proposal, noting that the Series B Put Right would only be exercisable in a transaction that constituted a “Change of Control” as defined in the Certificates of Designations of the Series B Preferred Stock, and discussing the applicability of that definition to the transaction proposed by Standard BioTools. Representatives of PWP then discussed financial aspects of the June 16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2023, the SomaLogic Transaction Committee met, with members of SomaLogic senior management and representatives of PWP and Fenwick in attendance, to discuss the status of discussions and due diligence with Standard BioTools, as well as SomaLogic’s preparations for a management presentation to Standard BioTools. The SomaLogic Transaction Committee and representatives of PWP also discussed additional potential counterparties to contact to explore interest in a potential transaction with SomaLogic, and the SomaLogic Transaction Committee directed PWP to contact 16 parties that were identified at this meeting. PWP identified such parties based on its industry knowledge and expertise. Representatives of PWP then left the meeting, and the SomaLogic Transaction Committee discussed the terms proposed by PWP for its engagement.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July 7, 2023, PWP contacted these potential strategic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2023, the Standard BioTools Board formed a new transaction committee (the “Standard BioTools Transaction Committee”) in furtherance of the corporate governance measures already implemented and to provide an additional layer of oversight to the transaction process and an added resource for the Standard BioTools management team. The Standard BioTools Transaction Committee consisted of Fenel Eloi, Martin D. Madaus and Frank Witney. Mr. Casdin was not made a member of the Standard BioTools Transaction Committee. The members of the Standard BioTools Transaction Committee did not have any relationships that would represent a conflict of interest with respect to a potential transaction with SomaLogic. The Standard BioTools Transaction Committee was empowered to review and evaluate any potential transaction, to negotiate the terms of the proposed transaction and to make a recommendation to the Standard BioTools Board with respect thereto. The Standard BioTools Board did not delegate any authority to approve a transaction to the Standard BioTools Transaction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second week of July 2023, reciprocal management presentations occurred between Standard BioTools and SomaLogic, with representatives of PWP and Centerview in attendance. Specifically, on July 10,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2023, members of Standard BioTools management, including Dr. Egholm, Mr. Kim and Jeff Black (Standard BioTools’ Chief Financial Officer), provided an overview of Standard BioTools, including Standard BioTools’ current business operations and financial forecast to members of SomaLogic management, including Mr. Taich and Jason Ryan, Chairman of the SomaLogic Board. On July 12, 2023, members of SomaLogic management, including Mr. Taich and Chairman Ryan, gave an overview of SomaLogic, including SomaLogic’s business, operations, management team, technology, intellectual property and the SomaLogic Forecast, to members of Standard BioTools management, including Dr. Egholm, Mr. Kim and Mr. Black.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11, 2023, the SomaLogic Board met (with Mr. Casdin participating for a portion of the meeting) with members of SomaLogic senior management and representatives of PWP and Fenwick in attendance. During this meeting, the SomaLogic Board reviewed the SomaLogic Forecast followed by a closed board session from which Mr. Casdin was recused. During this closed board session, the SomaLogic Transaction Committee members and representatives of PWP provided an update regarding the status of discussions with Standard BioTools and the results of ongoing outreach to other potential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July 12, 2023 and August 2023, members of Standard BioTools and SomaLogic management continued to discuss business diligence matters and synergy opportunities of a potential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17, 2023, SomaLogic executed a mutual confidential disclosure agreement with a party referred to as Counterparty B. This mutual confidential disclosure agreement included a one-year mutual standstill provision that would terminate if, among other things, either party entered into an agreement providing for a change of control transaction with a third party. The standstill terminated upon the execution of the Merger Agreement between SomaLogic and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19, 2023, the SomaLogic Transaction Committee met, with members of SomaLogic senior management and representatives of PWP and Fenwick in attendance, and reviewed the status of due diligence related to Standard BioTools, as well as interactions with other potential counterparties for a transaction. Mr. Taich also noted that SomaLogic had engaged BCG and DeciBio Consulting to conduct a due diligence review of Standard BioTools’ intellectual property and technology. Representatives of PWP also reviewed with the SomaLogic Transaction Committee the status of PWP’s outreach to other potential transaction counterparties, noting that a meeting was scheduled for July 20, 2023 with Counterparty B and a call was being scheduled with a party referred to as Counterparty 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19, 2023, Chairman Ryan spoke with the Chief Executive Officer of Counterparty A to discuss interest on the part of Counterparty A in a potential transaction, and the Chief Executive Officer of Counterparty A indicated that Counterparty A was not interested in pursuing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20, 2023, members of SomaLogic senior management and representatives of PWP met with representatives of Counterparty B, and discussed SomaLogic’s business, operations, management team, technology, intellectual property and the SomaLogic Forecast. On July 27, 2023, Counterparty B indicated to PWP that it would not propose an acquisition and was primarily interested in a minority investment as Counterparty B did not believe SomaLogic’s financial profile would support a full acquisition of SomaLogic by Counterparty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27, 2023, Mr. Taich held a call with Counterparty C to discuss interest on the part of Counterparty C in a potential strategic transaction. Counterparty C indicated that it was not interested in pursuing a potential strategic transaction as Counterparty C was focused on continuing its operations as an independent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2023, the SomaLogic Transaction Committee met, with members of SomaLogic senior management and representatives of PWP and Fenwick in attendance. Representatives of PWP presented a preliminary financial analysis of the transaction proposed in the June 16 Proposal and a sensitivity analysis based on different growth scenarios for each company, and discussed potential synergies that might result from a combination with Standard BioTools, and the SomaLogic Transaction Committee discussed the Standard BioTools Forecast.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28, 2023, representatives of SomaLogic management, members of the SomaLogic Transaction Committee, representatives of PWP and BCG met with representatives of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to discuss Standard BioTools’ financial performance in the second quarter of 2023 and certain other commercial and financial diligence matters pertaining to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2023, the Standard BioTools Board held a virtual meeting, in which members of Standard BioTools management and representatives of Centerview and Standard BioTools’ outside legal counsel, Mintz, Levin, Cohn, Ferris, Glovsky and Popeo, P.C. (“Mintz”), discussed the status of the SomaLogic proposal and other potential opportunities. Representatives from Mintz reiterated the fiduciary duties of directors under Delaware law in the context of a strategic transaction, including the SomaLogic proposal, and the corporate governance practices being followed, as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the SomaLogic Transaction Committee met, with members of SomaLogic senior management and representatives of PWP and Fenwick in attendance, and reviewed the status of due diligence conducted by SomaLogic with respect to Standard BioTools. PWP then reviewed the outreach to potential transaction counterparties, providing an update on the 16 different counterparties, including Counterparty B and Counterparty C and the 14 other counterparties, including parties referred to as Counterparty E, Counterparty F, and Counterparty G. Representatives of PWP noted that Counterparty B indicated an interest in reviewing SomaLogic’s technology, but that Counterparty B’s interest was in a potential minority investment and not an acquisition. Representatives of PWP also noted that Counterparty E and Counterparty F had not followed up to indicate interest in exploring a transaction after PWP’s outreach. Representatives of PWP noted that Counterparty G was interested in an investment, but not an acquisition, Counterparty A was not interested in pursuing a potential transaction and that there was no interest in discussions from the remaining nine counterparties. Representatives of PWP also discussed each of the 16 potential counterparties from a strategic, financial and potential synergy perspective. Other than as noted elsewhere, none of the potential counterparties contacted by PWP entered into a confidential disclosure agreement in connection with this outreach.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9, 2023, the SomaLogic Transaction Committee met, with members of SomaLogic senior management and representatives of PWP and Fenwick in attendance. Representatives of PWP reviewed with the SomaLogic Transaction Committee a preliminary financial analysis of the proposed transaction contemplated by the June 16 Proposal and a sensitivity analysis based on different growth scenarios for each of SomaLogic and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August 9 and August 12, 2023, representatives of PWP and Fenwick worked with members of the SomaLogic Transaction Committee to develop a counterproposal to Standard BioTools’ June 16 Proposal, with a focus on the proposed exchange ratio, board composition and treatment of the Series B Put Right.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10, 2023, representatives of SomaLogic management and Standard BioTools management held a call with representatives of PWP and Centerview in attendance, to discuss potential synergies. The parties discussed potential revenue and cost synergies, cross-selling opportunities, customer base overlap, Standard BioTools’ global footprint, product pipeline synergies and other potential synergies.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August 11, 2023, the SomaLogic Board met, with members of SomaLogic senior management and representatives of PWP and Fenwick in attendance. Chairman Ryan reviewed the June 16 Proposal with the SomaLogic Board. In addition, Chairman Ryan discussed SomaLogic’s due diligence with respect to Standard BioTools’ technology. Mr. Taich then discussed the strategic rationale for a business combination between SomaLogic and Standard BioTools. This strategic rationale is described in further detail in the section of this joint proxy statement/prospectus captioned “— </w:t>
      </w:r>
      <w:r>
        <w:rPr>
          <w:rFonts w:ascii="Times New Roman;Times;serif" w:hAnsi="Times New Roman;Times;serif"/>
          <w:b w:val="false"/>
          <w:i/>
          <w:caps w:val="false"/>
          <w:smallCaps w:val="false"/>
          <w:color w:val="000000"/>
          <w:spacing w:val="4"/>
          <w:sz w:val="20"/>
        </w:rPr>
        <w:t>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Representatives of PWP then reviewed a preliminary financial analysis of the proposed transaction, as well as a preliminary analysis of the pro forma financial contribution of the two parties to the combined company based on recent historical and projected results, a sensitivity analysis based on different growth scenarios for each company and an illustrative analysis comparing the value to SomaLogic stockholders of the combined company (giving effect to anticipated synergies) to SomaLogic on a standalone basis, under different revenue growth scenarios for each of Standard BioTools and SomaLogic. Representatives of PWP and Mr. Taich then reviewed the outreach that had been conducted to other parties to assess their potential interest in a transaction with SomaLogic, and the responses received from these parties. PWP noted 16 potential counterparties were contacted about their interest in exploring a potential transaction with SomaLogic, of which 11 had declined to engage in discussions. As of August 11, 2023 four remaining potential counterparties had not yet confirmed or declined interest in discussions (though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those parties ultimately did not express interest in discussions). Counterparty B had engaged in discussions with SomaLogic with respect to exploring a potential transaction, but had previously indicated such interest was primarily in a minority investment. The SomaLogic Board then discussed a potential counterproposal to the June 16 Proposal in which Standard BioTools would issue 1.5200 shares of Standard BioTools Common Stock in exchange for each share of SomaLogic’s Common Stock (the high end of the range proposed by Standard BioTools in the June 16 Proposal). During an executive session in which no member of SomaLogic management was present, the SomaLogic Board discussed governance and management considerations for the combined company, including the proposed composition of the board of directors of the combined company, and the potential roles of Mr. Taich and of Shane Bowen in the combined company. The SomaLogic Board then discussed the impact of the proposed merger on SomaLogic’s employees, including the effect of the proposed transaction under SomaLogic’s employee change of control arrangements. Following further discussion, the SomaLogic Board directed representatives of PWP to communicate to Standard BioTools that SomaLogic would be willing to further engage in discussions for a potential transaction on revised terms of a fixed exchange ratio equal 1.5200 shares of Standard BioTools Common Stock for each share of SomaLogic Common Stock (the high end of the range proposed by Standard BioTools in the June 16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12, 2023, representatives of PWP contacted representatives of Centerview to present a counterproposal to the June 16 Proposal (the “August 12 Proposal”). The August 12 Proposal provided for (1) a fixed exchange ratio of 1.5200 shares of Standard BioTools Common Stock for each share of SomaLogic Common Stock, resulting in a post-closing ownership split of approximately 36% for Standard BioTools stockholders and 64% for SomaLogic stockholders on a fully diluted basis, (2) a combined company board consisting of seven members, with three directors designated by Standard BioTools and four directors (including the Chairperson) designated by SomaLogic, (3) an executive team to be led by Dr. Egholm serving as Chief Executive Officer and Mr. Black serving as Chief Financial Officer of the combined company and (4) the removal of the Series B Put Right for any “Change of Control” transactions. The August 12 Proposal implied a price per share to SomaLogic stockholders of $3.89, which represented a premium of approximately 67% based on SomaLogic’s 10-day VWAP as of August 9, 2023. Representatives of Centerview indicated that Standard BioTools would review the proposal, but would need to complete additional due diligence before engaging in negotiations regarding the proposed exchange ratio.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17, 2023, the Standard BioTools Transaction Committee held a virtual meeting, in which members of Standard BioTools management, Carlos Paya, M.D., Ph.D., the Chairman of the Board, and representatives of Centerview discussed the status of the SomaLogic proposal, including due diligence and other business matters. The Standard BioTools Committee resolved to make a counterproposal to SomaLogic consisting of the following: (1) a fixed exchange ratio of 0.8469 shares of Standard BioTools Common Stock for each share of SomaLogic Common Stock, resulting in a post-closing ownership split of approximately 50% for Standard BioTools’ stockholders and 50% for SomaLogic’s stockholders on a fully diluted basis, (2) a combined company board consisting of seven members, with three directors designated by Standard BioTools (one of whom would serve as Chairperson and one of whom would be the Series B-2 Preferred Stock director designated by Viking), three directors designated by SomaLogic and one director designated in accordance with the existing Series B-1 Certificate of Designations, (3) Dr. Egholm would serve as Chief Executive Officer and Mr. Black would serve as Chief Financial Officer of the combined company and (4) the retention of the Series B Put Right under its existing terms (the “August 17 Proposal”). The August 17 Proposal implied a price per share of $2.30, which represented a premium of approximately 9% based on SomaLogic’s 10-day VWAP as of August 17,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at the direction of the Standard BioTools Transaction Committee, representatives of Centerview held a telephone call with representatives of PWP to convey the terms of the August 17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2023, the SomaLogic Transaction Committee met, with members of SomaLogic senior management and representatives of PWP and Fenwick in attendance, to review the August 17 Proposal. After discussion, the SomaLogic Transaction Committee determined that the August 17 Proposal did not provide sufficient value to the SomaLogic stockholders, and instructed PWP to communicate to Standard BioTools, through Centerview, that SomaLogic would not be willing to proceed with a transaction 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reduced exchange ratio proposed in the August 17 Proposal and that, while SomaLogic remained ready to engage if Standard BioTools were to propose improved terms, SomaLogic would pursue other strategic alternatives.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2023, representatives of PWP spoke by telephone with representatives of Centerview and, as directed by the SomaLogic Transaction Committee, informed the representatives of Centerview that the August 17 Proposal was unacceptable to SomaLogic, and did not make a counterproposal.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2023, at the direction of Standard BioTools management following discussion with members of the Standard BioTools Transaction Committee, representatives of Centerview contacted representatives of PWP to convey an updated proposal from Standard, which increased the proposed exchange ratio to 0.9000 shares of Standard BioTools Common Stock for each share of SomaLogic Common Stock, resulting in a post-closing ownership split of approximately 48% for Standard BioTools’ stockholders and 52% for SomaLogic’s stockholders on a fully diluted basis (the “August 19 Proposal”). The August 19 Proposal implied a price per share of $2.42, which represented a premium of approximately 20% based on SomaLogic’s 10-day VWAP as of August 18, 2023. Representatives of PWP promptly conveyed the August 19 Proposal to members of SomaLogic senior management and members of the SomaLogic Transaction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Transaction Committee met again on August 23 and August 25, 2023, with members of SomaLogic senior management and representatives of PWP and Fenwick in attendance, to review the status of interactions with Standard BioTools. During the August 25, 2023 meeting, representatives of PWP reviewed a preliminary financial analysis of the August 19 Proposal, as well as a sensitivity analysis based on different growth scenarios for each company. PWP also reviewed an illustrative analysis comparing the value to SomaLogic stockholders of the combined company (giving effect to anticipated synergies) to SomaLogic on a standalone basis, under different revenue growth scenarios for each of Standard BioTools and SomaLogic. The SomaLogic Transaction Committee determined at each meeting not to engage in further discussions with Standard BioTools on the basis of the August 19 Proposal. Given the foregoing, the SomaLogic Transaction Committee and members of SomaLogic management discussed the viability of a hypothetical scenario for SomaLogic’s operations, including significant restructuring and reductions in expenses, de-prioritization of new product development, and increased reliance on the collaboration with Illumina.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28, 2023, representatives of Centerview contacted representatives of PWP to inquire about the status of SomaLogic’s consideration of the August 19 Proposal. Representatives of PWP informed representatives of Centerview that the parties remained too far apart on the exchange ratio to continue working together on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Dr. Egholm and Chairman Ryan spoke by telephone about the status of the August 19 Proposal. Chairman Ryan indicated to Dr. Egholm that SomaLogic and Standard BioTools remained too far apart on the exchange ratio and that as a result, SomaLogic would not engage in further discussions with Standard BioTools on the basis of the August 19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29, 2023, the SomaLogic Transaction Committee met, with members of SomaLogic senior management and representatives of PWP and Fenwick in attendance. The SomaLogic Transaction Committee discussed a hypothetical scenario for SomaLogic’s operations in the event that it remained an independent company and did not complete a transaction with Standard BioTools or any another counterparty. The SomaLogic Transaction Committee also reconfirmed its desire to not engage in further discussions with Standard BioTools on the basis of the August 19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2023, the SomaLogic Compensation Committee met, with members of SomaLogic senior management and representatives of Fenwick and Pearl Meyers &amp; Partners LLC in attendance. The SomaLogic Compensation Committee discussed, among other things, the change in control benefits for the SomaLogic executive team.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6, 2023, Dr. Egholm and Chairman Ryan spoke again by telephone regarding the terms of a potential transaction. Chairman Ryan again conveyed to Dr. Egholm that that the August 19 Proposal did not provide sufficient value to SomaLogic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7, 2023, the Standard BioTools Transaction Committee held a virtual meeting, in which members of Standard BioTools management and Chairman Paya discussed the status of the August 19 Proposal. Following the meeting, Dr. Egholm spoke by telephone with Chairman Ryan to deliver a revised proposal, as authorized by the Standard BioTools Transaction Committee, providing for a fixed exchange ratio of 1.0700 shares of Standard BioTools Common Stock for each share of SomaLogic Common Stock, resulting in a post-closing ownership split of approximately 44% for Standard BioTools stockholders and 56% for SomaLogic stockholders on a fully diluted basis and a combined company board and management composition consistent with the August 17 Proposal (the “September 7 Proposal”). The September 7 Proposal implied a price per share of $3.22 for SomaLogic, which represented a premium of approximately 46% based on SomaLogic’s 10-day VWAP as of September 6,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September 7, 2023, following the receipt of the September 7 Proposal, the SomaLogic Transaction Committee met, with members of SomaLogic senior management and representatives of PWP and Fenwick in attendance, to review the September 7 Proposal. During the meeting, representatives of PWP provided a preliminary financial analysis of the September 7 Proposal. Following discussion, the SomaLogic Transaction Committee directed Chairman Ryan to engage in negotiations with Dr. Egholm regarding the September 7 Proposal and to negotiate the best exchange ratio available (but no less than that proposed in the September 7 Proposal) and reach agreement that a SomaLogic designee would serve as the Chairperson of the combined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Chairman Ryan telephoned Dr. Egholm to deliver a revised proposal consisting of the following: (1) a fixed exchange ratio of 1.1100 shares of Standard BioTools Common Stock for each share of SomaLogic Common Stock, resulting in a post-closing ownership split (based on each company’s capitalization as of such date) of approximately 44% for Standard BioTools stockholders and 56% for SomaLogic stockholders on a fully diluted basis, (2) the combined company’s board would consist of seven members, with three directors designated by each of Standard BioTools (including the Series B-2 Preferred Stock director designated by Viking) and SomaLogic, and one director designated in accordance with the existing Series B-1 Certificate of Designations, (3) one of SomaLogic’s designees would serve as the Chairperson of the combined board of directors and (4) Dr. Egholm would serve as Chief Executive Officer and Mr. Black would serve as Chief Financial Officer of the combined company (the “September 8 Proposal”). The September 8 Proposal implied a price per share of $3.34 for SomaLogic, which represented a premium of approximately 51% based on SomaLogic’s 10-day VWAP as of September 6,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September 8, 2023, Standard BioTools management presented the September 8 Proposal to the Standard BioTools Transaction Committee. The committee evaluated the September 8 Proposal and, after discussing the financial and other terms of the September 8 Proposal, the risks and benefits to Standard BioTools and its stockholders of entering into a transaction with SomaLogic on the terms of the September 8 Proposal and considerations described under “— </w:t>
      </w:r>
      <w:r>
        <w:rPr>
          <w:rFonts w:ascii="Times New Roman;Times;serif" w:hAnsi="Times New Roman;Times;serif"/>
          <w:b w:val="false"/>
          <w:i/>
          <w:caps w:val="false"/>
          <w:smallCaps w:val="false"/>
          <w:color w:val="000000"/>
          <w:spacing w:val="4"/>
          <w:sz w:val="20"/>
        </w:rPr>
        <w:t>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below, the committee recommended that Standard BioTools management pursue the negotiation of a transaction with SomaLogic on the terms of the September 8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2023, the SomaLogic Board met, with members of SomaLogic senior management and representatives of PWP and Fenwick in attendance. Mr. Casdin had been provided prior notice of, and the agenda for, this meeting, having been scheduled previously to discuss SomaLogic’s financial planning, but did not participate in this meeting in light of its changed focus to be on the September 8 Proposal. Mr. Taich presented to the SomaLogic Board a draft of a hypothetical scenario for SomaLogic’s operations in the event that it remained an independent company including significant restructuring and reductions in expenses, de-prioritization of new product development, and increased reliance on the collaboration with Illumina. Representatives of PWP then reviewed a preliminary financial analysis of the proposed transaction, as well as a sensitivity analysis based on different growth scenarios for each company. The SomaLogic Board and representatives of PWP then discussed an illustrative analysis comparing the value to SomaLogic stockholders of the combined company (giving effect to anticipated synergies) to SomaLogic on a standalone basis, under different revenue growth scenarios for each of Standard BioTools and SomaLogic. In addition, representatives of PWP discussed the negotiations that had occurred with Standard BioTools with respect to the proposed exchange ratio for the transaction as well as the other terms of the September 8 Proposal. The SomaLogic board also discussed the terms of the Series B Preferred Stock, including the Series 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Put Right. In addition, representatives of PWP reviewed with the SomaLogic Board the status of the outreach that had been conducted to other potentially interested parties. As part of this update, the representatives of PWP noted that the four potential counterparties from which PWP had not received a response as of the August 11, 2023 board meeting had since confirmed that they were not interested in a potential transaction. Representatives of PWP then left the meeting and a representative of Fenwick reviewed the fiduciary duties of the SomaLogic Board in evaluating the proposed transaction with Standard BioTools. The SomaLogic Board discussed the potential risks and benefits of the proposed transaction compared to SomaLogic’s stand-alone prospects and the impact of the proposed transaction on SomaLogic’s employees, including the effect of the merger under SomaLogic’s employee change of control arrangements. The SomaLogic Board directed SomaLogic management to pursue the negotiation of a transaction with Standard BioTools on the terms of the September 8 Proposal. The SomaLogic Board also discussed the role of Cowen in the transaction, who, from time to time during August and September 2023, had discussions with members of SomaLogic senior management and members of the SomaLogic Transaction Committee regarding the negotiations with Standard BioTools and the potential benefits of the proposed transaction with Standard BioTools, and authorized SomaLogic to enter into a new engagement letter with Cowen reflecting this role.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September 8, 2023, representatives of Mintz and Fenwick met to discuss transaction planning and related workstreams. Representatives of Mintz informed representatives of Fenwick that they were preparing a draft merger agreement for the proposed transaction. Representatives of Fenwick and Mintz also discussed the potential process for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September 8, 2023, PWP and SomaLogic entered into an engagement letter confirming the terms on which PWP was acting as financial advisor to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September 12, 2023 and September 20, 2023, Standard BioTools and SomaLogic management and advisors to each company conducted site visits of SomaLogic’s research and development, manufacturing and operations facility in Boulder, Colorado and Standard BioTools’ research and development, manufacturing and operations facilities in South San Francisco, California and Markham, Ontario, Canada and discussed, among other things, additional synergy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13, 2023, Mintz sent an initial draft of the merger agreement to Fenwick, consistent with the September 8 Proposal and containing other terms customary for similar transactions. The initial draft merger agreement provided for customary fiduciary rights of each company’s board of directors to consider and react to any “Superior Proposal” received on an unsolicited basis following the execution of a definitive merger agreement, subject to compliance with standard notice and informational rights. However, it required that the proposed transaction be brought to the respective stockholders at a special meeting of stockholders for their consideration and for a vote of approval or not, regardless of whether either board had exercised its right to change its recommendation on fiduciary grounds for a “Superior Proposal” or an “Intervening Event”, as defined in the merger agreement (the “Force the Vote Provision”). The initial draft merger agreement also contemplated the receipt of customary voting agreements supporting the proposed transaction from each company’s executive officers and directors, Viking in its capacity as a stockholder of Standard BioTools, Casdin Capital in its capacity as a stockholder in each company and Mr. Casdin individually in his capacity as a director of each company. The initial draft of the merger agreement also proposed a termination fee payable by each party under certain customary circumstances in an amount equal to 4%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17, 2023, Fenwick sent to Mintz a revised draft of the merger agreement. Among other revisions, the revised draft proposed a requirement to obtain an amendment to the Series B-1 Certificate of Designations and the Series B-2 Certificate of Designations to remove the Series B Put Right for any “Change of Control” transaction. The revised draft of the merger agreement also included obligations for Standard BioTools to provide for equal treatment of Standard BioTools and SomaLogic employees following the closing and a termination fee under certain customary circumstances in the amount of 3.5%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September 20, 2023, the respective representatives and advisors of each of Standard BioTools and SomaLogic were granted access to the other company’s electronic data room and commenced their confirmatory due diligence review. From September 20, 2023 through October 3, 2023, members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management and each company’s respective representatives and advisors continued discussions, negotiations and diligence surrounding the potential transaction and its terms, including meetings and telephone calls to discuss potential synergies, commercial relationships, regulatory matters, intellectual property and due diligence matters and the composition of the management team of the combined company. During this time, each of Standard BioTools and SomaLogic continued to make information available for the other party in their respective electronic data rooms.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20, 2023, Mintz sent to Fenwick a revised draft of the merger agreement addressing many of the revisions requested by Fenwick, but excluding the requirement that Standard BioTools obtain from each of Casdin Capital and Viking an amendment of the Series B-1 Certificate of Designations and the Series B-2 Certificate of Designations to remove the Series B Put Right for any “Change of Control” transaction. The revised draft proposed a termination fee under certain specified circumstances of 3.9%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21, 2023, the SomaLogic Transaction Committee met, with members of SomaLogic senior management and representatives of PWP and Fenwick in attendance, and discussed the status of due diligence and merger agreement negotiations, including the Series B Put Right and the revised draft of the merger agreement received on September 20, 2023. The members of SomaLogic senior management then left the meeting, and the SomaLogic Transaction Committee discussed the role of members of SomaLogic senior management at the combined company, and the effect of the merger under SomaLogic’s employee change of control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2023, the Standard BioTools Board held a virtual meeting, in which members of Standard BioTools management and representatives of Centerview and Mintz discussed the status of the proposed transaction with SomaLogic. Members of Standard BioTools management and representatives of Centerview and Mintz provided updates about the proposed transaction, including with respect to the companies’ respective due diligence processes and findings, the strategic fit of the two companies’ business and technology, status of legal documentation and material terms, preparation of transaction announcement communications and related matters. The Standard BioTools Board instructed management and its advisors to continue discussions with SomaLogic concerning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2023, Mintz and Fenwick met to discuss the September 20 draft of the merger agreement, during which Fenwick proposed that the Force the Vote Provision in the merger agreement be replaced with the right for either party to terminate the merger agreement in order to enter into a definitive agreement for a Superior Proposal that did not result from a breach of the non-solicitation provisions of the merger agreement (the “Fiduciary Termination Right”). Mintz and Fenwick also discussed whether Standard BioTools would be required to obtain from Casdin Capital and Viking an amendment to the Series B-1 Certificate of Designations and the Series B-2 Certificate of Designations to remove the Series B Put Right for any “Change of Control” transaction and the termination fee payable under certain customary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September 25, 2023 representatives of SomaLogic and Standard BioTools discussed the potential roles of Mr. Taich and Mr. Bowen in the combined company and negotiated the terms of such roles through October 1,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representatives of Mintz held a telephone call with the legal representatives of Casdin Capital. Given that Mr. Casdin had been excluded from the process, including board meetings and updates, for corporate governance reasons, the purpose of the discussion was to confidentially inform Casdin Capital’s legal representatives that the Standard BioTools Board was close to being in a position to approve a definitive merger agreement with SomaLogic. Several corporate governance matters would need to be addressed in advance of any such approval. First, pursuant to the Series B-1 Certificate of Designations, the consent of the Series B-1 Preferred Stock director (Mr. Casdin) was required for such a transaction. For corporate governance reasons, the parties discussed the possibility of Casdin Capital formally waiving the consent of the Series B-1 Preferred Stock director, thereby enabling Mr. Casdin to recuse himself from such vote. Second, Mintz notified the legal representatives of Casdin Capital that the draft merger agreement contemplated obtaining customary voting agreements supporting the transaction from Casdin Capital in its capacity as a stockholder in each company and Mr. Casdin individually in his capacity as a director of each company. Third, Mintz relayed the position of SomaLogic that it was seeking to require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to obtain from both Casdin Capital and Viking an agreement to amend the Series B-1 Certificate of Designations and the Series B-2 Certificate of Designations to remove the Series B Put Right for any “Change of Control” transactions. The foregoing discussion was had pursuant to the terms of an existing confidentiality agreement between Standard BioTools and Casdin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September 25, 2023, representatives of Mintz held a telephone call with a legal representative of Viking to confidentially inform Viking that the Standard BioTools Board was close to being in a position to approve a definitive merger agreement with SomaLogic. Mintz similarly notified Viking that the merger agreement contemplated delivery by Viking, in its capacity as a stockholder of Standard BioTools, of a customary voting agreements supporting the transaction and that SomaLogic was seeking an agreement from both Casdin Capital and Viking to amend the Series B-1 Certificate of Designations and the Series B-2 Certificate of Designations to remove the Series B Put Right for any “Change of Control” transactions. The foregoing discussion was had pursuant to the terms of an existing confidentiality agreement between Standard BioTools and Viking.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Fenwick sent to Mintz a revised draft of the merger agreement, which, among other changes, replaced the agreement’s Force the Vote Provision with the Fiduciary Termination Right and proposed to remove the Series B Put Right for any “Change of Control” transaction, and a termination fee under certain customary circumstances in the amount of 3.6% of the applicable party’s equity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September 26, 2023 until October 3, 2023, Standard BioTools and SomaLogic, through their representatives at Mintz and Fenwick, respectively, negotiated the potential terms of voting agreements with Casdin Capital and Viking. These agreements would obligate a holder of shares of capital stock of either company to, among things, votes such shares in favor of the transaction and against competing proposals, and were being sought from the executive officers, directors and affiliated stockholders of each company. During the first week of October 2023, Casdin Capital informed Standard BioTools and SomaLogic that neither it nor Mr. Casdin would enter into voting agreements with either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this same period, Standard BioTools and SomaLogic, through their representatives at Mintz and Fenwick, respectively, continued discussions with legal representatives of Casdin Capital and Viking regarding SomaLogic’s request that Casdin Capital and Viking both agree to remove the Series B Put Right for any “Change of Control” transaction. On or about September 27, 2023, legal representatives of Casdin Capital notified Mintz that Casdin Capital would not agree to remove Casdin Capital’s Series B Put Right for any “Change of Control” transaction. On or about September 27, 2023, legal representatives of Viking notified Mintz that Viking would not agree to remove Viking’s Series B Put Right for any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27, 2023, the SomaLogic Transaction Committee met, with members of SomaLogic senior management and representatives of PWP and Fenwick in attendance, and discussed the status of due diligence and merger agreement negotiations, including the rejection by the holders of the Series B Preferred Stock of SomaLogic’s request that such holders agree to remove the Series B Put Right for any “Change of Control”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September 28 and October 1, 2023, representatives of Fenwick and members of the SomaLogic Transaction Committee discussed whether SomaLogic could proceed with the proposed transaction without the removal of the Series B Put Right for any “Change of Control” transaction. On October 1, 2023, a representative of Fenwick indicated to legal representatives of Casdin Capital that, while SomaLogic was considering whether it could accept this position, SomaLogic would nonetheless request an acknowledgment from Casdin Capital and Viking that the Series B Put Right would not be triggered by the proposed transaction, which acknowledgment Casdin Capital and Viking provided in writing to the companies prior to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2023, Mintz sent to Fenwick a revised draft of the merger agreement, which, among other changes, restored the Force the Vote Provision and proposed a compromise on the size of the termination fee under certain customary circumstances of 3.75% of the applicable party’s equity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Fenwick met later in the day with Chairman Ryan to review key issues in the revised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29, 2023, Fenwick sent to Mintz a revised draft of the merger agreement. The revised draft of the merger agreement accepted the proposed termination fee under certain specified circumstance of 3.75% of the applicable party’s equity value.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Mintz sent to Fenwick a revised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the SomaLogic Board met, with members of SomaLogic senior management and representatives of PWP and Fenwick in attendance. Prior to the meeting, SomaLogic management circulated to the SomaLogic Board the draft merger agreement and the related ancillary documents, including a summary of the material terms of the proposed transaction. Chairman Ryan reviewed with the SomaLogic Board the status of negotiations between SomaLogic and Standard BioTools and the due diligence conducted by SomaLogic and its representatives, including the review conducted by BCG and DeciBio Consulting of Standard BioTools’ intellectual property and technology. Representatives of PWP then reviewed with the SomaLogic Board the history of the negotiations with Standard BioTools, reviewed a preliminary financial analysis of the proposed exchange ratio based on the SomaLogic Forecast and a sensitivity analysis based on different growth scenarios for each company and discussed cost synergies that might be realized as a result of the proposed transaction. In addition, representatives of PWP discussed the impact of the conversion terms of Standard’s Series B Preferred Stock on the pro forma combined capitalization of the combined company. Mr. Taich and Chairman Ryan then reviewed with the SomaLogic Board the preliminary third quarter financial results for each of SomaLogic and Standard BioTools. The SomaLogic Board and representatives of Fenwick discussed the rejection by the holders of the Series B Preferred Stock of SomaLogic’s request that such holders remove the Series B Put Right for any “Change of Control” transactions, and discussed whether SomaLogic could proceed with the proposed transaction without the removal of that right, and the SomaLogic Board determined that SomaLogic could so proceed. A representative of Fenwick reviewed the fiduciary duties of the SomaLogic Board in connection with the proposed transaction and discussed with the SomaLogic Board the terms of the draft merger agreement and draft voting agreements, indicating that an open issue remained with respect to the inclusion of the Fiduciary Termination Right, and the SomaLogic Board directed representatives of Fenwick to insist on the inclusion of such a provision. Representatives of Fenwick noted that Casdin Capital is a significant stockholder of each of SomaLogic and Standard BioTools and the recusals described elsewhere herein to ensure the independence of deliberations. A representative of Fenwick described a memorandum that PWP had provided to SomaLogic indicating that within the preceding three years, PWP had not been engaged to provide advisory services to, nor received compensation from, SomaLogic or Standard BioTools (or Casdin Capital, Viking or any of their respective portfolio companies), although a representative of PWP indicated that PWP anticipated that it may be engaged to provide financial advisory services to a company that is controlled by Casdin Capital for which PWP may receive compensation. Following input by each director, the SomaLogic Board confirmed its view that none of the directors other than Mr. Casdin had a conflict of interest in respect of the proposed transaction. In addition, the SomaLogic Board reviewed the corporate governance process followed by SomaLogic through its negotiations with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of the SomaLogic Board on October 1, 2023, representatives of Fenwick met with representatives of Mintz and insisted on the Fiduciary Termination Right. Fenwick then sent a revised draft of the merger agreement reflecting the inclusion of the Fiduciary Termination Right, and representatives of Fenwick and Mintz negotiated a proposed final version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afternoon of October 2, 2023, Standard BioTools management circulated to the Standard BioTools Board the draft merger agreement and the related ancillary documents, including a detailed summary memorandum of the material terms of the proposed transaction. Thereafter, on the afternoon of October 2, 2023, the Standard BioTools Board held a virtual meeting, together with members of Standard BioTools management and representatives of Mintz and Centerview in attendance. The purpose was to present for approval the final terms of the merger agreement, subject to confirmation of the timing of the SomaLogic Board approval. Representatives of Centerview reviewed with the Standard BioTools Board Centerview’s financial analysis of the exchange ratio, and rendered to the Standard BioTools Board a preliminary oral opinion, at the request of the Standard BioTools Board, that, as of such date and based upon and subject to various assumptions made, procedures followed, matters considered, and qualifications and limitations upon the review undertaken in preparing its Fairness Opinion, the exchange ratio provided for pursuant to the merger agreement was fair, from a financial point of view, to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reviewed for the Standard BioTools Board its standard relationship disclosures, which had been provided in writing to Standard BioTools on September 28, 2023, including Centerview’s provision of financial advisory services to Casdin Capital as well as Viking in 2022 in connection with the 2022 Standard BioTools Investment, which the Standard BioTools Board had previously determined would not impact Centerview’s ability to provide independent advice with regard to the proposed transaction. The members of the Standard BioTools Board asked questions and discussed that the matters to be voted on by the Standard BioTools Board included the adoption of the merger agreement and all other agreements, instruments, certificates and documents required to be delivered in connection therewith, in each case substantially in the form presented to the Standard BioTools Board, and the consummation of the transactions contemplated thereby, including the Standard BioTools Share Issuance and the Standard BioTools Charter Amendment. Additionally, the Standard BioTools Board confirmed the terms of, and Standard BioTools entered into, an engagement letter with Centerview to formalize the terms of Centerview’s ongoing engagement. The Standard BioTools Board concluded to reconvene as necessary for formal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 2023, the SomaLogic Board met, with members of SomaLogic senior management and representatives of Fenwick in attendance. Prior to the meeting, SomaLogic management circulated to the SomaLogic Board the draft merger agreement and the related ancillary documents. Mr. Bowen (SomaLogic’s Chief Technology Officer) provided the SomaLogic Board with his assessment of Standard BioTools’ intellectual property and technology and the opportunities for Standard BioTools’ products. The SomaLogic Board then discussed the proposed transaction, and a representative of Fenwick informed the SomaLogic Board that Casdin Capital had indicated that neither it nor Mr. Casdin would sign a voting agreement with respect to the shares of SomaLogic or Standard BioTools capital stock held by them. Representatives of Fenwick also informed the SomaLogic Board that Standard BioTools had accepted the inclusion of the Fiduciary Termination Provision.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October 2, the SomaLogic Board met again, with members of SomaLogic senior management and representatives of PWP and Fenwick in attendance. Representatives of Fenwick reviewed with the SomaLogic Board the terms of the Series B Preferred Stock and noted that the proposed transaction would not constitute a “Change of Control” that would cause the Series B Put Right to become exercisable, but that Casdin Capital and Viking had indicated that they would not remove the Series B Put Right for any “Change of Control” transaction. The SomaLogic Board and representatives of Fenwick then discussed the implications of proceeding with the proposed transaction without a voting agreement from Casdin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 the SomaLogic Board met, with members of SomaLogic senior management and representatives of Fenwick and PWP in attendance. Chairman Ryan provided an update on the status of negotiations with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October 4, 2023, Casdin Capital delivered the Series B-1 director consent waiver to Standard BioTools. Immediately thereafter, the Standard BioTools Board reconvened for a virtual meeting together with members of Standard BioTools management. Representatives of Centerview and Mintz were also present. Representatives from Mintz again reiterated the fiduciary duties of the Standard BioTools Board. Representatives of Centerview reviewed its updated financial analysis as presented at the October 2, 2023 meeting of the Standard BioTools Board to reflect the additional day of trading since the last meeting. The closing trading price of SomaLogic Common Stock on October 3, 2023 was $2.30 and the 1.1100 exchange ratio represented premium of approximately 30% to that price which would result in a post-closing ownership split (based on each company’s capitalization as of such date) of approximately 43.20% for Standard BioTools stockholders and 56.80% for SomaLogic stockholders on a fully diluted basis. At the request of the Standard BioTools Board, Centerview then delivered its oral opinion, which was subsequently confirmed by delivery of a written opinion dated October 4, 2023, that, as of such date and based on and subject to various assumptions made, procedures followed, matters considered, and qualifications and limitations upon the review undertaking in preparing its Fairness Opinion, the exchange ratio provided for pursuant to the merger agreement was fair, from a financial point of view, to Standard BioTools. Following discussion, at the recommendation of the Standard BioTools Transaction Committee, the Standard BioTools Board (other than Mr. Casdin who was not in attendance and had recused himself from the meeting), among other things, (1) determined that the terms of the merger agreement and the Standard BioTools Share Issuance were fair to, and in the best interests of, Standard BioTools and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(2) approved and declared advisable, among other matters, the merger agreement, the Standard BioTools Share Issuance, the Standard BioTools Charter Amendment and the other transactions contemplated by the merger agreement, (3) directed that the Standard BioTools Share Issuance and the Standard BioTools Charter Amendment proposals, among other matters, be submitted to the Standard BioTools stockholders for approval and (4) recommended that the Standard BioTools stockholders approve, among other matters, the Standard BioTools Share Issuance and the Standard BioTools Charter Amendment.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Centerview’s opinion, see the section entitled “— </w:t>
      </w:r>
      <w:r>
        <w:rPr>
          <w:rFonts w:ascii="Times New Roman;Times;serif" w:hAnsi="Times New Roman;Times;serif"/>
          <w:b w:val="false"/>
          <w:i/>
          <w:caps w:val="false"/>
          <w:smallCaps w:val="false"/>
          <w:color w:val="000000"/>
          <w:spacing w:val="4"/>
          <w:sz w:val="20"/>
        </w:rPr>
        <w:t>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Also on the morning of October 4, 2023, the SomaLogic Board met, with members of SomaLogic senior management and representatives of PWP and Fenwick in attendance. The SomaLogic Board discussed the proposed merger agreement and factors that the members of the SomaLogic Board considered in forming their view that SomaLogic’s entry into the merger agreement was advisable, fair and in the best interests of SomaLogic and its stockholders, as described further under the heading “— </w:t>
      </w:r>
      <w:r>
        <w:rPr>
          <w:rFonts w:ascii="Times New Roman;Times;serif" w:hAnsi="Times New Roman;Times;serif"/>
          <w:b w:val="false"/>
          <w:i/>
          <w:caps w:val="false"/>
          <w:smallCaps w:val="false"/>
          <w:color w:val="000000"/>
          <w:spacing w:val="4"/>
          <w:sz w:val="20"/>
        </w:rPr>
        <w:t>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Representatives of Fenwick reviewed with the SomaLogic Board the resolutions proposed to be adopted by the SomaLogic Board at the meeting. Representatives of PWP then reviewed with the SomaLogic Board PWP’s financial analyses, based on the SomaLogic Forecast, of the exchange ratio which would result in a post-closing ownership split (based on each company’s capitalization as of such date) of approximately 43.20% for Standard BioTools stockholders and 56.80% for SomaLogic stockholders on a fully diluted basis. In addition, representatives of PWP reviewed the share price performance of SomaLogic and Standard BioTools during various periods compared to the exchange ratio, and reviewed an illustrative analysis comparing the value to SomaLogic stockholders of the combined company (giving effect to anticipated synergies) to SomaLogic on a standalone basis, under different revenue growth scenarios for each of Standard BioTools and SomaLogic. Representatives of PWP then rendered to the SomaLogic Board an oral opinion that, as of October 4, 2023, and based upon and subject to the various qualifications, assumptions, limitations and other matters set forth in the Fairness Opinion, the merger consideration to be received by the holders of SomaLogic Common Stock (other than Standard, Casdin Capital and each of their respective affiliates) in the proposed Merger pursuant to the Merger Agreement was fair, from a financial point of view, to the holders of SomaLogic Common Stock (other than Standard, Casdin Capital and each of their respective affiliates). The oral opinion of PWP was subsequently confirmed by the delivery of a written opinion delivered after the meeting, dated October 4, 2023.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PWP’s opinion, see the section entitled “— </w:t>
      </w:r>
      <w:r>
        <w:rPr>
          <w:rFonts w:ascii="Times New Roman;Times;serif" w:hAnsi="Times New Roman;Times;serif"/>
          <w:b w:val="false"/>
          <w:i/>
          <w:caps w:val="false"/>
          <w:smallCaps w:val="false"/>
          <w:color w:val="000000"/>
          <w:spacing w:val="4"/>
          <w:sz w:val="20"/>
        </w:rPr>
        <w:t>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SomaLogic Board then unanimously (other than Mr. Casdin who was not in attendance and had recused himself from the meeting): (1) determined that the terms of the Merger Agreement and the transactions contemplated by the Merger Agreement, including the Merger are advisable, fair to and in the best interests of SomaLogic and its stockholders, (2) approved the Merger Agreement and the transactions contemplated by the Merger Agreement, including the Merger, and declared the Merger Agreement advisable, (3) recommended that the SomaLogic stockholders adopt the Merger Agreement, (4) directed that the Merger Agreement be submitted for consideration by the SomaLogic stockholders at the SomaLogic Special Meeting and (5) deemed the closing of the transaction to be a “Change of Control” under SomaLogic’s Key Employee Severance Plan such that the participants under the Key Employee Severance Plan will be eligible to receive the benefits in connection with a Change of Control Termination in the event of a termination of employment, as described in the section of this joint proxy statement/prospectus captioned “— </w:t>
      </w:r>
      <w:r>
        <w:rPr>
          <w:rFonts w:ascii="Times New Roman;Times;serif" w:hAnsi="Times New Roman;Times;serif"/>
          <w:b w:val="false"/>
          <w:i/>
          <w:caps w:val="false"/>
          <w:smallCaps w:val="false"/>
          <w:color w:val="000000"/>
          <w:spacing w:val="4"/>
          <w:sz w:val="20"/>
        </w:rPr>
        <w:t>SomaLogic Key Employee Severance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morning of October 4, 2023, following the Standard BioTools Board meeting and the SomaLogic Board meeting, Standard BioTools and SomaLogic executed the merger agreement. Voting agreements were executed by Standard BioTools’ and SomaLogic’ respective directors (excluding Mr. Casdin) and officers and Viking in its capacity as a stockholder of Standard BioTools.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opening of Nasdaq trading on October 4, 2023, Standard BioTools and SomaLogic issued a joint press release announcing entry into the Merger Agreement and held a joint conference call to discuss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SBRF1"/>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19, 2023, Standard BioTools and SomaLogic each filed their respective Premerger Notification and Report Forms under the HSR Act for review in connection with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Reasons for the Merger; Recommendation of the Standard BioTools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held on October 4, 2023, among other things, the Standard BioTools Board (other than Mr. Casdin who was not in attendance and had recused himself from the meeting):(i) determined that the Merger Agreement and all other agreements, instruments, certificates and documents required to be delivered in connection therewith (collectively, the “Transaction Documents”), the Merger and other transactions contemplated by the Merger Agreement (together with the Merger, the “Contemplated Transactions”), including the issuance of shares of Standard BioTools Common Stock pursuant to the terms of the Merger Agreement (the “Standard BioTools Share Issuance”), an amendment to the Eighth Amended and Restated Certificate of Incorporation of Standard BioTools, as amended to increase the number of shares of Standard BioTools Common Stock authorized thereunder (the “Standard BioTools Charter Amendment”) and an amendment to the Standard BioTools 2011 Amended and Restated Equity Incentive Plan, as amended, to increase the total number of shares of Standard BioTools Common Stock authorized for issuance under such plan by an amount to be subsequently determined by the Standard BioTools Board (the “Standard BioTools Equity Incentive Plan Amendment”), were advisable, fair to and in the best interests of Standard BioTools and its stockholders, (ii) authorized, approved, adopted, ratified and confirmed the Merger Agreement and the other Transaction Documents, in each case substantially in the form presented to the Standard BioTools Board, and the consummation of the Merger and the other Contemplated Transactions, including the Standard BioTools Share Issuance, the Standard BioTools Charter Amendment and the Standard BioTools Equity Incentive Plan Amendment, and (iii) resolved to recommend the approval of the Standard BioTools Share Issuance, the Standard BioTools Charter Amendment and the Standard BioTools Equity Incentive Plan Amendment by Standard BioTools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STANDARD BIOTOOLS BOARD UNANIMOUSLY RECOMMENDS BY VOTE OF ALL PARTICIPATING DIRECTORS THAT STANDARD BIOTOOLS STOCKHOLDERS VOTE (1) “FOR” THE STANDARD BIOTOOLS SHARE ISSUANCE PROPOSAL, (2) “FOR” THE STANDARD BIOTOOLS CHARTER AMENDMENT PROPOSAL, (3) “FOR” THE STANDARD BIOTOOLS ADVISORY COMPENSATION PROPOSAL, (4) “FOR” THE STANDARD BIOTOOLS EQUITY INCENTIVE PLAN AMENDMENT PROPOSAL AND (5) “FOR”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its evaluation of the Merger Agreement and the other Transaction Documents, and the Merger and the other Contemplated Transactions, both the Standard BioTools Board and the Standard BioTools Transactions Committee held numerous meetings, consulted with Standard BioTools’ senior management and its outside legal counsel and financial advisors, reviewed and assessed a significant amount of information and considered the business, assets, liabilities, results of operations, financial performance, capital needs, strategic direction and prospects of each of Standard BioTools and SomaLogic.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and management determined that pursuing a combination with SomaLogic would be in furtherance of Standard BioTools’ focus on unlocking value in the highly fragmented life sciences tools space. Since the April 2022 restructuring and appointment of its highly experienced executive leadership team, led by Michael Egholm, Ph.D., former Chief Technology Officer of Danaher Life Sciences, Standard BioTools’ three strategic objectives have been: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Revenue Growth</w:t>
      </w:r>
      <w:r>
        <w:rPr>
          <w:rFonts w:ascii="Times New Roman;Times;serif" w:hAnsi="Times New Roman;Times;serif"/>
          <w:b w:val="false"/>
          <w:i w:val="false"/>
          <w:caps w:val="false"/>
          <w:smallCaps w:val="false"/>
          <w:color w:val="000000"/>
          <w:spacing w:val="4"/>
          <w:sz w:val="20"/>
        </w:rPr>
        <w:t xml:space="preserve">:   One of Standard BioTools’ top priorities is to grow its instrument, consumables and service revenue by leveraging its competitive advantages to accelerate growth and by making targeted R&amp;D investments to advance new product pipeline. </w:t>
      </w:r>
      <w:r>
        <mc:AlternateContent>
          <mc:Choice Requires="wps">
            <w:drawing>
              <wp:anchor behindDoc="0" distT="7874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Operating Discipline</w:t>
      </w:r>
      <w:r>
        <w:rPr>
          <w:rFonts w:ascii="Times New Roman;Times;serif" w:hAnsi="Times New Roman;Times;serif"/>
          <w:b w:val="false"/>
          <w:i w:val="false"/>
          <w:caps w:val="false"/>
          <w:smallCaps w:val="false"/>
          <w:color w:val="000000"/>
          <w:spacing w:val="4"/>
          <w:sz w:val="20"/>
        </w:rPr>
        <w:t xml:space="preserve">:   The goal of having one business platform offering many highly differentiated technologies to solve fundamental problems in life sciences and biopharmaceutical research cannot be achieved profitably without operational discipline. By applying its proprietary Standard BioTools Business System (“SBS”) and LEAN culture, Standard BioTools seeks to optimize business performance and scalability.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Capital Allocation/Execute M&amp;A Strategy</w:t>
      </w:r>
      <w:r>
        <w:rPr>
          <w:rFonts w:ascii="Times New Roman;Times;serif" w:hAnsi="Times New Roman;Times;serif"/>
          <w:b w:val="false"/>
          <w:i w:val="false"/>
          <w:caps w:val="false"/>
          <w:smallCaps w:val="false"/>
          <w:color w:val="000000"/>
          <w:spacing w:val="4"/>
          <w:sz w:val="20"/>
        </w:rPr>
        <w:t xml:space="preserve">:   A key element of Standard BioTools’ strategy is to actively pursue business development opportunities in the life sciences industry where consolidation can drive growth, synergies and long-term value for all its stockholders. In a fragmented industry where many industry participants have disproportionally high operating costs, such business development gives Standard BioTools a competitive advantage — the opportunity to acquire a business, and then leverage Standard BioTools’ management expertise and apply its proprietary SBS principles and work processes to drive value creation for the combined entity. </w:t>
      </w:r>
      <w:r>
        <mc:AlternateContent>
          <mc:Choice Requires="wps">
            <w:drawing>
              <wp:anchor behindDoc="0" distT="0" distB="0" distL="254000" distR="0" simplePos="0" locked="0" layoutInCell="1" allowOverlap="1" relativeHeight="239">
                <wp:simplePos x="0" y="0"/>
                <wp:positionH relativeFrom="column">
                  <wp:align>left</wp:align>
                </wp:positionH>
                <wp:positionV relativeFrom="line">
                  <wp:posOffset>635</wp:posOffset>
                </wp:positionV>
                <wp:extent cx="127000" cy="350520"/>
                <wp:effectExtent l="0" t="0" r="0" b="0"/>
                <wp:wrapSquare wrapText="right"/>
                <wp:docPr id="236"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only six quarters since the completion of the restructuring in April 2022, the new management team at Standard BioTools significantly improved its own legacy business performance, as demonstrated by the results of the first nine months of 2023 during which revenues increased 10% year-to-year, gross margins expanded by more than 10% year-to-year, operating expenses declined by approximately 20%, and operating cash burn declined by nearly 60% year-to-year.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combination of Standard BioTools and SomaLogic represents an opportunity for the combined company to leverage this operational expertise and discipline to achieve cost synergies for the combined company and to create new revenue opportunities with the combined platform, which the Standard BioTools Board believes will inure to the benefit of Standard BioTools’ customers and create long-term value for the combined company’s stockholders. In reaching its decision to approve the Merger Agreement and the other Transaction Documents, the Merger and the other Contemplated Transactions, the Standard BioTools Board considered a number of additional factors that it viewed as supporting such decision, including the following (not in order of relative importance):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Benefits of a Combined Company</w:t>
      </w:r>
      <w:r>
        <w:rPr>
          <w:rFonts w:ascii="Times New Roman;Times;serif" w:hAnsi="Times New Roman;Times;serif"/>
          <w:b w:val="false"/>
          <w:i w:val="false"/>
          <w:caps w:val="false"/>
          <w:smallCaps w:val="false"/>
          <w:color w:val="000000"/>
          <w:spacing w:val="4"/>
          <w:sz w:val="20"/>
        </w:rPr>
        <w:t xml:space="preserve">:   SomaLogic’s strategic compatibility with the Standard BioTools business after giving effect to the Merger, including with respect to SomaLogic’s biopharmaceutical research footprint and the combined company’s complimentary product offerings and cross-selling opportunities, and that combining Standard BioTools and SomaLogic would be expected to create a diversified and leading life sciences tools company.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Financial Strength of a Combined Company</w:t>
      </w:r>
      <w:r>
        <w:rPr>
          <w:rFonts w:ascii="Times New Roman;Times;serif" w:hAnsi="Times New Roman;Times;serif"/>
          <w:b w:val="false"/>
          <w:i w:val="false"/>
          <w:caps w:val="false"/>
          <w:smallCaps w:val="false"/>
          <w:color w:val="000000"/>
          <w:spacing w:val="4"/>
          <w:sz w:val="20"/>
        </w:rPr>
        <w:t xml:space="preserve">:   Based on the unaudited pro forma cash and cash equivalent balance as of September 30, 2023, the combined company would be expected to have a balance of approximately $500 million of cash and cash equivalents upon the closing of the Merger, which balance, along with estimated projected synergies of approximately $80 million to be realized by the combined company annually by calendar year 2026 (inclusive of approximately $27 million in cost reductions described under “— </w:t>
      </w:r>
      <w:r>
        <w:rPr>
          <w:rFonts w:ascii="Times New Roman;Times;serif" w:hAnsi="Times New Roman;Times;serif"/>
          <w:b w:val="false"/>
          <w:i/>
          <w:caps w:val="false"/>
          <w:smallCaps w:val="false"/>
          <w:color w:val="000000"/>
          <w:spacing w:val="4"/>
          <w:sz w:val="20"/>
        </w:rPr>
        <w:t>Standard BioTools Management Projections — Combined Company Synergy Estimates</w:t>
      </w:r>
      <w:r>
        <w:rPr>
          <w:rFonts w:ascii="Times New Roman;Times;serif" w:hAnsi="Times New Roman;Times;serif"/>
          <w:b w:val="false"/>
          <w:i w:val="false"/>
          <w:caps w:val="false"/>
          <w:smallCaps w:val="false"/>
          <w:color w:val="000000"/>
          <w:spacing w:val="4"/>
          <w:sz w:val="20"/>
        </w:rPr>
        <w:t xml:space="preserve">”) and the revenue potential of the combined company, would be expected to provide the combined company with significant financial strength and flexibility to enable continued growth. The foregoing projected synergies (i) are calculated based on an estimated annualized run-rate of Standard BioTools and SomaLogic operating expenses as of June 30, 2023 compared with projected operating expenses of the combined company through calendar year 2026 and (ii) exclude non-cash, restructuring-related and other non-recurring costs for each company.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Issued in the Merger</w:t>
      </w:r>
      <w:r>
        <w:rPr>
          <w:rFonts w:ascii="Times New Roman;Times;serif" w:hAnsi="Times New Roman;Times;serif"/>
          <w:b w:val="false"/>
          <w:i w:val="false"/>
          <w:caps w:val="false"/>
          <w:smallCaps w:val="false"/>
          <w:color w:val="000000"/>
          <w:spacing w:val="4"/>
          <w:sz w:val="20"/>
        </w:rPr>
        <w:t xml:space="preserve">:   (i) The value of the equity to be retained by Standard BioTools stockholders in the combined company and the respective percentage of the combined company that Standard BioTools and SomaLogic stockholders would own following the Merger, (ii) that holders of SomaLogic Common Stock will receive Standard BioTools Common Stock pursuant to the Merger pursuant to a fixed exchange ratio and no adjustment will be made in the Merger consideration to be received by SomaLogic’s stockholders in the Merger as a result of possible increases or decreases in the trading price of Standard BioTools Common Stock or SomaLogic Common Stock following the announcement of the Merger, (iii) the potential that the value of the capital stock of Standard BioTools, as the combined company, will increase after the completion of the Merger and (iv) the fact that Standard BioTools stockholders will participate in any increase in that value.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and Management of the Combined Company</w:t>
      </w:r>
      <w:r>
        <w:rPr>
          <w:rFonts w:ascii="Times New Roman;Times;serif" w:hAnsi="Times New Roman;Times;serif"/>
          <w:b w:val="false"/>
          <w:i w:val="false"/>
          <w:caps w:val="false"/>
          <w:smallCaps w:val="false"/>
          <w:color w:val="000000"/>
          <w:spacing w:val="4"/>
          <w:sz w:val="20"/>
        </w:rPr>
        <w:t xml:space="preserve">:   The Standard BioTools Board has confidence in the board of directors and management of the combined company, with representation from each of the current boards of directors of Standard BioTools and SomaLogic and continued involvement of key members of SomaLogic management.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Approval Rights of Standard BioTools Stockholders</w:t>
      </w:r>
      <w:r>
        <w:rPr>
          <w:rFonts w:ascii="Times New Roman;Times;serif" w:hAnsi="Times New Roman;Times;serif"/>
          <w:b w:val="false"/>
          <w:i w:val="false"/>
          <w:caps w:val="false"/>
          <w:smallCaps w:val="false"/>
          <w:color w:val="000000"/>
          <w:spacing w:val="4"/>
          <w:sz w:val="20"/>
        </w:rPr>
        <w:t xml:space="preserve">:   The ability of Standard BioTools stockholders to approve or reject the Merger by voting on the Standard BioTools Share Issuance and Standard BioTools Charter Amendment. </w:t>
      </w:r>
      <w:r>
        <mc:AlternateContent>
          <mc:Choice Requires="wps">
            <w:drawing>
              <wp:anchor behindDoc="0" distT="0" distB="0" distL="254000" distR="0" simplePos="0" locked="0" layoutInCell="1" allowOverlap="1" relativeHeight="244">
                <wp:simplePos x="0" y="0"/>
                <wp:positionH relativeFrom="column">
                  <wp:align>left</wp:align>
                </wp:positionH>
                <wp:positionV relativeFrom="line">
                  <wp:posOffset>635</wp:posOffset>
                </wp:positionV>
                <wp:extent cx="127000" cy="350520"/>
                <wp:effectExtent l="0" t="0" r="0" b="0"/>
                <wp:wrapSquare wrapText="right"/>
                <wp:docPr id="241"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caps w:val="false"/>
          <w:smallCaps w:val="false"/>
          <w:color w:val="000000"/>
          <w:spacing w:val="4"/>
          <w:sz w:val="20"/>
        </w:rPr>
        <w:t>Tax-Free Reorganization</w:t>
      </w:r>
      <w:r>
        <w:rPr>
          <w:rFonts w:ascii="Times New Roman;Times;serif" w:hAnsi="Times New Roman;Times;serif"/>
          <w:b w:val="false"/>
          <w:i w:val="false"/>
          <w:caps w:val="false"/>
          <w:smallCaps w:val="false"/>
          <w:color w:val="000000"/>
          <w:spacing w:val="4"/>
          <w:sz w:val="20"/>
        </w:rPr>
        <w:t>:   The expected treatment of the Merger as a tax-free reorganization under Section 368(a) of the Code for U.S. federal income tax purposes, as more fully described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beginning on page </w:t>
      </w:r>
      <w:hyperlink w:anchor="tMUFI1">
        <w:r>
          <w:rPr>
            <w:rStyle w:val="InternetLink"/>
          </w:rPr>
          <w:t>137</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caps w:val="false"/>
          <w:smallCaps w:val="false"/>
          <w:color w:val="000000"/>
          <w:spacing w:val="4"/>
          <w:sz w:val="20"/>
        </w:rPr>
        <w:t>Fairness Opinion of Centerview Partners LLC</w:t>
      </w:r>
      <w:r>
        <w:rPr>
          <w:rFonts w:ascii="Times New Roman;Times;serif" w:hAnsi="Times New Roman;Times;serif"/>
          <w:b w:val="false"/>
          <w:i w:val="false"/>
          <w:caps w:val="false"/>
          <w:smallCaps w:val="false"/>
          <w:color w:val="000000"/>
          <w:spacing w:val="4"/>
          <w:sz w:val="20"/>
        </w:rPr>
        <w:t xml:space="preserve">:   The opinion of Centerview rendered to the Standard BioTools Board on October 4, 2023, which was subsequently confirmed by delivery of a written opinion dated October 4, 2023,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as more fully described below under the caption “— </w:t>
      </w:r>
      <w:r>
        <w:rPr>
          <w:rFonts w:ascii="Times New Roman;Times;serif" w:hAnsi="Times New Roman;Times;serif"/>
          <w:b w:val="false"/>
          <w:i/>
          <w:caps w:val="false"/>
          <w:smallCaps w:val="false"/>
          <w:color w:val="000000"/>
          <w:spacing w:val="4"/>
          <w:sz w:val="20"/>
        </w:rPr>
        <w:t>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 of the Merger Agreement</w:t>
      </w:r>
      <w:r>
        <w:rPr>
          <w:rFonts w:ascii="Times New Roman;Times;serif" w:hAnsi="Times New Roman;Times;serif"/>
          <w:b w:val="false"/>
          <w:i w:val="false"/>
          <w:caps w:val="false"/>
          <w:smallCaps w:val="false"/>
          <w:color w:val="000000"/>
          <w:spacing w:val="4"/>
          <w:sz w:val="20"/>
        </w:rPr>
        <w:t xml:space="preserve">:   The terms of the Merger Agreement and the related Transaction Documents, including: </w:t>
      </w:r>
      <w:r>
        <mc:AlternateContent>
          <mc:Choice Requires="wps">
            <w:drawing>
              <wp:anchor behindDoc="0" distT="7747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of the Exchange Ratio and the estimated number of shares of Standard BioTools Common Stock to be issued in the Merger; </w:t>
      </w:r>
      <w:r>
        <mc:AlternateContent>
          <mc:Choice Requires="wps">
            <w:drawing>
              <wp:anchor behindDoc="0" distT="77470" distB="0" distL="508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5"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representations and warranties of each of Standard BioTools and SomaLogic, as well as the interim operating covenants requiring the parties to conduct their respective businesses in the ordinary course in all material respects prior to completion of the Merger, subject to specific limitations, are generally reciprocal; </w:t>
      </w:r>
      <w:r>
        <mc:AlternateContent>
          <mc:Choice Requires="wps">
            <w:drawing>
              <wp:anchor behindDoc="0" distT="77470" distB="0" distL="508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6"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val="false"/>
          <w:caps w:val="false"/>
          <w:smallCaps w:val="false"/>
          <w:color w:val="000000"/>
          <w:spacing w:val="4"/>
          <w:sz w:val="20"/>
        </w:rPr>
        <w:t>the number and nature of the conditions to Standard BioTools’ and SomaLogic’s respective obligations to complete the Merger and the likelihood that the Merger will be completed on a timely basis, as more fully described below under the caption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145</w:t>
        </w:r>
      </w:hyperlink>
      <w:r>
        <w:rPr>
          <w:rFonts w:ascii="Times New Roman;Times;serif" w:hAnsi="Times New Roman;Times;serif"/>
          <w:b w:val="false"/>
          <w:i w:val="false"/>
          <w:caps w:val="false"/>
          <w:smallCaps w:val="false"/>
          <w:color w:val="000000"/>
          <w:spacing w:val="4"/>
          <w:sz w:val="20"/>
        </w:rPr>
        <w:t xml:space="preserv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77470" distB="0" distL="508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7"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val="false"/>
          <w:caps w:val="false"/>
          <w:smallCaps w:val="false"/>
          <w:color w:val="000000"/>
          <w:spacing w:val="4"/>
          <w:sz w:val="20"/>
        </w:rPr>
        <w:t>the respective rights of, and limitations on, Standard BioTools and SomaLogic under the Merger Agreement to consider and engage in discussions regarding unsolicited Acquisition Proposals under certain circumstances, and the limitations on the board of directors of each party to change its recommendation in favor of the Standard BioTools Share Issuance and the Standard BioTools Charter Amendment, in the case of the Standard BioTools Board, and the Merger Agreement, in the case of the SomaLogic Board, as more fully described below under the caption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beginning on page </w:t>
      </w:r>
      <w:hyperlink w:anchor="tNOSO">
        <w:r>
          <w:rPr>
            <w:rStyle w:val="InternetLink"/>
          </w:rPr>
          <w:t>148</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7470" distB="0" distL="508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8"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val="false"/>
          <w:caps w:val="false"/>
          <w:smallCaps w:val="false"/>
          <w:color w:val="000000"/>
          <w:spacing w:val="4"/>
          <w:sz w:val="20"/>
        </w:rPr>
        <w:t>the right of each party to terminate the Merger Agreement to accept a “Superior Proposal” in certain circumstances, subject to the payment of a termination fee,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7470" distB="0" distL="508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9"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val="false"/>
          <w:caps w:val="false"/>
          <w:smallCaps w:val="false"/>
          <w:color w:val="000000"/>
          <w:spacing w:val="4"/>
          <w:sz w:val="20"/>
        </w:rPr>
        <w:t>the conclusion of the Standard BioTools Board that the potential termination fee of $19,123,214, payable by Standard BioTools, and $17,176,173, payable by SomaLogic, in each case to the other party, and the circumstances when such fees may be payable, were reasonable,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xml:space="preserve"> in this joint proxy statement/prospectus; and </w:t>
      </w:r>
      <w:r>
        <mc:AlternateContent>
          <mc:Choice Requires="wps">
            <w:drawing>
              <wp:anchor behindDoc="0" distT="77470" distB="0" distL="508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pPr>
      <w:r>
        <w:rPr>
          <w:rFonts w:ascii="Times New Roman;Times;serif" w:hAnsi="Times New Roman;Times;serif"/>
          <w:b w:val="false"/>
          <w:i w:val="false"/>
          <w:caps w:val="false"/>
          <w:smallCaps w:val="false"/>
          <w:color w:val="000000"/>
          <w:spacing w:val="4"/>
          <w:sz w:val="20"/>
        </w:rPr>
        <w:t>the conclusion of the Standard BioTools Board that the potential expense reimbursement up to a maximum of $2,000,000, payable by Standard BioTools or SomaLogic, and the circumstances when such expense reimbursement may be payable, were reasonable,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8740" distB="0" distL="508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Knowledge of SomaLogic’s and Standard BioTools’ Businesses and Financial Condition</w:t>
      </w:r>
      <w:r>
        <w:rPr>
          <w:rFonts w:ascii="Times New Roman;Times;serif" w:hAnsi="Times New Roman;Times;serif"/>
          <w:b w:val="false"/>
          <w:i w:val="false"/>
          <w:caps w:val="false"/>
          <w:smallCaps w:val="false"/>
          <w:color w:val="000000"/>
          <w:spacing w:val="4"/>
          <w:sz w:val="20"/>
        </w:rPr>
        <w:t xml:space="preserve">:   In addition to considering the factors described above, the Standard BioTools Board considered the following additional factors that weighed in favor of the Merger: (i) historical information concerning Standard BioTools’ and SomaLogic’s respective businesses, financial condition, results of operations, earnings, trading prices, managements, competitive positions and prospects on a stand-alone basis and forecasted combined basis, taking into account the discussions of Standard BioTools’ management with SomaLogic’s management and the results of Standard BioTools’ due diligence review of SomaLogic, which included review of historical financial results and projections, existing agreements, contingent liabilities and legal and other matters; and (ii) the current and prospective business environment in which Standard BioTools and SomaLogic operate, including economic conditions and the competitive environment, and the likely effect of these factors on Standard BioTools and the combined company. </w:t>
      </w:r>
      <w:r>
        <mc:AlternateContent>
          <mc:Choice Requires="wps">
            <w:drawing>
              <wp:anchor behindDoc="0" distT="0" distB="0" distL="254000" distR="0" simplePos="0" locked="0" layoutInCell="1" allowOverlap="1" relativeHeight="255">
                <wp:simplePos x="0" y="0"/>
                <wp:positionH relativeFrom="column">
                  <wp:align>left</wp:align>
                </wp:positionH>
                <wp:positionV relativeFrom="line">
                  <wp:posOffset>635</wp:posOffset>
                </wp:positionV>
                <wp:extent cx="127000" cy="350520"/>
                <wp:effectExtent l="0" t="0" r="0" b="0"/>
                <wp:wrapSquare wrapText="right"/>
                <wp:docPr id="252"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Governance Process</w:t>
      </w:r>
      <w:r>
        <w:rPr>
          <w:rFonts w:ascii="Times New Roman;Times;serif" w:hAnsi="Times New Roman;Times;serif"/>
          <w:b w:val="false"/>
          <w:i w:val="false"/>
          <w:caps w:val="false"/>
          <w:smallCaps w:val="false"/>
          <w:color w:val="000000"/>
          <w:spacing w:val="4"/>
          <w:sz w:val="20"/>
        </w:rPr>
        <w:t xml:space="preserve">:   For all discussions and meetings of the Standard BioTools Board in 2023 with respect to a transaction with Standard BioTools, Eli Casdin (a significant stockholder and board member of each of Standard BioTools and SomaLogic) was recused and not present for such discussions.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3"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its deliberations, the Standard BioTools Board also considered a variety of risks and other countervailing factors related to entering into the Merger,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 of the $19,123,214 termination fee or the $2,000,000 maximum expense reimbursement amount payable by Standard BioTools upon the occurrence of certain events in deterring other potential acquirors from proposing an alternative Acquisition Proposal that may be more advantageous to Standard BioTools stockholders;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prohibition on Standard BioTools soliciting, initiating, inducing, knowingly encouraging or knowingly facilitating alternative Acquisition Proposals during the pendency of the Merger;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substantial expenses incurred by Standard BioTools in connection with the Merger;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volatility of the trading price of the Standard BioTools Common Stock resulting from the announcement, pendency or completion of the Merger;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difficulties and management challenges inherent in completing the Merger and integrating the business, operations and workforces of Standard BioTools and SomaLogic and the risk that anticipated benefits of the Merger might not be realized;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$17,176,173 termination fee from SomaLogic to which Standard BioTools may be entitled, subject to the terms and conditions of the Merger Agreement, in connection with termination of the Merger Agreement in certain circumstances may not be sufficient to compensate Standard BioTools for the harm that it might suffer as a result of such termination;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might not be consummated in a timely manner or at all, including as a result of the Merger not being consummated by the outside termination date of May 1, 2024, as such date may be extended in certain circumstances;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1"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representations and warranties in the Merger Agreement do not survive the closing of the Merger and the potential risk of liabilities that may arise post-closing;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2"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the conduct of Standard BioTools’ business during the period between execution of the Merger Agreement and the consummation of the Merger, including the obligation that Standard BioTools must conduct its business only in the ordinary course, subject to specific limitations, which (although substantially reciprocal to those restrictions imposed on SomaLogic) could negatively impact Standard BioTools’ ability to pursue certain business opportunities or strategic transactions;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3"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Standard BioTools stockholders or SomaLogic stockholders, as applicable, may not approve the proposals at the Standard BioTools Special Meeting or the SomaLogic Special Meeting;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4"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SRFT1"/>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scientific, technical and other risks and uncertainties associated with SomaLogic’s developing genomics-proteomics commercial partnership with Illumina; </w:t>
      </w:r>
      <w:r>
        <mc:AlternateContent>
          <mc:Choice Requires="wps">
            <w:drawing>
              <wp:anchor behindDoc="0" distT="0" distB="0" distL="254000" distR="0" simplePos="0" locked="0" layoutInCell="1" allowOverlap="1" relativeHeight="268">
                <wp:simplePos x="0" y="0"/>
                <wp:positionH relativeFrom="column">
                  <wp:align>left</wp:align>
                </wp:positionH>
                <wp:positionV relativeFrom="line">
                  <wp:posOffset>635</wp:posOffset>
                </wp:positionV>
                <wp:extent cx="127000" cy="350520"/>
                <wp:effectExtent l="0" t="0" r="0" b="0"/>
                <wp:wrapSquare wrapText="right"/>
                <wp:docPr id="265"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lack of availability of appraisal rights under the DGCL to holders of Standard BioTools Common Stock which would not allow holders to seek appraisal of the fair value of their shares of Standard BioTools Common Stock; and </w:t>
      </w:r>
      <w:r>
        <mc:AlternateContent>
          <mc:Choice Requires="wps">
            <w:drawing>
              <wp:anchor behindDoc="0" distT="7747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6"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various other risks associated with the combined company and the transaction, including those described in the sections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747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7"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information and factors considered by the Standard BioTools Board are not intended to be exhaustive but are believed to include all of the material factors considered by the Standard BioTools Board. In view of the wide variety of factors considered in connection with its evaluation of the Merger and the complexity of these matters, the Standard BioTools Board did not find it useful, and did not attempt, to quantify, rank or otherwise assign relative weights to these factors. In considering the factors described above, individual members of the Standard BioTools Board may have given different weight to different factors. The Standard BioTools Board conducted an overall analysis of the factors described above, including thorough discussions with, and questioning of, the Standard BioTools management team and the legal, financial advisors and other professional advisors of Standard BioTools, and considered the factors overall to be favorable to, and to support, its determination.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SomaLogic’s Reasons for the Merger; Recommendation of the SomaLogic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review and discussion of all relevant information regarding the Merger, at a meeting held on October 4, 2023, the SomaLogic Board (with Eli Casdin recusing himself from the meeting and vote): (1) determined that the terms of the Merger Agreement and the transactions contemplated by the Merger Agreement, including the Merger, are advisable, fair to and in the best interests of SomaLogic and its stockholders, (2) approved the Merger Agreement and the transactions contemplated by the Merger Agreement, including the Merger, and declared the Merger Agreement advisable, (3) recommended that the SomaLogic stockholders adopt the Merger Agreement, and (4) directed that the Merger Agreement be submitted for consideration by the SomaLogic stockholders at the SomaLogic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SOMALOGIC BOARD UNANIMOUSLY RECOMMENDS BY VOTE OF ALL PARTICIPATING DIRECTORS THAT SOMALOGIC STOCKHOLDERS VOTE (1) “FOR” THE PROPOSAL TO ADOPT THE MERGER AGREEMENT AND (2) “FOR” THE PROPOSAL TO APPROVE THE ADJOURNMENT OF THE SOMALOGIC SPECIAL MEETING IF NECESSARY OR APPROPRIATE TO (A) SOLICIT ADDITIONAL PROXIES IF THERE ARE INSUFFICIENT VOTES TO ADOPT THE MERGER AGREEMENT, (B) GIVE THE SOMALOGIC STOCKHOLDERS ADDITIONAL TIME TO EVALUATE ANY SUPPLEMENTAL OR AMENDED DISCLOSURE OR (C) OTHERWISE COMPLY WITH APPLICABLE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believes that the Merger presents a strategic opportunity to expand value for the SomaLogic stockholders through a combination with the complementary business of Standard BioTools. In reaching its decision to approve the Merger Agreement and recommend the adoption of the Merger Agreement to its stockholders, the SomaLogic Board consulted with SomaLogic management, as well as its legal and financial advisors, and considered a number of factors, including, among others,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Knowledge of SomaLogic’s and Standard BioTools’ Businesses and Financial Condition</w:t>
      </w:r>
      <w:r>
        <w:rPr>
          <w:rFonts w:ascii="Times New Roman;Times;serif" w:hAnsi="Times New Roman;Times;serif"/>
          <w:b w:val="false"/>
          <w:i w:val="false"/>
          <w:caps w:val="false"/>
          <w:smallCaps w:val="false"/>
          <w:color w:val="000000"/>
          <w:spacing w:val="4"/>
          <w:sz w:val="20"/>
        </w:rPr>
        <w:t xml:space="preserve">.   The results of the due diligence review of Standard BioTools conducted by SomaLogic and its outside advisors, and the resulting understanding of Standard BioTools’ business, technology, financial condition and prospects;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8"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Benefits of an Investment in the Combined Company:</w:t>
      </w:r>
      <w:r>
        <w:rPr>
          <w:rFonts w:ascii="Times New Roman;Times;serif" w:hAnsi="Times New Roman;Times;serif"/>
          <w:b w:val="false"/>
          <w:i w:val="false"/>
          <w:caps w:val="false"/>
          <w:smallCaps w:val="false"/>
          <w:color w:val="000000"/>
          <w:spacing w:val="4"/>
          <w:sz w:val="20"/>
        </w:rPr>
        <w:t xml:space="preserve">   The potential benefits to SomaLogic stockholders of the increased scale and complementary products and customer bases of the combined company, including the following: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9"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Depth and experience of leadership team</w:t>
      </w:r>
      <w:r>
        <w:rPr>
          <w:rFonts w:ascii="Times New Roman;Times;serif" w:hAnsi="Times New Roman;Times;serif"/>
          <w:b w:val="false"/>
          <w:i w:val="false"/>
          <w:caps w:val="false"/>
          <w:smallCaps w:val="false"/>
          <w:color w:val="000000"/>
          <w:spacing w:val="4"/>
          <w:sz w:val="20"/>
        </w:rPr>
        <w:t xml:space="preserve">:   the fact that the combined company will be led by an experienced Board of Directors and leadership team that leverages the deep expertise within </w:t>
      </w:r>
      <w:r>
        <mc:AlternateContent>
          <mc:Choice Requires="wps">
            <w:drawing>
              <wp:anchor behindDoc="0" distT="7620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0"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organizations, including Standard BioTools’ Chief Executive Officer and Chief Financial Officer who will have the same roles in the combined company; </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products and operations</w:t>
      </w:r>
      <w:r>
        <w:rPr>
          <w:rFonts w:ascii="Times New Roman;Times;serif" w:hAnsi="Times New Roman;Times;serif"/>
          <w:b w:val="false"/>
          <w:i w:val="false"/>
          <w:caps w:val="false"/>
          <w:smallCaps w:val="false"/>
          <w:color w:val="000000"/>
          <w:spacing w:val="4"/>
          <w:sz w:val="20"/>
        </w:rPr>
        <w:t xml:space="preserve">:   the fact that SomaLogic’s business and operations complement those of Standard BioTools and that the transaction will create a combined company with a broader, more diverse portfolio of life science tools, including a suite of three complementary, high throughput and data quality proteomic solutions; </w:t>
      </w:r>
      <w:r>
        <mc:AlternateContent>
          <mc:Choice Requires="wps">
            <w:drawing>
              <wp:anchor behindDoc="0" distT="73660" distB="0" distL="508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1"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customer bases</w:t>
      </w:r>
      <w:r>
        <w:rPr>
          <w:rFonts w:ascii="Times New Roman;Times;serif" w:hAnsi="Times New Roman;Times;serif"/>
          <w:b w:val="false"/>
          <w:i w:val="false"/>
          <w:caps w:val="false"/>
          <w:smallCaps w:val="false"/>
          <w:color w:val="000000"/>
          <w:spacing w:val="4"/>
          <w:sz w:val="20"/>
        </w:rPr>
        <w:t xml:space="preserve">:   the complementary nature of SomaLogic’s and Standard BioTools’ customer bases and end markets, and the potential for the combined company to become a leading provider of differentiated multi-omics tools for both biopharma and academic customers, with products distributed in approximately 50 countries; </w:t>
      </w:r>
      <w:r>
        <mc:AlternateContent>
          <mc:Choice Requires="wps">
            <w:drawing>
              <wp:anchor behindDoc="0" distT="73660" distB="0" distL="508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2"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Cross-selling opportunities</w:t>
      </w:r>
      <w:r>
        <w:rPr>
          <w:rFonts w:ascii="Times New Roman;Times;serif" w:hAnsi="Times New Roman;Times;serif"/>
          <w:b w:val="false"/>
          <w:i w:val="false"/>
          <w:caps w:val="false"/>
          <w:smallCaps w:val="false"/>
          <w:color w:val="000000"/>
          <w:spacing w:val="4"/>
          <w:sz w:val="20"/>
        </w:rPr>
        <w:t xml:space="preserve">:   the potential for the combined company’s growth to benefit cross-selling opportunities, with SomaLogic’s presence in the biopharmaceutical research setting and Standard BioTools’ academic research footprint complementing each other; </w:t>
      </w:r>
      <w:r>
        <mc:AlternateContent>
          <mc:Choice Requires="wps">
            <w:drawing>
              <wp:anchor behindDoc="0" distT="73660" distB="0" distL="508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3"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Cost synergies and operating efficiencies</w:t>
      </w:r>
      <w:r>
        <w:rPr>
          <w:rFonts w:ascii="Times New Roman;Times;serif" w:hAnsi="Times New Roman;Times;serif"/>
          <w:b w:val="false"/>
          <w:i w:val="false"/>
          <w:caps w:val="false"/>
          <w:smallCaps w:val="false"/>
          <w:color w:val="000000"/>
          <w:spacing w:val="4"/>
          <w:sz w:val="20"/>
        </w:rPr>
        <w:t xml:space="preserve">:   the anticipated cost synergies and operating efficiency resulting from the elimination of redundant general and administrative costs, consolidation of manufacturing and integration of Standard BioTools’ large-enterprise operating expertise, and from the increased scale of the combined company; and </w:t>
      </w:r>
      <w:r>
        <mc:AlternateContent>
          <mc:Choice Requires="wps">
            <w:drawing>
              <wp:anchor behindDoc="0" distT="73660" distB="0" distL="508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4"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for accelerated path to profitability</w:t>
      </w:r>
      <w:r>
        <w:rPr>
          <w:rFonts w:ascii="Times New Roman;Times;serif" w:hAnsi="Times New Roman;Times;serif"/>
          <w:b w:val="false"/>
          <w:i w:val="false"/>
          <w:caps w:val="false"/>
          <w:smallCaps w:val="false"/>
          <w:color w:val="000000"/>
          <w:spacing w:val="4"/>
          <w:sz w:val="20"/>
        </w:rPr>
        <w:t xml:space="preserve">:   the SomaLogic Board’s belief that the combined company’s path to profitability will be accelerated by the increased scale of the combined company. </w:t>
      </w:r>
      <w:r>
        <mc:AlternateContent>
          <mc:Choice Requires="wps">
            <w:drawing>
              <wp:anchor behindDoc="0" distT="73660" distB="0" distL="508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5"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Challenges and Risks Faced by SomaLogic on a Standalone Basis.</w:t>
      </w:r>
      <w:r>
        <w:rPr>
          <w:rFonts w:ascii="Times New Roman;Times;serif" w:hAnsi="Times New Roman;Times;serif"/>
          <w:b w:val="false"/>
          <w:i w:val="false"/>
          <w:caps w:val="false"/>
          <w:smallCaps w:val="false"/>
          <w:color w:val="000000"/>
          <w:spacing w:val="4"/>
          <w:sz w:val="20"/>
        </w:rPr>
        <w:t xml:space="preserve">   The potential challenges facing SomaLogic if it were to continue on a standalone basis, including: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6"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need for SomaLogic to make significant investments in continued research and development of new products and services, which may not be successful and the potential need to raise additional capital to fund commercialization plans for services and products, expand investments in research and development and commercialize new products and applications; </w:t>
      </w:r>
      <w:r>
        <mc:AlternateContent>
          <mc:Choice Requires="wps">
            <w:drawing>
              <wp:anchor behindDoc="0" distT="73660" distB="0" distL="508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7"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SomaLogic business depends significantly on research and development spending by pharmaceutical, biotechnology and academic, governmental and other research institutions and any reduction in spending could limit demand for our services and products and adversely affect SomaLogic’s business, results of operations, financial conditions and prospects; and </w:t>
      </w:r>
      <w:r>
        <mc:AlternateContent>
          <mc:Choice Requires="wps">
            <w:drawing>
              <wp:anchor behindDoc="0" distT="74930" distB="0" distL="508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8"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scientific, technical and other risks and uncertainties associated with SomaLogic’s developing genomics-proteomics commercial partnership with Illumina. </w:t>
      </w:r>
      <w:r>
        <mc:AlternateContent>
          <mc:Choice Requires="wps">
            <w:drawing>
              <wp:anchor behindDoc="0" distT="74930" distB="0" distL="508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Value of Consideration Received</w:t>
      </w:r>
      <w:r>
        <w:rPr>
          <w:rFonts w:ascii="Times New Roman;Times;serif" w:hAnsi="Times New Roman;Times;serif"/>
          <w:b w:val="false"/>
          <w:i w:val="false"/>
          <w:caps w:val="false"/>
          <w:smallCaps w:val="false"/>
          <w:color w:val="000000"/>
          <w:spacing w:val="4"/>
          <w:sz w:val="20"/>
        </w:rPr>
        <w:t xml:space="preserve">.   The value of the consideration to be received by SomaLogic stockholders as a result of the Merger, including the fact that: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0"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exchange ratio provides certainty to SomaLogic stockholders as to their approximately 57% ownership of the combined company on a fully-diluted basis while providing SomaLogic stockholders the opportunity to benefit from any increase in the trading price of Standard BioTools’ Common Stock before the closing of the Merger; </w:t>
      </w:r>
      <w:r>
        <mc:AlternateContent>
          <mc:Choice Requires="wps">
            <w:drawing>
              <wp:anchor behindDoc="0" distT="74930" distB="0" distL="508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1"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consideration offers SomaLogic’s stockholders the opportunity to participate in any potential value accretion of the combined company, as well as any additional premium that may be realized in the event the combined company is sold to a third party in the future; and </w:t>
      </w:r>
      <w:r>
        <mc:AlternateContent>
          <mc:Choice Requires="wps">
            <w:drawing>
              <wp:anchor behindDoc="0" distT="74930" distB="0" distL="508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2"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represented a premium of approximately 28% relative to the closing price of SomaLogic Common Stock on October 2, 2023 and approximately 30% relative to the volume weighted average price of SomaLogic Common Stock during the 10 calendar days prior to October 2, 2023 (based on Standard’s closing price on October 2, 2023). </w:t>
      </w:r>
      <w:r>
        <mc:AlternateContent>
          <mc:Choice Requires="wps">
            <w:drawing>
              <wp:anchor behindDoc="0" distT="74930" distB="0" distL="508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3"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Receipt of Fairness Opinion of Perella Weinberg Partners LP</w:t>
      </w:r>
      <w:r>
        <w:rPr>
          <w:rFonts w:ascii="Times New Roman;Times;serif" w:hAnsi="Times New Roman;Times;serif"/>
          <w:b w:val="false"/>
          <w:i w:val="false"/>
          <w:caps w:val="false"/>
          <w:smallCaps w:val="false"/>
          <w:color w:val="000000"/>
          <w:spacing w:val="4"/>
          <w:sz w:val="20"/>
        </w:rPr>
        <w:t xml:space="preserve">.   The opinion of PWP, rendered orally to the SomaLogic Board on October 4, 2023 (and subsequently confirmed in writing as of October 4, 2023), that, as of the date of the PWP Opinion and based upon and subject to the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CTCM1"/>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pPr>
      <w:r>
        <w:rPr>
          <w:rFonts w:ascii="Times New Roman;Times;serif" w:hAnsi="Times New Roman;Times;serif"/>
          <w:b w:val="false"/>
          <w:i w:val="false"/>
          <w:caps w:val="false"/>
          <w:smallCaps w:val="false"/>
          <w:color w:val="000000"/>
          <w:spacing w:val="4"/>
          <w:sz w:val="20"/>
        </w:rPr>
        <w:t>various qualifications, assumptions, limitations and other matters set forth therein, the Merger Consideration to be received by the holders of SomaLogic Common Stock (other than Standard BioTools, Casdin Capital, LLC and each of their respective affiliates) in the proposed Merger pursuant to the Merger Agreement is fair, from a financial point of view, to the holders of SomaLogic Common Stock (other than Standard BioTools, Casdin Capital, LLC and each of their respective affiliates) (the full text of the PWP Opinion, which sets forth the assumptions made, procedures followed, matters considered and qualifications and limitations on the review undertaken by PWP in connection with the PWP Opinion, is attached as Annex C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is incorporated herein by reference), as more fully described under the section entitled “— </w:t>
      </w:r>
      <w:r>
        <w:rPr>
          <w:rFonts w:ascii="Times New Roman;Times;serif" w:hAnsi="Times New Roman;Times;serif"/>
          <w:b w:val="false"/>
          <w:i/>
          <w:caps w:val="false"/>
          <w:smallCaps w:val="false"/>
          <w:color w:val="000000"/>
          <w:spacing w:val="4"/>
          <w:sz w:val="20"/>
        </w:rPr>
        <w:t>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and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Process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comprehensive sale process undertaken by SomaLogic with the assistance of PWP through which 16 strategic parties were contacted regarding a potential acquisition of SomaLogic, as well as the strategic process undertaken by Cowen in 2022 through which six strategic parties were contacted, neither of which processes resulted in any expressions of interests for an acquisition other than from Standard BioTools. </w:t>
      </w:r>
      <w:r>
        <mc:AlternateContent>
          <mc:Choice Requires="wps">
            <w:drawing>
              <wp:anchor behindDoc="0" distT="77470" distB="0" distL="508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discussions and meetings of the SomaLogic Board with respect to a transaction with Standard BioTools, Eli Casdin (a significant stockholder and board member of each of SomaLogic and Standard BioTools) was recused and not present for such discussions. </w:t>
      </w:r>
      <w:r>
        <mc:AlternateContent>
          <mc:Choice Requires="wps">
            <w:drawing>
              <wp:anchor behindDoc="0" distT="77470" distB="0" distL="508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were certain existing relationships between members of the SomaLogic Board and Mr. Casdin (or Casdin Capital, LLC), the SomaLogic Board did not consider any of those relationships to represent a conflict of interest with respect to the Merger. </w:t>
      </w:r>
      <w:r>
        <mc:AlternateContent>
          <mc:Choice Requires="wps">
            <w:drawing>
              <wp:anchor behindDoc="0" distT="77470" distB="0" distL="508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8"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Terms of the Merger Agreement</w:t>
      </w:r>
      <w:r>
        <w:rPr>
          <w:rFonts w:ascii="Times New Roman;Times;serif" w:hAnsi="Times New Roman;Times;serif"/>
          <w:b w:val="false"/>
          <w:i w:val="false"/>
          <w:caps w:val="false"/>
          <w:smallCaps w:val="false"/>
          <w:color w:val="000000"/>
          <w:spacing w:val="4"/>
          <w:sz w:val="20"/>
        </w:rPr>
        <w:t xml:space="preserve">.   The terms and conditions of the Merger Agreement as negotiated by SomaLogic management, including: </w:t>
      </w:r>
      <w:r>
        <mc:AlternateContent>
          <mc:Choice Requires="wps">
            <w:drawing>
              <wp:anchor behindDoc="0" distT="7747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fact that the Merger Consideration is based on a fixed Exchange Ratio provides certainty as to the number of Standard BioTools Shares that will be issued to SomaLogic stockholders; </w:t>
      </w:r>
      <w:r>
        <mc:AlternateContent>
          <mc:Choice Requires="wps">
            <w:drawing>
              <wp:anchor behindDoc="0" distT="77470" distB="0" distL="508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0"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Conditions to Consummation of the Merger</w:t>
      </w:r>
      <w:r>
        <w:rPr>
          <w:rFonts w:ascii="Times New Roman;Times;serif" w:hAnsi="Times New Roman;Times;serif"/>
          <w:b w:val="false"/>
          <w:i w:val="false"/>
          <w:caps w:val="false"/>
          <w:smallCaps w:val="false"/>
          <w:color w:val="000000"/>
          <w:spacing w:val="4"/>
          <w:sz w:val="20"/>
        </w:rPr>
        <w:t xml:space="preserve">.   The limited number and nature of the conditions to the parties’ obligations to complete the Merger and the belief of the SomaLogic Board of the likelihood of satisfying such conditions; </w:t>
      </w:r>
      <w:r>
        <mc:AlternateContent>
          <mc:Choice Requires="wps">
            <w:drawing>
              <wp:anchor behindDoc="0" distT="7747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1"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 to Withdraw Recommendation to SomaLogic Stockholders</w:t>
      </w:r>
      <w:r>
        <w:rPr>
          <w:rFonts w:ascii="Times New Roman;Times;serif" w:hAnsi="Times New Roman;Times;serif"/>
          <w:b w:val="false"/>
          <w:i w:val="false"/>
          <w:caps w:val="false"/>
          <w:smallCaps w:val="false"/>
          <w:color w:val="000000"/>
          <w:spacing w:val="4"/>
          <w:sz w:val="20"/>
        </w:rPr>
        <w:t xml:space="preserve">.   The fact that in certain circumstances, the SomaLogic Board has the right under the Merger Agreement to withdraw its recommendation to SomaLogic stockholders that they approve the SomaLogic Merger Proposal; </w:t>
      </w:r>
      <w:r>
        <mc:AlternateContent>
          <mc:Choice Requires="wps">
            <w:drawing>
              <wp:anchor behindDoc="0" distT="77470" distB="0" distL="508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2"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to Vote</w:t>
      </w:r>
      <w:r>
        <w:rPr>
          <w:rFonts w:ascii="Times New Roman;Times;serif" w:hAnsi="Times New Roman;Times;serif"/>
          <w:b w:val="false"/>
          <w:i w:val="false"/>
          <w:caps w:val="false"/>
          <w:smallCaps w:val="false"/>
          <w:color w:val="000000"/>
          <w:spacing w:val="4"/>
          <w:sz w:val="20"/>
        </w:rPr>
        <w:t xml:space="preserve">.   The fact that SomaLogic stockholders will have an opportunity to vote on the adoption of the Merger Agreement; </w:t>
      </w:r>
      <w:r>
        <mc:AlternateContent>
          <mc:Choice Requires="wps">
            <w:drawing>
              <wp:anchor behindDoc="0" distT="77470" distB="0" distL="508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3"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caps w:val="false"/>
          <w:smallCaps w:val="false"/>
          <w:color w:val="000000"/>
          <w:spacing w:val="4"/>
          <w:sz w:val="20"/>
        </w:rPr>
        <w:t>Right to Terminate</w:t>
      </w:r>
      <w:r>
        <w:rPr>
          <w:rFonts w:ascii="Times New Roman;Times;serif" w:hAnsi="Times New Roman;Times;serif"/>
          <w:b w:val="false"/>
          <w:i w:val="false"/>
          <w:caps w:val="false"/>
          <w:smallCaps w:val="false"/>
          <w:color w:val="000000"/>
          <w:spacing w:val="4"/>
          <w:sz w:val="20"/>
        </w:rPr>
        <w:t>.   The fact that each party has the right to terminate the Merger Agreement to accept a “Superior Proposal” in certain circumstances, subject to the payment of a termination fee,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7470" distB="0" distL="508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4"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The fact that Standard BioTools is obligated to pay SomaLogic a termination fee of approximately $19,123,214 in certain circumstances as summarized under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xml:space="preserve"> of this joint proxy statement/prospectus; and </w:t>
      </w:r>
      <w:r>
        <mc:AlternateContent>
          <mc:Choice Requires="wps">
            <w:drawing>
              <wp:anchor behindDoc="0" distT="7747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5"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pPr>
      <w:r>
        <w:rPr>
          <w:rFonts w:ascii="Times New Roman;Times;serif" w:hAnsi="Times New Roman;Times;serif"/>
          <w:b w:val="false"/>
          <w:i/>
          <w:caps w:val="false"/>
          <w:smallCaps w:val="false"/>
          <w:color w:val="000000"/>
          <w:spacing w:val="4"/>
          <w:sz w:val="20"/>
        </w:rPr>
        <w:t>Expense Reimbursement Amount</w:t>
      </w:r>
      <w:r>
        <w:rPr>
          <w:rFonts w:ascii="Times New Roman;Times;serif" w:hAnsi="Times New Roman;Times;serif"/>
          <w:b w:val="false"/>
          <w:i w:val="false"/>
          <w:caps w:val="false"/>
          <w:smallCaps w:val="false"/>
          <w:color w:val="000000"/>
          <w:spacing w:val="4"/>
          <w:sz w:val="20"/>
        </w:rPr>
        <w:t>.   The fact that Standard BioTools is obligated to reimburse SomaLogic an expense amount not to exceed $2 million under certain termination circumstances summarized under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160</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7470" distB="0" distL="508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6"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Ability to Negotiate with Third Parties</w:t>
      </w:r>
      <w:r>
        <w:rPr>
          <w:rFonts w:ascii="Times New Roman;Times;serif" w:hAnsi="Times New Roman;Times;serif"/>
          <w:b w:val="false"/>
          <w:i w:val="false"/>
          <w:caps w:val="false"/>
          <w:smallCaps w:val="false"/>
          <w:color w:val="000000"/>
          <w:spacing w:val="4"/>
          <w:sz w:val="20"/>
        </w:rPr>
        <w:t xml:space="preserve">.   The ability of SomaLogic under the terms of the Merger Agreement to negotiate with third parties concerning certain unsolicited competing business combination proposals if SomaLogic were to receive such a proposal prior to the adoption of the Merger Agreement by the SomaLogic stockholders, and to terminate the Merger Agreement to accept a superior proposal under certain circumstances; </w:t>
      </w:r>
      <w:r>
        <mc:AlternateContent>
          <mc:Choice Requires="wps">
            <w:drawing>
              <wp:anchor behindDoc="0" distT="0" distB="0" distL="254000" distR="0" simplePos="0" locked="0" layoutInCell="1" allowOverlap="1" relativeHeight="300">
                <wp:simplePos x="0" y="0"/>
                <wp:positionH relativeFrom="column">
                  <wp:align>left</wp:align>
                </wp:positionH>
                <wp:positionV relativeFrom="line">
                  <wp:posOffset>635</wp:posOffset>
                </wp:positionV>
                <wp:extent cx="127000" cy="350520"/>
                <wp:effectExtent l="0" t="0" r="0" b="0"/>
                <wp:wrapSquare wrapText="right"/>
                <wp:docPr id="297"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of Alternatives</w:t>
      </w:r>
      <w:r>
        <w:rPr>
          <w:rFonts w:ascii="Times New Roman;Times;serif" w:hAnsi="Times New Roman;Times;serif"/>
          <w:b w:val="false"/>
          <w:i w:val="false"/>
          <w:caps w:val="false"/>
          <w:smallCaps w:val="false"/>
          <w:color w:val="000000"/>
          <w:spacing w:val="4"/>
          <w:sz w:val="20"/>
        </w:rPr>
        <w:t xml:space="preserve">.   The fact that the SomaLogic Board had considered certain alternatives to the Merger and determined that entering into the Merger Agreement was more favorable to SomaLogic stockholders than other alternatives available to SomaLogic, including continued operation of SomaLogic on a standalone basis or the pursuit of potential alternative transactions; </w:t>
      </w:r>
      <w:r>
        <mc:AlternateContent>
          <mc:Choice Requires="wps">
            <w:drawing>
              <wp:anchor behindDoc="0" distT="889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8"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Completing the Merger</w:t>
      </w:r>
      <w:r>
        <w:rPr>
          <w:rFonts w:ascii="Times New Roman;Times;serif" w:hAnsi="Times New Roman;Times;serif"/>
          <w:b w:val="false"/>
          <w:i w:val="false"/>
          <w:caps w:val="false"/>
          <w:smallCaps w:val="false"/>
          <w:color w:val="000000"/>
          <w:spacing w:val="4"/>
          <w:sz w:val="20"/>
        </w:rPr>
        <w:t xml:space="preserve">.   The likelihood of completing the Merger on the anticipated schedule; </w:t>
      </w:r>
      <w:r>
        <mc:AlternateContent>
          <mc:Choice Requires="wps">
            <w:drawing>
              <wp:anchor behindDoc="0" distT="889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9"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Composition of Combined Board</w:t>
      </w:r>
      <w:r>
        <w:rPr>
          <w:rFonts w:ascii="Times New Roman;Times;serif" w:hAnsi="Times New Roman;Times;serif"/>
          <w:b w:val="false"/>
          <w:i w:val="false"/>
          <w:caps w:val="false"/>
          <w:smallCaps w:val="false"/>
          <w:color w:val="000000"/>
          <w:spacing w:val="4"/>
          <w:sz w:val="20"/>
        </w:rPr>
        <w:t xml:space="preserve">.   The fact that, under the Merger Agreement at signing, three representatives from the SomaLogic Board would be directors of the combined company board of directors, one of whom would be chairman; and </w:t>
      </w:r>
      <w:r>
        <mc:AlternateContent>
          <mc:Choice Requires="wps">
            <w:drawing>
              <wp:anchor behindDoc="0" distT="889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0"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caps w:val="false"/>
          <w:smallCaps w:val="false"/>
          <w:color w:val="000000"/>
          <w:spacing w:val="4"/>
          <w:sz w:val="20"/>
        </w:rPr>
        <w:t>Tax-Free Reorganization</w:t>
      </w:r>
      <w:r>
        <w:rPr>
          <w:rFonts w:ascii="Times New Roman;Times;serif" w:hAnsi="Times New Roman;Times;serif"/>
          <w:b w:val="false"/>
          <w:i w:val="false"/>
          <w:caps w:val="false"/>
          <w:smallCaps w:val="false"/>
          <w:color w:val="000000"/>
          <w:spacing w:val="4"/>
          <w:sz w:val="20"/>
        </w:rPr>
        <w:t>.   The fact that the Merger is intended be treated as a tax-free reorganization under Section 368(a) of the Code for U.S. federal income tax purposes, as more fully described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beginning on page </w:t>
      </w:r>
      <w:hyperlink w:anchor="tMUFI1">
        <w:r>
          <w:rPr>
            <w:rStyle w:val="InternetLink"/>
          </w:rPr>
          <w:t>137</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8890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1"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also weighed the factors described above against certain factors and potential risks associated with entering into the Merger Agreement, including, among others,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is fixed, which means that SomaLogic stockholders would be adversely affected by a decrease in the trading price of the Standard BioTools Shares relative to the trading price of the SomaLogic Shares during the pendency of the transaction; </w:t>
      </w:r>
      <w:r>
        <mc:AlternateContent>
          <mc:Choice Requires="wps">
            <w:drawing>
              <wp:anchor behindDoc="0" distT="7874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2"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integration of SomaLogic and Standard BioTools may be complex and time consuming and may require substantial resources and effort, and the risk that if the combined company is not successfully integrated, the anticipated benefits of the Merger may not be realized fully or at all or may take longer to realize than expected, including the possibility that anticipated strategic and other benefits to SomaLogic and the combined company following completion of the Merger, including the expected synergies, will not be realized or will take longer to realize than expected; </w:t>
      </w:r>
      <w:r>
        <mc:AlternateContent>
          <mc:Choice Requires="wps">
            <w:drawing>
              <wp:anchor behindDoc="0" distT="889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3"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diversion of management and employee attention, which resources are already limited, and for increased employee attrition during the period prior to completion of the Merger, and the potential effect of the Merger on SomaLogic’s business and relations with customers, partners and suppliers; </w:t>
      </w:r>
      <w:r>
        <mc:AlternateContent>
          <mc:Choice Requires="wps">
            <w:drawing>
              <wp:anchor behindDoc="0" distT="889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4"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SomaLogic’s business prior to completion of the Merger, requiring SomaLogic to conduct its business only in the ordinary course, subject to specific limitations, which could delay or prevent SomaLogic from undertaking business opportunities that may arise pending completion of the Merger and could negatively impact SomaLogic’s relationships with employees, customers, partners, and suppliers; </w:t>
      </w:r>
      <w:r>
        <mc:AlternateContent>
          <mc:Choice Requires="wps">
            <w:drawing>
              <wp:anchor behindDoc="0" distT="8890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5"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includes certain restrictions on the ability of SomaLogic to solicit proposals for alternative transactions or engage in discussions regarding such proposals; </w:t>
      </w:r>
      <w:r>
        <mc:AlternateContent>
          <mc:Choice Requires="wps">
            <w:drawing>
              <wp:anchor behindDoc="0" distT="8890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6"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SomaLogic to pay a termination fee of $17,176,173, or reimburse expenses of up to $2 million to Standard BioTools, in certain circumstances; </w:t>
      </w:r>
      <w:r>
        <mc:AlternateContent>
          <mc:Choice Requires="wps">
            <w:drawing>
              <wp:anchor behindDoc="0" distT="8890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7"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costs to be incurred by SomaLogic in connection with the Merger; </w:t>
      </w:r>
      <w:r>
        <mc:AlternateContent>
          <mc:Choice Requires="wps">
            <w:drawing>
              <wp:anchor behindDoc="0" distT="8890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8"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8890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9"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OOSB1"/>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or may be delayed despite the parties’ efforts, including the possibility that conditions to the parties’ obligations to complete the Merger may not be satisfied, and the potential resulting disruption to SomaLogic’s business from any delays to complete the Merger; and </w:t>
      </w:r>
      <w:r>
        <mc:AlternateContent>
          <mc:Choice Requires="wps">
            <w:drawing>
              <wp:anchor behindDoc="0" distT="0" distB="0" distL="254000" distR="0" simplePos="0" locked="0" layoutInCell="1" allowOverlap="1" relativeHeight="313">
                <wp:simplePos x="0" y="0"/>
                <wp:positionH relativeFrom="column">
                  <wp:align>left</wp:align>
                </wp:positionH>
                <wp:positionV relativeFrom="line">
                  <wp:posOffset>635</wp:posOffset>
                </wp:positionV>
                <wp:extent cx="127000" cy="350520"/>
                <wp:effectExtent l="0" t="0" r="0" b="0"/>
                <wp:wrapSquare wrapText="right"/>
                <wp:docPr id="310"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pPr>
      <w:r>
        <w:rPr>
          <w:rFonts w:ascii="Times New Roman;Times;serif" w:hAnsi="Times New Roman;Times;serif"/>
          <w:b w:val="false"/>
          <w:i w:val="false"/>
          <w:caps w:val="false"/>
          <w:smallCaps w:val="false"/>
          <w:color w:val="000000"/>
          <w:spacing w:val="4"/>
          <w:sz w:val="20"/>
        </w:rPr>
        <w:t>the various other applicable risks associated with SomaLogic and Standard BioTools and the Merger, including the risks described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pages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858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1"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 considering the recommendation of the SomaLogic Board with respect to the proposal to adopt the Merger Agreement, SomaLogic stockholders should be aware that some of SomaLogic’s directors and executive officers may have interests in the Merger that are different those of SomaLogic stockholders. The SomaLogic Board was aware of and considered these interests, among other matters, in evaluating the Merger Agreement and the transactions contemplated by the Merger Agreement, and in recommending that the Merger Agreement be adopted by the SomaLogic stockholders. See “— </w:t>
      </w:r>
      <w:r>
        <w:rPr>
          <w:rFonts w:ascii="Times New Roman;Times;serif" w:hAnsi="Times New Roman;Times;serif"/>
          <w:b w:val="false"/>
          <w:i/>
          <w:caps w:val="false"/>
          <w:smallCaps w:val="false"/>
          <w:color w:val="000000"/>
          <w:spacing w:val="4"/>
          <w:sz w:val="20"/>
        </w:rPr>
        <w:t>Interests of SomaLogic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D">
        <w:r>
          <w:rPr>
            <w:rStyle w:val="InternetLink"/>
          </w:rPr>
          <w:t>19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SomaLogic Board in reaching its conclusions and recommendations is not intended to be exhaustive, but includes the material factors considered by the SomaLogic Board. In view of the wide variety of factors considered in connection with its evaluation of the Merger Agreement and the transactions contemplated by the Merger Agreement, and the complexity of these matters, the SomaLogic Board found it impracticable to, and did not attempt to, assign numerical weight, emphasis, or relative priority among those factors considered in reaching its determination and making its recommendation. In addition, individual directors may have given different weights to different factors. The SomaLogic Board considered all of the foregoing factors as a whole and based its recommendation on the totality of the information presented.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foregoing discussion also contains forward-looking statements with respect to future events that may have an effect on SomaLogic’s business, financial condition, or results of operations or the future financial performance of the combined company.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pages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Standard BioTools’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Centerview rendered to the Standard BioTools Board its oral opinion, subsequently confirmed in a written opinion dated October 4, 2023, that, as of such date and based upon and 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Centerview’s written opinion, dated October 4, 2023, which describes the assumptions made, procedures followed, matters considered, and qualifications and limitations upon the review undertaken by Centerview in preparing its opinion, is attached as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and is incorporated herein by reference. </w:t>
      </w:r>
      <w:r>
        <w:rPr>
          <w:rFonts w:ascii="Times New Roman;Times;serif" w:hAnsi="Times New Roman;Times;serif"/>
          <w:b/>
          <w:i w:val="false"/>
          <w:caps w:val="false"/>
          <w:smallCaps w:val="false"/>
          <w:color w:val="000000"/>
          <w:spacing w:val="-4"/>
          <w:sz w:val="20"/>
        </w:rPr>
        <w:t xml:space="preserve">The summary of the written opinion of Centerview set forth below is qualified in its entirety to the full text of Centerview’s written opinion attached as </w:t>
      </w: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Centerview’s financial advisory services and opinion were provided for the information and assistance of the Standard BioTools Board (in their capacity as directors and not in any other capacity) in connection with and for purposes of its consideration of the proposed Merger and the other transactions contemplated by the Merger Agreement (the “Transaction”) and Centerview’s opinion only addressed the fairness, from a financial point of view, as of the date thereof, to Standard BioTools of the Exchange Ratio to be provided for pursuant to the Merger Agreement. Centerview’s opinion did not address any other term or aspect of the Merger Agreement or the Transaction and does not constitute a recommendation to any stockholder of Standard BioTools or SomaLogic or any other person as to how such stockholder or other person should vote with respect to the Merger or otherwise act with respect to the Transaction or any other matter.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the opinion described above and performing its related financial analyses, Centerview reviewed,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draft of the Merger Agreement dated October 1, 2023, referred to in this summary of Centerview’s opinion as the “Draft Merger Agreement”; </w:t>
      </w:r>
      <w:r>
        <mc:AlternateContent>
          <mc:Choice Requires="wps">
            <w:drawing>
              <wp:anchor behindDoc="0" distT="7239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2"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Reports on Form 10-K of SomaLogic for the years ended December 31, 2022 and December 31, 2021; </w:t>
      </w:r>
      <w:r>
        <mc:AlternateContent>
          <mc:Choice Requires="wps">
            <w:drawing>
              <wp:anchor behindDoc="0" distT="7239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3"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Reports on Form 10-K of Standard BioTools for the years ended December 31, 2022, December 31, 2021 and December 31, 2020; </w:t>
      </w:r>
      <w:r>
        <mc:AlternateContent>
          <mc:Choice Requires="wps">
            <w:drawing>
              <wp:anchor behindDoc="0" distT="7239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4"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interim reports to stockholders and Quarterly Reports on Form 10-Q of SomaLogic and Standard BioTools; </w:t>
      </w:r>
      <w:r>
        <mc:AlternateContent>
          <mc:Choice Requires="wps">
            <w:drawing>
              <wp:anchor behindDoc="0" distT="7239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5"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publicly available research analyst reports for SomaLogic and Standard BioTools; </w:t>
      </w:r>
      <w:r>
        <mc:AlternateContent>
          <mc:Choice Requires="wps">
            <w:drawing>
              <wp:anchor behindDoc="0" distT="7239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6"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communications from SomaLogic and Standard BioTools to their respective stockholders; </w:t>
      </w:r>
      <w:r>
        <mc:AlternateContent>
          <mc:Choice Requires="wps">
            <w:drawing>
              <wp:anchor behindDoc="0" distT="7239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7"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information relating to the business, operations, earnings, cash flow, assets, liabilities and prospects of SomaLogic (the “SomaLogic Internal Data”); </w:t>
      </w:r>
      <w:r>
        <mc:AlternateContent>
          <mc:Choice Requires="wps">
            <w:drawing>
              <wp:anchor behindDoc="0" distT="7366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8"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financial forecasts, analyses and projections relating to SomaLogic prepared by management of SomaLogic with adjustments made by management of Standard BioTools and furnished to Centerview by Standard BioTools for purposes of Centerview’s analysis (the “SomaLogic Forecasts”); </w:t>
      </w:r>
      <w:r>
        <mc:AlternateContent>
          <mc:Choice Requires="wps">
            <w:drawing>
              <wp:anchor behindDoc="0" distT="7366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9"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information relating to the business, operations, earnings, cash flow, assets, liabilities and prospects of Standard BioTools, including certain financial forecasts, analyses and projections relating to Standard BioTools prepared by management of Standard BioTools and furnished to Centerview by Standard BioTools for purposes of Centerview’s analysis (the “Standard BioTools Forecasts” and, collectively, the “Standard BioTools Internal Data”); and </w:t>
      </w:r>
      <w:r>
        <mc:AlternateContent>
          <mc:Choice Requires="wps">
            <w:drawing>
              <wp:anchor behindDoc="0" distT="7366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0"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cost savings and operating synergies projected by the management of Standard BioTools to result from the Transaction furnished to Centerview by Standard BioTools for purposes of Centerview’s analysis (“Synergies”). </w:t>
      </w:r>
      <w:r>
        <mc:AlternateContent>
          <mc:Choice Requires="wps">
            <w:drawing>
              <wp:anchor behindDoc="0" distT="7366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1"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participated in discussions with members of the senior management and representatives of Standard BioTools and SomaLogic regarding their assessment of the SomaLogic Internal Data, the SomaLogic Forecasts, the Standard BioTools Internal Data (including the Standard BioTools Forecasts) and the Synergies, as appropriate, and the strategic rationale for the Transaction. In addition, Centerview reviewed publicly available financial and stock market data, including valuation multiples, for SomaLogic and Standard BioTools and compared that data with similar data for certain other companies, the securities of which are publicly traded, in lines of business that Centerview deemed relevant, and conducted such other financial studies and analyses and took into account such other information as Centerview deemed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Standard BioTools’ consent, Centerview relied upon such information as being complete and accurate. In that regard, Centerview assumed, at Standard BioTools’ direction, that SomaLogic’s internal data were reasonably prepared on bases reflecting the best currently available estimates and judgments of the management of SomaLogic as to the matters covered thereby, and that the SomaLogic Forecasts, the Standard BioTools Internal Data (including, without limitation, the Standard BioTools Forecasts) and the Synergies were reasonably prepared on bases reflecting the best currently available estimates and judgments of the management of Standard BioTools as to the matters covered thereby, and Centerview relied, at Standard BioTools’ direction, on the SomaLogic Internal Data, the SomaLogic Forecasts, the Standard BioTools Internal Data (including, without limitation, the Standard BioTools Forecasts) and the Synergies for purposes of Centerview’s analysis and opinion. Centerview expressed no view or opinion as to the SomaLogic Internal Data, the SomaLogic Forecasts, the Standard BioTools Internal Data (including, without limitation, the Standard BioTools Forecasts) or the Synergies or the assumptions on which any of them were based. In addition, at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SOCF"/>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direction, Centerview did not make any independent evaluation or appraisal of any of the assets or liabilities (contingent, derivative, off-balance-sheet or otherwise) of SomaLogic or Standard BioTools, nor was Centerview furnished with any such evaluation or appraisal, and was not asked to conduct, and did not conduct, a physical inspection of the properties or assets of SomaLogic or Standard BioTools. Centerview assumed, at Standard BioTools’ direction, that the final executed Merger Agreement would not differ in any respect material to Centerview’s analysis or opinion from the Draft Merger Agreement reviewed by Centerview. Centerview also assumed, at Standard BioTools’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further assumed, at Standard BioTools’ direction, that the Merger will qualify for U.S. federal income tax purposes as a reorganization within the meaning of Section 368(a) of the Code. Centerview did not evaluate and did not express any opinion as to the solvency or fair value of SomaLogic or Standard BioTools, or the ability of SomaLogic or Standard BioTools to pay their respective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Centerview’s opinion expressed no view as to, and did not address, Standard BioTools’ underlying business decision to proceed with or effect the Transaction, or the relative merits of the Transaction as compared to any alternative business strategies or transactions that might be available to Standard BioTools or in which Standard BioTools might engage. Centerview’s opinion was limited to and addressed only the fairness, from a financial point of view, as of the date of Centerview’s written opinion, to Standard BioTools of the Exchange Ratio provided for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Standard BioTools or any other party. In addition, Centerview expressed no view or opinion as to the fairness (financial or otherwise) of the amount, nature or any other aspect of any compensation to be paid or payable to any of the officers, directors or employees of Standard BioTools or any party, or class of such persons in connection with the Transaction, whether relative to the Exchange Ratio provided for pursuant to the Merger Agreement or otherwise. Centerview’s opinion related to the relative values of SomaLogic and Standard BioTools.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 written opinion. Centerview’s opinion does not constitute a recommendation to any stockholder of Standard BioTools or SomaLogic or any other person as to how such stockholder or other person should vote with respect to the Merger or otherwise act with respect to the Transaction or any other matter. Centerview’s financial advisory services and its written opinion were provided for the information and assistance of the Standard BioTools Board (in their capacity as directors and not in any other capacity) in connection with and for purposes of its consideration of the Transaction. The issuance of Centerview’s opinion was approved by the Centerview Partners LLC Fairness Opinion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Centerview Financial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and reviewed with the Standard BioTools Board in connection with Centerview’s opinion, dated October 4, 2023. </w:t>
      </w:r>
      <w:r>
        <w:rPr>
          <w:rFonts w:ascii="Times New Roman;Times;serif" w:hAnsi="Times New Roman;Times;serif"/>
          <w:b/>
          <w:i w:val="false"/>
          <w:caps w:val="false"/>
          <w:smallCaps w:val="false"/>
          <w:color w:val="000000"/>
          <w:spacing w:val="-4"/>
          <w:sz w:val="20"/>
        </w:rPr>
        <w:t xml:space="preserve">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various assumptions more or less probable than other assumptions, so the reference ranges resulting from any particular portion of the analyses summarized below should not be taken to be Centerview’s view of the actual value of SomaLogic or Standard BioTools.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Times;serif" w:hAnsi="Times New Roman;Times;serif"/>
          <w:b w:val="false"/>
          <w:i w:val="false"/>
          <w:caps w:val="false"/>
          <w:smallCaps w:val="false"/>
          <w:color w:val="000000"/>
          <w:spacing w:val="4"/>
          <w:sz w:val="20"/>
        </w:rPr>
        <w:t xml:space="preserve">In performing its analyses, Centerview made numerous assumptions with respect to industry performance, general business and economic conditions and other matters, many of which are beyond the control of SomaLogic, Standard BioTools or any other parties to the Transaction. None of SomaLogic, Standard BioTools,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SomaLogic or Standard BioTools do not purport to be appraisals or reflect the prices at which SomaLogic or Standard BioTools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October 3, 2023 (the last trading day before the public announcement of the Transaction) and is not necessarily indicative of current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Standalone Standard BioTools Financial Analysis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Comparable Public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Centerview reviewed and compared certain financial information, ratios and multiples for Standard BioTools to corresponding financial information, ratios and multiples for publicly traded companies that Centerview deemed comparable, based on its experience and professional judgment, to Standard BioTools. Centerview refers to these selected publicly traded companies in this “</w:t>
      </w:r>
      <w:r>
        <w:rPr>
          <w:rFonts w:ascii="Times New Roman;Times;serif" w:hAnsi="Times New Roman;Times;serif"/>
          <w:b w:val="false"/>
          <w:i/>
          <w:caps w:val="false"/>
          <w:smallCaps w:val="false"/>
          <w:color w:val="000000"/>
          <w:spacing w:val="4"/>
          <w:sz w:val="20"/>
        </w:rPr>
        <w:t>The Merger — Summary of Centerview Financial Analysis</w:t>
      </w:r>
      <w:r>
        <w:rPr>
          <w:rFonts w:ascii="Times New Roman;Times;serif" w:hAnsi="Times New Roman;Times;serif"/>
          <w:b w:val="false"/>
          <w:i w:val="false"/>
          <w:caps w:val="false"/>
          <w:smallCaps w:val="false"/>
          <w:color w:val="000000"/>
          <w:spacing w:val="4"/>
          <w:sz w:val="20"/>
        </w:rPr>
        <w:t xml:space="preserve">” section as the “selected comparable companies.” The selected comparable companies consisted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908 Devices Inc. </w:t>
      </w:r>
      <w:r>
        <mc:AlternateContent>
          <mc:Choice Requires="wps">
            <w:drawing>
              <wp:anchor behindDoc="0" distT="7620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2"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Akoya Biosciences, Inc.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3"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Cytek Biosciences, Inc.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4"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NanoString Technologies, Inc. </w:t>
      </w:r>
      <w:r>
        <mc:AlternateContent>
          <mc:Choice Requires="wps">
            <w:drawing>
              <wp:anchor behindDoc="0" distT="7620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5"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6"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Olink Holding AB (publ)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7"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8"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Quantum-Si Incorporated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9"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Seer, Inc.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0"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selected comparable companies is directly comparable to Standard BioTools, these companies were selected because, among other things, they are publicly traded companies in the life sciences tools industry with certain operational and financial characteristics, which, for purposes of its analyses, Centerview considered, based on its experience and professional judgment, to be similar to those of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obtained from SEC filings, publicly available Wall Street research, other publicly available information and closing stock prices as of October 3, 2023, as well as the Standard BioTools Forecasts, Centerview calculated, for each selected comparable company, and for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multiples including enterprise value (calculated as the market value of fully diluted common equity with outstanding options treated with the treasury stock method and convertible preferred shares treated on an as converted basis, plus the book value of debt, contingent consideration, legal settlement liabilities, financing leases and noncontrolling interests, less cash and cash equivalents including investments in marketable securities) as a multiple of 2024 calendar year estimated revenue (the “EV / revenue multiple”). The multiples for the selected comparable companies are shown below: </w:t>
      </w:r>
    </w:p>
    <w:tbl>
      <w:tblPr>
        <w:tblW w:w="5996" w:type="dxa"/>
        <w:jc w:val="left"/>
        <w:tblInd w:w="1393" w:type="dxa"/>
        <w:tblLayout w:type="fixed"/>
        <w:tblCellMar>
          <w:top w:w="0" w:type="dxa"/>
          <w:left w:w="0" w:type="dxa"/>
          <w:bottom w:w="50" w:type="dxa"/>
          <w:right w:w="0" w:type="dxa"/>
        </w:tblCellMar>
      </w:tblPr>
      <w:tblGrid>
        <w:gridCol w:w="3581"/>
        <w:gridCol w:w="109"/>
        <w:gridCol w:w="109"/>
        <w:gridCol w:w="121"/>
        <w:gridCol w:w="121"/>
        <w:gridCol w:w="589"/>
        <w:gridCol w:w="124"/>
        <w:gridCol w:w="109"/>
        <w:gridCol w:w="109"/>
        <w:gridCol w:w="111"/>
        <w:gridCol w:w="111"/>
        <w:gridCol w:w="537"/>
        <w:gridCol w:w="111"/>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3.9x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1.8x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experience and professional judgment, for purposes of its analysis, Centerview selected an EV / revenue multiple reference range of 1.5x to 3.5x (the “Standard BioTools EV / revenue multiple reference range”). Because none of the selected comparable companies is exactly the same as Standard BioTools, Centerview believed that it was inappropriate to, and therefore did not, rely solely on the quantitative results of the selected comparable companies analysis. Accordingly, in selecting this reference range, Centerview made qualitative judgments based on its experience and professional judgment concerning differences between the business, financial and operating characteristics and prospects of Standard BioTools and the selected comparable companies that could affect the public trading values, in order to provide a context within which to consider the results of its quantitative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applied the Standard BioTools EV / revenue multiple reference range to Standard BioTools’ calendar year 2024 estimated revenue, as set forth in the Standard BioTools Forecasts, to derive a range of implied enterprise values for Standard BioTools. Centerview added to the range of implied enterprise values the value of Standard BioTools’ net cash and cash equivalents as of August 31, 2023, as set forth in the Standard BioTools Internal Data, to derive a range of implied equity values for Standard BioTools. Centerview then divided these implied equity values by the number of fully-diluted shares of Standard BioTools Common Stock as of September 27, 2023, including Standard BioTools’ Series B preferred stock on an as-converted basis, as set forth in the Standard BioTools Internal Data, to derive a range of implied values per share of Standard BioTools Common Stock. The results of this analysis are summarized below: </w:t>
      </w:r>
    </w:p>
    <w:tbl>
      <w:tblPr>
        <w:tblW w:w="6096" w:type="dxa"/>
        <w:jc w:val="left"/>
        <w:tblInd w:w="1393" w:type="dxa"/>
        <w:tblLayout w:type="fixed"/>
        <w:tblCellMar>
          <w:top w:w="0" w:type="dxa"/>
          <w:left w:w="0" w:type="dxa"/>
          <w:bottom w:w="43" w:type="dxa"/>
          <w:right w:w="0" w:type="dxa"/>
        </w:tblCellMar>
      </w:tblPr>
      <w:tblGrid>
        <w:gridCol w:w="3581"/>
        <w:gridCol w:w="109"/>
        <w:gridCol w:w="109"/>
        <w:gridCol w:w="135"/>
        <w:gridCol w:w="281"/>
        <w:gridCol w:w="1592"/>
        <w:gridCol w:w="135"/>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3" w:type="dxa"/>
            <w:gridSpan w:val="4"/>
            <w:tcBorders>
              <w:bottom w:val="single" w:sz="2" w:space="0" w:color="000000"/>
            </w:tcBorders>
            <w:vAlign w:val="center"/>
          </w:tcPr>
          <w:p>
            <w:pPr>
              <w:pStyle w:val="TableContents"/>
              <w:bidi w:val="0"/>
              <w:spacing w:before="0" w:after="0"/>
              <w:jc w:val="center"/>
              <w:rPr/>
            </w:pPr>
            <w:r>
              <w:rPr>
                <w:spacing w:val="-3"/>
              </w:rPr>
              <w:t xml:space="preserve">Implied Standard </w:t>
            </w:r>
            <w:r>
              <w:rPr/>
              <w:br/>
            </w:r>
            <w:r>
              <w:rPr>
                <w:spacing w:val="-3"/>
              </w:rPr>
              <w:t xml:space="preserve">BioTools Share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592" w:type="dxa"/>
            <w:tcBorders/>
            <w:shd w:fill="CCEEFF" w:val="clear"/>
            <w:tcMar>
              <w:bottom w:w="0" w:type="dxa"/>
            </w:tcMar>
            <w:vAlign w:val="center"/>
          </w:tcPr>
          <w:p>
            <w:pPr>
              <w:pStyle w:val="TableContents"/>
              <w:bidi w:val="0"/>
              <w:spacing w:before="0" w:after="283"/>
              <w:jc w:val="right"/>
              <w:rPr/>
            </w:pPr>
            <w:r>
              <w:rPr/>
              <w:t>1.60 – $3.15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this range to the closing price of shares of Standard BioTools Common Stock on October 3, 2023 of $2.70.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performed a discounted cash flow analysis of Standard BioTools, which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Centerview calculated the estimated present value of the unlevered free cash flows of Standard BioTools reflected in the Standard BioTools Forecasts for the last four months ending December 31, 2023 and the years ending December 31, 2024 through December 31, 2033. The terminal value of Standard BioTools at the end of the forecast period was estimated by Centerview using an exit-based EV / adjusted EBITDA multiple of 18.0x to 22.0x as applied to adjusted EBITDA (excluding stock-based compensation) of Standard BioTools for the year ending December 31, 2033. The unlevered free cash flows (including the terminal value) of Standard BioTools during the forecast period were discounted to present value using discount rates ranging from 15.0% to 18.0%, with this range determined based on Centerview’s analysis of Standard BioTools’ weighted average cost of capital. Based on its discounted cash flow analysis, Centerview then calculated a range of implied enterprise values of Standard BioTools. When calculating this range, Centerview added Standard BioTools’ net cash and cash equivalents as of August 31, 2023, as set forth in the Standard BioTools Internal Data, to derive a range of implied equity values of Standard BioTools. Centerview then divided this range of implied equity values by the number of fully-diluted shares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Common Stock as of September 27, 2023, including Standard BioTools’ Series B preferred stock on an as-converted basis, as set forth in the Standard BioTools Internal Data, to derive a range of implied values per share of Standard BioTools Common Stock as of August 31, 2023 of $2.90 to $4.20. Centerview then compared the results of this analysis to the closing price of shares of Standard BioTools Common Stock on October 3, 2023 of $2.70.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Standalone Company Financial Analysis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Comparable Public Companies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reviewed and compared certain financial information, ratios and multiples for SomaLogic to corresponding financial information, ratios and multiples for the selected comparable companies listed above, which Centerview also deemed comparable, based on its experience and professional judgment, to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selected comparable companies is directly comparable to SomaLogic, these companies were selected because, among other things, they are publicly traded companies in the life sciences tools industry with certain operational and financial characteristics, which, for purposes of its analyses, Centerview considered, based on its experience and professional judgment, to be similar to those of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obtained from SEC filings, publicly available Wall Street research, other publicly available information and closing stock prices as of October 3, 2023, as well as the SomaLogic Forecasts, Centerview calculated, for each selected comparable company, and for SomaLogic, multiples including the EV / revenue multiple. The multiples for the selected comparable companies are shown below: </w:t>
      </w:r>
    </w:p>
    <w:tbl>
      <w:tblPr>
        <w:tblW w:w="5996" w:type="dxa"/>
        <w:jc w:val="left"/>
        <w:tblInd w:w="1393" w:type="dxa"/>
        <w:tblLayout w:type="fixed"/>
        <w:tblCellMar>
          <w:top w:w="0" w:type="dxa"/>
          <w:left w:w="0" w:type="dxa"/>
          <w:bottom w:w="50" w:type="dxa"/>
          <w:right w:w="0" w:type="dxa"/>
        </w:tblCellMar>
      </w:tblPr>
      <w:tblGrid>
        <w:gridCol w:w="3581"/>
        <w:gridCol w:w="109"/>
        <w:gridCol w:w="109"/>
        <w:gridCol w:w="121"/>
        <w:gridCol w:w="121"/>
        <w:gridCol w:w="589"/>
        <w:gridCol w:w="124"/>
        <w:gridCol w:w="109"/>
        <w:gridCol w:w="109"/>
        <w:gridCol w:w="111"/>
        <w:gridCol w:w="111"/>
        <w:gridCol w:w="537"/>
        <w:gridCol w:w="111"/>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3.9x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1.8x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experience and professional judgment, for purposes of its analysis, Centerview selected an EV / revenue multiple reference range of 0.0x to 2.0x (the “Company EV / revenue multiple reference range”). Because none of the selected comparable companies is exactly the same as SomaLogic, Centerview believed that it was inappropriate to, and therefore did not, rely solely on the quantitative results of the selected comparable companies analysis. Accordingly, in selecting these reference ranges, Centerview again made qualitative judgments based on its experience and professional judgment concerning differences between the business, financial and operating characteristics and prospects of SomaLogic and the selected comparable companies that could affect the public trading values, in order to provide a context within which to consider the results of its quantitative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applied the SomaLogic EV / revenue multiple reference range to SomaLogic’s calendar year 2024 estimated revenue, as set forth in the SomaLogic Forecasts, to derive a range of implied enterprise values for SomaLogic. Centerview added to the range of implied enterprise values the value of SomaLogic’s net cash and cash equivalents as of August 31, 2023, as set forth in the SomaLogic Internal Data, to derive a range of implied equity values for SomaLogic. Centerview then divided these implied equity values by the number of fully-diluted shares of SomaLogic Common Stock as of September 27, 2023, as set forth in the SomaLogic Internal Data, to derive a range of implied values per share of Company Common Stock. The results of this analysis are summarized below: </w:t>
      </w:r>
    </w:p>
    <w:tbl>
      <w:tblPr>
        <w:tblW w:w="5791" w:type="dxa"/>
        <w:jc w:val="left"/>
        <w:tblInd w:w="1393" w:type="dxa"/>
        <w:tblLayout w:type="fixed"/>
        <w:tblCellMar>
          <w:top w:w="0" w:type="dxa"/>
          <w:left w:w="0" w:type="dxa"/>
          <w:bottom w:w="43" w:type="dxa"/>
          <w:right w:w="0" w:type="dxa"/>
        </w:tblCellMar>
      </w:tblPr>
      <w:tblGrid>
        <w:gridCol w:w="3581"/>
        <w:gridCol w:w="109"/>
        <w:gridCol w:w="109"/>
        <w:gridCol w:w="116"/>
        <w:gridCol w:w="241"/>
        <w:gridCol w:w="1365"/>
        <w:gridCol w:w="116"/>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8" w:type="dxa"/>
            <w:gridSpan w:val="4"/>
            <w:tcBorders>
              <w:bottom w:val="single" w:sz="2" w:space="0" w:color="000000"/>
            </w:tcBorders>
            <w:vAlign w:val="center"/>
          </w:tcPr>
          <w:p>
            <w:pPr>
              <w:pStyle w:val="TableContents"/>
              <w:bidi w:val="0"/>
              <w:spacing w:before="0" w:after="0"/>
              <w:jc w:val="center"/>
              <w:rPr/>
            </w:pPr>
            <w:r>
              <w:rPr>
                <w:spacing w:val="-3"/>
              </w:rPr>
              <w:t xml:space="preserve">Implied Company </w:t>
            </w:r>
            <w:r>
              <w:rPr/>
              <w:br/>
            </w:r>
            <w:r>
              <w:rPr>
                <w:spacing w:val="-3"/>
              </w:rPr>
              <w:t xml:space="preserve">Share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65" w:type="dxa"/>
            <w:tcBorders/>
            <w:shd w:fill="CCEEFF" w:val="clear"/>
            <w:tcMar>
              <w:bottom w:w="0" w:type="dxa"/>
            </w:tcMar>
            <w:vAlign w:val="center"/>
          </w:tcPr>
          <w:p>
            <w:pPr>
              <w:pStyle w:val="TableContents"/>
              <w:bidi w:val="0"/>
              <w:spacing w:before="0" w:after="283"/>
              <w:jc w:val="right"/>
              <w:rPr/>
            </w:pPr>
            <w:r>
              <w:rPr/>
              <w:t>2.35 – $3.40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this range to the closing price of shares of Company Common Stock on October 3, 2023 of $2.30.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performed a discounted cash flow analysis of SomaLogic. In performing this analysis, Centerview calculated the estimated present value of the unlevered free cash flows of SomaLogic reflected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SomaLogic Forecasts for the last four months ending December 31, 2023 and the years ending December 31, 2024 through December 31, 2033. The terminal value of SomaLogic at the end of the forecast period was estimated by Centerview using an exit-based EV / adjusted EBITDA multiple of 18.0x to 22.0x as applied to adjusted EBITDA (excluding stock-based compensation) of Standard BioTools for the year ending December 31, 2033. The unlevered free cash flows (including the terminal value) of SomaLogic during the forecast period were discounted to present value using discount rates ranging from 15.0% to 18.0%, with this range determined based on Centerview’s analysis of SomaLogic’s weighted average cost of capital. Based on its discounted cash flow analysis, Centerview then calculated a range of implied enterprise values of SomaLogic. When calculating this range, Centerview added the value of SomaLogic’s net cash and cash equivalents as of August 31, 2023, as set forth in the SomaLogic Internal Data, to derive a range of implied equity values of SomaLogic. Centerview then divided this range of implied equity values by the number of fully-diluted shares of Company Common Stock as of September 27, 2023, as set forth in the SomaLogic Internal Data, to derive a range of implied values per share of Company Common Stock as of August 31, 2023 of $2.90 to $3.80. Centerview then compared the results of this analysis to the closing price of shares of Company Common Stock on October 3, 2023 of $2.30.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Relative Value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comparison of the range of implied equity values for each of Standard BioTools and SomaLogic calculated pursuant to the selected comparable public companies analyses and the discounted cash flow analyses described above, Centerview calculated ranges of implied exchange ratios for the Merger, excluding, in each case, transaction expenses and the impact of any synergies that may be realized as a result of the Transaction. With respect to any given range of exchange ratios, the higher ratio assumes the highest implied value per share of Company Common Stock divided by the lowest implied value per share of Standard BioTools Common Stock, and the lower ratio assumes the lowest implied value per share of Company Common Stock divided by the highest implied value per share of Standard BioTools Common Stock. </w:t>
      </w:r>
    </w:p>
    <w:tbl>
      <w:tblPr>
        <w:tblW w:w="8812" w:type="dxa"/>
        <w:jc w:val="left"/>
        <w:tblInd w:w="1393" w:type="dxa"/>
        <w:tblLayout w:type="fixed"/>
        <w:tblCellMar>
          <w:top w:w="0" w:type="dxa"/>
          <w:left w:w="0" w:type="dxa"/>
          <w:bottom w:w="50" w:type="dxa"/>
          <w:right w:w="0" w:type="dxa"/>
        </w:tblCellMar>
      </w:tblPr>
      <w:tblGrid>
        <w:gridCol w:w="6178"/>
        <w:gridCol w:w="109"/>
        <w:gridCol w:w="109"/>
        <w:gridCol w:w="147"/>
        <w:gridCol w:w="147"/>
        <w:gridCol w:w="1820"/>
        <w:gridCol w:w="147"/>
        <w:gridCol w:w="155"/>
      </w:tblGrid>
      <w:tr>
        <w:trPr/>
        <w:tc>
          <w:tcPr>
            <w:tcW w:w="6178" w:type="dxa"/>
            <w:tcBorders>
              <w:bottom w:val="single" w:sz="2" w:space="0" w:color="000000"/>
            </w:tcBorders>
            <w:vAlign w:val="center"/>
          </w:tcPr>
          <w:p>
            <w:pPr>
              <w:pStyle w:val="TableContents"/>
              <w:bidi w:val="0"/>
              <w:spacing w:before="0" w:after="0"/>
              <w:jc w:val="left"/>
              <w:rPr>
                <w:spacing w:val="-3"/>
              </w:rPr>
            </w:pPr>
            <w:r>
              <w:rPr>
                <w:spacing w:val="-3"/>
              </w:rPr>
              <w:t xml:space="preserve">Valuation 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Exchange Ratio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78" w:type="dxa"/>
            <w:tcBorders/>
            <w:shd w:fill="CCEEFF" w:val="clear"/>
            <w:tcMar>
              <w:bottom w:w="0" w:type="dxa"/>
            </w:tcMar>
            <w:vAlign w:val="center"/>
          </w:tcPr>
          <w:p>
            <w:pPr>
              <w:pStyle w:val="TableContents"/>
              <w:bidi w:val="0"/>
              <w:spacing w:before="0" w:after="0"/>
              <w:jc w:val="left"/>
              <w:rPr>
                <w:spacing w:val="4"/>
              </w:rPr>
            </w:pPr>
            <w:r>
              <w:rPr>
                <w:spacing w:val="4"/>
              </w:rPr>
              <w:t xml:space="preserve">Selected Trading Comparables (Enterprise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820" w:type="dxa"/>
            <w:tcBorders/>
            <w:shd w:fill="CCEEFF" w:val="clear"/>
            <w:tcMar>
              <w:bottom w:w="0" w:type="dxa"/>
            </w:tcMar>
            <w:vAlign w:val="center"/>
          </w:tcPr>
          <w:p>
            <w:pPr>
              <w:pStyle w:val="TableContents"/>
              <w:bidi w:val="0"/>
              <w:spacing w:before="0" w:after="283"/>
              <w:jc w:val="right"/>
              <w:rPr/>
            </w:pPr>
            <w:r>
              <w:rPr/>
              <w:t>0.76x – 2.12x</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178" w:type="dxa"/>
            <w:tcBorders/>
            <w:tcMar>
              <w:bottom w:w="0" w:type="dxa"/>
            </w:tcMar>
            <w:vAlign w:val="center"/>
          </w:tcPr>
          <w:p>
            <w:pPr>
              <w:pStyle w:val="TableContents"/>
              <w:bidi w:val="0"/>
              <w:spacing w:before="0" w:after="0"/>
              <w:jc w:val="left"/>
              <w:rPr>
                <w:spacing w:val="4"/>
              </w:rPr>
            </w:pPr>
            <w:r>
              <w:rPr>
                <w:spacing w:val="4"/>
              </w:rPr>
              <w:t xml:space="preserve">Discounted Cash Flow Analysis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820" w:type="dxa"/>
            <w:tcBorders/>
            <w:tcMar>
              <w:bottom w:w="0" w:type="dxa"/>
            </w:tcMar>
            <w:vAlign w:val="center"/>
          </w:tcPr>
          <w:p>
            <w:pPr>
              <w:pStyle w:val="TableContents"/>
              <w:bidi w:val="0"/>
              <w:spacing w:before="0" w:after="283"/>
              <w:jc w:val="right"/>
              <w:rPr/>
            </w:pPr>
            <w:r>
              <w:rPr/>
              <w:t>0.68x – 1.32x</w:t>
            </w:r>
          </w:p>
        </w:tc>
        <w:tc>
          <w:tcPr>
            <w:tcW w:w="14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the implied ranges of exchange ratios set forth above to the Exchange Ratio of 1.11 shares of Standard BioTools Common Stock per share of Company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Creation — 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compared the implied stand-alone equity value of Standard BioTools to the pro forma equity value of Standard BioTools after giving effect to the merger, including the Synergies (in each case based on its discounted cash flow analyses, using the midpoints of its ranges of discount rates and exit multiples, of Standard BioTools and SomaLogic and of the Synergies), from the perspective of the holders of Standard BioTools common stock. In performing this analysis, Centerview calculated the implied equity value of Standard BioTools on a pro forma basis, giving effect to the merger and the Synergies and adjusted to reflect estimated transaction costs of $15 million. This analysis resulted in an implied equity value for the combined company on a pro forma basis of approximately $1,657 million. Centerview then multiplied this implied pro forma equity value by 43.2%, representing the Standard BioTools stockholders’ pro forma ownership of the combined company, to imply a pro forma equity value attributable to the Standard BioTools stockholders of approximately $716 million. Centerview compared this implied value to the equity value implied by its discounted cash flow analysis of Standard BioTools, on a standalone basis and using the midpoints of its ranges of discount rates and exit multiples, of $570 million.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Other Factors</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noted for the Standard BioTools Board certain additional factors solely for reference and informational purposes only, including, among other things, an analysis of the historical stock prices of Standard BioTools and SomaLogic, an illustrative value creation analysis based on market trading and a precedent premia analysis.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Historical Stock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reviewed the stock price performance of shares of Standard BioTools Common Stock for the 52-week period prior to October 3, 2023 and noted that the range of low and high closing prices during this period was $0.95 to $3.05, as compared to the closing price of shares of Standard BioTools Common Stock on October 3, 2023 of $2.70. Centerview also noted that historical trading price analysis is not a valuation methodology and that such analysis was presented for reference purposes only and not as a component of Centerview’s fairness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reviewed the stock price performance of shares of Company Common Stock for the 52-week period prior to October 3, 2023. Centerview noted that the range of low and high closing prices of shares of Company Common Stock during the prior 52-week period was $2.00 to $3.60, as compared to the closing price of shares of Company Common Stock on October 3, 2023 of $2.30. Centerview also noted that historical trading price analysis is not a valuation methodology and that such analysis was presented for reference purposes only and not as a component of Centerview’s fairness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Value Creation — Trading Based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compared the implied stand-alone equity value of Standard BioTools to the pro forma equity value of Standard BioTools after giving effect to the mergers, including the Synergies, based on the current market capitalization of Standard BioTools and SomaLogic and its discounted cash flow analysis of the Synergies, using the midpoints of its range of discount rates and exit multiples, from the perspective of the holders of Standard BioTools common stock. In performing this illustrative analysis, Centerview calculated the implied enterprise value of the combined company on a pro forma basis, giving effect to the mergers and the Synergies and adjusted to reflect estimated transaction costs of $15 million. This analysis resulted in an implied equity value for the combined company on a pro forma assumed basis of approximately $1,329 million. Centerview then multiplied this implied pro forma equity value by 43.2%, representing the Standard BioTools stockholders’ pro forma ownership of the combined company, to imply a pro forma equity value attributable to the Standard BioTools stockholders of approximately $574 million. Centerview compared this implied value to the equity value implied by the market capitalization of Standard BioTools of $439 million on October 3, 2023. Centerview noted that such analysis was presented for reference purposes only and not as a component of Centerview’s fairness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Precedent Premia Paid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performed an analysis of premiums paid in 47 selected transactions, each with a transaction value of less than $1 billion, providing for a pro forma target ownership between 40% and 60% and a stock consideration great than or equal to 80% (excluding transactions in the real estate industry). The premiums in this analysis were calculated by comparing the per share acquisition price in each transaction to the unaffected price of the target company’s stock. Based on this analysis, Centerview determined that 25% of the transactions involved a premium of less than 8%, 25% of the transactions involved a premium of more than 27% and 10% of the transactions involved a premium of more than 48%. The median of the transactions involved a premium of 16%. Centerview then compared these results with the premium paid in the Transaction of 30% based on SomaLogic’s stock price as of October 3, 2023 and 23% based on the volume weighted average price of SomaLogic’s stock for the 90 days ended October 3, 2023. Centerview noted that precedent premia paid analysis is not a valuation methodology and that such analysis was presented for reference purposes only and not as a component of Centerview’s fairness analyses.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Centerview’s financial analyses and opinion were only one of many factors taken into consideration by the Standard BioTools Board in its evaluation of the Transaction. Consequently, the analyses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SOCS"/>
      <w:bookmarkEnd w:id="1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should not be viewed as determinative of the views of the board of directors or management of Standard BioTools with respect to the Exchange Ratio or as to whether the Standard BioTools Board would have been willing to determine that different consideration (including a different exchange ratio) was fair. The Exchange Ratio was determined through arm’s-length negotiations between SomaLogic and Standard BioTools and was approved by the Standard BioTools Board. Centerview provided advice to Standard BioTools during these negotiations. Centerview did not, however recommend any specific amount of consideration (including any specific exchange ratio) to Standard BioTools or the Standard BioTools Board or that any specific amount of consideration (including any specific exchange ratio)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current engagement by Standard BioTools, Centerview had not been engaged to provide financial advisory or other services to Standard BioTools, and Centerview did not receive any compensation from Standard BioTools during that period. In the two years prior to the date of its written opinion, Centerview was engaged to provide financial advisory services to Casdin Capital, LLC (a significant stockholder of Standard BioTools) and Viking Global Investors LP (a significant stockholder of Standard BioTools), including in connection with their strategic investment in Fluidigm Corporation in 2022, and Centerview received compensation of less than $5 million from Casdin Capital, LLC and Viking Global Investors LP for such services. In the two years prior to the date of its written opinion, Centerview had not been engaged to provide financial advisory or other services to SomaLogic, and Centerview did not receive any compensation from SomaLogic during such period. Centerview may provide investment banking and other services to or with respect to Standard BioTools, SomaLogic, Casdin Capital, LLC and Viking Global Investors LP or their respective affiliates, including portfolio companies of Casdin Capital, LLC and Viking Global Investors LP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Standard BioTools, SomaLogic, Casdin Capital, LLC and Viking Global Investors LP or any of their respective affiliates, including portfolio companies of Casdin Capital, LLC and Viking Global Investors LP, or any other party that may be involved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selected Centerview as its financial advisor in connection with the Transaction based on Centerview’s reputation and experience. Centerview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Centerview’s services as the financial advisor to the Standard BioTools Board, Standard BioTools has agreed to pay Centerview an aggregate fee of $9,500,000, $1,500,000 of which was payable upon the rendering of Centerview’s opinion and $8,000,000 of which is payable contingent upon consummation of the Transaction. In addition, Standard BioTools has agreed to reimburse certain of Centerview’s expenses arising, and to indemnify Centerview against certain liabilities that may arise, out of Centerview’s engagement.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Certain Standard BioTools Management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Standard BioTools has publicly issued limited short-term guidance concerning certain aspects of its expected financial performance, Standard BioTools does not as a matter of course publicly disclose financial projections or forecasts as to future performance, revenues, earnings or other results given, among other things, the unpredictability, uncertainty and subjectivity of the underlying assumptions and estimates inherent in preparing financial projections and forecasts. However, in connection with the transactions contemplated by the Merger Agreement, Standard BioTools’ management prepared and made available to the Standard BioTools Board and SomaLogic in connection with their respective evaluations of the Merger as described herein, and to Standard BioTools’ and SomaLogic’s respective financial advisors in connection with their respective financial analyses and opinions, certain unaudited prospective financial information concerning each of Standard BioTools and SomaLogic on a standalone basis, without giving effect to the Merger, set forth in this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prospective financial information included in this document has been prepared by, and is the responsibility of, Standard BioTools management. Standard BioTools’ and SomaLogic’s respective independent registered public accountants have not audited, reviewed, examined, compiled or performed any other assurance procedures, or expressed any form of assurance with respect to such accompanying unaudited prospective financial information, and accordingly do not express any opinion or any other form of assurance with respect thereto. The reports of the independent registered public accounting firms incorporated by reference in this joint proxy statement/prospectus relate to Standard BioTools’ and SomaLogic’s previously issued financial statements and do not extend to any prospective financial information and should not be read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unaudited prospective financial information concerning Standard BioTools and SomaLogic (other than the combined company synergy estimates) set forth below was developed under the assumption of continued standalone operation and did not give effect to any changes or expenses as a result of the Merger or any other effects of the Merger or any impact should the Merger fail to be consummated. Such unaudited prospective financial information is not being included in this joint proxy statement/prospectus to influence the voting decision of any Standard BioTools stockholder or SomaLogic stockholder with respect to the Merger, but instead because such unaudited prospective financial information, in whole or in part, was provided, or formed the basis of what was provided, to the Standard BioTools Board, SomaLogic and Standard BioTools’ and SomaLogic’s respective financial advisors in connection with their evaluation of Merger as described herein. The inclusion of such unaudited prospective financial information does not constitute an admission or representation that the information is material. The inclusion of such unaudited prospective financial information should not be regarded as an indication that Standard BioTools and/or its affiliates, officers, directors, advisors or other representatives or SomaLogic and/or its affiliates, officers, directors, advisors or other representatives consider such information to be necessarily predictive of actual future events and such information should not be relied upon as such. None of Standard BioTools and/or its affiliates, officers, directors, advisors or other representatives or SomaLogic and/or its affiliates, officers, directors, advisors or other representatives gives any stockholder of Standard BioTools, SomaLogic or any other person any assurance that actual results will not differ materially from such unaudited prospective financial information. </w:t>
      </w:r>
      <w:r>
        <w:rPr>
          <w:rFonts w:ascii="Times New Roman;Times;serif" w:hAnsi="Times New Roman;Times;serif"/>
          <w:b/>
          <w:i w:val="false"/>
          <w:caps w:val="false"/>
          <w:smallCaps w:val="false"/>
          <w:color w:val="000000"/>
          <w:spacing w:val="-4"/>
          <w:sz w:val="20"/>
        </w:rPr>
        <w:t>In particular, the unaudited prospective financial information set forth below should not be relied upon as public guidance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note that the unaudited prospective financial information set forth below constitute forward-looking statements. Please see the section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xml:space="preserve"> of this joint proxy statement/prospectus for more information. You should also note that such information was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this section entitled “— </w:t>
      </w:r>
      <w:r>
        <w:rPr>
          <w:rFonts w:ascii="Times New Roman;Times;serif" w:hAnsi="Times New Roman;Times;serif"/>
          <w:b w:val="false"/>
          <w:i/>
          <w:caps w:val="false"/>
          <w:smallCaps w:val="false"/>
          <w:color w:val="000000"/>
          <w:spacing w:val="4"/>
          <w:sz w:val="20"/>
        </w:rPr>
        <w:t>Summary of Certain Standard BioTools Management Unaudited Prospective Financial Information</w:t>
      </w:r>
      <w:r>
        <w:rPr>
          <w:rFonts w:ascii="Times New Roman;Times;serif" w:hAnsi="Times New Roman;Times;serif"/>
          <w:b w:val="false"/>
          <w:i w:val="false"/>
          <w:caps w:val="false"/>
          <w:smallCaps w:val="false"/>
          <w:color w:val="000000"/>
          <w:spacing w:val="4"/>
          <w:sz w:val="20"/>
        </w:rPr>
        <w:t xml:space="preserve">” was prepared utilizing Standard BioTools’ historical internal accounting policies and forecast approach and does not give effect to the adoption of any new accounting pronouncements.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measures included in the unaudited prospective financial information set forth below may be considered non-GAAP financial measures. Non-GAAP financial measures should not be considered in isolation from, or as a substitute for, financial information presented in compliance with GAAP, and non-GAAP financial measures as used by Standard BioTools and SomaLogic may not be comparable to similarly titled amounts used by other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Financial measures provided to a financial advisor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provided to Centerview for purposes of its financial analysis as described above in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or to the Standard BioTools Board in connection with its consideration of the Merger. Accordingly, Standard BioTools has not provided a reconciliation of the non-GAAP financial measures included in the unaudited prospective financial information set forth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internally prepared unaudited prospective financial information set forth below was based on estimates, assumptions and judgments made by Standard BioTools management at the time of its preparation and speaks only as of such times. Such unaudited prospective financial information does not take into account any circumstances, transactions or events occurring after the date on which it was prepared. Some or all of the assumptions underlying such information may have changed since the date such information was prepared.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NOT UPDATED AND DOES NOT INTEND TO UPDATE OR OTHERWISE REVISE THE UNAUDITED PROSPECTIVE FINANCIAL INFORMATION SET FORTH BELOW TO REFLECT CIRCUMSTANCES EXISTING AFTER THE DATE WHEN MADE OR TO REFLECT THE OCCURRENCE OF FUTURE EVENTS, EVEN IN THE EVENT THAT ANY OR ALL OF THE ASSUMPTIONS UNDERLYING SUCH INFORMATION ARE NO LONGER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unaudited prospective financial information set forth below should not be relied upon as necessarily indicative of actual future results, and readers of this joint proxy statement/prospectus are cautioned not to place undue reliance on such unaudited prospective financial information. In particular, the unaudited prospective financial information set forth below should not be relied upon as public guidance</w:t>
      </w:r>
      <w:r>
        <w:rPr>
          <w:rFonts w:ascii="Times New Roman;Times;serif" w:hAnsi="Times New Roman;Times;serif"/>
          <w:b w:val="false"/>
          <w:i w:val="false"/>
          <w:caps w:val="false"/>
          <w:smallCaps w:val="false"/>
          <w:color w:val="000000"/>
          <w:spacing w:val="4"/>
          <w:sz w:val="20"/>
        </w:rPr>
        <w:t xml:space="preserve">. Furthermore, since such unaudited prospective financial information covers multiple years, such information by its nature becomes less predictive with each successive year. Although such unaudited prospective financial information set forth below is presented with numerical specificity, such unaudited prospective financial information reflects assumptions, estimates and judgments that are inherently uncertain and, although considered reasonable by Standard BioTools management as of the date of their use in preparing such unaudited prospective financial information, are subject to significant business, economic and competitive risks and uncertainties that could cause actual results to differ materially from those contained in such unaudited prospective financial information, including, among others, risks and uncertainties due to general business, economic, regulatory, market and financial conditions, as well as changes in Standard BioTools’ or SomaLogic’s respective businesses, financial condition or results of operations, and other risks. In addition, such unaudited prospective financial information may be affected by Standard BioTools’ and SomaLogic’s ability to achieve strategic goals, objectives and targets over the applicable period. Accordingly, there can be no assurance that such unaudited prospective financial information below will be realized.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Standard BioTools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table presents summary selected unaudited prospective financial information for Standard BioTools prepared by Standard BioTools management for the calendar years 2023 through 2028 and extrapolated by Standard BioTools management for the calendar years 2029 through 2033, in connection with Standard BioTools’ evaluation of the Merger (the “Standard BioTools Management Standard BioTools Projections”). The Standard BioTools Management Standard BioTools Projections were presented to the Standard BioTools Board for the purposes of considering and evaluating the Merger and were shared with Standard BioTools’ financial advisor for purposes of its financial analysis and opinion (see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tbl>
      <w:tblPr>
        <w:tblW w:w="14863" w:type="dxa"/>
        <w:jc w:val="left"/>
        <w:tblInd w:w="54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09"/>
        <w:gridCol w:w="109"/>
        <w:gridCol w:w="94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90" w:type="dxa"/>
            <w:gridSpan w:val="6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Calendar Year Ending on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4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Terminal</w:t>
            </w:r>
            <w:r>
              <w:rPr/>
              <w:t xml:space="preserve"> </w:t>
              <w:br/>
            </w:r>
            <w:r>
              <w:rPr>
                <w:spacing w:val="-3"/>
              </w:rPr>
              <w:t>Year</w:t>
            </w:r>
            <w:r>
              <w:rPr/>
              <w:t xml:space="preserve"> </w:t>
              <w:br/>
            </w:r>
            <w:r>
              <w:rPr>
                <w:spacing w:val="-3"/>
              </w:rPr>
              <w:t xml:space="preserve">(NTM)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4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552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607</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153</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Dollars in millions. </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as presented herein, is a non-GAAP financial measure that reflects earnings before </w:t>
      </w:r>
      <w:r>
        <mc:AlternateContent>
          <mc:Choice Requires="wps">
            <w:drawing>
              <wp:anchor behindDoc="0" distT="66040" distB="0" distL="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31"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taxes, depreciation and amortization and excludes stock-based compensation expense and, solely in the case of calendar year 2023, restructuring expenses, transaction expenses and other one-time expenses.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earnings before interest and taxes, less tax expense, plus depreciation, less capital expenditures, less stock-based compensation expense, less changes in working capital and other adjustments to exclude certain non-cash items. </w:t>
      </w:r>
      <w:r>
        <mc:AlternateContent>
          <mc:Choice Requires="wps">
            <w:drawing>
              <wp:anchor behindDoc="0" distT="50800" distB="0" distL="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332"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Adjusted SomaLogic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Standard BioTools’ consideration of the Merger, Standard BioTools management also generated an adjusted set of SomaLogic projections for the calendar years 2023 through 2033, which are presented in the table below (the “Standard BioTools Management Adjusted SomaLogic Projections”). The Standard BioTools Management Adjusted SomaLogic Projections were based on certain financial information provided to Standard BioTools management by SomaLogic for the calendar years 2023 through 2027, which Standard BioTools management then adjusted to reflect Standard BioTools management’s view of SomaLogic’s potential performance, including its own assumptions regarding the growth potential of certain SomaLogic business lines, including with respect to SomaLogic’s partnership with Illumina, Inc., and SomaLogic’s gross margin expansion potential, operating expenses and stock-based compensation expense. Standard BioTools management then extrapolated these adjusted projections for the calendar years 2028 through 2033.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Management Adjusted SomaLogic Projections were presented to the Standard BioTools Board for the purposes of considering and evaluating the Merger and were shared with Standard BioTools’ financial advisor for purposes of its financial analysis and opinion (see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tbl>
      <w:tblPr>
        <w:tblW w:w="15013" w:type="dxa"/>
        <w:jc w:val="left"/>
        <w:tblInd w:w="543" w:type="dxa"/>
        <w:tblLayout w:type="fixed"/>
        <w:tblCellMar>
          <w:top w:w="0" w:type="dxa"/>
          <w:left w:w="0" w:type="dxa"/>
          <w:bottom w:w="28" w:type="dxa"/>
          <w:right w:w="0" w:type="dxa"/>
        </w:tblCellMar>
      </w:tblPr>
      <w:tblGrid>
        <w:gridCol w:w="1143"/>
        <w:gridCol w:w="109"/>
        <w:gridCol w:w="109"/>
        <w:gridCol w:w="109"/>
        <w:gridCol w:w="226"/>
        <w:gridCol w:w="541"/>
        <w:gridCol w:w="109"/>
        <w:gridCol w:w="109"/>
        <w:gridCol w:w="109"/>
        <w:gridCol w:w="109"/>
        <w:gridCol w:w="226"/>
        <w:gridCol w:w="541"/>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09"/>
        <w:gridCol w:w="109"/>
        <w:gridCol w:w="94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0" w:type="dxa"/>
            <w:gridSpan w:val="6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Calendar Year Ending on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4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Terminal</w:t>
            </w:r>
            <w:r>
              <w:rPr/>
              <w:t xml:space="preserve"> </w:t>
              <w:br/>
            </w:r>
            <w:r>
              <w:rPr>
                <w:spacing w:val="-3"/>
              </w:rPr>
              <w:t>Year</w:t>
            </w:r>
            <w:r>
              <w:rPr/>
              <w:t xml:space="preserve"> </w:t>
              <w:br/>
            </w:r>
            <w:r>
              <w:rPr>
                <w:spacing w:val="-3"/>
              </w:rPr>
              <w:t xml:space="preserve">(NTM)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4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418</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137</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Dollars in millions. </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as presented herein, is a non-GAAP financial measure that reflects earnings before interest, taxes, depreciation and amortization and excludes stock-based compensation expense and, solely in the case of calendar year 2023, restructuring expenses, transaction expenses and other one-time expenses. </w:t>
      </w:r>
      <w:r>
        <mc:AlternateContent>
          <mc:Choice Requires="wps">
            <w:drawing>
              <wp:anchor behindDoc="0" distT="52070" distB="0" distL="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333"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earnings before interest and taxes, less tax expense, plus depreciation, less capital expenditures, less stock-based compensation expense, less changes in working capital and other adjustments to exclude certain non-cash items. </w:t>
      </w:r>
      <w:r>
        <mc:AlternateContent>
          <mc:Choice Requires="wps">
            <w:drawing>
              <wp:anchor behindDoc="0" distT="52070" distB="0" distL="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right"/>
                <wp:docPr id="334"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Combined Company Synergy Estimates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Standard BioTools’ consideration of the Merger, Standard BioTools management provided to the Standard BioTools Board, for the purposes of considering and evaluating the Merger, and to Centerview, for use in connection with rendering the opinion described below and performing its related financial analyses, an estimation of projected synergies of approximately $51 million to be realized by the combined company annually by calendar year 2027, assuming an illustrative transaction close of December 31, 2023. Such projected synergies are comprised of (i) approximately $45 million in cost synergies estimated to result from the Merger and (ii) an additional approximately $6 million of EBITDA (earnings before interest, taxes, depreciation and amortization) of the combined company resulting from approximately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OOSF1"/>
      <w:bookmarkEnd w:id="105"/>
      <w:r>
        <w:rPr>
          <w:rFonts w:ascii="calibri;arial;sans-serif" w:hAnsi="calibri;arial;sans-serif"/>
          <w:b w:val="false"/>
          <w:i w:val="false"/>
          <w:caps w:val="false"/>
          <w:smallCaps w:val="false"/>
          <w:color w:val="000000"/>
          <w:sz w:val="16"/>
        </w:rPr>
        <w:t>​</w:t>
      </w:r>
      <w:bookmarkStart w:id="106" w:name="tINT"/>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million of revenue synergies in each case estimated to be realized by the combined company. Standard BioTools’ management then further extrapolated such projected synergies to 2033. An additional approximately $27 million in cost reductions by calendar year 2026, resulting from SomaLogic’s previously announced expense reduction initiatives that will continue to be implemented by the combined company, were not included in such projected synergies, as such cost reductions were already reflected in the Standard BioTools Management Adjusted SomaLogic Projections. Based on estimated combined company expenses for calendar year 2023 (calculated using an annual run rate based on expenses incurred by Standard BioTools and SomaLogic through June 30, 2023) and projected combined company expenses for calendar year 2026, Standard BioTools management estimates projected synergies of approximately $80 million to be realized by the combined company annually by calendar year 2026 (inclusive of the approximately $27 million in cost reductions described above). The foregoing projected synergies (i) are calculated based on an estimated annualized run-rate of Standard BioTools and SomaLogic operating expenses as of June 30, 2023 compared with projected operating expenses of the combined company through calendar year 2026 and (ii) exclude non-cash, restructuring-related and other non-recurring costs for each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projected synergies were prepared by Standard BioTools management in good faith, constitute forward-looking information, and are based on numerous estimates and assumptions and are generally based on information and market factors known to Standard BioTools management at the time of preparation. Such projected synergies will be affected by the combined company’s ability to achieve cost-saving goals, objectives and targets over the applicable period. As a result, there can be no assurance that the underlying assumptions are correct or that such projected synergies will be realized, and actual synergies likely will differ, and may differ materially, from those reflected in such projected synergies.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SomaLogic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retained PWP to act as SomaLogic’s financial advisor and provide an opinion in connection with the Merger. The SomaLogic Board instructed PWP to evaluate the fairness, from a financial point of view, to the holders of outstanding shares of SomaLogic Common Stock (other than Standard BioTools, Casdin Capital, LLC (“Casdin”) and each of their respective affiliates) (collectively, the “Unaffiliated Stockholders”) of the Merger consideration to be received by the Unaffiliated Stockholders pursuant to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at a meeting of the SomaLogic Board held to evaluate the Merger, PWP delivered an oral opinion to the effect that, as of such date and based upon and subject to the assumptions made, procedures followed, factors considered and qualifications and limitations on the review undertaken by PWP, as set forth in the written opinion delivered subsequently and based upon other matters as PWP considered relevant, the Merger consideration to be received by the Unaffiliated Stockholders in the Merger pursuant to the Merger Agreement was fair, from a financial point of view, to the Unaffiliated Stockholders. PWP delivered its written opinion on October 4, 2023 to the SomaLogic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PWP opinion speaks only as of the date and the time PWP rendered it and not as of the time the Merger may be completed or any other time. The PWP opinion does not reflect changes that may occur or may have occurred after its delivery, which could significantly alter the value, facts or elements on which the opinion was based.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PWP’s written opinion, which describes, among other things, the assumptions made, procedures followed, factors considered and qualifications and limitations on the review PWP undertook, is attached as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to this joint proxy statement/prospectus and is incorporated by reference in its entirety. The summary of PWP’s opinion set forth in this joint proxy statement/prospectus is qualified in its entirety by reference to the full text of the opinion. SomaLogic stockholders are encouraged to read the PWP opinion carefully in its entirety. PWP delivered its opinion for the information and assistance of the SomaLogic Board in connection with the SomaLogic Board’s consideration of the Merger, and PWP’s opinion does not address any other aspect of the Merger Agreement and does not constitute a recommendation as to how any stockholder of SomaLogic or Standard BioTools should vote with respect to the Merger or any other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PWP,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statements and other publicly available business and financial information with respect to SomaLogic and Standard BioTools, including equity research analyst reports; </w:t>
      </w:r>
      <w:r>
        <mc:AlternateContent>
          <mc:Choice Requires="wps">
            <w:drawing>
              <wp:anchor behindDoc="0" distT="7874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statements, analyses and forecasts (the “SomaLogic Forecasts”) and other internal financial information and operating data relating to the business of SomaLogic, in each case, prepared and approved for PWP’s use by SomaLogic management; </w:t>
      </w:r>
      <w:r>
        <mc:AlternateContent>
          <mc:Choice Requires="wps">
            <w:drawing>
              <wp:anchor behindDoc="0" distT="7874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statements, analyses and forecasts (the “Standard BioTools Forecasts”) and other internal financial information and operating data relating to the business of Standard BioTools, in each case, prepared and approved for PWP’s use by SomaLogic management; </w:t>
      </w:r>
      <w:r>
        <mc:AlternateContent>
          <mc:Choice Requires="wps">
            <w:drawing>
              <wp:anchor behindDoc="0" distT="7874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SomaLogic and the combined company with senior members of SomaLogic management, the SomaLogic Board, and other representatives and advisors of SomaLogic; </w:t>
      </w:r>
      <w:r>
        <mc:AlternateContent>
          <mc:Choice Requires="wps">
            <w:drawing>
              <wp:anchor behindDoc="0" distT="7874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8"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Standard BioTools and the combined company with senior members of SomaLogic and Standard BioTools management, the SomaLogic Board, and other representatives and advisors of SomaLogic and Standard BioTools; </w:t>
      </w:r>
      <w:r>
        <mc:AlternateContent>
          <mc:Choice Requires="wps">
            <w:drawing>
              <wp:anchor behindDoc="0" distT="7874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9"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senior members of SomaLogic management and the SomaLogic Board their assessment of the strategic rationale for, and the potential benefits of, the Merger; </w:t>
      </w:r>
      <w:r>
        <mc:AlternateContent>
          <mc:Choice Requires="wps">
            <w:drawing>
              <wp:anchor behindDoc="0" distT="7874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0"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SomaLogic with that of certain publicly-traded companies that PWP believed to be generally relevant; </w:t>
      </w:r>
      <w:r>
        <mc:AlternateContent>
          <mc:Choice Requires="wps">
            <w:drawing>
              <wp:anchor behindDoc="0" distT="7874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1"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trading prices and trading activity for SomaLogic Common Stock and compared such price and trading activity with that of securities of certain publicly-traded companies that PWP believed to be generally relevant; </w:t>
      </w:r>
      <w:r>
        <mc:AlternateContent>
          <mc:Choice Requires="wps">
            <w:drawing>
              <wp:anchor behindDoc="0" distT="7874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2"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discussions among representatives of SomaLogic and Standard BioTools and their respective advisors; </w:t>
      </w:r>
      <w:r>
        <mc:AlternateContent>
          <mc:Choice Requires="wps">
            <w:drawing>
              <wp:anchor behindDoc="0" distT="7747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3"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October 1, 2023; and </w:t>
      </w:r>
      <w:r>
        <mc:AlternateContent>
          <mc:Choice Requires="wps">
            <w:drawing>
              <wp:anchor behindDoc="0" distT="7747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4"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and considered such other factors, as it deemed appropriate. </w:t>
      </w:r>
      <w:r>
        <mc:AlternateContent>
          <mc:Choice Requires="wps">
            <w:drawing>
              <wp:anchor behindDoc="0" distT="7747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5"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its opinion, PWP assumed and relied upon, without assuming any responsibility for independent verification, the accuracy and completeness of all of the financial, accounting, legal, tax, regulatory and other information provided to, discussed with or reviewed by PWP (including information that was available from public sources) and further relied upon the assurances of SomaLogic management that SomaLogic management was not aware of any facts or circumstances that would make such information inaccurate or misleading in any material respect.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SomaLogic Forecasts, PWP was advised by SomaLogic management and assumed, with the consent of the SomaLogic Board, that such forecasts were reasonably prepared on a basis reflecting the best currently available estimates and good faith judgments of SomaLogic management as to the future financial performance of SomaLogic and the other matters covered thereby, and PWP expressed no view as to the reasonableness of such forecasts or the assumptions on which they were based. In particular, the forecasts prepared and approved for the use of PWP by SomaLogic management reflect certain assumptions regarding the industries or areas in which SomaLogic operates that are subject to significant uncertainty and that, if different than assumed, could have a material impact on PWP’s analysis and opinion. With respect to the Standard BioTools Forecasts, PWP was advised by Standard BioTools management and assumed, with the consent of the SomaLogic Board, that such forecasts were reasonably prepared on a basis reflecting the best currently available estimates and good faith judgments of Standard BioTools management as to the future financial performance of Standard BioTools and the other matters covered thereby, and PWP expressed no view as to the reasonableness of such forecasts or the assumptions on which they were 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PWP did not make and was not provided with any independent valuation or appraisal of the assets or liabilities (including any tax, contingent, derivative or off-balance-sheet assets or liabilities) of SomaLogic, Standard BioTools or any of their respective subsidiaries. PWP did not assume any obligation to conduct, nor did it conduct, any physical inspection of the properties or facilities of SomaLogic, Standard BioTools or any other party. In addition, PWP did not evaluate the solvency of any party to the Merger Agreement, or the impact of the Merger thereon, including under any applicable laws relating to bankruptcy, insolvency or similar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assumed that the final Merger Agreement (together with the exhibits and schedules thereto) would not differ from the draft of the Merger Agreement dated October 1, 2023 that was reviewed by it in any respect material to the analysis or opinion of PWP. PWP also assumed that (1) the representations and warranties of all parties to the Merger Agreement and all other related documents and instruments that are referred to therein were true and correct in all respects material to PWP’s analysis and opinion, (2) each party to the Merger Agreement and such other related documents and instruments would fully and timely perform all of the covenants and agreements required to be performed by such party in all respects material to PWP’s analysis and opinion, and (3) the Merger would be consummated in a timely manner in accordance with the terms set forth in the Merger Agreement and such other related documents and instruments, without any modification, amendment, waiver or delay that would be material to the analysis or opinion of PWP. In addition, PWP assumed that in connection with the receipt of all approvals and consents required in connection with the Merger, no delays, limitations, conditions or restrictions would be imposed that would be material to its analysis or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PWP’s opinion was necessarily based on economic, monetary, market and other conditions in effect on, and the information made available to PWP as of, October 4, 2023. PWP assumed no obligation to update, revise or reaffirm its opinion and expressly disclaimed any responsibility to do so based on circumstances, developments or events occurring, or of which PWP becomes aware, after the date on which its opinion was rendered.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contained in PWP’s analysis and the results from any particular analysis are not necessarily indicative of future results, which may be significantly more or less favorable than suggested by any analysis. In addition, analyses relating to the value of businesses or assets neither purport to be appraisals nor do they necessarily reflect the prices at which businesses or assets may actually be sold. Accordingly, PWP’s analysis and estimates are inherently subject to substantial uncertainty.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PWP did not attribute any particular weight to any particular analysis or factor considered by it, but rather made qualitative judgments as to the significance and relevance of each analysis and factor. PWP employed several analytical methodologies in its analyses, and no one single method of analysis should be regarded as dispositive of PWP’s overall conclusion. Each analytical technique has inherent strengths and weaknesses, and the nature of the available information may further affect the value of particular techniques. Accordingly, PWP believes that its analyses must be considered as a whole and that selecting portions of its analyses and of the factors considered by it, without considering all analyses and all factors in their entirety, could create a misleading or incomplete view of the evaluation process underlying its opinion. PWP’s conclusion, therefore, is based upon the application of PWP’s own experience and judgment to all analyses and factors considered by it, taken as a whole. PWP’s opinion was reviewed and approved by its fairness opinion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PWP’s opinion addressed only the fairness, from a financial point of view, as of October 4, 2023, to the Unaffiliated Stockholders of the Merger consideration to be received by the Unaffiliated Stockholders in the Merger pursuant to the Merger Agreement. PWP was not asked to, nor did it, offer any opinion as to any other term of the Merger Agreement or any other document contemplated by or entered into in connection with the Merger Agreement, the form or structure of the Merger or the likely timeframe in which the Merger would be consummated. In addition, PWP expressed no opinion as to the fairness of the amount or nature of any compensation to be received by any officers, directors or employees of any party to the Merger Agreement, or any class of such persons, whether relative to the Merger consideration or otherwise. PWP expressed no opinion as to the fairness of the Merger to the holders of any other class of securities, creditors or other constituencies of SomaLogic, as to the underlying decision by SomaLogic to engage in the Merger or as to the relative merits of the Merger compared with any alternative transactions or business strategies. Nor did PWP express any opinion as to any tax or other consequences that may result from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SOPA"/>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contemplated by the Merger Agreement or any other related document. PWP’s opinion did not address any legal, tax, regulatory or accounting matters, as to which PWP understood SomaLogic had received such advice as it deemed necessary from qualified professionals.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data and analyses summarized below in this joint proxy statement/prospectus are from PWP’s presentation to the SomaLogic Board delivered on October 4, 2023. The analyses summarized below include information presented in tabular format. To fully understand the financial analyses performed, the tables must be considered together with the textual summary of the analyses and full text of PWP’s written opinion, which is included as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PWP’s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PWP and reviewed by the SomaLogic Board in connection with PWP’s opinion and does not purport to be a complete description of the financial analyses performed by PWP. The order of analyses described below does not represent the relative importance or weight given to those analyses by PWP. Some of the summaries of the financial analyses include information presented in tabular format. In order to fully understand PWP’s financial analyses, these tables must be read together with the text of each summary. These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PWP’s financial analyses. Future results may differ from those described and such differences may be material.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performed a selected publicly-traded companies analysis, which is a method of deriving an implied value range for a company’s equity securities based on a review of publicly-traded companies selected by PWP as being generally deemed relevant for comparative purposes. PWP reviewed and compared certain financial information for SomaLogic and Standard BioTools to corresponding financial information, financial market multiples and ratios of the following publicly-traded companies: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w:t>
      </w:r>
      <w:r>
        <mc:AlternateContent>
          <mc:Choice Requires="wps">
            <w:drawing>
              <wp:anchor behindDoc="0" distT="7874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6"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Cytek Biosciences, Inc. </w:t>
      </w:r>
      <w:r>
        <mc:AlternateContent>
          <mc:Choice Requires="wps">
            <w:drawing>
              <wp:anchor behindDoc="0" distT="7874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7"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Olink Holding AB </w:t>
      </w:r>
      <w:r>
        <mc:AlternateContent>
          <mc:Choice Requires="wps">
            <w:drawing>
              <wp:anchor behindDoc="0" distT="7874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8"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r>
        <mc:AlternateContent>
          <mc:Choice Requires="wps">
            <w:drawing>
              <wp:anchor behindDoc="0" distT="7874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9"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Twist Bioscience Corporation </w:t>
      </w:r>
      <w:r>
        <mc:AlternateContent>
          <mc:Choice Requires="wps">
            <w:drawing>
              <wp:anchor behindDoc="0" distT="7874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0"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Akoya Biosciences, Inc. </w:t>
      </w:r>
      <w:r>
        <mc:AlternateContent>
          <mc:Choice Requires="wps">
            <w:drawing>
              <wp:anchor behindDoc="0" distT="7874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1"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908 Devices Inc. </w:t>
      </w:r>
      <w:r>
        <mc:AlternateContent>
          <mc:Choice Requires="wps">
            <w:drawing>
              <wp:anchor behindDoc="0" distT="7747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2"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Seer, Inc. </w:t>
      </w:r>
      <w:r>
        <mc:AlternateContent>
          <mc:Choice Requires="wps">
            <w:drawing>
              <wp:anchor behindDoc="0" distT="7747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3"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Quantum-Si Incorporated </w:t>
      </w:r>
      <w:r>
        <mc:AlternateContent>
          <mc:Choice Requires="wps">
            <w:drawing>
              <wp:anchor behindDoc="0" distT="7747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above companies is identical to SomaLogic or Standard BioTools, PWP selected these companies because they had publicly-traded equity securities and were deemed by PWP to be similar to SomaLogic and Standard BioTools in one or more respects, including operating in the life sciences tools industry. In selecting these companies, PWP considered various factors, including the similarity of the lines of business to SomaLogic’s and Standard BioTools’ lines of business, as well as the scale, profitability and cash flow profiles, business models, technology, service offerings and end-market exposure of such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SomaLogic, Standard BioTools and the selected publicly-traded companies, PWP reviewed such company’s enterprise value (referred to as “EV”) as of October 2, 2023, as a multiple of estimated revenue for (i) the calendar year ending 2023 (“2023E Revenue”) and (ii) for the calendar year ending 2024 (“2024E Revenue”). For each of the selected companies, PWP calculated and compared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financial market multiples and ratios based on company filings for historical information and consensus third-party research estimates for forecasted information.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the multiples resulting from this analysis: </w:t>
      </w:r>
    </w:p>
    <w:tbl>
      <w:tblPr>
        <w:tblW w:w="6322" w:type="dxa"/>
        <w:jc w:val="left"/>
        <w:tblInd w:w="1393" w:type="dxa"/>
        <w:tblLayout w:type="fixed"/>
        <w:tblCellMar>
          <w:top w:w="0" w:type="dxa"/>
          <w:left w:w="0" w:type="dxa"/>
          <w:bottom w:w="28" w:type="dxa"/>
          <w:right w:w="0" w:type="dxa"/>
        </w:tblCellMar>
      </w:tblPr>
      <w:tblGrid>
        <w:gridCol w:w="3168"/>
        <w:gridCol w:w="109"/>
        <w:gridCol w:w="109"/>
        <w:gridCol w:w="124"/>
        <w:gridCol w:w="124"/>
        <w:gridCol w:w="910"/>
        <w:gridCol w:w="124"/>
        <w:gridCol w:w="109"/>
        <w:gridCol w:w="109"/>
        <w:gridCol w:w="124"/>
        <w:gridCol w:w="124"/>
        <w:gridCol w:w="910"/>
        <w:gridCol w:w="124"/>
        <w:gridCol w:w="154"/>
      </w:tblGrid>
      <w:tr>
        <w:trPr/>
        <w:tc>
          <w:tcPr>
            <w:tcW w:w="3168"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3"/>
              </w:rPr>
              <w:t>EV / 2023E</w:t>
            </w:r>
            <w:r>
              <w:rPr/>
              <w:t xml:space="preserve"> </w:t>
              <w:br/>
            </w:r>
            <w:r>
              <w:rPr>
                <w:spacing w:val="-3"/>
              </w:rPr>
              <w:t xml:space="preserve">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3"/>
              </w:rPr>
              <w:t>EV / 2024E</w:t>
            </w:r>
            <w:r>
              <w:rPr/>
              <w:t xml:space="preserve"> </w:t>
              <w:br/>
            </w:r>
            <w:r>
              <w:rPr>
                <w:spacing w:val="-3"/>
              </w:rPr>
              <w:t xml:space="preserve">Revenue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pPr>
            <w:r>
              <w:rPr>
                <w:spacing w:val="4"/>
              </w:rPr>
              <w:t>Nautilus Biotechnology, Inc.</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N/A</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11.0x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Cytek Biosciences,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2.3x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1.7x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Olink Holding AB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8.2x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6.2x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pPr>
            <w:r>
              <w:rPr>
                <w:spacing w:val="4"/>
              </w:rPr>
              <w:t>Quanterix Corporation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6.4x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5.7x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pPr>
            <w:r>
              <w:rPr>
                <w:spacing w:val="4"/>
              </w:rPr>
              <w:t>Twist Bioscience Corporation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Akoya Biosciences,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2.0x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1.6x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908 Devices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Seer,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(14.5x)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(10.2x)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pPr>
            <w:r>
              <w:rPr>
                <w:spacing w:val="4"/>
              </w:rPr>
              <w:t>Quantum-Si Incorporated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(53.4x)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(12.4x)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is pre-revenue in 2023. </w:t>
      </w:r>
      <w:r>
        <mc:AlternateContent>
          <mc:Choice Requires="wps">
            <w:drawing>
              <wp:anchor behindDoc="0" distT="10668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5"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analysis of the relevant metrics described above and on professional judgments made by PWP, PWP selected and applied a range of multiples of (i) 1.0x to 2.5x to EV / 2023E Revenue for SomaLogic using the SomaLogic Forecasts, (ii) 0.5x to 2.0x to EV / 2024E Revenue for SomaLogic using the SomaLogic Forecasts, (iii) 2.5x to 6.5x to EV / 2023E Revenue for Standard BioTools using the Standard BioTools Forecasts and (iv) 2.0x to 6.0x to EV/ 2024E Revenue for Standard BioTools using the Standard BioTools Forecasts. From these analyses, for each of SomaLogic and Standard BioTools, PWP derived ranges of implied equity values from the enterprise values by adding cash and other investments and subtracting debt, net non-operating liabilities and convertible preferred stock (for Standard BioTools). PWP calculated implied values per share by dividing the implied equity values by the applicable diluted shares (based upon the number of issued and outstanding shares and other equity interests in each case provided by the managements of SomaLogic and Standard BioTools, as applicable, and using the treasury method for calculation of option dilution). The ranges of implied values per share derived from these calculations are summarized in the following table: </w:t>
      </w:r>
    </w:p>
    <w:tbl>
      <w:tblPr>
        <w:tblW w:w="8812" w:type="dxa"/>
        <w:jc w:val="left"/>
        <w:tblInd w:w="1393" w:type="dxa"/>
        <w:tblLayout w:type="fixed"/>
        <w:tblCellMar>
          <w:top w:w="0" w:type="dxa"/>
          <w:left w:w="0" w:type="dxa"/>
          <w:bottom w:w="28" w:type="dxa"/>
          <w:right w:w="0" w:type="dxa"/>
        </w:tblCellMar>
      </w:tblPr>
      <w:tblGrid>
        <w:gridCol w:w="4991"/>
        <w:gridCol w:w="109"/>
        <w:gridCol w:w="109"/>
        <w:gridCol w:w="109"/>
        <w:gridCol w:w="226"/>
        <w:gridCol w:w="1171"/>
        <w:gridCol w:w="109"/>
        <w:gridCol w:w="109"/>
        <w:gridCol w:w="109"/>
        <w:gridCol w:w="109"/>
        <w:gridCol w:w="226"/>
        <w:gridCol w:w="1171"/>
        <w:gridCol w:w="109"/>
        <w:gridCol w:w="155"/>
      </w:tblGrid>
      <w:tr>
        <w:trPr/>
        <w:tc>
          <w:tcPr>
            <w:tcW w:w="49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Share Price</w:t>
            </w:r>
            <w:r>
              <w:rPr/>
              <w:t xml:space="preserve"> </w:t>
              <w:br/>
            </w:r>
            <w:r>
              <w:rPr>
                <w:spacing w:val="-3"/>
              </w:rPr>
              <w:t>(based on</w:t>
            </w:r>
            <w:r>
              <w:rPr/>
              <w:t xml:space="preserve"> </w:t>
              <w:br/>
            </w:r>
            <w:r>
              <w:rPr>
                <w:spacing w:val="-3"/>
              </w:rPr>
              <w:t>SomaLogic</w:t>
            </w:r>
            <w:r>
              <w:rPr/>
              <w:t xml:space="preserve"> </w:t>
              <w:br/>
            </w:r>
            <w:r>
              <w:rPr>
                <w:spacing w:val="-3"/>
              </w:rPr>
              <w:t>Forecasts)</w:t>
            </w:r>
            <w:r>
              <w:rPr/>
              <w:t xml:space="preserve"> </w:t>
              <w:br/>
            </w:r>
            <w:r>
              <w:rPr>
                <w:spacing w:val="-3"/>
              </w:rPr>
              <w:t xml:space="preserve">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Share Price</w:t>
            </w:r>
            <w:r>
              <w:rPr/>
              <w:t xml:space="preserve"> </w:t>
              <w:br/>
            </w:r>
            <w:r>
              <w:rPr>
                <w:spacing w:val="-3"/>
              </w:rPr>
              <w:t>(based on</w:t>
            </w:r>
            <w:r>
              <w:rPr/>
              <w:t xml:space="preserve"> </w:t>
              <w:br/>
            </w:r>
            <w:r>
              <w:rPr>
                <w:spacing w:val="-3"/>
              </w:rPr>
              <w:t>Standard</w:t>
            </w:r>
            <w:r>
              <w:rPr/>
              <w:t xml:space="preserve"> </w:t>
              <w:br/>
            </w:r>
            <w:r>
              <w:rPr>
                <w:spacing w:val="-3"/>
              </w:rPr>
              <w:t>BioTools</w:t>
            </w:r>
            <w:r>
              <w:rPr/>
              <w:t xml:space="preserve"> </w:t>
              <w:br/>
            </w:r>
            <w:r>
              <w:rPr>
                <w:spacing w:val="-3"/>
              </w:rPr>
              <w:t>Forecasts)</w:t>
            </w:r>
            <w:r>
              <w:rPr/>
              <w:t xml:space="preserve"> </w:t>
              <w:br/>
            </w:r>
            <w:r>
              <w:rPr>
                <w:spacing w:val="-3"/>
              </w:rPr>
              <w:t xml:space="preserve">Range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9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(using EV / 2023E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2.81 – $3.45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0.97 – $4.55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91" w:type="dxa"/>
            <w:tcBorders/>
            <w:tcMar>
              <w:bottom w:w="0" w:type="dxa"/>
            </w:tcMar>
            <w:vAlign w:val="center"/>
          </w:tcPr>
          <w:p>
            <w:pPr>
              <w:pStyle w:val="TableContents"/>
              <w:bidi w:val="0"/>
              <w:spacing w:before="0" w:after="0"/>
              <w:jc w:val="left"/>
              <w:rPr>
                <w:spacing w:val="4"/>
              </w:rPr>
            </w:pPr>
            <w:r>
              <w:rPr>
                <w:spacing w:val="4"/>
              </w:rPr>
              <w:t xml:space="preserve">Implied Value Range Per Share (using EV / 2024E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2.65 – $3.45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0.77 – $4.85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then calculated the exchange ratio ranges implied by the selected publicly-traded companies analysis. For each of the foregoing analyses, PWP calculated (i) the ratio of the highest implied value per share for SomaLogic derived from the selected publicly-traded companies analysis to the lowest implied value per share for Standard BioTools derived from the selected publicly-traded companies analysis and (ii) the ratio of the lowest implied value per share for SomaLogic derived from the selected publicly-traded companies analysis to the highest implied value per share for Standard BioTools derived from the selected publicly-traded companies analysis to calculate the following implied exchange ratio ranges: </w:t>
      </w:r>
    </w:p>
    <w:tbl>
      <w:tblPr>
        <w:tblW w:w="4848" w:type="dxa"/>
        <w:jc w:val="left"/>
        <w:tblInd w:w="1393" w:type="dxa"/>
        <w:tblLayout w:type="fixed"/>
        <w:tblCellMar>
          <w:top w:w="0" w:type="dxa"/>
          <w:left w:w="0" w:type="dxa"/>
          <w:bottom w:w="28" w:type="dxa"/>
          <w:right w:w="0" w:type="dxa"/>
        </w:tblCellMar>
      </w:tblPr>
      <w:tblGrid>
        <w:gridCol w:w="2273"/>
        <w:gridCol w:w="109"/>
        <w:gridCol w:w="109"/>
        <w:gridCol w:w="109"/>
        <w:gridCol w:w="109"/>
        <w:gridCol w:w="1876"/>
        <w:gridCol w:w="109"/>
        <w:gridCol w:w="154"/>
      </w:tblGrid>
      <w:tr>
        <w:trPr/>
        <w:tc>
          <w:tcPr>
            <w:tcW w:w="2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73" w:type="dxa"/>
            <w:tcBorders/>
            <w:shd w:fill="CCEEFF" w:val="clear"/>
            <w:tcMar>
              <w:bottom w:w="0" w:type="dxa"/>
            </w:tcMar>
            <w:vAlign w:val="center"/>
          </w:tcPr>
          <w:p>
            <w:pPr>
              <w:pStyle w:val="TableContents"/>
              <w:bidi w:val="0"/>
              <w:spacing w:before="0" w:after="0"/>
              <w:jc w:val="left"/>
              <w:rPr>
                <w:spacing w:val="4"/>
              </w:rPr>
            </w:pPr>
            <w:r>
              <w:rPr>
                <w:spacing w:val="4"/>
              </w:rPr>
              <w:t xml:space="preserve">EV / 2023E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76" w:type="dxa"/>
            <w:tcBorders/>
            <w:shd w:fill="CCEEFF" w:val="clear"/>
            <w:tcMar>
              <w:bottom w:w="0" w:type="dxa"/>
            </w:tcMar>
            <w:vAlign w:val="center"/>
          </w:tcPr>
          <w:p>
            <w:pPr>
              <w:pStyle w:val="TableContents"/>
              <w:bidi w:val="0"/>
              <w:spacing w:before="0" w:after="283"/>
              <w:jc w:val="right"/>
              <w:rPr/>
            </w:pPr>
            <w:r>
              <w:rPr/>
              <w:t>0.6182x – 3.5616x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73" w:type="dxa"/>
            <w:tcBorders/>
            <w:tcMar>
              <w:bottom w:w="0" w:type="dxa"/>
            </w:tcMar>
            <w:vAlign w:val="center"/>
          </w:tcPr>
          <w:p>
            <w:pPr>
              <w:pStyle w:val="TableContents"/>
              <w:bidi w:val="0"/>
              <w:spacing w:before="0" w:after="0"/>
              <w:jc w:val="left"/>
              <w:rPr>
                <w:spacing w:val="4"/>
              </w:rPr>
            </w:pPr>
            <w:r>
              <w:rPr>
                <w:spacing w:val="4"/>
              </w:rPr>
              <w:t xml:space="preserve">EV / 2024E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76" w:type="dxa"/>
            <w:tcBorders/>
            <w:tcMar>
              <w:bottom w:w="0" w:type="dxa"/>
            </w:tcMar>
            <w:vAlign w:val="center"/>
          </w:tcPr>
          <w:p>
            <w:pPr>
              <w:pStyle w:val="TableContents"/>
              <w:bidi w:val="0"/>
              <w:spacing w:before="0" w:after="283"/>
              <w:jc w:val="right"/>
              <w:rPr/>
            </w:pPr>
            <w:r>
              <w:rPr/>
              <w:t>0.5459x – 4.4675x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compared these exchange ratio ranges to the Exchange Ratio of 1.1100 shares of Standard BioTools Common Stock to be received for each share of SomaLogic Common Stock as provided for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selected publicly-traded companies were used for comparison purposes, no business of any selected company was either identical or directly comparable to SomaLogic’s or Standard BioTools’ business. PWP’s comparison of selected publicly-traded companies to SomaLogic and Standard BioTools and analysis of the results of such comparisons were not purely mathematical, but instead necessarily involved complex considerations and judgments concerning differences in financial and operating characteristics and other factors that could affect the relative values of the selected publicly-traded companies in such transactions and of the merger and was based on PWP’s experience working with companies on various merger and acquisition transactions.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SomaLogic and Standard BioTools, PWP performed a discounted cash flow analysis, which is a method of deriving an implied value range for a company’s equity securities based on the sum of the company’s unlevered free cash flows over a forecast period and the terminal value at the end of the forecast period. In connection with this analysis, PWP used the SomaLogic Forecasts for SomaLogic, and the Standard BioTools Forecasts for Standard BioTools. In performing this analysis, PWP: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the present value of the estimated standalone unlevered free cash flows (calculated as net operating profit after tax, plus depreciation and amortization, minus capital expenditures, and adjusting for changes in net working capital and certain other cash flow items set forth in the SomaLogic Forecasts and Standard BioTools Forecasts) that each of SomaLogic and Standard BioTools was forecasted to generate for 2023E through 2033E using discount rates ranging from 12.5% to 13.5% for Standard BioTools and 14.75% to 18.25% for SomaLogic, in each case based on estimates of the weighted average cost of capital of each company; and </w:t>
      </w:r>
      <w:r>
        <mc:AlternateContent>
          <mc:Choice Requires="wps">
            <w:drawing>
              <wp:anchor behindDoc="0" distT="7747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terminal values of each of Standard BioTools and SomaLogic using perpetuity growth rates ranging from 2.5% to 3.5% for Standard BioTools and 4.0% to 5.0% for SomaLogic and the same discount rates for each of Standard BioTools as set forth above. </w:t>
      </w:r>
      <w:r>
        <mc:AlternateContent>
          <mc:Choice Requires="wps">
            <w:drawing>
              <wp:anchor behindDoc="0" distT="7747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ranges of implied enterprise values generated by the foregoing analysis, for each of Standard BioTools and SomaLogic, PWP derived ranges of implied equity values by adding cash and other investments and subtracting debt, net non-operating liabilities and convertible preferred stock (for Standard BioTools). PWP calculated implied values per share by dividing the implied equity values by the applicable diluted shares (based upon the number of issued and outstanding shares and other equity interests in each case provided by the managements of SomaLogic and Standard BioTools, as applicable, and using the treasury method for calculation of option dilution). The ranges of implied values per share derived from these calculations are summarized in the following table: </w:t>
      </w:r>
    </w:p>
    <w:tbl>
      <w:tblPr>
        <w:tblW w:w="7291" w:type="dxa"/>
        <w:jc w:val="left"/>
        <w:tblInd w:w="1393" w:type="dxa"/>
        <w:tblLayout w:type="fixed"/>
        <w:tblCellMar>
          <w:top w:w="0" w:type="dxa"/>
          <w:left w:w="0" w:type="dxa"/>
          <w:bottom w:w="28" w:type="dxa"/>
          <w:right w:w="0" w:type="dxa"/>
        </w:tblCellMar>
      </w:tblPr>
      <w:tblGrid>
        <w:gridCol w:w="3261"/>
        <w:gridCol w:w="109"/>
        <w:gridCol w:w="109"/>
        <w:gridCol w:w="109"/>
        <w:gridCol w:w="226"/>
        <w:gridCol w:w="1276"/>
        <w:gridCol w:w="109"/>
        <w:gridCol w:w="109"/>
        <w:gridCol w:w="109"/>
        <w:gridCol w:w="109"/>
        <w:gridCol w:w="226"/>
        <w:gridCol w:w="1276"/>
        <w:gridCol w:w="109"/>
        <w:gridCol w:w="154"/>
      </w:tblGrid>
      <w:tr>
        <w:trPr/>
        <w:tc>
          <w:tcPr>
            <w:tcW w:w="32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Share Price</w:t>
            </w:r>
            <w:r>
              <w:rPr/>
              <w:t xml:space="preserve"> </w:t>
              <w:br/>
            </w:r>
            <w:r>
              <w:rPr>
                <w:spacing w:val="-3"/>
              </w:rPr>
              <w:t>(based on</w:t>
            </w:r>
            <w:r>
              <w:rPr/>
              <w:t xml:space="preserve"> </w:t>
              <w:br/>
            </w:r>
            <w:r>
              <w:rPr>
                <w:spacing w:val="-3"/>
              </w:rPr>
              <w:t>SomaLogic</w:t>
            </w:r>
            <w:r>
              <w:rPr/>
              <w:t xml:space="preserve"> </w:t>
              <w:br/>
            </w:r>
            <w:r>
              <w:rPr>
                <w:spacing w:val="-3"/>
              </w:rPr>
              <w:t>Forecasts)</w:t>
            </w:r>
            <w:r>
              <w:rPr/>
              <w:t xml:space="preserve"> </w:t>
              <w:br/>
            </w:r>
            <w:r>
              <w:rPr>
                <w:spacing w:val="-3"/>
              </w:rPr>
              <w:t xml:space="preserve">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Share Price</w:t>
            </w:r>
            <w:r>
              <w:rPr/>
              <w:t xml:space="preserve"> </w:t>
              <w:br/>
            </w:r>
            <w:r>
              <w:rPr>
                <w:spacing w:val="-3"/>
              </w:rPr>
              <w:t>(based on</w:t>
            </w:r>
            <w:r>
              <w:rPr/>
              <w:t xml:space="preserve"> </w:t>
              <w:br/>
            </w:r>
            <w:r>
              <w:rPr>
                <w:spacing w:val="-3"/>
              </w:rPr>
              <w:t>Standard</w:t>
            </w:r>
            <w:r>
              <w:rPr/>
              <w:t xml:space="preserve"> </w:t>
              <w:br/>
            </w:r>
            <w:r>
              <w:rPr>
                <w:spacing w:val="-3"/>
              </w:rPr>
              <w:t>BioTools</w:t>
            </w:r>
            <w:r>
              <w:rPr/>
              <w:t xml:space="preserve"> </w:t>
              <w:br/>
            </w:r>
            <w:r>
              <w:rPr>
                <w:spacing w:val="-3"/>
              </w:rPr>
              <w:t>Forecasts)</w:t>
            </w:r>
            <w:r>
              <w:rPr/>
              <w:t xml:space="preserve"> </w:t>
              <w:br/>
            </w:r>
            <w:r>
              <w:rPr>
                <w:spacing w:val="-3"/>
              </w:rPr>
              <w:t xml:space="preserve">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6" w:type="dxa"/>
            <w:tcBorders/>
            <w:shd w:fill="CCEEFF" w:val="clear"/>
            <w:tcMar>
              <w:bottom w:w="0" w:type="dxa"/>
            </w:tcMar>
            <w:vAlign w:val="center"/>
          </w:tcPr>
          <w:p>
            <w:pPr>
              <w:pStyle w:val="TableContents"/>
              <w:bidi w:val="0"/>
              <w:spacing w:before="0" w:after="283"/>
              <w:jc w:val="right"/>
              <w:rPr/>
            </w:pPr>
            <w:r>
              <w:rPr/>
              <w:t>2.59 – $3.49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6" w:type="dxa"/>
            <w:tcBorders/>
            <w:shd w:fill="CCEEFF" w:val="clear"/>
            <w:tcMar>
              <w:bottom w:w="0" w:type="dxa"/>
            </w:tcMar>
            <w:vAlign w:val="center"/>
          </w:tcPr>
          <w:p>
            <w:pPr>
              <w:pStyle w:val="TableContents"/>
              <w:bidi w:val="0"/>
              <w:spacing w:before="0" w:after="283"/>
              <w:jc w:val="right"/>
              <w:rPr/>
            </w:pPr>
            <w:r>
              <w:rPr/>
              <w:t>3.60 – $4.43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then calculated the exchange ratio ranges implied by the discounted cash flow analysis. For each of the foregoing analyses, PWP calculated (i) the ratio of the highest implied value per share for SomaLogic derived from the discounted cash flow analysis to the lowest implied value per share for Standard BioTools derived from the discounted cash flow analysis and (ii) the ratio of the lowest implied value per share for SomaLogic derived from the discounted cash flow analysis to the highest implied value per share for Standard BioTools derived from the discounted cash flow to calculate the following implied exchange ratio ranges: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66" w:type="dxa"/>
        <w:jc w:val="left"/>
        <w:tblInd w:w="1393" w:type="dxa"/>
        <w:tblLayout w:type="fixed"/>
        <w:tblCellMar>
          <w:top w:w="0" w:type="dxa"/>
          <w:left w:w="0" w:type="dxa"/>
          <w:bottom w:w="28" w:type="dxa"/>
          <w:right w:w="0" w:type="dxa"/>
        </w:tblCellMar>
      </w:tblPr>
      <w:tblGrid>
        <w:gridCol w:w="5291"/>
        <w:gridCol w:w="109"/>
        <w:gridCol w:w="109"/>
        <w:gridCol w:w="109"/>
        <w:gridCol w:w="109"/>
        <w:gridCol w:w="1876"/>
        <w:gridCol w:w="109"/>
        <w:gridCol w:w="154"/>
      </w:tblGrid>
      <w:tr>
        <w:trPr/>
        <w:tc>
          <w:tcPr>
            <w:tcW w:w="52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Exchange </w:t>
            </w:r>
            <w:r>
              <w:rPr/>
              <w:br/>
            </w:r>
            <w:r>
              <w:rPr>
                <w:spacing w:val="-3"/>
              </w:rPr>
              <w:t xml:space="preserve">Ratio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9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BioTools Forecasts / SomaLogic Forecasts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76" w:type="dxa"/>
            <w:tcBorders/>
            <w:shd w:fill="CCEEFF" w:val="clear"/>
            <w:tcMar>
              <w:bottom w:w="0" w:type="dxa"/>
            </w:tcMar>
            <w:vAlign w:val="center"/>
          </w:tcPr>
          <w:p>
            <w:pPr>
              <w:pStyle w:val="TableContents"/>
              <w:bidi w:val="0"/>
              <w:spacing w:before="0" w:after="283"/>
              <w:jc w:val="right"/>
              <w:rPr/>
            </w:pPr>
            <w:r>
              <w:rPr/>
              <w:t>0.5855x – 0.9683x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2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compared these exchange ratio ranges to the Exchange Ratio of 1.1100 shares of Standard BioTools Common Stock to be received for each share of SomaLogic Common Stock as provided for in the Merger Agreement. </w:t>
      </w:r>
    </w:p>
    <w:p>
      <w:pPr>
        <w:pStyle w:val="TextBody"/>
        <w:bidi w:val="0"/>
        <w:spacing w:lineRule="atLeast" w:line="240" w:before="22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Financial Analyses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Historical Share Price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reviewed the share price performance of SomaLogic and Standard BioTools during various periods, including the 52-week and the 30-day periods, each ending on October 2, 2023. PWP noted that the ranges of intraday low and high trading prices of SomaLogic Common Stock and Standard BioTools Common Stock during each respective period were as follows: </w:t>
      </w:r>
    </w:p>
    <w:tbl>
      <w:tblPr>
        <w:tblW w:w="6529" w:type="dxa"/>
        <w:jc w:val="left"/>
        <w:tblInd w:w="1393" w:type="dxa"/>
        <w:tblLayout w:type="fixed"/>
        <w:tblCellMar>
          <w:top w:w="0" w:type="dxa"/>
          <w:left w:w="0" w:type="dxa"/>
          <w:bottom w:w="28" w:type="dxa"/>
          <w:right w:w="0" w:type="dxa"/>
        </w:tblCellMar>
      </w:tblPr>
      <w:tblGrid>
        <w:gridCol w:w="1623"/>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6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Common</w:t>
            </w:r>
            <w:r>
              <w:rPr/>
              <w:t xml:space="preserve"> </w:t>
              <w:br/>
            </w:r>
            <w:r>
              <w:rPr>
                <w:spacing w:val="-3"/>
              </w:rPr>
              <w:t>Stock Share</w:t>
            </w:r>
            <w:r>
              <w:rPr/>
              <w:t xml:space="preserve"> </w:t>
              <w:br/>
            </w:r>
            <w:r>
              <w:rPr>
                <w:spacing w:val="-3"/>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Common Stock</w:t>
            </w:r>
            <w:r>
              <w:rPr/>
              <w:t xml:space="preserve"> </w:t>
              <w:br/>
            </w:r>
            <w:r>
              <w:rPr>
                <w:spacing w:val="-3"/>
              </w:rPr>
              <w:t xml:space="preserve">Share Price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2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Trading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23" w:type="dxa"/>
            <w:tcBorders/>
            <w:shd w:fill="CCEEFF" w:val="clear"/>
            <w:tcMar>
              <w:bottom w:w="0" w:type="dxa"/>
            </w:tcMar>
            <w:vAlign w:val="center"/>
          </w:tcPr>
          <w:p>
            <w:pPr>
              <w:pStyle w:val="TableContents"/>
              <w:bidi w:val="0"/>
              <w:spacing w:before="0" w:after="0"/>
              <w:jc w:val="left"/>
              <w:rPr>
                <w:spacing w:val="4"/>
              </w:rPr>
            </w:pPr>
            <w:r>
              <w:rPr>
                <w:spacing w:val="4"/>
              </w:rPr>
              <w:t xml:space="preserve">Last 52 Weeks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3" w:type="dxa"/>
            <w:tcBorders/>
            <w:tcMar>
              <w:bottom w:w="0" w:type="dxa"/>
            </w:tcMar>
            <w:vAlign w:val="center"/>
          </w:tcPr>
          <w:p>
            <w:pPr>
              <w:pStyle w:val="TableContents"/>
              <w:bidi w:val="0"/>
              <w:spacing w:before="0" w:after="0"/>
              <w:jc w:val="left"/>
              <w:rPr>
                <w:spacing w:val="4"/>
              </w:rPr>
            </w:pPr>
            <w:r>
              <w:rPr>
                <w:spacing w:val="4"/>
              </w:rPr>
              <w:t xml:space="preserve">Last 30 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minimum and maximum share prices of SomaLogic and Standard BioTools, in each case, during the 52-week and the 30-day periods, each ending on October 2, 2023, PWP derived ranges of implied exchange ratios of shares of Standard BioTools Common Stock to shares of SomaLogic Common Stock of 0.6092x to 4.1196x and 0.6487x to 0.9308x, respectively. PWP compared these exchange ratio ranges to the Exchange Ratio of 1.1100 shares of Standard BioTools Common Stock to be received for each share of SomaLogic Common Stock as provided for in the Merger Agreement. </w:t>
      </w:r>
    </w:p>
    <w:p>
      <w:pPr>
        <w:pStyle w:val="TextBody"/>
        <w:bidi w:val="0"/>
        <w:spacing w:lineRule="atLeast" w:line="240" w:before="226"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Analyst Price Targets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observed the most recent publicly available price targets for SomaLogic and Standard BioTools Common Stock published by all Wall Street research analysts. PWP assumed that such price targets reflected each research analyst’s estimate of the 12-month future public market trading price per share of SomaLogic Common Stock and Standard BioTools Common Stock and discounted them to present value using a discount rate of approximately 16.50% for SomaLogic Common Stock and 13.00% for Standard BioTools Common Stock, which rates reflect the midpoints of SomaLogic’s and Standard BioTools’ weighted average cost of capital, respectively, as derived using the Capital Asset Pricing Model as of October 2, 2023. PWP noted that the analysts’ discounted price targets for all Wall Street research analysts ranged from $2.15 to $6.06 per share for SomaLogic Common Stock and was $3.58 per share for Standard BioTools Common Stock. The price targets published by Wall Street research analysts do not necessarily reflect current market trading prices for shares of SomaLogic Common Stock or Standard BioTools Common Stock and these estimates are subject to uncertainties, including the future financial performance of SomaLogic and Standard BioTools and future financial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comparisons of the high and low research analyst price targets for SomaLogic and Standard BioTools, PWP derived a range of implied exchange ratios of shares of Standard BioTools Common Stock to shares of SomaLogic Common Stock of 0.6011x to 1.6933x. PWP compared this exchange ratio range to the Exchange Ratio of 1.1100 shares of Standard BioTools Common Stock to be received for each share of SomaLogic Common Stock as provided for in the Merger Agreement. </w:t>
      </w:r>
    </w:p>
    <w:p>
      <w:pPr>
        <w:pStyle w:val="TextBody"/>
        <w:bidi w:val="0"/>
        <w:spacing w:lineRule="atLeast" w:line="240" w:before="224"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Value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performed an illustrative analysis comparing the value to SomaLogic shareholders of the combined company (giving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to anticipated synergies) to SomaLogic on a standalone basis, different revenue growth scenarios for each of Standard BioTools and SomaLogic. PWP calculated the illustrative value as the difference between (i) the combined company on a combined discounted cash flow analysis of SomaLogic and Standard BioTools after taking into account estimated synergies and (ii) SomaLogic on SomaLogic’s standalone discounted cash flow analysis; in each case attributing value on the basis of an original holding of one SomaLogic common share. In reaching its results, PWP also calculated the net present value of the estimated synergies that the combined company was forecasted to generate from 2023E through 2033E (net of illustrative estimated transaction expenses) based on a discounted cash flow analysis of estimated synergies and costs to achieve such synergies using a discount rate of 13.00% (reflecting the midpoint of Standard BioTools’ weighted average cost of capital) and a blended perpetuity growth rate of 3.50% (reflecting a blend of each of SomaLogic’s and Standard BioTools’ perpetuity growth rates as described above, weighted based on the pro forma ownership). PWP used sensitivity cases that were based on each of SomaLogic’s and Standard BioTools’ potential compound annual growth rates (“CAGR”) for 2023E through 2027E revenues, starting with the projected 2023E through 2027E revenue CAGRs that were provided in the SomaLogic Forecasts (~23%) and Standard BioTools Forecasts (~21%), respectively, and moving downward to 15%, 10% and 5% CAGRs. For the sensitivity cases, PWP assumed (x) gross margins remain constant on a percentage basis and (y) operating expenses, capital expenditures, net working capital and depreciation and amortization remain fixed in dollar terms through 2027, then approach long term percentage targets by 2033. The results of the illustrative value analysis are summarized below. </w:t>
      </w:r>
    </w:p>
    <w:p>
      <w:pPr>
        <w:pStyle w:val="TextBody"/>
        <w:bidi w:val="0"/>
        <w:spacing w:lineRule="atLeast" w:line="24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Illustrative Value Creation / Destruction Analysis</w:t>
      </w:r>
      <w:r>
        <w:rPr>
          <w:rFonts w:ascii="Times New Roman;Times;serif" w:hAnsi="Times New Roman;Times;serif"/>
          <w:b w:val="false"/>
          <w:i/>
          <w:caps w:val="false"/>
          <w:smallCaps w:val="false"/>
          <w:color w:val="000000"/>
          <w:spacing w:val="3"/>
          <w:sz w:val="15"/>
        </w:rPr>
        <w:t>(1)</w:t>
      </w:r>
      <w:r>
        <w:rPr>
          <w:rFonts w:ascii="Times New Roman;Times;serif" w:hAnsi="Times New Roman;Times;serif"/>
          <w:b w:val="false"/>
          <w:i/>
          <w:caps w:val="false"/>
          <w:smallCaps w:val="false"/>
          <w:color w:val="000000"/>
          <w:spacing w:val="4"/>
          <w:sz w:val="20"/>
        </w:rPr>
        <w:t xml:space="preserve"> </w:t>
      </w:r>
    </w:p>
    <w:tbl>
      <w:tblPr>
        <w:tblW w:w="8812" w:type="dxa"/>
        <w:jc w:val="left"/>
        <w:tblInd w:w="1393" w:type="dxa"/>
        <w:tblLayout w:type="fixed"/>
        <w:tblCellMar>
          <w:top w:w="0" w:type="dxa"/>
          <w:left w:w="0" w:type="dxa"/>
          <w:bottom w:w="30" w:type="dxa"/>
          <w:right w:w="0" w:type="dxa"/>
        </w:tblCellMar>
      </w:tblPr>
      <w:tblGrid>
        <w:gridCol w:w="1485"/>
        <w:gridCol w:w="109"/>
        <w:gridCol w:w="109"/>
        <w:gridCol w:w="1575"/>
        <w:gridCol w:w="109"/>
        <w:gridCol w:w="109"/>
        <w:gridCol w:w="1575"/>
        <w:gridCol w:w="109"/>
        <w:gridCol w:w="109"/>
        <w:gridCol w:w="1575"/>
        <w:gridCol w:w="109"/>
        <w:gridCol w:w="109"/>
        <w:gridCol w:w="1575"/>
        <w:gridCol w:w="155"/>
      </w:tblGrid>
      <w:tr>
        <w:trPr/>
        <w:tc>
          <w:tcPr>
            <w:tcW w:w="1485" w:type="dxa"/>
            <w:vMerge w:val="restart"/>
            <w:tcBorders>
              <w:bottom w:val="single" w:sz="2" w:space="0" w:color="000000"/>
            </w:tcBorders>
            <w:vAlign w:val="center"/>
          </w:tcPr>
          <w:p>
            <w:pPr>
              <w:pStyle w:val="TableContents"/>
              <w:bidi w:val="0"/>
              <w:spacing w:lineRule="atLeast" w:line="180" w:before="0" w:after="0"/>
              <w:jc w:val="left"/>
              <w:rPr>
                <w:sz w:val="16"/>
              </w:rPr>
            </w:pPr>
            <w:r>
              <w:rPr>
                <w:spacing w:val="-3"/>
                <w:sz w:val="16"/>
              </w:rPr>
              <w:t>Illustrative Standard</w:t>
            </w:r>
            <w:r>
              <w:rPr>
                <w:sz w:val="16"/>
              </w:rPr>
              <w:t xml:space="preserve"> </w:t>
              <w:br/>
            </w:r>
            <w:r>
              <w:rPr>
                <w:spacing w:val="-3"/>
                <w:sz w:val="16"/>
              </w:rPr>
              <w:t>BioTools 2023E – </w:t>
            </w:r>
            <w:r>
              <w:rPr>
                <w:sz w:val="16"/>
              </w:rPr>
              <w:t xml:space="preserve"> </w:t>
              <w:br/>
            </w:r>
            <w:r>
              <w:rPr>
                <w:spacing w:val="-3"/>
                <w:sz w:val="16"/>
              </w:rPr>
              <w:t>2027E Revenue</w:t>
            </w:r>
            <w:r>
              <w:rPr>
                <w:sz w:val="16"/>
              </w:rPr>
              <w:t xml:space="preserve"> </w:t>
              <w:br/>
            </w:r>
            <w:r>
              <w:rPr>
                <w:spacing w:val="-3"/>
                <w:sz w:val="16"/>
              </w:rPr>
              <w:t>CAGR Sensitivity</w:t>
            </w:r>
            <w:r>
              <w:rPr>
                <w:sz w:val="16"/>
              </w:rPr>
              <w:t xml:space="preserve"> </w:t>
              <w:br/>
            </w:r>
            <w:r>
              <w:rPr>
                <w:spacing w:val="-3"/>
                <w:sz w:val="16"/>
              </w:rPr>
              <w:t xml:space="preserve">Scenarios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gridSpan w:val="10"/>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Illustrative SomaLogic 2023E – 2027E Revenue CAGR Sensitivity Scenarios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5"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42" w:before="0" w:after="0"/>
              <w:jc w:val="center"/>
              <w:rPr>
                <w:sz w:val="16"/>
              </w:rPr>
            </w:pPr>
            <w:r>
              <w:rPr>
                <w:spacing w:val="-3"/>
                <w:sz w:val="16"/>
              </w:rPr>
              <w:t>~23%</w:t>
            </w:r>
            <w:r>
              <w:rPr>
                <w:spacing w:val="-2"/>
                <w:sz w:val="10"/>
              </w:rPr>
              <w:t>(3)</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15%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5%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5" w:type="dxa"/>
            <w:tcBorders/>
            <w:shd w:fill="CCEEFF" w:val="clear"/>
            <w:tcMar>
              <w:bottom w:w="0" w:type="dxa"/>
            </w:tcMar>
            <w:vAlign w:val="center"/>
          </w:tcPr>
          <w:p>
            <w:pPr>
              <w:pStyle w:val="TableContents"/>
              <w:bidi w:val="0"/>
              <w:spacing w:before="0" w:after="0"/>
              <w:jc w:val="left"/>
              <w:rPr>
                <w:b/>
                <w:sz w:val="20"/>
              </w:rPr>
            </w:pPr>
            <w:r>
              <w:rPr>
                <w:b/>
                <w:spacing w:val="-4"/>
                <w:sz w:val="20"/>
              </w:rPr>
              <w:t>~21%</w:t>
            </w:r>
            <w:r>
              <w:rPr>
                <w:b/>
                <w:spacing w:val="-3"/>
                <w:sz w:val="13"/>
              </w:rPr>
              <w:t>(2)</w:t>
            </w:r>
            <w:r>
              <w:rPr>
                <w:b/>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$236;</w:t>
            </w:r>
            <w:r>
              <w:rPr>
                <w:sz w:val="20"/>
              </w:rPr>
              <w:t xml:space="preserve"> </w:t>
              <w:br/>
            </w:r>
            <w:r>
              <w:rPr>
                <w:spacing w:val="4"/>
                <w:sz w:val="20"/>
              </w:rPr>
              <w:t>$1.23 per share;</w:t>
            </w:r>
            <w:r>
              <w:rPr>
                <w:sz w:val="20"/>
              </w:rPr>
              <w:t xml:space="preserve"> </w:t>
              <w:br/>
            </w:r>
            <w:r>
              <w:rPr>
                <w:spacing w:val="4"/>
                <w:sz w:val="20"/>
              </w:rPr>
              <w:t xml:space="preserve">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$331;</w:t>
            </w:r>
            <w:r>
              <w:rPr>
                <w:sz w:val="20"/>
              </w:rPr>
              <w:t xml:space="preserve"> </w:t>
              <w:br/>
            </w:r>
            <w:r>
              <w:rPr>
                <w:spacing w:val="4"/>
                <w:sz w:val="20"/>
              </w:rPr>
              <w:t>$1.73 per share;</w:t>
            </w:r>
            <w:r>
              <w:rPr>
                <w:sz w:val="20"/>
              </w:rPr>
              <w:t xml:space="preserve"> </w:t>
              <w:br/>
            </w:r>
            <w:r>
              <w:rPr>
                <w:spacing w:val="4"/>
                <w:sz w:val="20"/>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$368;</w:t>
            </w:r>
            <w:r>
              <w:rPr>
                <w:sz w:val="20"/>
              </w:rPr>
              <w:t xml:space="preserve"> </w:t>
              <w:br/>
            </w:r>
            <w:r>
              <w:rPr>
                <w:spacing w:val="4"/>
                <w:sz w:val="20"/>
              </w:rPr>
              <w:t>$1.92 per share;</w:t>
            </w:r>
            <w:r>
              <w:rPr>
                <w:sz w:val="20"/>
              </w:rPr>
              <w:t xml:space="preserve"> </w:t>
              <w:br/>
            </w:r>
            <w:r>
              <w:rPr>
                <w:spacing w:val="4"/>
                <w:sz w:val="20"/>
              </w:rPr>
              <w:t xml:space="preserve">142%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$409;</w:t>
            </w:r>
            <w:r>
              <w:rPr>
                <w:sz w:val="20"/>
              </w:rPr>
              <w:t xml:space="preserve"> </w:t>
              <w:br/>
            </w:r>
            <w:r>
              <w:rPr>
                <w:spacing w:val="4"/>
                <w:sz w:val="20"/>
              </w:rPr>
              <w:t>$2.14 per share;</w:t>
            </w:r>
            <w:r>
              <w:rPr>
                <w:sz w:val="20"/>
              </w:rPr>
              <w:t xml:space="preserve"> </w:t>
              <w:br/>
            </w:r>
            <w:r>
              <w:rPr>
                <w:spacing w:val="4"/>
                <w:sz w:val="20"/>
              </w:rPr>
              <w:t xml:space="preserve">275%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85" w:type="dxa"/>
            <w:tcBorders/>
            <w:tcMar>
              <w:bottom w:w="0" w:type="dxa"/>
            </w:tcMar>
            <w:vAlign w:val="center"/>
          </w:tcPr>
          <w:p>
            <w:pPr>
              <w:pStyle w:val="TableContents"/>
              <w:bidi w:val="0"/>
              <w:spacing w:before="0" w:after="0"/>
              <w:jc w:val="left"/>
              <w:rPr>
                <w:b/>
                <w:sz w:val="20"/>
              </w:rPr>
            </w:pPr>
            <w:r>
              <w:rPr>
                <w:b/>
                <w:spacing w:val="-4"/>
                <w:sz w:val="20"/>
              </w:rPr>
              <w:t>15%</w:t>
            </w:r>
            <w:r>
              <w:rPr>
                <w:b/>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$58;</w:t>
            </w:r>
            <w:r>
              <w:rPr>
                <w:sz w:val="20"/>
              </w:rPr>
              <w:t xml:space="preserve"> </w:t>
              <w:br/>
            </w:r>
            <w:r>
              <w:rPr>
                <w:spacing w:val="4"/>
                <w:sz w:val="20"/>
              </w:rPr>
              <w:t>$0.30 per share;</w:t>
            </w:r>
            <w:r>
              <w:rPr>
                <w:sz w:val="20"/>
              </w:rPr>
              <w:t xml:space="preserve"> </w:t>
              <w:br/>
            </w:r>
            <w:r>
              <w:rPr>
                <w:spacing w:val="4"/>
                <w:sz w:val="20"/>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$131;</w:t>
            </w:r>
            <w:r>
              <w:rPr>
                <w:sz w:val="20"/>
              </w:rPr>
              <w:t xml:space="preserve"> </w:t>
              <w:br/>
            </w:r>
            <w:r>
              <w:rPr>
                <w:spacing w:val="4"/>
                <w:sz w:val="20"/>
              </w:rPr>
              <w:t>$0.69 per share;</w:t>
            </w:r>
            <w:r>
              <w:rPr>
                <w:sz w:val="20"/>
              </w:rPr>
              <w:t xml:space="preserve"> </w:t>
              <w:br/>
            </w:r>
            <w:r>
              <w:rPr>
                <w:spacing w:val="4"/>
                <w:sz w:val="20"/>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$168;</w:t>
            </w:r>
            <w:r>
              <w:rPr>
                <w:sz w:val="20"/>
              </w:rPr>
              <w:t xml:space="preserve"> </w:t>
              <w:br/>
            </w:r>
            <w:r>
              <w:rPr>
                <w:spacing w:val="4"/>
                <w:sz w:val="20"/>
              </w:rPr>
              <w:t>$0.88 per share;</w:t>
            </w:r>
            <w:r>
              <w:rPr>
                <w:sz w:val="20"/>
              </w:rPr>
              <w:t xml:space="preserve"> </w:t>
              <w:br/>
            </w:r>
            <w:r>
              <w:rPr>
                <w:spacing w:val="4"/>
                <w:sz w:val="20"/>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$203;</w:t>
            </w:r>
            <w:r>
              <w:rPr>
                <w:sz w:val="20"/>
              </w:rPr>
              <w:t xml:space="preserve"> </w:t>
              <w:br/>
            </w:r>
            <w:r>
              <w:rPr>
                <w:spacing w:val="4"/>
                <w:sz w:val="20"/>
              </w:rPr>
              <w:t>$1.06 per share;</w:t>
            </w:r>
            <w:r>
              <w:rPr>
                <w:sz w:val="20"/>
              </w:rPr>
              <w:t xml:space="preserve"> </w:t>
              <w:br/>
            </w:r>
            <w:r>
              <w:rPr>
                <w:spacing w:val="4"/>
                <w:sz w:val="20"/>
              </w:rPr>
              <w:t xml:space="preserve">137% </w:t>
            </w:r>
          </w:p>
        </w:tc>
        <w:tc>
          <w:tcPr>
            <w:tcW w:w="155" w:type="dxa"/>
            <w:tcBorders/>
            <w:tcMar>
              <w:bottom w:w="0" w:type="dxa"/>
            </w:tcMar>
            <w:vAlign w:val="center"/>
          </w:tcPr>
          <w:p>
            <w:pPr>
              <w:pStyle w:val="TableContents"/>
              <w:bidi w:val="0"/>
              <w:spacing w:before="0" w:after="283"/>
              <w:jc w:val="left"/>
              <w:rPr/>
            </w:pPr>
            <w:r>
              <w:rPr/>
              <w:t>​</w:t>
            </w:r>
          </w:p>
        </w:tc>
      </w:tr>
      <w:tr>
        <w:trPr/>
        <w:tc>
          <w:tcPr>
            <w:tcW w:w="1485" w:type="dxa"/>
            <w:tcBorders/>
            <w:shd w:fill="CCEEFF" w:val="clear"/>
            <w:tcMar>
              <w:bottom w:w="0" w:type="dxa"/>
            </w:tcMar>
            <w:vAlign w:val="center"/>
          </w:tcPr>
          <w:p>
            <w:pPr>
              <w:pStyle w:val="TableContents"/>
              <w:bidi w:val="0"/>
              <w:spacing w:before="0" w:after="0"/>
              <w:jc w:val="left"/>
              <w:rPr>
                <w:b/>
                <w:sz w:val="20"/>
              </w:rPr>
            </w:pPr>
            <w:r>
              <w:rPr>
                <w:b/>
                <w:spacing w:val="-4"/>
                <w:sz w:val="20"/>
              </w:rPr>
              <w:t>10%</w:t>
            </w:r>
            <w:r>
              <w:rPr>
                <w:b/>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$(65);</w:t>
            </w:r>
            <w:r>
              <w:rPr>
                <w:sz w:val="20"/>
              </w:rPr>
              <w:t xml:space="preserve"> </w:t>
              <w:br/>
            </w:r>
            <w:r>
              <w:rPr>
                <w:spacing w:val="4"/>
                <w:sz w:val="20"/>
              </w:rPr>
              <w:t>$(0.34) per share;</w:t>
            </w:r>
            <w:r>
              <w:rPr>
                <w:sz w:val="20"/>
              </w:rPr>
              <w:t xml:space="preserve"> </w:t>
              <w:br/>
            </w:r>
            <w:r>
              <w:rPr>
                <w:spacing w:val="4"/>
                <w:sz w:val="20"/>
              </w:rPr>
              <w:t xml:space="preserve">(12%)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w:t>
            </w:r>
            <w:r>
              <w:rPr>
                <w:sz w:val="20"/>
              </w:rPr>
              <w:t xml:space="preserve"> </w:t>
              <w:br/>
            </w:r>
            <w:r>
              <w:rPr>
                <w:spacing w:val="4"/>
                <w:sz w:val="20"/>
              </w:rPr>
              <w:t>$0.02 per share;</w:t>
            </w:r>
            <w:r>
              <w:rPr>
                <w:sz w:val="20"/>
              </w:rPr>
              <w:t xml:space="preserve"> </w:t>
              <w:br/>
            </w:r>
            <w:r>
              <w:rPr>
                <w:spacing w:val="4"/>
                <w:sz w:val="20"/>
              </w:rPr>
              <w:t xml:space="preserve">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$40;</w:t>
            </w:r>
            <w:r>
              <w:rPr>
                <w:sz w:val="20"/>
              </w:rPr>
              <w:t xml:space="preserve"> </w:t>
              <w:br/>
            </w:r>
            <w:r>
              <w:rPr>
                <w:spacing w:val="4"/>
                <w:sz w:val="20"/>
              </w:rPr>
              <w:t>$0.21 per share;</w:t>
            </w:r>
            <w:r>
              <w:rPr>
                <w:sz w:val="20"/>
              </w:rPr>
              <w:t xml:space="preserve"> </w:t>
              <w:br/>
            </w:r>
            <w:r>
              <w:rPr>
                <w:spacing w:val="4"/>
                <w:sz w:val="20"/>
              </w:rPr>
              <w:t xml:space="preserve">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$75;</w:t>
            </w:r>
            <w:r>
              <w:rPr>
                <w:sz w:val="20"/>
              </w:rPr>
              <w:t xml:space="preserve"> </w:t>
              <w:br/>
            </w:r>
            <w:r>
              <w:rPr>
                <w:spacing w:val="4"/>
                <w:sz w:val="20"/>
              </w:rPr>
              <w:t>$0.39 per share;</w:t>
            </w:r>
            <w:r>
              <w:rPr>
                <w:sz w:val="20"/>
              </w:rPr>
              <w:t xml:space="preserve"> </w:t>
              <w:br/>
            </w:r>
            <w:r>
              <w:rPr>
                <w:spacing w:val="4"/>
                <w:sz w:val="20"/>
              </w:rPr>
              <w:t xml:space="preserve">51%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85" w:type="dxa"/>
            <w:tcBorders/>
            <w:tcMar>
              <w:bottom w:w="0" w:type="dxa"/>
            </w:tcMar>
            <w:vAlign w:val="center"/>
          </w:tcPr>
          <w:p>
            <w:pPr>
              <w:pStyle w:val="TableContents"/>
              <w:bidi w:val="0"/>
              <w:spacing w:before="0" w:after="0"/>
              <w:jc w:val="left"/>
              <w:rPr>
                <w:b/>
                <w:sz w:val="20"/>
              </w:rPr>
            </w:pPr>
            <w:r>
              <w:rPr>
                <w:b/>
                <w:spacing w:val="-4"/>
                <w:sz w:val="20"/>
              </w:rPr>
              <w:t>5%</w:t>
            </w:r>
            <w:r>
              <w:rPr>
                <w:b/>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$(197);</w:t>
            </w:r>
            <w:r>
              <w:rPr>
                <w:sz w:val="20"/>
              </w:rPr>
              <w:t xml:space="preserve"> </w:t>
              <w:br/>
            </w:r>
            <w:r>
              <w:rPr>
                <w:spacing w:val="4"/>
                <w:sz w:val="20"/>
              </w:rPr>
              <w:t>$(1.02) per share;</w:t>
            </w:r>
            <w:r>
              <w:rPr>
                <w:sz w:val="20"/>
              </w:rPr>
              <w:t xml:space="preserve"> </w:t>
              <w:br/>
            </w:r>
            <w:r>
              <w:rPr>
                <w:spacing w:val="4"/>
                <w:sz w:val="20"/>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$(130);</w:t>
            </w:r>
            <w:r>
              <w:rPr>
                <w:sz w:val="20"/>
              </w:rPr>
              <w:t xml:space="preserve"> </w:t>
              <w:br/>
            </w:r>
            <w:r>
              <w:rPr>
                <w:spacing w:val="4"/>
                <w:sz w:val="20"/>
              </w:rPr>
              <w:t>$(0.68) per share;</w:t>
            </w:r>
            <w:r>
              <w:rPr>
                <w:sz w:val="20"/>
              </w:rPr>
              <w:t xml:space="preserve"> </w:t>
              <w:br/>
            </w:r>
            <w:r>
              <w:rPr>
                <w:spacing w:val="4"/>
                <w:sz w:val="20"/>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$(94);</w:t>
            </w:r>
            <w:r>
              <w:rPr>
                <w:sz w:val="20"/>
              </w:rPr>
              <w:t xml:space="preserve"> </w:t>
              <w:br/>
            </w:r>
            <w:r>
              <w:rPr>
                <w:spacing w:val="4"/>
                <w:sz w:val="20"/>
              </w:rPr>
              <w:t>$(0.49) per share;</w:t>
            </w:r>
            <w:r>
              <w:rPr>
                <w:sz w:val="20"/>
              </w:rPr>
              <w:t xml:space="preserve"> </w:t>
              <w:br/>
            </w:r>
            <w:r>
              <w:rPr>
                <w:spacing w:val="4"/>
                <w:sz w:val="20"/>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$(59);</w:t>
            </w:r>
            <w:r>
              <w:rPr>
                <w:sz w:val="20"/>
              </w:rPr>
              <w:t xml:space="preserve"> </w:t>
              <w:br/>
            </w:r>
            <w:r>
              <w:rPr>
                <w:spacing w:val="4"/>
                <w:sz w:val="20"/>
              </w:rPr>
              <w:t>$(0.31) per share;</w:t>
            </w:r>
            <w:r>
              <w:rPr>
                <w:sz w:val="20"/>
              </w:rPr>
              <w:t xml:space="preserve"> </w:t>
              <w:br/>
            </w:r>
            <w:r>
              <w:rPr>
                <w:spacing w:val="4"/>
                <w:sz w:val="20"/>
              </w:rPr>
              <w:t>(39%)</w:t>
            </w:r>
            <w:r>
              <w:rPr>
                <w:sz w:val="20"/>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Illustrative value creation (or destruction) defined as the difference between the discounted cash flow of the pro forma combined company (including synergies) versus the discounted cash flow of standalone SomaLogic expressed as (i) an aggregated difference between the respective DCFs in millions of U.S. dollars, (ii) the difference between the respective DCFs expressed on a per share of SomaLogic Common Stock and (iii) as a percentage increase (or decrease) relative to SomaLogic’s DCF value per share of SomaLogic Common Stock as a standalone company. </w:t>
      </w:r>
      <w:r>
        <mc:AlternateContent>
          <mc:Choice Requires="wps">
            <w:drawing>
              <wp:anchor behindDoc="0" distT="11430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8"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revenue projections provided in the Standard BioTools Forecasts. </w:t>
      </w:r>
      <w:r>
        <mc:AlternateContent>
          <mc:Choice Requires="wps">
            <w:drawing>
              <wp:anchor behindDoc="0" distT="635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9"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revenue projections provided in the SomaLogic Forecasts. </w:t>
      </w:r>
      <w:r>
        <mc:AlternateContent>
          <mc:Choice Requires="wps">
            <w:drawing>
              <wp:anchor behindDoc="0" distT="6350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60"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and its affiliates,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SOCS1"/>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and its affiliates also engage in securities trading and brokerage, asset management activities, equity research and other financial services. Except in connection with its engagement as financial advisor to SomaLogic in connection with the Merger, during the two-year period prior to the date of the opinion, no material relationship existed between PWP and its affiliates, on the one hand, and Standard BioTools, SomaLogic, Casdin or any of their respective affiliates, on the other hand, pursuant to which compensation was received by PWP or its affiliates. Notwithstanding the foregoing, it is currently expected that PWP may become engaged to provide financial advisory services to a company that is controlled by Casdin for which PWP may receive compensation. In the ordinary course of its business activities, PWP and its affiliates may at any time hold long or short positions, and may trade or otherwise effect transactions, for its own account or the accounts of customers or clients, in (1) debt, equity or other securities (or related derivative securities) or financial instruments (including bank loans or other obligations) of SomaLogic, Standard BioTools or any of their respective affiliates and (2) any currency or commodity that may be material to the parties or otherwise involved in the Merger and/or the other matters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PWP and its affiliates and certain of their respective employees, including members of the team performing services in connection with the Merger, as well as certain private equity funds and investment management funds associated or affiliated with PWP in which they may have financial interests, may from time to time acquire, hold or make direct or indirect investments in or otherwise finance a wide variety of companies, including SomaLogic, Standard BioTools, other potential merger participants or their respective equity holders or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is an internationally recognized investment banking firm that is regularly engaged in the valuation of businesses and securities in connection with mergers and acquisitions, negotiated underwritings, secondary distributions of listed and unlisted securities, private placements and valuations for corporate and other purposes. The SomaLogic Board selected PWP to act as its financial advisor in connection with the Merger on the basis of PWPs experience in transactions similar to the Merger described in the Merger Agreement, its reputation in the investment community and its familiarity with SomaLogic and its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acted as financial advisor to SomaLogic in connection with, and participated in certain negotiations leading to, the Merger. PWP expects to receive fees for its services, the principal portion of which is contingent upon the consummation of the Merger, and SomaLogic has agreed to reimburse certain of PWP’s expenses and indemnify PWP and certain related parties against certain liabilities arising out of its engagement. PWP may provide investment banking or other financial services to SomaLogic, Standard BioTools or any of the other parties to the Merger or their respective stockholders or affiliates in the future. In connection with such investment banking or other financial services, PWP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set forth above constitutes a summary of the analyses employed and factors considered by PWP in rendering its opinion to the SomaLogic Board. 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services rendered in connection with the Merger and the delivery of its opinion, PWP will receive an aggregate fee of $6,000,000, $1,500,000 of which became payable in connection with the delivery of PWP’s opinion and $4,500,000 (the “Transaction Fee”) of which is contingent upon the consummation of the Merger. PWP will also be entitled to receive a termination fee equal to the lesser of (i) twenty percent (20%) of any break up fee that SomaLogic may receive as a result of the termination of the Merger Agreement and (ii) fifty percent (50%) of the Transaction Fee. In addition, SomaLogic has agreed to reimburse PWP for its reasonable out-of-pocket expenses incurred in connection with the engagement, including fees and disbursements of its legal counsel. SomaLogic also agreed to indemnify PWP, its affiliates and their respective officers, directors, partners, agents, employees and controlling persons for certain liabilities related to or arising out of its rendering of services under its engagement or to contribute to payments that PWP may be required to make in respect of these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Certain SomaLogic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does not as a matter of course publicly disclose long-term projections or forecasts as to future financial performance, revenues, earnings, financial condition or other results given, among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reasons, the unpredictability, uncertainty and subjectivity of the underlying assumptions and estimates inherent in preparing financial projections and forecasts. As a result, SomaLogic does not endorse unaudited prospective financial information as a reliable indication of future results. Moreover, SomaLogic’s internally prepared unaudited financial projections presented below were based on estimates, assumptions and judgments made by SomaLogic management at the respective times of their preparation and speak only as of such times. Except as required by law, SomaLogic has no obligation to update the unaudited financial projections included in this section. It has not done so and does not intend to do so.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unaudited financial projections concerning of SomaLogic on a standalone basis, without giving effect to the Merger, set forth in this section were prepared by SomaLogic management and made available to the SomaLogic Board in their review and evaluation of the Merger, to SomaLogic’s financial advisor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and to Standard BioTools. These unaudited financial projections are not being included in this joint proxy statement/prospectus to influence the voting decision of any SomaLogic stockholder or Standard BioTools stockholder with respect to the Merger, but instead because these unaudited financial projections, in whole or in part, were provided, or formed the basis of what was provided, to the SomaLogic Board, Standard BioTools and SomaLogic’s financial advisor in connection with their evaluation of Merger as described herein.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note that the unaudited financial projections set forth below constitute forward-looking statements. Please see the section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xml:space="preserve"> of this joint proxy statement/prospectus for more information. You should also note that the unaudited financial projections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the section entitled “</w:t>
      </w:r>
      <w:r>
        <w:rPr>
          <w:rFonts w:ascii="Times New Roman;Times;serif" w:hAnsi="Times New Roman;Times;serif"/>
          <w:b w:val="false"/>
          <w:i/>
          <w:caps w:val="false"/>
          <w:smallCaps w:val="false"/>
          <w:color w:val="000000"/>
          <w:spacing w:val="4"/>
          <w:sz w:val="20"/>
        </w:rPr>
        <w:t>The Merger — Certain SomaLogic Management Unaudited Prospective Financial Information</w:t>
      </w:r>
      <w:r>
        <w:rPr>
          <w:rFonts w:ascii="Times New Roman;Times;serif" w:hAnsi="Times New Roman;Times;serif"/>
          <w:b w:val="false"/>
          <w:i w:val="false"/>
          <w:caps w:val="false"/>
          <w:smallCaps w:val="false"/>
          <w:color w:val="000000"/>
          <w:spacing w:val="4"/>
          <w:sz w:val="20"/>
        </w:rPr>
        <w:t xml:space="preserve">” does not give effect to the adoption of any new accounting pronouncements. The unaudited prospective financial information included in this document has been prepared by, and is the responsibility of, SomaLogic management. SomaLogic’s and Standard BioTools’ respective independent registered public accountants have not audited, reviewed, examined, compiled or performed any other assurance procedures, or expressed any form of assurance with respect to the accompanying unaudited financial projections set forth below and, accordingly, do not express an opinion or any other form of assurance with respect thereto. The reports of the independent registered public accounting firms incorporated by reference in this joint proxy statement/prospectus relate to Standard BioTools’ and SomaLogic’s previously issued financial statements. They do not extend to the prospective financial information and should not be read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unaudited financial projections set forth below should not be relied upon as necessarily indicative of actual future results, and readers of this joint proxy statement/prospectus are cautioned not to place undue reliance on such unaudited financial projections. In particular, the unaudited financial projections set forth below should not be relied upon as public guidance. </w:t>
      </w:r>
      <w:r>
        <w:rPr>
          <w:rFonts w:ascii="Times New Roman;Times;serif" w:hAnsi="Times New Roman;Times;serif"/>
          <w:b w:val="false"/>
          <w:i w:val="false"/>
          <w:caps w:val="false"/>
          <w:smallCaps w:val="false"/>
          <w:color w:val="000000"/>
          <w:spacing w:val="4"/>
          <w:sz w:val="20"/>
        </w:rPr>
        <w:t xml:space="preserve">Furthermore, since the unaudited financial projections cover multiple years, such information by its nature becomes less predictive with each successive year. Although the unaudited financial projections are presented with numerical specificity, the unaudited financial projections reflect assumptions, estimates and judgments that are inherently uncertain and, although considered reasonable by SomaLogic management as of the date of their use in preparing the unaudited financial projections, are subject to significant business, economic and competitive risks and uncertainties that could cause actual results to differ materially from those contained in the unaudited financial projections set forth below, including, among others, risks and uncertainties due to general business, economic, regulatory, market and financial conditions, as well as changes in SomaLogic’s or Standard BioTools’ respective businesses, financial condition or results of operations, and other risks.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measures included in the projections are non-GAAP financial measures, as noted below. Non-GAAP financial measures should not be considered in isolation from, or as a substitute for or superior measure to, financial information presented in compliance with GAAP. SomaLogic’s stockholders should also note that these non-GAAP financial measures presented in this joint proxy statement/prospectus have no standardized meaning prescribed by GAAP, and therefore have limits in their usefulness. Because of the non-standardized definitions, the non-GAAP financial measures as used by SomaLogic in this joint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IOSB1"/>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statement/prospectus and the accompanying footnotes may be calculated differently from, and therefore may not be comparable to, similarly titled amounts used by other companies. Reconciliation of non-GAAP financial measures were not provided to or relied upon by PWP in connection with their financial analysis and opinion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Additionally, due to the forward-looking nature of these Projections, specific quantification of the amounts that would be required to reconcile such Projections to GAAP measures are not available and SomaLogic’s management believes that it is not feasible to provide accurate forecasted non-GAAP reconciliations. Accordingly, SomaLogic has not provided a reconciliation of the non-GAAP financial measures included in the Projections to the relevant GAAP financial measures.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summary selected unaudited financial information for SomaLogic for the calendar years 2023 through 2033 prepared by SomaLogic management in connection with SomaLogic’s evaluation of the Merger, with the years 2028 through 2033 based on the forecast through 2027 prepared by SomaLogic management, and an extrapolation of those trends through 2033 based on the long term rates as directed by SomaLogic management (dollars in millions): </w:t>
      </w:r>
    </w:p>
    <w:tbl>
      <w:tblPr>
        <w:tblW w:w="13705" w:type="dxa"/>
        <w:jc w:val="left"/>
        <w:tblInd w:w="1393" w:type="dxa"/>
        <w:tblLayout w:type="fixed"/>
        <w:tblCellMar>
          <w:top w:w="0" w:type="dxa"/>
          <w:left w:w="0" w:type="dxa"/>
          <w:bottom w:w="28" w:type="dxa"/>
          <w:right w:w="0" w:type="dxa"/>
        </w:tblCellMar>
      </w:tblPr>
      <w:tblGrid>
        <w:gridCol w:w="993"/>
        <w:gridCol w:w="109"/>
        <w:gridCol w:w="109"/>
        <w:gridCol w:w="109"/>
        <w:gridCol w:w="226"/>
        <w:gridCol w:w="541"/>
        <w:gridCol w:w="109"/>
        <w:gridCol w:w="109"/>
        <w:gridCol w:w="109"/>
        <w:gridCol w:w="109"/>
        <w:gridCol w:w="226"/>
        <w:gridCol w:w="541"/>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54"/>
      </w:tblGrid>
      <w:tr>
        <w:trPr/>
        <w:tc>
          <w:tcPr>
            <w:tcW w:w="9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9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404</w:t>
            </w:r>
          </w:p>
          <w:p>
            <w:pPr>
              <w:pStyle w:val="TableContents"/>
              <w:bidi w:val="0"/>
              <w:spacing w:before="0" w:after="283"/>
              <w:jc w:val="left"/>
              <w:rPr/>
            </w:pPr>
            <w:r>
              <w:rPr/>
              <w:t>​</w:t>
            </w:r>
          </w:p>
          <w:p>
            <w:pPr>
              <w:pStyle w:val="TableContents"/>
              <w:bidi w:val="0"/>
              <w:spacing w:before="0" w:after="283"/>
              <w:jc w:val="left"/>
              <w:rPr/>
            </w:pPr>
            <w:r>
              <w:rPr/>
              <w:t>​</w:t>
            </w:r>
          </w:p>
        </w:tc>
      </w:tr>
      <w:tr>
        <w:trPr/>
        <w:tc>
          <w:tcPr>
            <w:tcW w:w="993" w:type="dxa"/>
            <w:tcBorders/>
            <w:tcMar>
              <w:bottom w:w="0" w:type="dxa"/>
            </w:tcMar>
            <w:vAlign w:val="center"/>
          </w:tcPr>
          <w:p>
            <w:pPr>
              <w:pStyle w:val="TableContents"/>
              <w:bidi w:val="0"/>
              <w:spacing w:before="0" w:after="0"/>
              <w:jc w:val="left"/>
              <w:rPr/>
            </w:pPr>
            <w:r>
              <w:rPr>
                <w:spacing w:val="4"/>
              </w:rPr>
              <w:t>Gross Profit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303</w:t>
            </w:r>
          </w:p>
          <w:p>
            <w:pPr>
              <w:pStyle w:val="TableContents"/>
              <w:bidi w:val="0"/>
              <w:spacing w:before="0" w:after="283"/>
              <w:jc w:val="left"/>
              <w:rPr/>
            </w:pPr>
            <w:r>
              <w:rPr/>
              <w:t>​</w:t>
            </w:r>
          </w:p>
          <w:p>
            <w:pPr>
              <w:pStyle w:val="TableContents"/>
              <w:bidi w:val="0"/>
              <w:spacing w:before="0" w:after="283"/>
              <w:jc w:val="left"/>
              <w:rPr/>
            </w:pPr>
            <w:r>
              <w:rPr/>
              <w:t>​</w:t>
            </w:r>
          </w:p>
        </w:tc>
      </w:tr>
      <w:tr>
        <w:trPr/>
        <w:tc>
          <w:tcPr>
            <w:tcW w:w="993" w:type="dxa"/>
            <w:tcBorders/>
            <w:shd w:fill="CCEEFF" w:val="clear"/>
            <w:tcMar>
              <w:bottom w:w="0" w:type="dxa"/>
            </w:tcMar>
            <w:vAlign w:val="center"/>
          </w:tcPr>
          <w:p>
            <w:pPr>
              <w:pStyle w:val="TableContents"/>
              <w:bidi w:val="0"/>
              <w:spacing w:before="0" w:after="0"/>
              <w:jc w:val="left"/>
              <w:rPr>
                <w:sz w:val="15"/>
              </w:rPr>
            </w:pPr>
            <w:r>
              <w:rPr>
                <w:spacing w:val="4"/>
                <w:sz w:val="20"/>
              </w:rPr>
              <w:t>EBIT</w:t>
            </w:r>
            <w:r>
              <w:rPr>
                <w:spacing w:val="3"/>
                <w:sz w:val="13"/>
              </w:rPr>
              <w:t>(1)</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154</w:t>
            </w:r>
          </w:p>
          <w:p>
            <w:pPr>
              <w:pStyle w:val="TableContents"/>
              <w:bidi w:val="0"/>
              <w:spacing w:before="0" w:after="283"/>
              <w:jc w:val="left"/>
              <w:rPr/>
            </w:pPr>
            <w:r>
              <w:rPr/>
              <w:t>​</w:t>
            </w:r>
          </w:p>
          <w:p>
            <w:pPr>
              <w:pStyle w:val="TableContents"/>
              <w:bidi w:val="0"/>
              <w:spacing w:before="0" w:after="283"/>
              <w:jc w:val="left"/>
              <w:rPr/>
            </w:pPr>
            <w:r>
              <w:rPr/>
              <w:t>​</w:t>
            </w:r>
          </w:p>
        </w:tc>
      </w:tr>
      <w:tr>
        <w:trPr/>
        <w:tc>
          <w:tcPr>
            <w:tcW w:w="993" w:type="dxa"/>
            <w:tcBorders/>
            <w:tcMar>
              <w:bottom w:w="0" w:type="dxa"/>
            </w:tcMar>
            <w:vAlign w:val="center"/>
          </w:tcPr>
          <w:p>
            <w:pPr>
              <w:pStyle w:val="TableContents"/>
              <w:bidi w:val="0"/>
              <w:spacing w:before="0" w:after="0"/>
              <w:jc w:val="left"/>
              <w:rPr>
                <w:sz w:val="15"/>
              </w:rPr>
            </w:pPr>
            <w:r>
              <w:rPr>
                <w:spacing w:val="4"/>
                <w:sz w:val="20"/>
              </w:rPr>
              <w:t>Unlevered Free Cash Flow</w:t>
            </w:r>
            <w:r>
              <w:rPr>
                <w:spacing w:val="3"/>
                <w:sz w:val="13"/>
              </w:rPr>
              <w:t>(2)</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146</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before interest and taxes (“EBIT”), as presented herein, reflects gross profit, less operating expenses. </w:t>
      </w:r>
      <w:r>
        <mc:AlternateContent>
          <mc:Choice Requires="wps">
            <w:drawing>
              <wp:anchor behindDoc="0" distT="8890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61"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EBIT, less tax expense, plus depreciation, less capital expenditures, less changes in working capital and other adjustments to exclude certain non-cash items. </w:t>
      </w:r>
      <w:r>
        <mc:AlternateContent>
          <mc:Choice Requires="wps">
            <w:drawing>
              <wp:anchor behindDoc="0" distT="3810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62"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Standard BioTools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Standard BioTools Board with respect to the Standard BioTools Proposals, Standard BioTools stockholders should be aware that certain members of the Standard BioTools Board and certain executive officers of Standard BioTools may have interests in the Merger that are different from, or in addition to, interests of Standard BioTools stockholders generally. These interests include, but are not limited to: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board of directors of the combined company following consummation of the Merger; </w:t>
      </w:r>
      <w:r>
        <mc:AlternateContent>
          <mc:Choice Requires="wps">
            <w:drawing>
              <wp:anchor behindDoc="0" distT="6985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3"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executive leadership team of Standard BioTools following consummation of the Merger; </w:t>
      </w:r>
      <w:r>
        <mc:AlternateContent>
          <mc:Choice Requires="wps">
            <w:drawing>
              <wp:anchor behindDoc="0" distT="5715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4"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of equity awards; </w:t>
      </w:r>
      <w:r>
        <mc:AlternateContent>
          <mc:Choice Requires="wps">
            <w:drawing>
              <wp:anchor behindDoc="0" distT="5715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5"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severance benefits under preexisting severance arrangements; </w:t>
      </w:r>
      <w:r>
        <mc:AlternateContent>
          <mc:Choice Requires="wps">
            <w:drawing>
              <wp:anchor behindDoc="0" distT="5715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6"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certain employee benefits; and </w:t>
      </w:r>
      <w:r>
        <mc:AlternateContent>
          <mc:Choice Requires="wps">
            <w:drawing>
              <wp:anchor behindDoc="0" distT="5715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7"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in favor of the current and former directors and officers of Standard BioTools, as well as certain obligations related to the maintenance of directors’ and officers’ liability insurance. </w:t>
      </w:r>
      <w:r>
        <mc:AlternateContent>
          <mc:Choice Requires="wps">
            <w:drawing>
              <wp:anchor behindDoc="0" distT="5715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8"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interests are described in more detail below and may present such executive officers and directors with actual or potential conflicts of interest. The Standard BioTools Board was aware of these interests during its deliberations on the merits of the Merger and in deciding to recommend that Standard BioTools stockholders vote for the Standard BioTools Proposals.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Leadership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Time, Michael Egholm, Ph.D., Fenel M. Eloi, Frank Witney, Ph.D. and Eli Casdin, members of the Standard BioTools Board, will continue as directors after the Merger, and, following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RWC2"/>
      <w:bookmarkEnd w:id="110"/>
      <w:r>
        <w:rPr>
          <w:rFonts w:ascii="calibri;arial;sans-serif" w:hAnsi="calibri;arial;sans-serif"/>
          <w:b w:val="false"/>
          <w:i w:val="false"/>
          <w:caps w:val="false"/>
          <w:smallCaps w:val="false"/>
          <w:color w:val="000000"/>
          <w:sz w:val="16"/>
        </w:rPr>
        <w:t>​</w:t>
      </w:r>
      <w:bookmarkStart w:id="111" w:name="tTODE1"/>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closing of the Merger, Mr. Eloi, Dr. Witney and Mr. Casdin will be eligible to be compensated as directors of Standard BioTools pursuant to Standard BioTools’ director compensation policy that is expected to remain in place following the Merger.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Dr. Egholm, currently the Chief Executive Officer, President and a director of Standard BioTools, is expected to continue as chief executive officer of the combined company. In addition to Dr. Egholm, certain of Standard BioTools’ current executive leadership team are expected to continue to serve as executive officers the combined company after the consummation of the Merger, including Jeffrey Black, currently the Chief Financial Officer of Standard BioTools, who is expected to continue as chief financial officer of the combined company, and Hanjoon Alex Kim who is expected to continue to serve as chief operating officer of the combined company. For a more detailed discussion of the board of directors and management of the combined company as of the Effective Time, see the section entitled “</w:t>
      </w:r>
      <w:r>
        <w:rPr>
          <w:rFonts w:ascii="Times New Roman;Times;serif" w:hAnsi="Times New Roman;Times;serif"/>
          <w:b w:val="false"/>
          <w:i/>
          <w:caps w:val="false"/>
          <w:smallCaps w:val="false"/>
          <w:color w:val="000000"/>
          <w:spacing w:val="4"/>
          <w:sz w:val="20"/>
        </w:rPr>
        <w:t>The Merger Agreement — Directors, Officers and Committee Chairs of Standard BioTools Following the Merger</w:t>
      </w:r>
      <w:r>
        <w:rPr>
          <w:rFonts w:ascii="Times New Roman;Times;serif" w:hAnsi="Times New Roman;Times;serif"/>
          <w:b w:val="false"/>
          <w:i w:val="false"/>
          <w:caps w:val="false"/>
          <w:smallCaps w:val="false"/>
          <w:color w:val="000000"/>
          <w:spacing w:val="4"/>
          <w:sz w:val="20"/>
        </w:rPr>
        <w:t xml:space="preserve">” beginning on page </w:t>
      </w:r>
      <w:hyperlink w:anchor="tDOAC">
        <w:r>
          <w:rPr>
            <w:rStyle w:val="InternetLink"/>
          </w:rPr>
          <w:t>144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Relationships with Casdin Capital</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Below is a summary description of Casdin Capital’s and Mr. Casdin’s relationship as a stockholder, including as a holder of Series B-1 Preferred Stock, and as a board member of each of Standard BioTools and SomaLogic.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Standard BioTools.</w:t>
      </w:r>
      <w:r>
        <w:rPr>
          <w:rFonts w:ascii="Times New Roman;Times;serif" w:hAnsi="Times New Roman;Times;serif"/>
          <w:b w:val="false"/>
          <w:i w:val="false"/>
          <w:caps w:val="false"/>
          <w:smallCaps w:val="false"/>
          <w:color w:val="000000"/>
          <w:spacing w:val="4"/>
          <w:sz w:val="20"/>
        </w:rPr>
        <w:t>   Both Casdin Capital and Viking (including through their respective affiliated entities) hold Series B Preferred Stock of Standard BioTools. Casdin Capital holds Series B-1 Preferred Stock that has voting power equal to approximately 15% of the combined Standard BioTools Common Stock and Series B Preferred Stock voting power as a single class (after giving effect to a “voting blocker” provision in the Series B-1 Preferred Stock Certificate of Designations), and approximately 24.3% of the combined Standard BioTools Common Stock and Series B Preferred Stock voting power as a single class in the event that Casdin Capital were to exercise its rights to eliminate this “voting blocker” ​(as it is entitled to do upon advance notice pursuant to the Series B-1 Preferred Stock Certificate of Designations). The same provision exists for the Series B-2 Preferred Stock with respect to Viking. Further, subject to maintaining certain minimum ownership levels, the Series B-1 Certificate of Designations and the Series B-2 Certificate of Designations allow each of Casdin Capital and Viking to designate one director to the Standard BioTools Board, and each such director is entitled to consent rights over certain actions, including an M&amp;A transaction like the proposed transaction between Standard BioTools and SomaLogic. The Series B-1 director is Mr. Casdin. The Series B-1 Preferred Stock and Series B-2 Preferred Stock also have a right to require redemption of the Series B-1 Preferred Stock and Series B-2 Preferred Stock, respectively, in the event of a “Change of Control” as defined in the Certificates of Designations of the Series B Preferred Stock (the “Series B Put Right”). For more information about the rights of the Series B-1 Preferred Stock and Series B-2 Preferred Stock, see the section entitled “</w:t>
      </w:r>
      <w:r>
        <w:rPr>
          <w:rFonts w:ascii="Times New Roman;Times;serif" w:hAnsi="Times New Roman;Times;serif"/>
          <w:b w:val="false"/>
          <w:i/>
          <w:caps w:val="false"/>
          <w:smallCaps w:val="false"/>
          <w:color w:val="000000"/>
          <w:spacing w:val="4"/>
          <w:sz w:val="20"/>
        </w:rPr>
        <w:t>Description of Capital Stock</w:t>
      </w:r>
      <w:r>
        <w:rPr>
          <w:rFonts w:ascii="Times New Roman;Times;serif" w:hAnsi="Times New Roman;Times;serif"/>
          <w:b w:val="false"/>
          <w:i w:val="false"/>
          <w:caps w:val="false"/>
          <w:smallCaps w:val="false"/>
          <w:color w:val="000000"/>
          <w:spacing w:val="4"/>
          <w:sz w:val="20"/>
        </w:rPr>
        <w:t xml:space="preserve">” beginning on page </w:t>
      </w:r>
      <w:hyperlink w:anchor="tDOCS">
        <w:r>
          <w:rPr>
            <w:rStyle w:val="InternetLink"/>
          </w:rPr>
          <w:t>178</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w:t>
      </w:r>
      <w:r>
        <w:rPr>
          <w:rFonts w:ascii="Times New Roman;Times;serif" w:hAnsi="Times New Roman;Times;serif"/>
          <w:b w:val="false"/>
          <w:i w:val="false"/>
          <w:caps w:val="false"/>
          <w:smallCaps w:val="false"/>
          <w:color w:val="000000"/>
          <w:spacing w:val="4"/>
          <w:sz w:val="20"/>
        </w:rPr>
        <w:t xml:space="preserve">   Casdin Capital owns approximately 10% of the outstanding SomaLogic Common Stock based on SomaLogic’s Annual Proxy Statement dated April 25, 2023 and Mr. Casdin is a member of the SomaLogic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foregoing,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Director and Executive Officer Standard BioTools Equity Awards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Standard BioTools’ directors and executive officers hold outstanding Standard BioTools Stock Options and Standard BioTools RSUs. The Standard BioTools 2011 Equity Incentive Plan (the “A&amp;R 2011 Plan”) and Standard BioTools 2022 Inducement Equity Incentive Plan (the “2022 Inducement Plan”, and together with the A&amp;R 2011 Plan, the “Plans”) provide for full acceleration of all outstanding awards in the event of a change of control of Standard BioTools where the successor company does not assume outstanding Standard BioTools Stock Options and other awards in connection with such acquisition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EASA1"/>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Standard BioTools has determined that the Merger will constitute a change in control under the Plans. Except as described below, the Standard BioTools awards will continue with the combined company, and there will be no acceleration of vesting of the outstanding Standard BioTools Stock Options and Standard BioTools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outside director compensation policy, which applies to non-employee directors of Standard BioTools, provides that in the event of a change of control as defined in the A&amp;R 2011 Plan, all unvested equity awards then held by non-employee directors will vest fully and become exercisable as to all shares thereunder regardless of performance goals, vesting criteria, or other conditions.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Standard BioTools’ non-employee directors, the number of Standard BioTools Stock Options and Standard BioTools RSUs held by the director as of October 15, 2023. Depending on when the Closing Date occurs, certain equity-based awards shown in the table may vest in accordance with their terms prior to the Closing Date, or may be exercised or forfeited (upon a termination of service). </w:t>
      </w:r>
    </w:p>
    <w:tbl>
      <w:tblPr>
        <w:tblW w:w="8812" w:type="dxa"/>
        <w:jc w:val="left"/>
        <w:tblInd w:w="1393" w:type="dxa"/>
        <w:tblLayout w:type="fixed"/>
        <w:tblCellMar>
          <w:top w:w="0" w:type="dxa"/>
          <w:left w:w="0" w:type="dxa"/>
          <w:bottom w:w="43" w:type="dxa"/>
          <w:right w:w="0" w:type="dxa"/>
        </w:tblCellMar>
      </w:tblPr>
      <w:tblGrid>
        <w:gridCol w:w="2531"/>
        <w:gridCol w:w="109"/>
        <w:gridCol w:w="109"/>
        <w:gridCol w:w="118"/>
        <w:gridCol w:w="118"/>
        <w:gridCol w:w="1024"/>
        <w:gridCol w:w="118"/>
        <w:gridCol w:w="109"/>
        <w:gridCol w:w="109"/>
        <w:gridCol w:w="149"/>
        <w:gridCol w:w="149"/>
        <w:gridCol w:w="1131"/>
        <w:gridCol w:w="149"/>
        <w:gridCol w:w="109"/>
        <w:gridCol w:w="109"/>
        <w:gridCol w:w="109"/>
        <w:gridCol w:w="109"/>
        <w:gridCol w:w="820"/>
        <w:gridCol w:w="109"/>
        <w:gridCol w:w="109"/>
        <w:gridCol w:w="109"/>
        <w:gridCol w:w="109"/>
        <w:gridCol w:w="109"/>
        <w:gridCol w:w="820"/>
        <w:gridCol w:w="109"/>
        <w:gridCol w:w="159"/>
      </w:tblGrid>
      <w:tr>
        <w:trPr/>
        <w:tc>
          <w:tcPr>
            <w:tcW w:w="2531"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gridSpan w:val="4"/>
            <w:tcBorders>
              <w:bottom w:val="single" w:sz="2" w:space="0" w:color="000000"/>
            </w:tcBorders>
            <w:vAlign w:val="center"/>
          </w:tcPr>
          <w:p>
            <w:pPr>
              <w:pStyle w:val="TableContents"/>
              <w:bidi w:val="0"/>
              <w:spacing w:before="0" w:after="0"/>
              <w:jc w:val="center"/>
              <w:rPr/>
            </w:pPr>
            <w:r>
              <w:rPr>
                <w:spacing w:val="-3"/>
              </w:rPr>
              <w:t xml:space="preserve">Vested 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8" w:type="dxa"/>
            <w:gridSpan w:val="4"/>
            <w:tcBorders>
              <w:bottom w:val="single" w:sz="2" w:space="0" w:color="000000"/>
            </w:tcBorders>
            <w:vAlign w:val="center"/>
          </w:tcPr>
          <w:p>
            <w:pPr>
              <w:pStyle w:val="TableContents"/>
              <w:bidi w:val="0"/>
              <w:spacing w:before="0" w:after="0"/>
              <w:jc w:val="center"/>
              <w:rPr/>
            </w:pPr>
            <w:r>
              <w:rPr>
                <w:spacing w:val="-3"/>
              </w:rPr>
              <w:t xml:space="preserve">Unvested 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7" w:type="dxa"/>
            <w:gridSpan w:val="4"/>
            <w:tcBorders>
              <w:bottom w:val="single" w:sz="2" w:space="0" w:color="000000"/>
            </w:tcBorders>
            <w:vAlign w:val="center"/>
          </w:tcPr>
          <w:p>
            <w:pPr>
              <w:pStyle w:val="TableContents"/>
              <w:bidi w:val="0"/>
              <w:spacing w:before="0" w:after="0"/>
              <w:jc w:val="center"/>
              <w:rPr/>
            </w:pPr>
            <w:r>
              <w:rPr>
                <w:spacing w:val="-3"/>
              </w:rPr>
              <w:t xml:space="preserve">Vested </w:t>
            </w:r>
            <w:r>
              <w:rPr/>
              <w:br/>
            </w:r>
            <w:r>
              <w:rPr>
                <w:spacing w:val="-3"/>
              </w:rPr>
              <w:t>RSUs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7"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RSUs (#)</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31" w:type="dxa"/>
            <w:tcBorders/>
            <w:shd w:fill="CCEEFF" w:val="clear"/>
            <w:tcMar>
              <w:bottom w:w="0" w:type="dxa"/>
            </w:tcMar>
            <w:vAlign w:val="center"/>
          </w:tcPr>
          <w:p>
            <w:pPr>
              <w:pStyle w:val="TableContents"/>
              <w:bidi w:val="0"/>
              <w:spacing w:before="0" w:after="0"/>
              <w:jc w:val="left"/>
              <w:rPr>
                <w:spacing w:val="4"/>
              </w:rPr>
            </w:pPr>
            <w:r>
              <w:rPr>
                <w:spacing w:val="4"/>
              </w:rPr>
              <w:t xml:space="preserve">Eli Casdin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 xml:space="preserve">60,214 </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131" w:type="dxa"/>
            <w:tcBorders/>
            <w:shd w:fill="CCEEFF" w:val="clear"/>
            <w:tcMar>
              <w:bottom w:w="0" w:type="dxa"/>
            </w:tcMar>
            <w:vAlign w:val="center"/>
          </w:tcPr>
          <w:p>
            <w:pPr>
              <w:pStyle w:val="TableContents"/>
              <w:bidi w:val="0"/>
              <w:spacing w:before="0" w:after="283"/>
              <w:jc w:val="right"/>
              <w:rPr/>
            </w:pPr>
            <w:r>
              <w:rPr/>
              <w:t xml:space="preserve">41,138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 xml:space="preserve">3,895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 xml:space="preserve">38,063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531" w:type="dxa"/>
            <w:tcBorders/>
            <w:tcMar>
              <w:bottom w:w="0" w:type="dxa"/>
            </w:tcMar>
            <w:vAlign w:val="center"/>
          </w:tcPr>
          <w:p>
            <w:pPr>
              <w:pStyle w:val="TableContents"/>
              <w:bidi w:val="0"/>
              <w:spacing w:before="0" w:after="0"/>
              <w:jc w:val="left"/>
              <w:rPr>
                <w:spacing w:val="4"/>
              </w:rPr>
            </w:pPr>
            <w:r>
              <w:rPr>
                <w:spacing w:val="4"/>
              </w:rPr>
              <w:t xml:space="preserve">Laura Clague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1024" w:type="dxa"/>
            <w:tcBorders/>
            <w:tcMar>
              <w:bottom w:w="0" w:type="dxa"/>
            </w:tcMar>
            <w:vAlign w:val="center"/>
          </w:tcPr>
          <w:p>
            <w:pPr>
              <w:pStyle w:val="TableContents"/>
              <w:bidi w:val="0"/>
              <w:spacing w:before="0" w:after="283"/>
              <w:jc w:val="right"/>
              <w:rPr/>
            </w:pPr>
            <w:r>
              <w:rPr/>
              <w:t xml:space="preserve">112,555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131" w:type="dxa"/>
            <w:tcBorders/>
            <w:tcMar>
              <w:bottom w:w="0" w:type="dxa"/>
            </w:tcMar>
            <w:vAlign w:val="center"/>
          </w:tcPr>
          <w:p>
            <w:pPr>
              <w:pStyle w:val="TableContents"/>
              <w:bidi w:val="0"/>
              <w:spacing w:before="0" w:after="283"/>
              <w:jc w:val="right"/>
              <w:rPr/>
            </w:pPr>
            <w:r>
              <w:rPr/>
              <w:t xml:space="preserve">23,587 </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 xml:space="preserve">47,501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 xml:space="preserve">26,376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531" w:type="dxa"/>
            <w:tcBorders/>
            <w:shd w:fill="CCEEFF" w:val="clear"/>
            <w:tcMar>
              <w:bottom w:w="0" w:type="dxa"/>
            </w:tcMar>
            <w:vAlign w:val="center"/>
          </w:tcPr>
          <w:p>
            <w:pPr>
              <w:pStyle w:val="TableContents"/>
              <w:bidi w:val="0"/>
              <w:spacing w:before="0" w:after="0"/>
              <w:jc w:val="left"/>
              <w:rPr>
                <w:spacing w:val="4"/>
              </w:rPr>
            </w:pPr>
            <w:r>
              <w:rPr>
                <w:spacing w:val="4"/>
              </w:rPr>
              <w:t xml:space="preserve">Fenel Eloi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 xml:space="preserve">11,793 </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131" w:type="dxa"/>
            <w:tcBorders/>
            <w:shd w:fill="CCEEFF" w:val="clear"/>
            <w:tcMar>
              <w:bottom w:w="0" w:type="dxa"/>
            </w:tcMar>
            <w:vAlign w:val="center"/>
          </w:tcPr>
          <w:p>
            <w:pPr>
              <w:pStyle w:val="TableContents"/>
              <w:bidi w:val="0"/>
              <w:spacing w:before="0" w:after="283"/>
              <w:jc w:val="right"/>
              <w:rPr/>
            </w:pPr>
            <w:r>
              <w:rPr/>
              <w:t xml:space="preserve">23,587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 xml:space="preserve">98,463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531" w:type="dxa"/>
            <w:tcBorders/>
            <w:tcMar>
              <w:bottom w:w="0" w:type="dxa"/>
            </w:tcMar>
            <w:vAlign w:val="center"/>
          </w:tcPr>
          <w:p>
            <w:pPr>
              <w:pStyle w:val="TableContents"/>
              <w:bidi w:val="0"/>
              <w:spacing w:before="0" w:after="0"/>
              <w:jc w:val="left"/>
              <w:rPr>
                <w:spacing w:val="4"/>
              </w:rPr>
            </w:pPr>
            <w:r>
              <w:rPr>
                <w:spacing w:val="4"/>
              </w:rPr>
              <w:t xml:space="preserve">Martin Madaus,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1024" w:type="dxa"/>
            <w:tcBorders/>
            <w:tcMar>
              <w:bottom w:w="0" w:type="dxa"/>
            </w:tcMar>
            <w:vAlign w:val="center"/>
          </w:tcPr>
          <w:p>
            <w:pPr>
              <w:pStyle w:val="TableContents"/>
              <w:bidi w:val="0"/>
              <w:spacing w:before="0" w:after="283"/>
              <w:jc w:val="right"/>
              <w:rPr/>
            </w:pPr>
            <w:r>
              <w:rPr/>
              <w:t xml:space="preserve">60,214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131" w:type="dxa"/>
            <w:tcBorders/>
            <w:tcMar>
              <w:bottom w:w="0" w:type="dxa"/>
            </w:tcMar>
            <w:vAlign w:val="center"/>
          </w:tcPr>
          <w:p>
            <w:pPr>
              <w:pStyle w:val="TableContents"/>
              <w:bidi w:val="0"/>
              <w:spacing w:before="0" w:after="283"/>
              <w:jc w:val="right"/>
              <w:rPr/>
            </w:pPr>
            <w:r>
              <w:rPr/>
              <w:t xml:space="preserve">41,138 </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 xml:space="preserve">27,717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 xml:space="preserve">45,480 </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531" w:type="dxa"/>
            <w:tcBorders/>
            <w:shd w:fill="CCEEFF" w:val="clear"/>
            <w:tcMar>
              <w:bottom w:w="0" w:type="dxa"/>
            </w:tcMar>
            <w:vAlign w:val="center"/>
          </w:tcPr>
          <w:p>
            <w:pPr>
              <w:pStyle w:val="TableContents"/>
              <w:bidi w:val="0"/>
              <w:spacing w:before="0" w:after="0"/>
              <w:jc w:val="left"/>
              <w:rPr>
                <w:spacing w:val="4"/>
              </w:rPr>
            </w:pPr>
            <w:r>
              <w:rPr>
                <w:spacing w:val="4"/>
              </w:rPr>
              <w:t xml:space="preserve">Carlos Paya, M.D.,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 xml:space="preserve">— </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131" w:type="dxa"/>
            <w:tcBorders/>
            <w:shd w:fill="CCEEFF" w:val="clear"/>
            <w:tcMar>
              <w:bottom w:w="0" w:type="dxa"/>
            </w:tcMar>
            <w:vAlign w:val="center"/>
          </w:tcPr>
          <w:p>
            <w:pPr>
              <w:pStyle w:val="TableContents"/>
              <w:bidi w:val="0"/>
              <w:spacing w:before="0" w:after="283"/>
              <w:jc w:val="right"/>
              <w:rPr/>
            </w:pPr>
            <w:r>
              <w:rPr/>
              <w:t xml:space="preserve">—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 xml:space="preserve">26,376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531" w:type="dxa"/>
            <w:tcBorders/>
            <w:tcMar>
              <w:bottom w:w="0" w:type="dxa"/>
            </w:tcMar>
            <w:vAlign w:val="center"/>
          </w:tcPr>
          <w:p>
            <w:pPr>
              <w:pStyle w:val="TableContents"/>
              <w:bidi w:val="0"/>
              <w:spacing w:before="0" w:after="0"/>
              <w:jc w:val="left"/>
              <w:rPr>
                <w:spacing w:val="4"/>
              </w:rPr>
            </w:pPr>
            <w:r>
              <w:rPr>
                <w:spacing w:val="4"/>
              </w:rPr>
              <w:t xml:space="preserve">Franklin Witney,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1024" w:type="dxa"/>
            <w:tcBorders/>
            <w:tcMar>
              <w:bottom w:w="0" w:type="dxa"/>
            </w:tcMar>
            <w:vAlign w:val="center"/>
          </w:tcPr>
          <w:p>
            <w:pPr>
              <w:pStyle w:val="TableContents"/>
              <w:bidi w:val="0"/>
              <w:spacing w:before="0" w:after="283"/>
              <w:jc w:val="right"/>
              <w:rPr/>
            </w:pP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131" w:type="dxa"/>
            <w:tcBorders/>
            <w:tcMar>
              <w:bottom w:w="0" w:type="dxa"/>
            </w:tcMar>
            <w:vAlign w:val="center"/>
          </w:tcPr>
          <w:p>
            <w:pPr>
              <w:pStyle w:val="TableContents"/>
              <w:bidi w:val="0"/>
              <w:spacing w:before="0" w:after="283"/>
              <w:jc w:val="right"/>
              <w:rPr/>
            </w:pPr>
            <w:r>
              <w:rPr/>
              <w:t xml:space="preserve">— </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 xml:space="preserve">3,895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38,063</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Carlos V. Paya, M.D., Ph.D., Laura M. Clague and Martin D. Madaus, Ph.D., each of whom is currently a member of the Standard BioTools Board, will resign from the Standard BioTools Board effective as of the Effective Time. It is anticipated that, effective upon the Effective Time, all outstanding equity awards issued by Standard BioTools and held by such directors will become fully vested and that the period during which such directors may exercise such equity awards (as applicable) will be extended to the date that is twelve months following the Effective Time. Fenel M. Eloi, Frank Witney, Ph.D. and Eli Casdin, non-employee members of the Standard BioTools Board, will continue as directors after the Merger, and they have each waived their right to acceleration of unvested equity awards under the outside director compensation policy. </w:t>
      </w:r>
    </w:p>
    <w:p>
      <w:pPr>
        <w:pStyle w:val="TextBody"/>
        <w:bidi w:val="0"/>
        <w:spacing w:lineRule="atLeast" w:line="240" w:before="22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Severance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previously adopted the 2023 Change of Control and Severance Plan and entered into 2023 Change of Control and Severance Plan Participation Agreements (together, the “Standard BioTools Severance Plan”), with each of Dr. Egholm, Jeffrey Black, Hanjoon Alex Kim and Jeremy Davis (the “Standard BioTools Non-CEO Executives,” and together with Dr. Egholm, the “Standard BioTools Executives”). Each of the Standard BioTools Executives is eligible to receive certain payments and benefits under the Standard BioTools Severance Plan in the event that the Standard BioTools Executive’s employment with Standard BioTools is terminated without “cause,” or the Standard BioTools Executive terminates his or her employment with Standard BioTools for “good reason” ​(each as defined in the Standard BioTools Severance Plan). All of the Standard BioTools Executives are expected to continue employment with the combined company after the consummation of the Merger so Standard BioTools does not expect to pay any of the severance payments and benefits described below upon consummation of the Merger. </w:t>
      </w:r>
    </w:p>
    <w:p>
      <w:pPr>
        <w:pStyle w:val="TextBody"/>
        <w:bidi w:val="0"/>
        <w:spacing w:lineRule="atLeast" w:line="240" w:before="22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Employment Other than for Cause or upon Death or Disability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BioTools Severance Plan, if the Standard BioTools Executive’s employment is terminated outside of the period beginning three months before a change of control and ending 12 months after a change of control (such period, the “Change of Control Period”) for a reason other than cause or the Standard BioTools Executive’s death or disability, the Standard BioTools Executive will be entitled to receive the following severance benefits: </w:t>
      </w:r>
    </w:p>
    <w:p>
      <w:pPr>
        <w:pStyle w:val="TextBody"/>
        <w:bidi w:val="0"/>
        <w:spacing w:lineRule="atLeast" w:line="240" w:before="8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payments (less applicable withholdings) totaling 75% of the Standard BioTools Executive’s annual base salary in effect as of the date of termination in equal installments over a period of </w:t>
      </w:r>
      <w:r>
        <mc:AlternateContent>
          <mc:Choice Requires="wps">
            <w:drawing>
              <wp:anchor behindDoc="0" distT="5461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9"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nine months in the case of the Non-CEO Executives, or, in the case of the Chief Executive Officer, 200% of his annual base salary paid in equal installments over a period of 24 months.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costs of continued health coverage for the Standard BioTools Executive, the Standard BioTools Executive’s spouse, and/or the Standard BioTools Executive’s dependents, as applicable, for a period of up to 9 months in the case of the Non-CEO Executives, or, in the case of the Chief Executive Officer, 12 months. </w:t>
      </w:r>
      <w:r>
        <mc:AlternateContent>
          <mc:Choice Requires="wps">
            <w:drawing>
              <wp:anchor behindDoc="0" distT="7747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0"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outplacement services in accordance with any applicable policy of Standard BioTools that is in effect as of the Standard BioTools Executive’s termination (or if no such policy is in effect, as determined by Standard BioTools). </w:t>
      </w:r>
      <w:r>
        <mc:AlternateContent>
          <mc:Choice Requires="wps">
            <w:drawing>
              <wp:anchor behindDoc="0" distT="7747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1"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Chief Executive Officer, pursuant to Dr. Egholm’s Participation Agreement, 100% vesting acceleration of a number of unvested shares underlying Dr. Egholm’s then-outstanding equity awards that otherwise would vest during the period between his termination date and the one-year anniversary of his termination date (with the remainder forfeited on termination). </w:t>
      </w:r>
      <w:r>
        <mc:AlternateContent>
          <mc:Choice Requires="wps">
            <w:drawing>
              <wp:anchor behindDoc="0" distT="7747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2"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Employment without Cause or for Good Reason Following a Change of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BioTools Severance Plan, if the executive’s employment is terminated within the Change of Control Period either (i) by Standard BioTools for a reason other than cause or the Standard BioTools Executive’s death or disability or (ii) by the Standard BioTools Executive for good reason, the Standard BioTools Executive will be entitled to receive the following severance benefits: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lump-sum payment (less applicable withholdings) totaling 150% in the case of the Non-CEO Executives, or, in the case of the Chief Executive Officer, 250%, of the sum of (x) the Standard BioTools Executive’s annual base salary (as in effect immediately before termination or immediately before the change of control, whichever is higher) plus (y) the greater of (A) the Standard BioTools Executive’s annual target bonus (as in effect immediately before termination or immediately before the change of control, whichever is higher) or (B) the average of the annual bonuses actually paid to the Standard BioTools Executive for the three fiscal years preceding the year in which termination occurs.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3"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pro-rated payment of the Standard BioTools Executive’s annual target bonus in effect at the time of the change of control.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4"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costs for continued health coverage for the Standard BioTools Executive, the Standard BioTools Executive’s spouse, and/or the Standard BioTools Executive’s dependents, as applicable, for a period of up to 18 months in the case of the Non-CEO Executives, or, in the case of the Chief Executive Officer, 30 months.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5"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vesting acceleration of the Standard BioTools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6"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7"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Conditions to the Receipt of Severance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payments and benefits described above are conditioned upon each Standard BioTools Executive’s timely execution and non-revocation of a separation and release of claims agreement in a form reasonably satisfactory to Standard BioTools within the period set forth in the Standard BioTools Severance Plan and compliance with any confidentiality, proprietary information and inventions assignment agreement and any other appropriate agreement between the Standard BioTools Executive and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QOPP"/>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6"/>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Termination of Employment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280G Cutback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to a Standard BioTools Executive, as applicable, under the Standard BioTools Severance Plan, including, without limitation, the payment of severance benefits or the accelerated vesting of equity, will be reduced or adjusted to avoid triggering the excise tax imposed by Section 4999 of the Code, if such adjustment would result in the provision of a greater total benefit, on a net after-tax basis (after taking into account taking any applicable federal, state and local income taxes and the excise tax imposed by Section 4999), to the Standard BioTools Executive.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the Standard BioTools Severance Plan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Standard BioTools Executive Officers, the Standard BioTools Severance Plan has an initial three-year term ending on July 24, 2026, and automatically renews thereafter for successive one-year periods. For Standard BioTools participants at the “vice president” level, the Standard BioTools Severance Plan has an initial one-year term ending on July 24, 2024 and expires unless explicitly renewed by the Compensation Committee of the Standard BioTools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Standard BioTools Named Executive Officers and SomaLogic’s Chief Executive Officer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compensation that are based on or otherwise relate to the Merger that may become payable to each of Standard BioTools’ named executive officers, as determined for purposes of Standard BioTools’ most recent annual proxy statement, assuming the Merger is completed as of November 6, 2023 (which is an assumed date solely for the purposes of the calculations in this section) and, with respect to severance amounts, assuming the named executive officer experienced a qualified termination of employment on such date. The equity award values are calculated based on the average closing market price of Standard BioTools Common Stock over the five trading-day period commencing on October 4, 2023, or $1.946. Stephen Christopher Linthwaite, Standard BioTools’ former Chief Executive Officer, and Vikram Jog, Standard BioTools’ former Chief Financial Officer, were named executive officers during Standard BioTools’ last full fiscal year prior to the date of the Merger Agreement, but their employment as executive officers of Standard BioTools ended effective April 4, 2022 and May 14, 2023, respectively; they are not entitled to any payments or benefits in connection with the Merger, so they are therefore not included in the table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amounts below are based on multiple assumptions that may not actually occur, including assumptions described in this joint proxy statement/prospectus.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Golden Parachute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golden parachute compensation that will or may be payable to Standard BioTools’ named executive officers. </w:t>
      </w:r>
    </w:p>
    <w:tbl>
      <w:tblPr>
        <w:tblW w:w="8936" w:type="dxa"/>
        <w:jc w:val="left"/>
        <w:tblInd w:w="1393" w:type="dxa"/>
        <w:tblLayout w:type="fixed"/>
        <w:tblCellMar>
          <w:top w:w="0" w:type="dxa"/>
          <w:left w:w="0" w:type="dxa"/>
          <w:bottom w:w="43" w:type="dxa"/>
          <w:right w:w="0" w:type="dxa"/>
        </w:tblCellMar>
      </w:tblPr>
      <w:tblGrid>
        <w:gridCol w:w="970"/>
        <w:gridCol w:w="109"/>
        <w:gridCol w:w="109"/>
        <w:gridCol w:w="109"/>
        <w:gridCol w:w="226"/>
        <w:gridCol w:w="1366"/>
        <w:gridCol w:w="109"/>
        <w:gridCol w:w="109"/>
        <w:gridCol w:w="109"/>
        <w:gridCol w:w="109"/>
        <w:gridCol w:w="226"/>
        <w:gridCol w:w="1366"/>
        <w:gridCol w:w="109"/>
        <w:gridCol w:w="109"/>
        <w:gridCol w:w="109"/>
        <w:gridCol w:w="109"/>
        <w:gridCol w:w="226"/>
        <w:gridCol w:w="1066"/>
        <w:gridCol w:w="109"/>
        <w:gridCol w:w="109"/>
        <w:gridCol w:w="109"/>
        <w:gridCol w:w="109"/>
        <w:gridCol w:w="226"/>
        <w:gridCol w:w="1366"/>
        <w:gridCol w:w="109"/>
        <w:gridCol w:w="154"/>
      </w:tblGrid>
      <w:tr>
        <w:trPr/>
        <w:tc>
          <w:tcPr>
            <w:tcW w:w="970"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Cash</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Equity</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Perquisites/</w:t>
            </w:r>
            <w:r>
              <w:rPr/>
              <w:t>​</w:t>
              <w:br/>
            </w:r>
            <w:r>
              <w:rPr>
                <w:spacing w:val="-3"/>
              </w:rPr>
              <w:t>Benefits</w:t>
            </w:r>
            <w:r>
              <w:rPr>
                <w:spacing w:val="-2"/>
                <w:sz w:val="10"/>
              </w:rPr>
              <w:t>(3)</w:t>
            </w:r>
            <w:r>
              <w:rPr/>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Total</w:t>
            </w:r>
            <w:r>
              <w:rPr>
                <w:spacing w:val="-2"/>
                <w:sz w:val="10"/>
              </w:rPr>
              <w:t>(4)</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70"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2,805,308.22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1,597,891.74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96,947.23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4,500,147.19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0" w:type="dxa"/>
            <w:tcBorders/>
            <w:tcMar>
              <w:bottom w:w="0" w:type="dxa"/>
            </w:tcMar>
            <w:vAlign w:val="center"/>
          </w:tcPr>
          <w:p>
            <w:pPr>
              <w:pStyle w:val="TableContents"/>
              <w:bidi w:val="0"/>
              <w:spacing w:before="0" w:after="0"/>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1,044,606.16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428,083.60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42,383.03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1,472,689.76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70"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1,107,534.25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559,930.36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42,346.42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1,709,811.03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0" w:type="dxa"/>
            <w:tcBorders/>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1,057,191.78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973,000.00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58,168.34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2,088,360.12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cash amounts to which Standard BioTools’ named executive officers would be entitled as severance payments under the Standard BioTools Severance Plan, consisting of (i) with respect to Dr. Egholm, 250% his annual base salary, his annual target bonus, and his pro-rated annual target bonus; and (ii) with respect to the other named executive officers, 150% of the executive’s annual base salary, the executive’s annual target bonus, and executive’s pro-rated annual target bonus. The cash severance payment is “double trigger” and would be due upon a termination of the named executive officer’s employment without cause or a resignation by the named executive officer for good reason, in each case during a Change of Control Period. The cash severance payment is subject to the Standard BioTools Executive’s timely execution and non-revocation of a separation and release of claims agreement in a form reasonably satisfactory to Standard BioTools within the period set forth in the Standard BioTools Severance Plan. Standard BioTools has determined that the Merger will constitute a change in control under the Standard BioTools Severance Plan. </w:t>
      </w:r>
      <w:r>
        <mc:AlternateContent>
          <mc:Choice Requires="wps">
            <w:drawing>
              <wp:anchor behindDoc="0" distT="100330" distB="0" distL="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78"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The vesting of equity awards held by the named executive officers are subject to “double trigger” acceleration pursuant to the terms of the Standard BioTools Severance Plan and will be fully accelerated upon a termination of the named executive officer’s employment without cause or a resignation by the named executive officer for good reason, in each case during a Change of Control Period. Standard BioTools has determined that the Merger will constitute a change of control under the Standard BioTools Severance Plan. The amounts reported in this column were calculated based on the difference between Standard BioTools’ average closing market price of $1.946 over the first five business days following public announcement of the Merger and the exercise price, if any, of the equity award. The following table shows the number of shares subject to unvested Standard BioTools Stock Options and Standard BioTools RSUs and quantifies the value of the unvested Standard BioTools Stock Options and Standard BioTools RSUs held by the named executive officers that would accelerate upon a qualifying termination of employment in connection with the Merger based on the assumptions described above. Certain Standard BioTools Stock Options held by the named executive officers have exercise prices that are higher than $1.946 per share and, accordingly, the value included for these Standard BioTools Stock Options is $0. These numbers do not forecast any grants, additional issuances, dividends or additional deferrals of equity-based awards following the date of this joint proxy statement/prospectus. Depending on when the Closing Date occurs, certain equity-based awards shown in the table may vest in accordance with their terms prior to the Closing Date or may be exercised or forfeited (upon a termination of service). </w:t>
      </w:r>
      <w:r>
        <mc:AlternateContent>
          <mc:Choice Requires="wps">
            <w:drawing>
              <wp:anchor behindDoc="0" distT="49530" distB="0" distL="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79"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1419"/>
        <w:gridCol w:w="109"/>
        <w:gridCol w:w="109"/>
        <w:gridCol w:w="122"/>
        <w:gridCol w:w="122"/>
        <w:gridCol w:w="1222"/>
        <w:gridCol w:w="122"/>
        <w:gridCol w:w="109"/>
        <w:gridCol w:w="109"/>
        <w:gridCol w:w="128"/>
        <w:gridCol w:w="267"/>
        <w:gridCol w:w="916"/>
        <w:gridCol w:w="131"/>
        <w:gridCol w:w="109"/>
        <w:gridCol w:w="109"/>
        <w:gridCol w:w="128"/>
        <w:gridCol w:w="128"/>
        <w:gridCol w:w="1118"/>
        <w:gridCol w:w="128"/>
        <w:gridCol w:w="109"/>
        <w:gridCol w:w="109"/>
        <w:gridCol w:w="109"/>
        <w:gridCol w:w="226"/>
        <w:gridCol w:w="1383"/>
        <w:gridCol w:w="109"/>
        <w:gridCol w:w="162"/>
      </w:tblGrid>
      <w:tr>
        <w:trPr/>
        <w:tc>
          <w:tcPr>
            <w:tcW w:w="1419"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Options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2" w:type="dxa"/>
            <w:gridSpan w:val="4"/>
            <w:tcBorders>
              <w:bottom w:val="single" w:sz="2" w:space="0" w:color="000000"/>
            </w:tcBorders>
            <w:vAlign w:val="center"/>
          </w:tcPr>
          <w:p>
            <w:pPr>
              <w:pStyle w:val="TableContents"/>
              <w:bidi w:val="0"/>
              <w:spacing w:before="0" w:after="0"/>
              <w:jc w:val="center"/>
              <w:rPr/>
            </w:pPr>
            <w:r>
              <w:rPr>
                <w:spacing w:val="-3"/>
              </w:rPr>
              <w:t xml:space="preserve">Value of Standard </w:t>
            </w:r>
            <w:r>
              <w:rPr/>
              <w:br/>
            </w:r>
            <w:r>
              <w:rPr>
                <w:spacing w:val="-3"/>
              </w:rPr>
              <w:t xml:space="preserve">BioTools Options </w:t>
            </w:r>
            <w:r>
              <w:rPr/>
              <w:br/>
            </w:r>
            <w:r>
              <w:rPr>
                <w:spacing w:val="-3"/>
              </w:rPr>
              <w:t xml:space="preserve">Subject to </w:t>
            </w:r>
            <w:r>
              <w:rPr/>
              <w:br/>
            </w:r>
            <w:r>
              <w:rPr>
                <w:spacing w:val="-3"/>
              </w:rPr>
              <w:t xml:space="preserve">Acceleration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2"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7" w:type="dxa"/>
            <w:gridSpan w:val="4"/>
            <w:tcBorders>
              <w:bottom w:val="single" w:sz="2" w:space="0" w:color="000000"/>
            </w:tcBorders>
            <w:vAlign w:val="center"/>
          </w:tcPr>
          <w:p>
            <w:pPr>
              <w:pStyle w:val="TableContents"/>
              <w:bidi w:val="0"/>
              <w:spacing w:before="0" w:after="0"/>
              <w:jc w:val="center"/>
              <w:rPr/>
            </w:pPr>
            <w:r>
              <w:rPr>
                <w:spacing w:val="-3"/>
              </w:rPr>
              <w:t xml:space="preserve">Value of Standard </w:t>
            </w:r>
            <w:r>
              <w:rPr/>
              <w:br/>
            </w:r>
            <w:r>
              <w:rPr>
                <w:spacing w:val="-3"/>
              </w:rPr>
              <w:t xml:space="preserve">BioTools RSUS </w:t>
            </w:r>
            <w:r>
              <w:rPr/>
              <w:br/>
            </w:r>
            <w:r>
              <w:rPr>
                <w:spacing w:val="-3"/>
              </w:rPr>
              <w:t xml:space="preserve">Subject to </w:t>
            </w:r>
            <w:r>
              <w:rPr/>
              <w:br/>
            </w:r>
            <w:r>
              <w:rPr>
                <w:spacing w:val="-3"/>
              </w:rPr>
              <w:t xml:space="preserve">Acceleration ($)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9"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 xml:space="preserve">4,529,773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 xml:space="preserve">0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118" w:type="dxa"/>
            <w:tcBorders/>
            <w:shd w:fill="CCEEFF" w:val="clear"/>
            <w:tcMar>
              <w:bottom w:w="0" w:type="dxa"/>
            </w:tcMar>
            <w:vAlign w:val="center"/>
          </w:tcPr>
          <w:p>
            <w:pPr>
              <w:pStyle w:val="TableContents"/>
              <w:bidi w:val="0"/>
              <w:spacing w:before="0" w:after="283"/>
              <w:jc w:val="right"/>
              <w:rPr/>
            </w:pPr>
            <w:r>
              <w:rPr/>
              <w:t xml:space="preserve">821,116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83" w:type="dxa"/>
            <w:tcBorders/>
            <w:shd w:fill="CCEEFF" w:val="clear"/>
            <w:tcMar>
              <w:bottom w:w="0" w:type="dxa"/>
            </w:tcMar>
            <w:vAlign w:val="center"/>
          </w:tcPr>
          <w:p>
            <w:pPr>
              <w:pStyle w:val="TableContents"/>
              <w:bidi w:val="0"/>
              <w:spacing w:before="0" w:after="283"/>
              <w:jc w:val="right"/>
              <w:rPr/>
            </w:pPr>
            <w:r>
              <w:rPr/>
              <w:t xml:space="preserve">1,597,891.74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19" w:type="dxa"/>
            <w:tcBorders/>
            <w:tcMar>
              <w:bottom w:w="0" w:type="dxa"/>
            </w:tcMar>
            <w:vAlign w:val="center"/>
          </w:tcPr>
          <w:p>
            <w:pPr>
              <w:pStyle w:val="TableContents"/>
              <w:bidi w:val="0"/>
              <w:spacing w:before="0" w:after="0"/>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222" w:type="dxa"/>
            <w:tcBorders/>
            <w:tcMar>
              <w:bottom w:w="0" w:type="dxa"/>
            </w:tcMar>
            <w:vAlign w:val="center"/>
          </w:tcPr>
          <w:p>
            <w:pPr>
              <w:pStyle w:val="TableContents"/>
              <w:bidi w:val="0"/>
              <w:spacing w:before="0" w:after="283"/>
              <w:jc w:val="right"/>
              <w:rPr/>
            </w:pPr>
            <w:r>
              <w:rPr/>
              <w:t xml:space="preserve">400,000 </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18,400 </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 xml:space="preserve">210,526 </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83" w:type="dxa"/>
            <w:tcBorders/>
            <w:tcMar>
              <w:bottom w:w="0" w:type="dxa"/>
            </w:tcMar>
            <w:vAlign w:val="center"/>
          </w:tcPr>
          <w:p>
            <w:pPr>
              <w:pStyle w:val="TableContents"/>
              <w:bidi w:val="0"/>
              <w:spacing w:before="0" w:after="283"/>
              <w:jc w:val="right"/>
              <w:rPr/>
            </w:pPr>
            <w:r>
              <w:rPr/>
              <w:t xml:space="preserve">409,683.60 </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419"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 xml:space="preserve">1,617,775 </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 xml:space="preserve">0 </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118" w:type="dxa"/>
            <w:tcBorders/>
            <w:shd w:fill="CCEEFF" w:val="clear"/>
            <w:tcMar>
              <w:bottom w:w="0" w:type="dxa"/>
            </w:tcMar>
            <w:vAlign w:val="center"/>
          </w:tcPr>
          <w:p>
            <w:pPr>
              <w:pStyle w:val="TableContents"/>
              <w:bidi w:val="0"/>
              <w:spacing w:before="0" w:after="283"/>
              <w:jc w:val="right"/>
              <w:rPr/>
            </w:pPr>
            <w:r>
              <w:rPr/>
              <w:t xml:space="preserve">287,734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83" w:type="dxa"/>
            <w:tcBorders/>
            <w:shd w:fill="CCEEFF" w:val="clear"/>
            <w:tcMar>
              <w:bottom w:w="0" w:type="dxa"/>
            </w:tcMar>
            <w:vAlign w:val="center"/>
          </w:tcPr>
          <w:p>
            <w:pPr>
              <w:pStyle w:val="TableContents"/>
              <w:bidi w:val="0"/>
              <w:spacing w:before="0" w:after="283"/>
              <w:jc w:val="right"/>
              <w:rPr/>
            </w:pPr>
            <w:r>
              <w:rPr/>
              <w:t xml:space="preserve">559,930.36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19" w:type="dxa"/>
            <w:tcBorders/>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222" w:type="dxa"/>
            <w:tcBorders/>
            <w:tcMar>
              <w:bottom w:w="0" w:type="dxa"/>
            </w:tcMar>
            <w:vAlign w:val="center"/>
          </w:tcPr>
          <w:p>
            <w:pPr>
              <w:pStyle w:val="TableContents"/>
              <w:bidi w:val="0"/>
              <w:spacing w:before="0" w:after="283"/>
              <w:jc w:val="right"/>
              <w:rPr/>
            </w:pPr>
            <w:r>
              <w:rPr/>
              <w:t xml:space="preserve">150,000 </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0 </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 xml:space="preserve">500,000 </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83" w:type="dxa"/>
            <w:tcBorders/>
            <w:tcMar>
              <w:bottom w:w="0" w:type="dxa"/>
            </w:tcMar>
            <w:vAlign w:val="center"/>
          </w:tcPr>
          <w:p>
            <w:pPr>
              <w:pStyle w:val="TableContents"/>
              <w:bidi w:val="0"/>
              <w:spacing w:before="0" w:after="283"/>
              <w:jc w:val="right"/>
              <w:rPr/>
            </w:pPr>
            <w:r>
              <w:rPr/>
              <w:t>973,000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estimated value of the monthly premium (both the employer and employee portions of the premium) under Standard BioTools’ group health care plan as in effect on the date of termination multiplied by 30 in the case of Dr. Egholm and multiplied by 18 in the case of the other named executive officers. The health care premium payment is “double trigger” and would be due upon a termination of the named executive officer’s employment without cause or a resignation by the named executive officer for good reason, in each case during the Change of Control Period. Payment of such amounts is subject to the execution and effectiveness of a separation and release of claims agreement in substantially the form approved by Standard BioTools as part of the Standard BioTools Severance Plan. </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254000" cy="350520"/>
                <wp:effectExtent l="0" t="0" r="0" b="0"/>
                <wp:wrapSquare wrapText="right"/>
                <wp:docPr id="380"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2023, Standard BioTools approved the 2023 Change of Control and Severance Plan, which renewed and amended the 2020 Change of Control and Severance Plan. Compensation that may have been payable to Standard BioTools named executive officers under the 2020 Change of Control and Severance Plan was previously disclosed and the subject of a stockholder advisory vote, however, at the time of the stockholder advisory vote, the 2020 Change of Control and Severance Plan was set to terminate on August 4, 2023. The golden parachute compensation set forth in the table above under “All Golden Parachute Compensation” reflects the compensation that will or may be payable to Standard BioTools named executive officers under the renewed 2023 Change of Control and Severance Plan. Standard BioTools’ named executive officers are eligible for the same golden parachute compensation under the 2023 Change of Control and Severance Plan, as they were under the 2020 Change of Control and Severance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Standard BioTools entered into an Offer Letter (the “Offer Letter”) with Adam Taich, SomaLogic’s Chief Executive Officer for his employment as the combined company’s Chief Strategy Officer, contingent upon the Closing of the Merger. The following table sets forth the golden parachute compensation that will or may be payable to Mr. Taich, assuming the Merger is completed as of November 6, 2023 (which is an assumed date solely for the purposes of the calculations in this section) and assuming Mr. Taich is terminated by Standard BioTools without cause (as defined in the Offer Letter) immediately following the Closing (but after the payment of Mr. Taich’s transaction bonus, to be paid shortly following the Closing). The equity award values are calculated based on the average closing market price of Standard BioTools’ Common Stock over the five trading-day period commencing on October 4, 2023, or $1.946. </w:t>
      </w:r>
    </w:p>
    <w:tbl>
      <w:tblPr>
        <w:tblW w:w="8340" w:type="dxa"/>
        <w:jc w:val="left"/>
        <w:tblInd w:w="1393" w:type="dxa"/>
        <w:tblLayout w:type="fixed"/>
        <w:tblCellMar>
          <w:top w:w="0" w:type="dxa"/>
          <w:left w:w="0" w:type="dxa"/>
          <w:bottom w:w="43" w:type="dxa"/>
          <w:right w:w="0" w:type="dxa"/>
        </w:tblCellMar>
      </w:tblPr>
      <w:tblGrid>
        <w:gridCol w:w="1394"/>
        <w:gridCol w:w="109"/>
        <w:gridCol w:w="109"/>
        <w:gridCol w:w="109"/>
        <w:gridCol w:w="226"/>
        <w:gridCol w:w="1126"/>
        <w:gridCol w:w="109"/>
        <w:gridCol w:w="109"/>
        <w:gridCol w:w="109"/>
        <w:gridCol w:w="109"/>
        <w:gridCol w:w="226"/>
        <w:gridCol w:w="1126"/>
        <w:gridCol w:w="109"/>
        <w:gridCol w:w="109"/>
        <w:gridCol w:w="109"/>
        <w:gridCol w:w="109"/>
        <w:gridCol w:w="226"/>
        <w:gridCol w:w="826"/>
        <w:gridCol w:w="109"/>
        <w:gridCol w:w="109"/>
        <w:gridCol w:w="109"/>
        <w:gridCol w:w="109"/>
        <w:gridCol w:w="226"/>
        <w:gridCol w:w="1066"/>
        <w:gridCol w:w="109"/>
        <w:gridCol w:w="154"/>
      </w:tblGrid>
      <w:tr>
        <w:trPr/>
        <w:tc>
          <w:tcPr>
            <w:tcW w:w="13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1,800,000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4,378,913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xml:space="preserve">44,710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6,223,623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column represents a transaction bonus of $1,800,000 to which Mr. Taich is entitled under the Offer Letter payable on the next practicable date following the Start Date (as defined in the Offer Letter), which payment is “single trigger” in nature.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7950" distB="0" distL="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81" name="Frame3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to be held by Mr. Taich immediately following the Closing of the Merger following the assumption of his SomaLogic RSUs and SomaLogic Stock Options by Standard BioTools at the Closing based on the Exchange Ratio of 1.11. The vesting of equity awards held by Mr. Taich are subject to “single trigger” acceleration pursuant to the terms of the Offer Letter and will be fully accelerated upon his Start Date. The amount reported in this column was calculated based on the difference between Standard BioTools’ average closing market price of $1.946 over the first five business days following public announcement of the Merger and the exercise price, if any, of the assumed equity award. The following table shows the number of shares subject to unvested Standard BioTools Stock Options and Standard BioTools RSUs and quantifies the value of the unvested Standard BioTools Stock Options and Standard BioTools RSUs held by Mr. Taich that would accelerate upon the Start Date based on the assumptions described above. All of Mr. Taich’s Standard BioTools Stock Options will have exercise prices that are higher than $1.946 per share and, accordingly, the value included for these assumed Standard BioTools Stock Options is $0 for purposes of the table below. These numbers do not forecast any grants, additional issuances, dividends or additional deferrals of equity-based awards following November 6, 2023. Depending on when the Closing Date occurs, certain equity-based </w:t>
      </w:r>
      <w:r>
        <mc:AlternateContent>
          <mc:Choice Requires="wps">
            <w:drawing>
              <wp:anchor behindDoc="0" distT="58420" distB="0" distL="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82" name="Frame3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6pt;mso-wrap-distance-bottom:0pt;margin-top:4.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IOSD1"/>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shown in the table may vest in accordance with their terms prior to the Closing Date or may be exercised or forfeited (upon a termination of service). </w:t>
      </w:r>
    </w:p>
    <w:tbl>
      <w:tblPr>
        <w:tblW w:w="5949" w:type="dxa"/>
        <w:jc w:val="left"/>
        <w:tblInd w:w="1393" w:type="dxa"/>
        <w:tblLayout w:type="fixed"/>
        <w:tblCellMar>
          <w:top w:w="0" w:type="dxa"/>
          <w:left w:w="0" w:type="dxa"/>
          <w:bottom w:w="43" w:type="dxa"/>
          <w:right w:w="0" w:type="dxa"/>
        </w:tblCellMar>
      </w:tblPr>
      <w:tblGrid>
        <w:gridCol w:w="1394"/>
        <w:gridCol w:w="109"/>
        <w:gridCol w:w="109"/>
        <w:gridCol w:w="154"/>
        <w:gridCol w:w="154"/>
        <w:gridCol w:w="1597"/>
        <w:gridCol w:w="154"/>
        <w:gridCol w:w="109"/>
        <w:gridCol w:w="109"/>
        <w:gridCol w:w="137"/>
        <w:gridCol w:w="285"/>
        <w:gridCol w:w="1347"/>
        <w:gridCol w:w="137"/>
        <w:gridCol w:w="154"/>
      </w:tblGrid>
      <w:tr>
        <w:trPr/>
        <w:tc>
          <w:tcPr>
            <w:tcW w:w="1394"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9" w:type="dxa"/>
            <w:gridSpan w:val="4"/>
            <w:tcBorders>
              <w:bottom w:val="single" w:sz="2" w:space="0" w:color="000000"/>
            </w:tcBorders>
            <w:vAlign w:val="center"/>
          </w:tcPr>
          <w:p>
            <w:pPr>
              <w:pStyle w:val="TableContents"/>
              <w:bidi w:val="0"/>
              <w:spacing w:before="0" w:after="0"/>
              <w:jc w:val="center"/>
              <w:rPr/>
            </w:pPr>
            <w:r>
              <w:rPr>
                <w:spacing w:val="-3"/>
              </w:rPr>
              <w:t>Number of Standard</w:t>
            </w:r>
            <w:r>
              <w:rPr/>
              <w:t xml:space="preserve"> </w:t>
              <w:br/>
            </w:r>
            <w:r>
              <w:rPr>
                <w:spacing w:val="-3"/>
              </w:rPr>
              <w:t>BioTools RSUs</w:t>
            </w:r>
            <w:r>
              <w:rPr/>
              <w:t xml:space="preserve"> </w:t>
              <w:br/>
            </w:r>
            <w:r>
              <w:rPr>
                <w:spacing w:val="-3"/>
              </w:rPr>
              <w:t>Subject to</w:t>
            </w:r>
            <w:r>
              <w:rPr/>
              <w:t xml:space="preserve"> </w:t>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6" w:type="dxa"/>
            <w:gridSpan w:val="4"/>
            <w:tcBorders>
              <w:bottom w:val="single" w:sz="2" w:space="0" w:color="000000"/>
            </w:tcBorders>
            <w:vAlign w:val="center"/>
          </w:tcPr>
          <w:p>
            <w:pPr>
              <w:pStyle w:val="TableContents"/>
              <w:bidi w:val="0"/>
              <w:spacing w:before="0" w:after="0"/>
              <w:jc w:val="center"/>
              <w:rPr/>
            </w:pPr>
            <w:r>
              <w:rPr>
                <w:spacing w:val="-3"/>
              </w:rPr>
              <w:t>Value of</w:t>
            </w:r>
            <w:r>
              <w:rPr/>
              <w:t xml:space="preserve"> </w:t>
              <w:br/>
            </w:r>
            <w:r>
              <w:rPr>
                <w:spacing w:val="-3"/>
              </w:rPr>
              <w:t>Standard BioTools</w:t>
            </w:r>
            <w:r>
              <w:rPr/>
              <w:t xml:space="preserve"> </w:t>
              <w:br/>
            </w:r>
            <w:r>
              <w:rPr>
                <w:spacing w:val="-3"/>
              </w:rPr>
              <w:t>RSUs Subject to</w:t>
            </w:r>
            <w:r>
              <w:rPr/>
              <w:t xml:space="preserve"> </w:t>
              <w:br/>
            </w:r>
            <w:r>
              <w:rPr>
                <w:spacing w:val="-3"/>
              </w:rPr>
              <w:t xml:space="preserve">Acceleration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1597" w:type="dxa"/>
            <w:tcBorders/>
            <w:shd w:fill="CCEEFF" w:val="clear"/>
            <w:tcMar>
              <w:bottom w:w="0" w:type="dxa"/>
            </w:tcMar>
            <w:vAlign w:val="center"/>
          </w:tcPr>
          <w:p>
            <w:pPr>
              <w:pStyle w:val="TableContents"/>
              <w:bidi w:val="0"/>
              <w:spacing w:before="0" w:after="283"/>
              <w:jc w:val="right"/>
              <w:rPr/>
            </w:pPr>
            <w:r>
              <w:rPr/>
              <w:t xml:space="preserve">2,250,212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1347" w:type="dxa"/>
            <w:tcBorders/>
            <w:shd w:fill="CCEEFF" w:val="clear"/>
            <w:tcMar>
              <w:bottom w:w="0" w:type="dxa"/>
            </w:tcMar>
            <w:vAlign w:val="center"/>
          </w:tcPr>
          <w:p>
            <w:pPr>
              <w:pStyle w:val="TableContents"/>
              <w:bidi w:val="0"/>
              <w:spacing w:before="0" w:after="283"/>
              <w:jc w:val="right"/>
              <w:rPr/>
            </w:pPr>
            <w:r>
              <w:rPr/>
              <w:t>4,378,913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listed in this column represent the estimated value of the monthly premium (both the employer and employee portions of the premium) as in effect on the date of termination, based on the current cost to SomaLogic of such benefits multiplied by 18. The health care premium payment is “double trigger” and would be due upon a termination of Mr. Taich’s employment during the term of the Offer Letter.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4130" distB="0" distL="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83" name="Frame3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additional information relating to the Standard BioTools named executive officers’ employment and severance arrangements and the treatment of Standard BioTools equity awards held by the named executive officers, see “</w:t>
      </w:r>
      <w:r>
        <w:rPr>
          <w:rFonts w:ascii="Times New Roman;Times;serif" w:hAnsi="Times New Roman;Times;serif"/>
          <w:b w:val="false"/>
          <w:i/>
          <w:caps w:val="false"/>
          <w:smallCaps w:val="false"/>
          <w:color w:val="000000"/>
          <w:spacing w:val="4"/>
          <w:sz w:val="20"/>
        </w:rPr>
        <w:t>The Merger — Treatment of Director and Executive Officer Standard BioTools Equity Awards in 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 Employment and Severance Agreements</w:t>
      </w:r>
      <w:r>
        <w:rPr>
          <w:rFonts w:ascii="Times New Roman;Times;serif" w:hAnsi="Times New Roman;Times;serif"/>
          <w:b w:val="false"/>
          <w:i w:val="false"/>
          <w:caps w:val="false"/>
          <w:smallCaps w:val="false"/>
          <w:color w:val="000000"/>
          <w:spacing w:val="4"/>
          <w:sz w:val="20"/>
        </w:rPr>
        <w:t xml:space="preserve">” in this section beginning on pages </w:t>
      </w:r>
      <w:hyperlink w:anchor="tTODE1">
        <w:r>
          <w:rPr>
            <w:rStyle w:val="InternetLink"/>
          </w:rPr>
          <w:t>124</w:t>
        </w:r>
      </w:hyperlink>
      <w:r>
        <w:rPr>
          <w:rFonts w:ascii="Times New Roman;Times;serif" w:hAnsi="Times New Roman;Times;serif"/>
          <w:b w:val="false"/>
          <w:i w:val="false"/>
          <w:caps w:val="false"/>
          <w:smallCaps w:val="false"/>
          <w:color w:val="000000"/>
          <w:spacing w:val="4"/>
          <w:sz w:val="20"/>
        </w:rPr>
        <w:t xml:space="preserve"> and </w:t>
      </w:r>
      <w:hyperlink w:anchor="tEASA1">
        <w:r>
          <w:rPr>
            <w:rStyle w:val="InternetLink"/>
          </w:rPr>
          <w:t>125</w:t>
        </w:r>
      </w:hyperlink>
      <w:r>
        <w:rPr>
          <w:rFonts w:ascii="Times New Roman;Times;serif" w:hAnsi="Times New Roman;Times;serif"/>
          <w:b w:val="false"/>
          <w:i w:val="false"/>
          <w:caps w:val="false"/>
          <w:smallCaps w:val="false"/>
          <w:color w:val="000000"/>
          <w:spacing w:val="4"/>
          <w:sz w:val="20"/>
        </w:rPr>
        <w:t>, respectively, of this joint proxy statement/prospectus. For additional information relating to Mr. Taich’s employment and severance arrangements and the treatment of equity awards held by Mr. Taich, see “</w:t>
      </w:r>
      <w:r>
        <w:rPr>
          <w:rFonts w:ascii="Times New Roman;Times;serif" w:hAnsi="Times New Roman;Times;serif"/>
          <w:b w:val="false"/>
          <w:i/>
          <w:caps w:val="false"/>
          <w:smallCaps w:val="false"/>
          <w:color w:val="000000"/>
          <w:spacing w:val="4"/>
          <w:sz w:val="20"/>
        </w:rPr>
        <w:t>The Merger — Interests of SomaLogic Directors and Executive Officers in the Merger — Employment and Severance Agreements — Offer Letter between Adam Taich and Standard BioTools</w:t>
      </w:r>
      <w:r>
        <w:rPr>
          <w:rFonts w:ascii="Times New Roman;Times;serif" w:hAnsi="Times New Roman;Times;serif"/>
          <w:b w:val="false"/>
          <w:i w:val="false"/>
          <w:caps w:val="false"/>
          <w:smallCaps w:val="false"/>
          <w:color w:val="000000"/>
          <w:spacing w:val="4"/>
          <w:sz w:val="20"/>
        </w:rPr>
        <w:t xml:space="preserve">” beginning on page </w:t>
      </w:r>
      <w:hyperlink w:anchor="tOLBAT1">
        <w:r>
          <w:rPr>
            <w:rStyle w:val="InternetLink"/>
          </w:rPr>
          <w:t>132</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SomaLogic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SomaLogic Board with respect to the SomaLogic Proposals, SomaLogic stockholders should be aware that certain members of the SomaLogic Board and certain executive officers of SomaLogic may have interests in the Merger that are different from, or are in addition to, interests of SomaLogic stockholders generally. These interests include, but are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board of directors of the combined company following consummation of the Merger; </w:t>
      </w:r>
      <w:r>
        <mc:AlternateContent>
          <mc:Choice Requires="wps">
            <w:drawing>
              <wp:anchor behindDoc="0" distT="7493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4"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of equity awards; </w:t>
      </w:r>
      <w:r>
        <mc:AlternateContent>
          <mc:Choice Requires="wps">
            <w:drawing>
              <wp:anchor behindDoc="0" distT="7493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5"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cash awards and equity grants under new employment agreements with Standard BioTools; </w:t>
      </w:r>
      <w:r>
        <mc:AlternateContent>
          <mc:Choice Requires="wps">
            <w:drawing>
              <wp:anchor behindDoc="0" distT="7493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6"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severance benefits (including accelerated vesting of equity awards) under preexisting severance arrangements; and </w:t>
      </w:r>
      <w:r>
        <mc:AlternateContent>
          <mc:Choice Requires="wps">
            <w:drawing>
              <wp:anchor behindDoc="0" distT="7493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7"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in favor of the current and former directors and officers of SomaLogic, as well as certain obligations related to maintenance of directors’ and officers’ liability insurance. </w:t>
      </w:r>
      <w:r>
        <mc:AlternateContent>
          <mc:Choice Requires="wps">
            <w:drawing>
              <wp:anchor behindDoc="0" distT="7493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8"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These interests are described in more detail below and may present such officers and directors with actual or potential conflicts of interest. The SomaLogic Board was aware of these potential conflicts of interests during its deliberations on the merits of the Merger, in making its decisions in approving the Merger, the Merger Agreement, and the related transactions, and in deciding to recommend that the SomaLogic stockholders vote for the SomaLogic Proposals. Certain potential payments to the named executive officers of SomaLogic are quantified in the tables in the section entitled “</w:t>
      </w:r>
      <w:r>
        <w:rPr>
          <w:rFonts w:ascii="Times New Roman;Times;serif" w:hAnsi="Times New Roman;Times;serif"/>
          <w:b w:val="false"/>
          <w:i/>
          <w:caps w:val="false"/>
          <w:smallCaps w:val="false"/>
          <w:color w:val="000000"/>
          <w:spacing w:val="4"/>
          <w:sz w:val="20"/>
        </w:rPr>
        <w:t>The Merger — Interests of SomaLogic Directors and Executive Officers in the Merger — Quantification of Potential Payments to SomaLogic Named Executive Officers in Connection with the Merger</w:t>
      </w:r>
      <w:r>
        <w:rPr>
          <w:rFonts w:ascii="Times New Roman;Times;serif" w:hAnsi="Times New Roman;Times;serif"/>
          <w:b w:val="false"/>
          <w:i w:val="false"/>
          <w:caps w:val="false"/>
          <w:smallCaps w:val="false"/>
          <w:color w:val="000000"/>
          <w:spacing w:val="4"/>
          <w:sz w:val="20"/>
        </w:rPr>
        <w:t xml:space="preserve">” in this section beginning on page </w:t>
      </w:r>
      <w:hyperlink w:anchor="tQPPSN1">
        <w:r>
          <w:rPr>
            <w:rStyle w:val="InternetLink"/>
          </w:rPr>
          <w:t>133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Leadership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Time, Tom Carey, Troy Cox, Kathy Hibbs and Eli Casdin, members of the SomaLogic Board, will continue as directors after the Merger, and, following the closing of the Merger, Mr. Carey, Mr. Cox, Ms. Hibbs and Mr. Casdin will be eligible to be compensated as directors of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666"/>
        <w:ind w:left="1393" w:right="0" w:hanging="0"/>
        <w:jc w:val="left"/>
        <w:rPr/>
      </w:pPr>
      <w:r>
        <w:rPr>
          <w:rFonts w:ascii="Times New Roman;Times;serif" w:hAnsi="Times New Roman;Times;serif"/>
          <w:b w:val="false"/>
          <w:i w:val="false"/>
          <w:caps w:val="false"/>
          <w:smallCaps w:val="false"/>
          <w:color w:val="000000"/>
          <w:spacing w:val="4"/>
          <w:sz w:val="20"/>
        </w:rPr>
        <w:t>pursuant to Standard BioTools’ director compensation policy that is expected to remain in place following the Merger. None of the current executive officers of SomaLogic are expected to continue as executive officers of the combined company, other than Mr. Taich, who is expected to serve as Chief Strategy Officer of the combined company. For a more detailed discussion of the board of directors of the combined company and management of the combined company as of the Effective Time, see the section entitled “</w:t>
      </w:r>
      <w:r>
        <w:rPr>
          <w:rFonts w:ascii="Times New Roman;Times;serif" w:hAnsi="Times New Roman;Times;serif"/>
          <w:b w:val="false"/>
          <w:i/>
          <w:caps w:val="false"/>
          <w:smallCaps w:val="false"/>
          <w:color w:val="000000"/>
          <w:spacing w:val="4"/>
          <w:sz w:val="20"/>
        </w:rPr>
        <w:t>The Merger Agreement — Directors, Officers and Committee Chairs of Standard BioTools Following the Merger</w:t>
      </w:r>
      <w:r>
        <w:rPr>
          <w:rFonts w:ascii="Times New Roman;Times;serif" w:hAnsi="Times New Roman;Times;serif"/>
          <w:b w:val="false"/>
          <w:i w:val="false"/>
          <w:caps w:val="false"/>
          <w:smallCaps w:val="false"/>
          <w:color w:val="000000"/>
          <w:spacing w:val="4"/>
          <w:sz w:val="20"/>
        </w:rPr>
        <w:t xml:space="preserve">” beginning on page </w:t>
      </w:r>
      <w:hyperlink w:anchor="tDOAC">
        <w:r>
          <w:rPr>
            <w:rStyle w:val="InternetLink"/>
          </w:rPr>
          <w:t>144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Relationships with Casdin Capital</w:t>
      </w:r>
      <w:r>
        <w:rPr>
          <w:rFonts w:ascii="Times New Roman;Times;serif" w:hAnsi="Times New Roman;Times;serif"/>
          <w:b/>
          <w:i/>
          <w:caps w:val="false"/>
          <w:smallCaps w:val="false"/>
          <w:color w:val="000000"/>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 summary description of Casdin Capital’s and Mr. Casdin’s relationship as a stockholder, including as a holder of Series B-1 Preferred Stock, and as a board member of each of SomaLogic and Standard BioTools, see the section entitled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Relationships with Casdin Capital</w:t>
      </w:r>
      <w:r>
        <w:rPr>
          <w:rFonts w:ascii="Times New Roman;Times;serif" w:hAnsi="Times New Roman;Times;serif"/>
          <w:b w:val="false"/>
          <w:i w:val="false"/>
          <w:caps w:val="false"/>
          <w:smallCaps w:val="false"/>
          <w:color w:val="000000"/>
          <w:spacing w:val="4"/>
          <w:sz w:val="20"/>
        </w:rPr>
        <w:t xml:space="preserve">” beginning on page </w:t>
      </w:r>
      <w:hyperlink w:anchor="tRWC2">
        <w:r>
          <w:rPr>
            <w:rStyle w:val="InternetLink"/>
          </w:rPr>
          <w:t>124</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SomaLogic Equity Awards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at the Effective Time of the Merger, each SomaLogic Stock Option, to the extent then outstanding and unexercised, will automatically, without any action on the part of the holders thereof, be assumed by Standard BioTools. Each such SomaLogic Stock Option so assumed by Standard BioTools under the Merger Agreement shall continue to have, and be subject to, the same terms and conditions applicable to such SomaLogic Stock Option immediately prior to the Effective Time, including vesting terms and provisions, except that (i) such SomaLogic Stock Option will be exercisable for that number of shares of Standard BioTools Common Stock equal to the number of shares of SomaLogic Common Stock subject to such SomaLogic Stock Option immediately prior to the Effective Time multiplied by the Exchange Ratio and rounded down to the next nearest share of Standard BioTools Common Stock, and (ii) the exercise price per share shall be the exercise price per share in effect for such SomaLogic Stock Option immediately prior to the Effective Time divided by the Exchange Ratio and rounded up to the next nearest cent.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SomaLogic RSU, without any action on the part of the holder thereof, will be assumed by Standard BioTools. Each such SomaLogic RSU so assumed by Standard BioTools under the Merger Agreement shall continue to have, and be subject to, the same terms and conditions applicable to such SomaLogic RSU immediately prior to the Effective Time, including vesting terms and provisions, except that such SomaLogic RSU, will be with respect to a number of shares of Standard BioTools Common Stock equal to the number of shares of SomaLogic Common Stock subject to such SomaLogic RSU immediately prior to the Effective Time multiplied by the Exchange Ratio, rounded to the next nearest share of Standard BioTools Common Stock.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SomaLogic’s directors and executive officers, the number of SomaLogic Stock Options, and SomaLogic RSUs held by the director or executive officer as of October 15, 2023. Depending on when the Closing Date occurs, certain equity-based awards shown in the table may vest in accordance with their terms prior to the Closing Date, or may be exercised or forfeited (upon a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OLBAT1"/>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893" w:type="dxa"/>
        <w:jc w:val="left"/>
        <w:tblInd w:w="1393" w:type="dxa"/>
        <w:tblLayout w:type="fixed"/>
        <w:tblCellMar>
          <w:top w:w="0" w:type="dxa"/>
          <w:left w:w="0" w:type="dxa"/>
          <w:bottom w:w="43" w:type="dxa"/>
          <w:right w:w="0" w:type="dxa"/>
        </w:tblCellMar>
      </w:tblPr>
      <w:tblGrid>
        <w:gridCol w:w="2202"/>
        <w:gridCol w:w="109"/>
        <w:gridCol w:w="109"/>
        <w:gridCol w:w="109"/>
        <w:gridCol w:w="109"/>
        <w:gridCol w:w="890"/>
        <w:gridCol w:w="109"/>
        <w:gridCol w:w="109"/>
        <w:gridCol w:w="109"/>
        <w:gridCol w:w="109"/>
        <w:gridCol w:w="109"/>
        <w:gridCol w:w="1066"/>
        <w:gridCol w:w="109"/>
        <w:gridCol w:w="109"/>
        <w:gridCol w:w="109"/>
        <w:gridCol w:w="109"/>
        <w:gridCol w:w="109"/>
        <w:gridCol w:w="946"/>
        <w:gridCol w:w="109"/>
        <w:gridCol w:w="154"/>
      </w:tblGrid>
      <w:tr>
        <w:trPr/>
        <w:tc>
          <w:tcPr>
            <w:tcW w:w="220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7" w:type="dxa"/>
            <w:gridSpan w:val="4"/>
            <w:tcBorders>
              <w:bottom w:val="single" w:sz="2" w:space="0" w:color="000000"/>
            </w:tcBorders>
            <w:vAlign w:val="center"/>
          </w:tcPr>
          <w:p>
            <w:pPr>
              <w:pStyle w:val="TableContents"/>
              <w:bidi w:val="0"/>
              <w:spacing w:before="0" w:after="0"/>
              <w:jc w:val="center"/>
              <w:rPr/>
            </w:pPr>
            <w:r>
              <w:rPr>
                <w:spacing w:val="-3"/>
              </w:rPr>
              <w:t xml:space="preserve">Vested </w:t>
            </w:r>
            <w:r>
              <w:rPr/>
              <w:br/>
            </w:r>
            <w:r>
              <w:rPr>
                <w:spacing w:val="-3"/>
              </w:rPr>
              <w:t xml:space="preserve">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RSUs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Adam Taich</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181,030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1,359,782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782,218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Eliot Lurier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Ruben Gutierrez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236,312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357,368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105,407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Alison Roelke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74,430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312,977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 xml:space="preserve">126,905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Stephen A. Williams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686,127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335,566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xml:space="preserve">177,279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pPr>
            <w:r>
              <w:rPr>
                <w:spacing w:val="4"/>
              </w:rPr>
              <w:t>Robert Barchi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44,925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3,430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Tom Carey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185,400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Eli Casdin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73,740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56,070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 xml:space="preserve">3,430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Troy Cox</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340,064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28,500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pPr>
            <w:r>
              <w:rPr>
                <w:spacing w:val="4"/>
              </w:rPr>
              <w:t>Kathy Hibbs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185,400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Anne Margulies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116,163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3,430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Tycho Peterson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185,400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Richard Post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76,163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3,430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Jason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3,400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Taich’s unvested SomaLogic Stock Options and unvested SomaLogic RSUs will be accelerated upon his Start Date with the combined company, pursuant to the terms of his Offer Letter. </w:t>
      </w:r>
      <w:r>
        <mc:AlternateContent>
          <mc:Choice Requires="wps">
            <w:drawing>
              <wp:anchor behindDoc="0" distT="95250" distB="0" distL="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89"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greater detail below, certain arrangements between SomaLogic and the SomaLogic executive officers or between Standard Bio Tools and the SomaLogic executive officers provide for single or double trigger acceleration of outstanding equity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Barchi, Anne Margulies, Richard Post, Jason Ryan and Tycho Peterson, each of whom is currently a member of the SomaLogic Board, will resign from the SomaLogic Board effective as of the Effective Time. Upon the Effective Time, all outstanding equity awards issued by SomaLogic and held by such directors will become fully vested.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Severance Agreements</w:t>
      </w:r>
      <w:r>
        <w:rPr>
          <w:rFonts w:ascii="Times New Roman;Times;serif" w:hAnsi="Times New Roman;Times;serif"/>
          <w:b/>
          <w:i/>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Offer Letter between Adam Taich and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Standard BioTools entered into the Offer Letter with Adam Taich, SomaLogic’s Chief Executive Officer for his employment as the combined company’s Chief Strategy Officer, contingent upon the Closing of the Merger, with such employment expected to commence on the Start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Offer Letter, Mr. Taich’s term of employment will be for one year following the Start Date, subject to mutual extension. If there is no mutual extension, Mr. Taich’s employment will terminate on such one-year anniversary of the Start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 will be entitled to a base salary of $600,000, less deductions and withholdings and a target bonus of 100% of base salary for calendar year 2024 under the Offer Letter, which bonus will be payable (on a pro-rata basis) upon a termination of Mr. Taich’s employment without “cause” ​(as defined in the Standard BioTools Offer Letter) or Mr. Taich’s resignation for any reason during calendar year 2024. Mr. Taich will also be entitled to a transaction bonus of $1,800,000, payable on the next practicable payroll date following Mr. Taich’s Start Date. In addition, Mr. Taich will receive a grant of 100,000 performance units which will vest, subject to Mr. Taich’s continued employment with the combined company, as of immediately prior to the one-year date of grant and subject to the achievement of the applicable combined company performance goals. Upon his Start Date, Mr. Taich will also receive single trigger acceleration of his unvested and assumed SomaLogic Stock Options and SomaLogic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Mr. Taich’s termination of employment for any reason following the Start Date, Mr. Taich will be entitled to reimbursement of the full amount of his Consolidated Omnibus Budget Reconciliation Act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QPPSN1"/>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1985, as amended (“COBRA”) premiums until the earliest of 18 months from his date of termination or the date on which he becomes eligible for substantially equivalent health insurance coverage in connection with new employment or self-employment.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Taich’s participation in the SomaLogic Key Employee Severance Plan (described in greater detail below) will be superseded by the Offer Letter.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SomaLogic Key Employee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executive officers participate in the Key Employee Severance Plan (the “SomaLogic Severance Plan”). Pursuant to the SomaLogic Severance Plan, in the event that the executive’s employment is terminated without “cause” or if the executive resigns for “good reason” ​(each as defined in the SomaLogic Severance Plan), in either case within 12 months following a “change in control” ​(as defined in the SomaLogic Severance Plan), subject to his execution of a general release of claims in a form satisfactory to SomaLogic, the executive will be entitled to (i) 100% acceleration of all then outstanding and unvested awards that are subject to service-based vesting, (ii) 100% of the executive’s annual base salary as of the date of termination, (iii) 100% of his target annual bonus and (iv) an amount equal to the monthly premium under SomaLogic’s group health care plan as in effect on the date of termination multiplied by 12.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the Board of Directors of SomaLogic deemed the Merger to be a change in control for purposes of the SomaLogic Severance Plan. It is not yet known if any of the executive officers will have a termination of employment in connection with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Stephen Williams, M.D.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Dr. Williams (the “Williams Retention Agreement”). Pursuant to the terms of the Williams Retention Agreement, Dr. Williams is entitled to receive a retention award in the amount of three (3) months of base pay on March 16, 2024, subject to his continued employment with SomaLogic through such date; provided, however, that in the event that he is involuntarily terminated before March 16, 2024, Dr. Williams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Ruben Gutierrez.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Mr. Gutierrez (the “Gutierrez Retention Agreement”). Pursuant to the terms of the Gutierrez Retention Agreement, Mr. Gutierrez is entitled to receive a retention award in the amount of three (3) months of base pay on March 16, 2024, subject to his continued employment with SomaLogic through such date; provided, however, that in the event that he is involuntarily terminated before March 16, 2024, Mr. Gutierrez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Alison Roelke.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Ms. Roelke (the “Roelke Retention Agreement”). Pursuant to the terms of the Roelke Retention Agreement, Ms. Roelke is entitled to receive a retention award in the amount of three (3) months of base pay on March 16, 2024, subject to her continued employment with SomaLogic through such date; provided, however, that in the event that she is involuntarily terminated before March 16, 2024, Ms. Roelke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SomaLogic Named Executive Officers in Connection with the Merger</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compensation that are based on or otherwise relate to the Merger that may become payable to each of SomaLogic’s named executive officers, as determined for purposes of SomaLogic’s most recent annual proxy statement, assuming the Merger is completed as of November 6, 2023 (which is an assumed date solely for the purposes of the calculations in this section) and, with respect to severance amounts, assuming the named executive officer experienced a qualified termination of employment on such date. The equity award values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calculated based on the average closing market price of Standard BioTools common stock over the five trading-day period commencing on October 4, 2023, or $1.946 (and assume that all SomaLogic equity awards held by the named executive officers are assumed by Standard BioTools at the closing of the Merger based on the Exchange Ratio).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Roy Smythe, SomaLogic’s former Chief Executive Officer, Shaun Blakeman, SomaLogic’s former Chief Financial Officer, Melody Harris, SomaLogic’s former President and Chief Operating Officer, and Troy Cox, SomaLogic’s former Executive Chair were named executive officers during SomaLogic’s last full fiscal year prior to the date of the Merger Agreement, but their employment as executive officers of SomaLogic ended effective March 28, 2023, June 5, 2023, August 31, 2022, and March 28, 2023, respectively; they are not entitled to any payments or benefits in connection with the Merger, so they are therefore not included in the table below.   Additionally, SomaLogic’s current interim Chief Financial Officer, Eliot M. Lurier is not entitled to any payments or benefits in connection with the Merger, so he is not included in the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estimated amounts below are based on multiple assumptions that may not actually occur, including assumptions described in this joint proxy statement/prospectus.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golden parachute compensation that will or may be payable to SomaLogic’s named executive officers. </w:t>
      </w:r>
    </w:p>
    <w:tbl>
      <w:tblPr>
        <w:tblW w:w="8812" w:type="dxa"/>
        <w:jc w:val="left"/>
        <w:tblInd w:w="1393" w:type="dxa"/>
        <w:tblLayout w:type="fixed"/>
        <w:tblCellMar>
          <w:top w:w="0" w:type="dxa"/>
          <w:left w:w="0" w:type="dxa"/>
          <w:bottom w:w="43" w:type="dxa"/>
          <w:right w:w="0" w:type="dxa"/>
        </w:tblCellMar>
      </w:tblPr>
      <w:tblGrid>
        <w:gridCol w:w="1833"/>
        <w:gridCol w:w="109"/>
        <w:gridCol w:w="109"/>
        <w:gridCol w:w="109"/>
        <w:gridCol w:w="226"/>
        <w:gridCol w:w="1278"/>
        <w:gridCol w:w="109"/>
        <w:gridCol w:w="109"/>
        <w:gridCol w:w="109"/>
        <w:gridCol w:w="109"/>
        <w:gridCol w:w="226"/>
        <w:gridCol w:w="1066"/>
        <w:gridCol w:w="109"/>
        <w:gridCol w:w="109"/>
        <w:gridCol w:w="109"/>
        <w:gridCol w:w="109"/>
        <w:gridCol w:w="226"/>
        <w:gridCol w:w="766"/>
        <w:gridCol w:w="109"/>
        <w:gridCol w:w="109"/>
        <w:gridCol w:w="109"/>
        <w:gridCol w:w="109"/>
        <w:gridCol w:w="226"/>
        <w:gridCol w:w="1066"/>
        <w:gridCol w:w="109"/>
        <w:gridCol w:w="155"/>
      </w:tblGrid>
      <w:tr>
        <w:trPr/>
        <w:tc>
          <w:tcPr>
            <w:tcW w:w="183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22" w:type="dxa"/>
            <w:gridSpan w:val="4"/>
            <w:tcBorders>
              <w:bottom w:val="single" w:sz="2" w:space="0" w:color="000000"/>
            </w:tcBorders>
            <w:vAlign w:val="center"/>
          </w:tcPr>
          <w:p>
            <w:pPr>
              <w:pStyle w:val="TableContents"/>
              <w:bidi w:val="0"/>
              <w:spacing w:before="0" w:after="0"/>
              <w:jc w:val="center"/>
              <w:rPr/>
            </w:pPr>
            <w:r>
              <w:rPr>
                <w:spacing w:val="-3"/>
              </w:rPr>
              <w:t>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33"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8" w:type="dxa"/>
            <w:tcBorders/>
            <w:shd w:fill="CCEEFF" w:val="clear"/>
            <w:tcMar>
              <w:bottom w:w="0" w:type="dxa"/>
            </w:tcMar>
            <w:vAlign w:val="center"/>
          </w:tcPr>
          <w:p>
            <w:pPr>
              <w:pStyle w:val="TableContents"/>
              <w:bidi w:val="0"/>
              <w:spacing w:before="0" w:after="283"/>
              <w:jc w:val="right"/>
              <w:rPr/>
            </w:pPr>
            <w:r>
              <w:rPr/>
              <w:t>1,800,000</w:t>
            </w:r>
            <w:r>
              <w:rPr>
                <w:sz w:val="13"/>
              </w:rPr>
              <w:t>(1</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4,378,913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6,223,623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833" w:type="dxa"/>
            <w:tcBorders/>
            <w:tcMar>
              <w:bottom w:w="0" w:type="dxa"/>
            </w:tcMar>
            <w:vAlign w:val="center"/>
          </w:tcPr>
          <w:p>
            <w:pPr>
              <w:pStyle w:val="TableContents"/>
              <w:bidi w:val="0"/>
              <w:spacing w:before="0" w:after="0"/>
              <w:jc w:val="left"/>
              <w:rPr>
                <w:spacing w:val="4"/>
              </w:rPr>
            </w:pPr>
            <w:r>
              <w:rPr>
                <w:spacing w:val="4"/>
              </w:rPr>
              <w:t xml:space="preserve">Stephen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78" w:type="dxa"/>
            <w:tcBorders/>
            <w:tcMar>
              <w:bottom w:w="0" w:type="dxa"/>
            </w:tcMar>
            <w:vAlign w:val="center"/>
          </w:tcPr>
          <w:p>
            <w:pPr>
              <w:pStyle w:val="TableContents"/>
              <w:bidi w:val="0"/>
              <w:spacing w:before="0" w:after="283"/>
              <w:jc w:val="right"/>
              <w:rPr/>
            </w:pPr>
            <w:r>
              <w:rPr/>
              <w:t>759,500</w:t>
            </w:r>
            <w:r>
              <w:rPr>
                <w:sz w:val="13"/>
              </w:rPr>
              <w:t>(2</w:t>
            </w:r>
            <w:r>
              <w:rPr>
                <w:sz w:val="13"/>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382,934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1,172,240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a transaction bonus of 1,800,000, payable under Mr. Taich’s Standard BioTools Offer Letter., which amount is “single trigger” in nature and is payable shortly following the Closing, subject to Mr. Taich’s commencement of employment with Standard BioTools. Since this table assumes that Mr. Taich’s employment will be terminated on an assumed closing date of November 6, 2023, the amounts do not include the pro-rated 2024 Bonus that Mr. Taich would be entitled to upon a termination without Cause or a resignation for any reason during 2024. </w:t>
      </w:r>
      <w:r>
        <mc:AlternateContent>
          <mc:Choice Requires="wps">
            <w:drawing>
              <wp:anchor behindDoc="0" distT="99060" distB="0" distL="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90"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cash amounts to which Mr. Williams would be entitled as severance payments under the SomaLogic Severance Plan and his Retention Agreement, consisting of (i) 100% of Mr. Williams’ annual salary, (ii) 100% of his target annual bonus and (iii) his retention bonus equal to three months of base salary pursuant to his Retention Agreement. The cash severance payment is “double trigger” and would be due upon a termination of Mr. Williams’ employment without cause or a resignation by Mr. Williams for good reason, in each case during the twelve-month period following a change in control. The cash severance payment, other than the retention bonus, is subject to Mr. Williams’ timely execution and non-revocation of a separation and release of claims agreement in a form reasonably satisfactory to SomaLogic within the period set forth in the SomaLogic Severance Plan. SomaLogic’s Board has made a determination that the Merger will constitute a change in control under the SomaLogic Severance Plan. </w:t>
      </w:r>
      <w:r>
        <mc:AlternateContent>
          <mc:Choice Requires="wps">
            <w:drawing>
              <wp:anchor behindDoc="0" distT="48260" distB="0" distL="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91"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to be held by the named executive officers immediately following the Closing of the Merger following the assumption of his SomaLogic RSUs and SomaLogic Stock Options by Standard BioTools at the Closing based on the Exchange Ratio of 1.11. The vesting of equity awards held by Mr. Williams is subject to “double trigger” acceleration pursuant to the terms of the SomaLogic Severance Plan and will be fully accelerated upon a termination of his employment without cause or a resignation of his employment for good reason, in each case within the 12-month period </w:t>
      </w:r>
      <w:r>
        <mc:AlternateContent>
          <mc:Choice Requires="wps">
            <w:drawing>
              <wp:anchor behindDoc="0" distT="49530" distB="0" distL="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92"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DADO"/>
      <w:bookmarkEnd w:id="117"/>
      <w:r>
        <w:rPr>
          <w:rFonts w:ascii="calibri;arial;sans-serif" w:hAnsi="calibri;arial;sans-serif"/>
          <w:b w:val="false"/>
          <w:i w:val="false"/>
          <w:caps w:val="false"/>
          <w:smallCaps w:val="false"/>
          <w:color w:val="000000"/>
          <w:sz w:val="16"/>
        </w:rPr>
        <w:t>​</w:t>
      </w:r>
      <w:bookmarkStart w:id="118" w:name="tREAP"/>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 The vesting of the equity awards held by Mr. Taich are subject to single trigger acceleration pursuant to his offer letter with Standard BioTools. The amounts reported in this column were calculated based on the difference between Standard BioTools average closing market price of $1.946 over the first five business days following public announcement of the Merger and the exercise price, if any, of the assumed equity award. The following table shows the number of Standard BioTools shares subject to unvested assumed Standard BioTools Stock Options and Standard BioTools RSUs, and quantifies the value of such assumed awards held by the named executive officers that would accelerate upon a qualifying event in connection with the Merger based on the assumptions described above. All of the assumed Standard BioTools Stock Options held by the named executive officers have exercise prices that are higher than $1.946 per share and, accordingly, the value included for these Standard BioTools Stock Options is $0. These numbers do not forecast any grants, additional issuances, dividends or additional deferrals of equity-based awards following November 6, 2023. Depending on when the Closing Date occurs, certain equity-based awards shown in the table may vest in accordance with their terms prior to the Closing Date or may be exercised or forfeited (upon a termination of service). </w:t>
      </w:r>
    </w:p>
    <w:tbl>
      <w:tblPr>
        <w:tblW w:w="6400" w:type="dxa"/>
        <w:jc w:val="left"/>
        <w:tblInd w:w="1393" w:type="dxa"/>
        <w:tblLayout w:type="fixed"/>
        <w:tblCellMar>
          <w:top w:w="0" w:type="dxa"/>
          <w:left w:w="0" w:type="dxa"/>
          <w:bottom w:w="43" w:type="dxa"/>
          <w:right w:w="0" w:type="dxa"/>
        </w:tblCellMar>
      </w:tblPr>
      <w:tblGrid>
        <w:gridCol w:w="1898"/>
        <w:gridCol w:w="109"/>
        <w:gridCol w:w="109"/>
        <w:gridCol w:w="161"/>
        <w:gridCol w:w="161"/>
        <w:gridCol w:w="1577"/>
        <w:gridCol w:w="161"/>
        <w:gridCol w:w="109"/>
        <w:gridCol w:w="109"/>
        <w:gridCol w:w="133"/>
        <w:gridCol w:w="277"/>
        <w:gridCol w:w="1309"/>
        <w:gridCol w:w="133"/>
        <w:gridCol w:w="154"/>
      </w:tblGrid>
      <w:tr>
        <w:trPr/>
        <w:tc>
          <w:tcPr>
            <w:tcW w:w="189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60"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Standard </w:t>
            </w:r>
            <w:r>
              <w:rPr/>
              <w:br/>
            </w:r>
            <w:r>
              <w:rPr>
                <w:spacing w:val="-3"/>
              </w:rPr>
              <w:t xml:space="preserve">BioTools RSUs </w:t>
            </w:r>
            <w:r>
              <w:rPr/>
              <w:br/>
            </w:r>
            <w:r>
              <w:rPr>
                <w:spacing w:val="-3"/>
              </w:rPr>
              <w:t xml:space="preserve">Subject to </w:t>
            </w:r>
            <w:r>
              <w:rPr/>
              <w:br/>
            </w:r>
            <w:r>
              <w:rPr>
                <w:spacing w:val="-3"/>
              </w:rPr>
              <w:t xml:space="preserve">Acceleration </w:t>
            </w:r>
            <w:r>
              <w:rPr/>
              <w:br/>
            </w:r>
            <w:r>
              <w:rPr>
                <w:spacing w:val="-3"/>
              </w:rPr>
              <w:t>($)</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8"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1577" w:type="dxa"/>
            <w:tcBorders/>
            <w:shd w:fill="CCEEFF" w:val="clear"/>
            <w:tcMar>
              <w:bottom w:w="0" w:type="dxa"/>
            </w:tcMar>
            <w:vAlign w:val="center"/>
          </w:tcPr>
          <w:p>
            <w:pPr>
              <w:pStyle w:val="TableContents"/>
              <w:bidi w:val="0"/>
              <w:spacing w:before="0" w:after="283"/>
              <w:jc w:val="right"/>
              <w:rPr/>
            </w:pPr>
            <w:r>
              <w:rPr/>
              <w:t>2,250,212</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4,378,913</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8" w:type="dxa"/>
            <w:tcBorders/>
            <w:tcMar>
              <w:bottom w:w="0" w:type="dxa"/>
            </w:tcMar>
            <w:vAlign w:val="center"/>
          </w:tcPr>
          <w:p>
            <w:pPr>
              <w:pStyle w:val="TableContents"/>
              <w:bidi w:val="0"/>
              <w:spacing w:before="0" w:after="0"/>
              <w:jc w:val="left"/>
              <w:rPr>
                <w:spacing w:val="4"/>
              </w:rPr>
            </w:pPr>
            <w:r>
              <w:rPr>
                <w:spacing w:val="4"/>
              </w:rPr>
              <w:t xml:space="preserve">Stephen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1577" w:type="dxa"/>
            <w:tcBorders/>
            <w:tcMar>
              <w:bottom w:w="0" w:type="dxa"/>
            </w:tcMar>
            <w:vAlign w:val="center"/>
          </w:tcPr>
          <w:p>
            <w:pPr>
              <w:pStyle w:val="TableContents"/>
              <w:bidi w:val="0"/>
              <w:spacing w:before="0" w:after="283"/>
              <w:jc w:val="right"/>
              <w:rPr/>
            </w:pPr>
            <w:r>
              <w:rPr/>
              <w:t>196,780</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382,934</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estimated value of the monthly premium (both the employer and employee portions of the premium) as in effect on the date of termination, based on the current cost to SomaLogic of such benefits multiplied by 18 in the case of Mr. Taich and 12 in the case of Mr. Williams. The health care premium payment is “double trigger” and would be due upon a termination of Mr. Taich’s employment for any reason during the term of the Offer Letter and upon a termination of Mr. Williams’ employment without cause or for good reason within the 12-month period following the Merger. </w:t>
      </w:r>
      <w:r>
        <mc:AlternateContent>
          <mc:Choice Requires="wps">
            <w:drawing>
              <wp:anchor behindDoc="0" distT="102870" distB="0" distL="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93"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SomaLogic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 SomaLogic Common Stock will be delisted from The Nasdaq Capital Market, deregistered under the Exchange Act and cease to be publicly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obligations of Standard BioTools and SomaLogic to effect the Merger are conditioned upon, among other things, the expiration or termination of the waiting period relating to the Merger under the HSR Act, as more fully described below under the caption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145</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certain transactions, including the Merger, may not be completed unless certain waiting period requirements have expired or been terminated. The HSR Act provides that the parties must file a pre-Merger notification with the FTC and the Antitrust Division of the DOJ. A transaction notifiable under the HSR Act may not be completed until the expiration of a 30-calendar-day waiting period following the parties’ filings of their respective HSR Act notification forms or the early termination of that waiting period. At any time before the expiration of the initial waiting period, the FTC or DOJ may issue a Request for Additional Information and Documentary Material, which is referred to in this joint proxy statement/prospectus as a “second request.” If a second request is issued, the parties may not complete the merger until they each substantially comply with the second request and observe a second 30-calendar-day waiting period, unless the waiting period is terminated earlier.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filed its respect HSR Act notification and report with respect to the Merger on October 19, 2023. As such, the 30-calendar-day waiting period will expire on November 20, 2023, subject to the issuance of a second request by the FTC or DOJ.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AAT"/>
      <w:bookmarkEnd w:id="119"/>
      <w:r>
        <w:rPr>
          <w:rFonts w:ascii="calibri;arial;sans-serif" w:hAnsi="calibri;arial;sans-serif"/>
          <w:b w:val="false"/>
          <w:i w:val="false"/>
          <w:caps w:val="false"/>
          <w:smallCaps w:val="false"/>
          <w:color w:val="000000"/>
          <w:sz w:val="16"/>
        </w:rPr>
        <w:t>​</w:t>
      </w:r>
      <w:bookmarkStart w:id="120" w:name="tNAR"/>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and SomaLogic have agreed to use their respective reasonable best efforts to take, or cause to be taken, all actions and to do, or cause to be done all things necessary, proper or advisable under applicable laws in connection with the Merger or any other of the Contemplated Transactions, including to obtain, as promptly as possible, all consents required to be obtained from any governmental entity that are necessary, proper or advisable to consummate the Merger, in each case subject to certain exceptions, as more fully described below under the caption “</w:t>
      </w:r>
      <w:r>
        <w:rPr>
          <w:rFonts w:ascii="Times New Roman;Times;serif" w:hAnsi="Times New Roman;Times;serif"/>
          <w:b w:val="false"/>
          <w:i/>
          <w:caps w:val="false"/>
          <w:smallCaps w:val="false"/>
          <w:color w:val="000000"/>
          <w:spacing w:val="4"/>
          <w:sz w:val="20"/>
        </w:rPr>
        <w:t>The Merger Agreement — Regulatory Approvals Required for the Merger</w:t>
      </w:r>
      <w:r>
        <w:rPr>
          <w:rFonts w:ascii="Times New Roman;Times;serif" w:hAnsi="Times New Roman;Times;serif"/>
          <w:b w:val="false"/>
          <w:i w:val="false"/>
          <w:caps w:val="false"/>
          <w:smallCaps w:val="false"/>
          <w:color w:val="000000"/>
          <w:spacing w:val="4"/>
          <w:sz w:val="20"/>
        </w:rPr>
        <w:t xml:space="preserve">” beginning on page </w:t>
      </w:r>
      <w:hyperlink w:anchor="tREAP1">
        <w:r>
          <w:rPr>
            <w:rStyle w:val="InternetLink"/>
          </w:rPr>
          <w:t>156</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is expected to be accounted for as an acquisition of a business pursuant to Accounting Standards Codification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at closing based on an evaluation of all the facts and circumstances, including but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initiated the transaction negotiations as part of management’s strategic focus to achieve growth through mergers and acquisitions.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4"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shares are issued to effect the merger and will remain outstanding. The merged entity will retain the Standard BioTools name.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5"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composition of the combined company’s board of directors will consist of seven total members. Pursuant to the Merger Agreement, three directors will be appointed by Standard BioTools (one of whom will be the designee of the holders of the Series B-2 Preferred Stock), three directors will be appointed by SomaLogic and the holders of Series B-1 Preferred Stock will appoint the seventh director based on its rights as a holder of the Series B-1 Preferred Stock. As such, Standard BioTools was determined to have the right to appoint four of the seven total members of the Standard BioTools Board. All SomaLogic directors are appointed with term limits, while two directors appointed by Standard BioTools are not subject to a term limit.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6"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 Chief Financial Officer, and Chief Operating Officer of Standard BioTools will continue to serve in the respective roles in the combined company.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7"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 Because the Merger is of Merger Sub with and into SomaLogic and holders of Standard BioTools Common Stock will continue to hold their shares following completion of the Merger, holders of Standard BioTools Common Stock are not entitled to appraisal rights. Because SomaLogic stockholders will hold shares listed on a national securities exchange immediately prior to the completion of the Merger and are not required by the terms of the Merger Agreement to accept for their shares anything other than shares of Standard BioTools Common Stock (which are listed on a national securities exchange) and cash in lieu of fractional shares, holders of SomaLogic Common Stock will not be entitled to appraisal rights in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MUFI1"/>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and describes the U.S. federal income tax consequences of the Merger to U.S. Holders (as defined below) of SomaLogic Common Stock that exchange their SomaLogic Common Stock for Standard BioTools Common Stock in the Merger. This discussion is based on the Code, U.S.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Standard BioTools nor SomaLogic has sought, and neither party intends to seek, any rulings from the IRS regarding the matters discussed below. Accordingly, there can be no assurance the IRS or a court will not take a contrary position to that discussed below regarding the tax consequences of the Merger. This discussion assumes that the Merger will be consummated in accordance with the Merger Agreement and as further described in this joint proxy statement/prospectus. This discussion addresses the material U.S. federal income tax consequences of the Merger; however, it does not address any tax consequences arising under the Medicare contribution tax on net investment income, nor does it address any tax consequences arising under the laws of any state, local or non-U.S. jurisdiction, or under any U.S. federal laws other than those pertaining to the income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applies only to U.S. Holders of SomaLogic Common Stock who hold such shares as a capital asset within the meaning of Section 1221 of the Code (generally, property held for investment). Further, this discussion does not purport to address aspects of U.S. federal income taxation that may be relevant to U.S. Holders of SomaLogic Common Stock in light of their particular circumstances and does not apply to U.S. Holders of SomaLogic Common Stock subject to special treatment under the U.S. federal income tax laws including, without limitation: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8"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and governmental organizations;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9"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and other pass-through entities (and investors in partnerships, S corporations and other pass-through entities);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0"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and real estate investment trusts;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01"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and passive foreign investment companies;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2"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dealers in stocks, securities, commodities or currencies;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3"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their SomaLogic Common Stock as “qualified small business stock” under Section 1202 of the Code or as “Section 1244 stock” under Section 1244 of the Code or who acquired their SomaLogic Common Stock in a transaction subject to the gain rollover provisions of Section 1045 of the Code;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4"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apply a mark-to-market method of accounting;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5"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620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6"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SomaLogic Common Stock pursuant to the exercise of employee stock options, through a tax qualified retirement plan or otherwise as compensation; </w:t>
      </w:r>
      <w:r>
        <mc:AlternateContent>
          <mc:Choice Requires="wps">
            <w:drawing>
              <wp:anchor behindDoc="0" distT="7620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7"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actually, indirectly or constructively own more than 1%, by vote or value, of the outstanding stock of SomaLogic; </w:t>
      </w:r>
      <w:r>
        <mc:AlternateContent>
          <mc:Choice Requires="wps">
            <w:drawing>
              <wp:anchor behindDoc="0" distT="7620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8"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620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9"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SomaLogic Common Stock as part of a hedge, straddle, constructive sale, conversion or other integrated transaction; </w:t>
      </w:r>
      <w:r>
        <mc:AlternateContent>
          <mc:Choice Requires="wps">
            <w:drawing>
              <wp:anchor behindDoc="0" distT="7620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0"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their SomaLogic Common Stock pursuant to the exercise of warrants or conversion rights under convertible instruments; </w:t>
      </w:r>
      <w:r>
        <mc:AlternateContent>
          <mc:Choice Requires="wps">
            <w:drawing>
              <wp:anchor behindDoc="0" distT="7620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11"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are subject to special tax accounting rules under Section 451(b) of the Code; and </w:t>
      </w:r>
      <w:r>
        <mc:AlternateContent>
          <mc:Choice Requires="wps">
            <w:drawing>
              <wp:anchor behindDoc="0" distT="7620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2"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3"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UFIT"/>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summary does not address (i) the tax consequences of the Merger under U.S. federal non-income tax law (including estate, gift or other non-income taxes), (ii) the tax consequences of the Merger under state, local or non-U.S. tax laws, (iii) the impact of the alternative minimum tax provisions of the Code (including the 15% minimum tax applicable to the adjusted financial statement income of certain corporations), (iv) the tax consequences of transactions effectuated before, subsequent to or concurrently with the Merger (whether or not any such transactions are consummated in connection with the Merger), including, without limitation, any transaction in which SomaLogic Common Stock shares are acquired, (v) the tax consequences to holders of SomaLogic Stock Options, SomaLogic Warrants or similar rights to acquire SomaLogic capital stock or rights to receive Milestone Consideration from SomaLogic (as defined in the Merger Agreement) or (vi) the tax consequences of the Merger to SomaLogic stockholders who exercise appraisal or dissenters’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SomaLogic Common Stock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7493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4"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entity treated as a corporation for U.S. federal income tax purposes, organized under the laws of the United States, any state thereof or the District of Columbia; </w:t>
      </w:r>
      <w:r>
        <mc:AlternateContent>
          <mc:Choice Requires="wps">
            <w:drawing>
              <wp:anchor behindDoc="0" distT="7493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5"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primary supervision of a U.S. court and the control of one or more “United States persons” ​(within the meaning of Section 7701(a)(30) of the Code) or (ii) has made a valid election to be treated as a United States person for U.S. federal income tax purposes; or </w:t>
      </w:r>
      <w:r>
        <mc:AlternateContent>
          <mc:Choice Requires="wps">
            <w:drawing>
              <wp:anchor behindDoc="0" distT="7493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6"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w:t>
      </w:r>
      <w:r>
        <mc:AlternateContent>
          <mc:Choice Requires="wps">
            <w:drawing>
              <wp:anchor behindDoc="0" distT="7493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7"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SomaLogic Common Stock, the tax treatment of a partner in such partnership will depend on the status of the partner and the activities of the partnership. Any entity treated as a partnership for U.S. federal income tax purposes that holds SomaLogic Common Stock and any partners in such partnership should consult their tax advisors regarding the tax consequences of the Merger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DISCUSSION ONLY ADDRESSES THE MATERIAL U.S. FEDERAL INCOME TAX CONSEQUENCES OF THE MERGER. ALL HOLDERS OF SOMALOGIC COMMON STOCK SHOULD CONSULT THEIR TAX ADVISORS AS TO THE PARTICULAR TAX CONSEQUENCES TO THEM OF THE MERGER, INCLUDING THE APPLICABILITY AND EFFECT OF ANY U.S. FEDERAL, STATE, LOCAL, NON-U.S., AND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 of the Merger to U.S. Holders of SomaLogic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ruling has been sought from the IRS with respect to the tax consequences of the merger. If the Merger does not so qualify, the tax consequences will differ from those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Assuming that the Merger qualifies as a “reorganization” within the meaning of Section 368(a) of the Code, a U.S. Holder of SomaLogic Common Stock that exchanges their SomaLogic Common Stock for Standard BioTools Common Stock in the Merger: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recognize any gain or loss upon the exchange of SomaLogic Common Stock for Standard BioTools Common Stock in the Merger, except with respect to cash received in lieu of fractional Standard BioTools Common Stock (as discussed below); </w:t>
      </w:r>
      <w:r>
        <mc:AlternateContent>
          <mc:Choice Requires="wps">
            <w:drawing>
              <wp:anchor behindDoc="0" distT="7493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8"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a tax basis in the Standard BioTools Common Stock received in the Merger (including fractional Standard BioTools Common Stock for which cash is received) equal to the tax basis of the SomaLogic Common Stock surrendered in exchange therefor; </w:t>
      </w:r>
      <w:r>
        <mc:AlternateContent>
          <mc:Choice Requires="wps">
            <w:drawing>
              <wp:anchor behindDoc="0" distT="7493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9"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a holding period for the Standard BioTools Common Stock received in the Merger (including fractional Standard BioTools Common Stock for which cash is received) that includes its holding period for its SomaLogic Common Stock surrendered in exchange therefor. </w:t>
      </w:r>
      <w:r>
        <mc:AlternateContent>
          <mc:Choice Requires="wps">
            <w:drawing>
              <wp:anchor behindDoc="0" distT="7493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20"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does not qualify as a reorganization within the meaning of Section 368(a) of the Code, then each U.S. Holder would be treated as exchanging its SomaLogic Common Stock in a fully taxable transaction in exchange for Standard BioTools Common Stock and any cash received in lieu of a fractional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of Standard BioTools Common Stock. U.S. Holders generally would recognize capital gain or loss in such exchange equal to the difference between (i) the sum of the fair market value of the Standard BioTools Common Stock received in the Merger and any cash received in lieu of a fractional share of Standard BioTools Common Stock and (ii) such holder’s tax basis in the SomaLogic Common Stock surrendered in the Merger. The aggregate tax basis of a U.S. Holder in the Standard BioTools Common Stock in the Merger would equal the fair market value at the Effective Time of the U.S. Holder’s SomaLogic Common Stock exchanged in the Merger, and the holding period of Standard BioTools Common Stock received in the Merger would begin on the day after the Effective Time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Common Stock received in the Merger (including fractional Standard BioTools Common Stock for which cash is received) by a U.S. Holder that acquired different blocks of SomaLogic Common Stock at different times or at different prices will be allocated pro rata to each block of SomaLogic Common Stock of such U.S. Holder, and the basis and holding period of such Standard BioTools Common Stock will be determined using a block for block approach and will depend on the basis and holding period of each block of SomaLogic Common Stock exchanged for such Standard BioTools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in Lieu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receives cash in lieu of fractional Standard BioTools Common Stock in the Merger will recognize capital gain or loss measured by the difference between the cash received for such fractional Standard BioTools Common Stock and the U.S. Holder’s tax basis in the fractional Standard BioTools Common Stock. Such capital gain or loss will be long term capital gain or loss if the holding period for such fractional Standard BioTools Common Stock is more than one year. Long term capital gain of certain non-corporate taxpayers, including individuals, is currently taxed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 are urged to consult their tax advisors regarding the U.S. federal income tax consequences of the Merger in light of their personal circumstances and the consequences to them under state, local and non-U.S. tax laws and other federal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U.S. Holder who receives shares of Standard BioTools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Merger at least five percent (by vote or value) of the total outstanding SomaLogic Common Stock are required to attach a statement to their tax returns for the year in which the Merger is consummated that contains the information listed in Treasury Regulation Section 1.368-3(b). Such statement must include the U.S. Holder’s tax basis in such U.S. holder’s SomaLogic Common Stock surrendered in the Merger, the fair market value of such SomaLogic Common Stock, the date of the Merger and the name and employer identification number of each of SomaLogic and Standard BioTools. U.S. Holders are urged to consult with their tax advisors to comply with these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may be subject to information reporting and backup withholding of U.S. federal income tax with respect to any cash received in lieu of fractional Standard BioTools Common Stock. Backup withholding will not apply, however, to a U.S. Holder that furnishes a correct taxpayer identification number and certifies that it is not subject to backup withholding on IRS Form W-9 or is otherwise exempt from backup withholding and provides proof of the applicable exemption. If a U.S. Holder does not provide a correct taxpayer identification number on IRS Form W-9 or other proper certification, the U.S. Holder may be subject to penalties imposed by the IRS. Backup withholding is not an additional tax and any amounts withheld will be allowed as a refund or credit against the U.S. Holder’s U.S. federal income tax liability, if any, provided that such U.S. Holder timely furnishes the required information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summary does not take into account any U.S. Holder’s particular circumstances and does not address consequences that may be particular to such U.S. Holder. Therefore, each U.S. Holder should consult their own tax advisor regarding the particular consequences of the Merger to such U.S. Holder.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TMA"/>
      <w:bookmarkEnd w:id="123"/>
      <w:r>
        <w:rPr>
          <w:rFonts w:ascii="calibri;arial;sans-serif" w:hAnsi="calibri;arial;sans-serif"/>
          <w:b w:val="false"/>
          <w:i w:val="false"/>
          <w:caps w:val="false"/>
          <w:smallCaps w:val="false"/>
          <w:color w:val="000000"/>
          <w:sz w:val="16"/>
        </w:rPr>
        <w:t>​</w:t>
      </w:r>
      <w:bookmarkStart w:id="124" w:name="tGEN"/>
      <w:bookmarkEnd w:id="124"/>
      <w:r>
        <w:rPr>
          <w:rFonts w:ascii="calibri;arial;sans-serif" w:hAnsi="calibri;arial;sans-serif"/>
          <w:b w:val="false"/>
          <w:i w:val="false"/>
          <w:caps w:val="false"/>
          <w:smallCaps w:val="false"/>
          <w:color w:val="000000"/>
          <w:sz w:val="16"/>
        </w:rPr>
        <w:t>​</w:t>
      </w:r>
      <w:bookmarkStart w:id="125" w:name="tMECO"/>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terms of the Merger Agreement. A copy of the Merger Agreement is attached to this joint proxy statement/prospectus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and is incorporated by reference into this joint proxy statement/prospectus. The Merger Agreement has been attached to this joint proxy statement/prospectus to provide you with information regarding its terms. It is not intended to provide any other factual information about SomaLogic, Standard BioTools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that Standard BioTools and Merger Sub, on the one hand, and SomaLogic,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SomaLogic and Standard BioTools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Standard BioTools or SomaLogic because they were made as of specific dates, may be intended merely as a risk allocation mechanism between Standard BioTools and Merger Sub, on the one hand, and SomaLogic, on the other hand, and are modified by the disclosure schedules.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each of Standard BioTools and SomaLogic are referred to as “a party” and collectively as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Merger Sub, a wholly owned subsidiary of Standard BioTools formed by Standard BioTools in connection with the Merger under the laws of the State of Delaware, will merge with and into SomaLogic, with SomaLogic surviving as a wholly owned subsidiary of Standard BioTools (the “Surviving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SomaLogic Common Stock issued and outstanding as of immediately prior to the Effective Time (excluding any shares of SomaLogic Common Stock held in treasury or owned by SomaLogic, Standard BioTools or any of their respective subsidiaries, including Merger Sub, or any Earn-Out Shares (as defined in that certain Agreement and Plan of Merger, dated March 28, 2021, by and among CM Life Sciences II, Inc., S-Craft Merger Sub, Inc., and SomaLogic)) shall by virtue of the Merger and without any action on the part of the holder thereof, be automatically converted into the right to receive 1.11 (the “Exchange Ratio”) shares of Standard BioTools Common Stock, and shall thereafter cease to be outstanding, be cancelled and cease to exist; </w:t>
      </w:r>
      <w:r>
        <mc:AlternateContent>
          <mc:Choice Requires="wps">
            <w:drawing>
              <wp:anchor behindDoc="0" distT="7366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21"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Excluded Share shall, by virtue of the Merger and without any action on the part of the holder thereof, automatically be cancelled without payment of any consideration therefor and cease to exist; </w:t>
      </w:r>
      <w:r>
        <mc:AlternateContent>
          <mc:Choice Requires="wps">
            <w:drawing>
              <wp:anchor behindDoc="0" distT="7366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2"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par value $0.001 per share, of Merger Sub issued and outstanding immediately prior to the Effective Time shall be converted into and become one validly issued, fully paid and non-assessable share of common stock, par value $0.001 per share, of the Surviving Company; </w:t>
      </w:r>
      <w:r>
        <mc:AlternateContent>
          <mc:Choice Requires="wps">
            <w:drawing>
              <wp:anchor behindDoc="0" distT="7366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3"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SomaLogic Stock Option that is outstanding and unexercised at the Effective Time, whether vested or unvested, will be assumed by Standard BioTools and exercisable for shares of Standard </w:t>
      </w:r>
      <w:r>
        <mc:AlternateContent>
          <mc:Choice Requires="wps">
            <w:drawing>
              <wp:anchor behindDoc="0" distT="7366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4"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Common Stock. Each assumed SomaLogic Stock Option will be exercisable for that number of shares of Standard BioTools Common Stock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the nearest whole share, and the exercise price per share of each such assumed SomaLogic Stock Option will be equal to (a) the per share exercise price applicable to such SomaLogic Stock Option immediately prior to the Effective Time divided by (b) the Exchange Ratio, with the resulting exercise price per share rounded up to the nearest whole cent. Except as noted above, each assumed SomaLogic Stock Option will continue to be governed by the same terms and conditions, including vesting terms and provision, as were applicable to such SomaLogic Stock Option immediately prior to the Effective Time;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SomaLogic RSU that is outstanding and unexercised at the Effective Time will be assumed by Standard BioTools. Each assumed SomaLogic RSU will be with respect to a number of shares of Standard BioTools Common Stock equal to the product of (i) the number of shares of SomaLogic Common Stock subject to such SomaLogic RSU immediately prior to the Effective Time multiplied by (ii) the Exchange Ratio, with the resulting number of shares of Standard BioTools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 </w:t>
      </w:r>
      <w:r>
        <mc:AlternateContent>
          <mc:Choice Requires="wps">
            <w:drawing>
              <wp:anchor behindDoc="0" distT="7493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5"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the SomaLogic Board shall take such actions as may be necessary, including providing advance written notice to each holder of options (the “SomaLogic ESPP Options”) pursuant to the SomaLogic ESPP prior to the Effective Time to: (i) terminate the Option Periods (as defined in the SomaLogic ESPP) then in effect under the SomaLogic ESPP; (ii) exercise all outstanding and unexercised SomaLogic ESPP Options to the extent of accumulated payroll deductions as of a date specified by the SomaLogic Board in such notice, which date shall not be less than 10 days preceding the Effective Time; (iii) prohibit any individual who is not participating in the SomaLogic ESPP as of the date of the Merger Agreement from commencing participation in the SomaLogic ESPP following the date of the Merger Agreement; (iv) prohibit participants in the SomaLogic ESPP from increasing their payroll deductions from those in effect as of the date of the Merger Agreement; and (v) terminate the SomaLogic ESPP effective immediately prior to the Effective Time. No SomaLogic ESPP Options shall be outstanding from and after the Effective Time; </w:t>
      </w:r>
      <w:r>
        <mc:AlternateContent>
          <mc:Choice Requires="wps">
            <w:drawing>
              <wp:anchor behindDoc="0" distT="7493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6"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and unexercised SomaLogic Warrant will be treated in accordance with its terms at and after the Effective Time. As soon as reasonably possible following the date of the Merger Agreement, SomaLogic will provide, in accordance with the terms of such SomaLogic Warrant, any notices required to be provided to the holder of such SomaLogic Warrant and take all such other actions that may be required in accordance with the terms of such SomaLogic Warrant in connection with the Contemplated Transactions prior to the Effective Time; and </w:t>
      </w:r>
      <w:r>
        <mc:AlternateContent>
          <mc:Choice Requires="wps">
            <w:drawing>
              <wp:anchor behindDoc="0" distT="7620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7"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Acquiror Common Stock (as defined in that certain Agreement and Plan of Merger, dated as of July 25, 2022, by and among SomaLogic, Panther Merger Subsidiary I, LLC, Panther Merger Subsidiary II, LLC, Palamedrix, Inc. (“Palamedrix”), and Stockholder Representative Services LLC, as amended or supplemented (the “Palamedrix Merger Agreement”)) issuable in satisfaction of Milestone Consideration (as defined in the Palamedrix Merger Agreement) will be satisfied with Standard BioTools Common Stock following the Effective Time and upon the achievement of the applicable Milestone (as defined in the Palamedrix Merger Agreement). </w:t>
      </w:r>
      <w:r>
        <mc:AlternateContent>
          <mc:Choice Requires="wps">
            <w:drawing>
              <wp:anchor behindDoc="0" distT="7620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8"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Standard BioTools Common Stock will be issuable pursuant to the Merger, and no certificates or scrip representing any such fractional shares shall be issued. The Exchange Agent (as defined below), acting as agent for the holders of the shares of SomaLogic Common Stock otherwise entitled to receive fractional shares of Standard BioTools Common Stock, will aggregate all fractional shares of Standard BioTools Common Stock that would otherwise have been required to be distributed and cause them to be sold in the open market for the accounts of such holders. Each holder of shares of SomaLogic Common Stock who would otherwise have been entitled to receive a fraction of a share of Standard BioTools Common Stock shall receive, in lieu thereof, cash, rounded to the nearest whole cent and without interest, in an amount equal to the proceeds from such sale by the Exchange Agent, if any, less any reasonable brokerage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TOSS"/>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commissions or other fees, transfer taxes or other out-of-pocket transaction costs, as well as a proportional amount of any expenses of the Exchange Agent incurred from the sale of such fractional shares of Standard BioTools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at the Closing, Standard BioTools will issue and cause to be deposited with Computershare Trust Company, N.A. (the “Exchange Agent”) evidence of book entry shares representing the non-certificated shares of Standard BioTools Common Stock issuable in connection with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promptly (and in any event within two business days) after the Effective Time, the Exchange Agent shall mail to each record holder of (i) shares of SomaLogic Common Stock (other than any shares of SomaLogic Common Stock that may be cancelled pursuant to the terms and conditions of the Merger Agreement) represented by a certificate (a “Certificate”) or (ii) each book-entry account representing any uncertificated shares of SomaLogic Common Stock (“Uncertificated Shares”) a letter of transmittal and instructions for surrendering such Certificates (or affidavit of loss, if applicable) or Uncertificated Shares to the Exchange Agent. Upon surrender of a Certificate (or affidavit of loss, if applicable) to the Exchange Agent in accordance with the terms of such letter of transmittal or, with respect to Uncertificated Shares, receipt of written instructions authorizing the transfer of such Uncertificated Shares by the Exchange Agent, the holder will be entitled to receive in exchange (in each case less any required tax withholdings):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non-certificated shares of Standard BioTools Common Stock in book-entry form that such holder has the right to receive pursuant to the provisions of the Merger Agreement; </w:t>
      </w:r>
      <w:r>
        <mc:AlternateContent>
          <mc:Choice Requires="wps">
            <w:drawing>
              <wp:anchor behindDoc="0" distT="7493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9"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rounded to the nearest whole cent and without interest, in lieu of any fractional shares of Standard BioTools Common Stock that such holder has the right to receive pursuant to the provisions of the Merger Agreement, subject to certain deductions pursuant to the provisions of the Merger Agreement; and </w:t>
      </w:r>
      <w:r>
        <mc:AlternateContent>
          <mc:Choice Requires="wps">
            <w:drawing>
              <wp:anchor behindDoc="0" distT="7493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30"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or other distributions, if any, declared or made with respect to Standard BioTools Common Stock with a record date after the Effective Time. </w:t>
      </w:r>
      <w:r>
        <mc:AlternateContent>
          <mc:Choice Requires="wps">
            <w:drawing>
              <wp:anchor behindDoc="0" distT="7493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31"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holders of shares of SomaLogic Common Stock (other than any Excluded Shares) that were issued and outstanding immediately prior to the Effective Time will cease to have any rights as stockholders of SomaLogic. In addition, no transfer of shares of SomaLogic Common Stock after the Effective Time will be registered on the stock transfer books of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in order for the person claiming such Certificate to be lost, stolen or destroyed to receive the shares of Standard BioTools Common Stock, cash in lieu of fractional shares and/or dividends or other distributions to which such person would otherwise be entitled pursuant to the terms of the Merger Agreement, such person will have to (i) make an affidavit of that fact, and (ii) if required by the Exchange Agent’s customary practices, enter into an indemnification agreement in customary form providing an indemnity against any claim that may be made against the Exchange Agent with respect to such Certificate. From and after the Effective Time, until it is surrendered, each Certificate or Uncertificated Share will represent only the right to receive shares of Standard BioTools Common Stock and cash in lieu of fractional shares. Standard BioTools will not pay dividends or other distributions on any shares of Standard BioTools Common Stock to be issued in exchange for any unsurrendered Certificate or Uncertificated Share until such Certificate (or affidavit of loss in lieu thereof) is surrendered as provided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Stock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Stock Option that is outstanding and unexercised at the Effective Time, whether vested or unvested, will be assumed by Standard BioTools and exercisable for shares of Standard BioTools Common Stock. Each assumed SomaLogic Stock Option will be exercisable for that number of shares of Standard BioTools Common Stock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the nearest whole share, and the exercise price per share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TOSR"/>
      <w:bookmarkEnd w:id="127"/>
      <w:r>
        <w:rPr>
          <w:rFonts w:ascii="calibri;arial;sans-serif" w:hAnsi="calibri;arial;sans-serif"/>
          <w:b w:val="false"/>
          <w:i w:val="false"/>
          <w:caps w:val="false"/>
          <w:smallCaps w:val="false"/>
          <w:color w:val="000000"/>
          <w:sz w:val="16"/>
        </w:rPr>
        <w:t>​</w:t>
      </w:r>
      <w:bookmarkStart w:id="128" w:name="tTOSE"/>
      <w:bookmarkEnd w:id="128"/>
      <w:r>
        <w:rPr>
          <w:rFonts w:ascii="calibri;arial;sans-serif" w:hAnsi="calibri;arial;sans-serif"/>
          <w:b w:val="false"/>
          <w:i w:val="false"/>
          <w:caps w:val="false"/>
          <w:smallCaps w:val="false"/>
          <w:color w:val="000000"/>
          <w:sz w:val="16"/>
        </w:rPr>
        <w:t>​</w:t>
      </w:r>
      <w:bookmarkStart w:id="129" w:name="tTOSW"/>
      <w:bookmarkEnd w:id="129"/>
      <w:r>
        <w:rPr>
          <w:rFonts w:ascii="calibri;arial;sans-serif" w:hAnsi="calibri;arial;sans-serif"/>
          <w:b w:val="false"/>
          <w:i w:val="false"/>
          <w:caps w:val="false"/>
          <w:smallCaps w:val="false"/>
          <w:color w:val="000000"/>
          <w:sz w:val="16"/>
        </w:rPr>
        <w:t>​</w:t>
      </w:r>
      <w:bookmarkStart w:id="130" w:name="tTOMC"/>
      <w:bookmarkEnd w:id="130"/>
      <w:r>
        <w:rPr>
          <w:rFonts w:ascii="calibri;arial;sans-serif" w:hAnsi="calibri;arial;sans-serif"/>
          <w:b w:val="false"/>
          <w:i w:val="false"/>
          <w:caps w:val="false"/>
          <w:smallCaps w:val="false"/>
          <w:color w:val="000000"/>
          <w:sz w:val="16"/>
        </w:rPr>
        <w:t>​</w:t>
      </w:r>
      <w:bookmarkStart w:id="131" w:name="tDOAC"/>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such assumed SomaLogic Stock Option will be equal to (a) the per share exercise price applicable to such SomaLogic Stock Option immediately prior to the Effective Time divided by (b) the Exchange Ratio, with the resulting exercise price per share rounded up to the nearest whole cent. Except as noted above, each assumed SomaLogic Stock Option will continue to be governed by the same terms and conditions, including vesting terms and provision, as were applicable to such SomaLogic Stock Option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RSUs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RSU that is outstanding and unexercised at the Effective Time will be assumed by Standard BioTools. Each assumed SomaLogic RSU will be with respect to a number of shares of Standard BioTools Common Stock equal to the product of (i) the number of shares of SomaLogic Common Stock subject to such SomaLogic RSU immediately prior to the Effective Time multiplied by (ii) the Exchange Ratio, with the resulting number of shares of Standard BioTools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ESPP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the SomaLogic Board shall take such actions as may be necessary, including providing advance written notice to each holder of SomaLogic ESPP Options pursuant to the SomaLogic ESPP prior to the Effective Time to: (i) terminate the Option Periods (as defined in the SomaLogic ESPP) then in effect under the SomaLogic ESPP; (ii) exercise all outstanding and unexercised SomaLogic ESPP Options to the extent of accumulated payroll deductions as of a date specified by the SomaLogic Board in such notice, which date shall not be less than 10 days preceding the Effective Time; (iii) prohibit any individual who is not participating in the SomaLogic ESPP as of the date of the Merger Agreement from commencing participation in the SomaLogic ESPP following the date of the Merger Agreement; (iv) prohibit participants in the SomaLogic ESPP from increasing their payroll deductions from those in effect as of the date of the Merger Agreement; and (v) terminate the SomaLogic ESPP effective immediately prior to the Effective Time. No SomaLogic ESPP Options shall be outstanding from and after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Warrant will be treated in accordance with its terms. As soon as reasonably possible following the date of the Merger Agreement, SomaLogic will provide, in accordance with the terms of such SomaLogic Warrant, any notices required to be provided to the holder of such SomaLogic Warrant and take all such other actions that may be required in accordance with the terms of such SomaLogic Warrant in connection with the Contemplated Transactions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Milestone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the Effective Time each share of SomaLogic Common Stock issuable in satisfaction of the applicable Milestone Consideration (as defined in the Palamedrix Merger Agreement) shall be satisfied with Standard BioTools Common Stock after applying the Exchange Ratio, if the Milestone Consideration is earned.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and Management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immediately following the Effective Time, the Standard BioTools Board will consist of three designees selected by Standard BioTools (one of whom will be the designee of the holders of the Series B-2 Preferred Stock), three designees selected by SomaLogic, and one designee selected by the holders of Series B-1 Preferred Stock. The composition of the Standard BioTools Board following the Effective Time in the aggregate is expected to satisfy the requisite independence requirements and SEC rules, as well as the sophistication and independence requirements for the required committees, pursuant to Nasdaq listing requirements. It is anticipated that after the Effective Time, the Standard BioTools Board will consist of the following members: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CTTC1"/>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179" w:type="dxa"/>
        <w:jc w:val="left"/>
        <w:tblInd w:w="1393" w:type="dxa"/>
        <w:tblLayout w:type="fixed"/>
        <w:tblCellMar>
          <w:top w:w="0" w:type="dxa"/>
          <w:left w:w="0" w:type="dxa"/>
          <w:bottom w:w="50" w:type="dxa"/>
          <w:right w:w="0" w:type="dxa"/>
        </w:tblCellMar>
      </w:tblPr>
      <w:tblGrid>
        <w:gridCol w:w="2698"/>
        <w:gridCol w:w="109"/>
        <w:gridCol w:w="109"/>
        <w:gridCol w:w="109"/>
        <w:gridCol w:w="154"/>
      </w:tblGrid>
      <w:tr>
        <w:trPr/>
        <w:tc>
          <w:tcPr>
            <w:tcW w:w="269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Eli Casdin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Fenel M. Eloi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Frank Witney,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Kathy Hibbs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Tom Carey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Troy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Standard BioTools and SomaLogic will (i) designate the class of each member of the Standard BioTools Board as of immediately following the Effective Time (other than the designees selected by the holders of the Series B Preferred Stock, which are excluded from the classified board provisions of the Standard BioTools Charter), except that there will be only one designee of Standard BioTools and SomaLogic in each class, and (ii) mutually agree on the composition of the committees of the Standard BioTools Board as of immediately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anticipated that the executive officers of Standard BioTools upon the consummation of the Merger will be: </w:t>
      </w:r>
    </w:p>
    <w:tbl>
      <w:tblPr>
        <w:tblW w:w="5531" w:type="dxa"/>
        <w:jc w:val="left"/>
        <w:tblInd w:w="1393" w:type="dxa"/>
        <w:tblLayout w:type="fixed"/>
        <w:tblCellMar>
          <w:top w:w="0" w:type="dxa"/>
          <w:left w:w="0" w:type="dxa"/>
          <w:bottom w:w="50" w:type="dxa"/>
          <w:right w:w="0" w:type="dxa"/>
        </w:tblCellMar>
      </w:tblPr>
      <w:tblGrid>
        <w:gridCol w:w="5050"/>
        <w:gridCol w:w="109"/>
        <w:gridCol w:w="109"/>
        <w:gridCol w:w="109"/>
        <w:gridCol w:w="154"/>
      </w:tblGrid>
      <w:tr>
        <w:trPr/>
        <w:tc>
          <w:tcPr>
            <w:tcW w:w="5050" w:type="dxa"/>
            <w:tcBorders>
              <w:bottom w:val="single" w:sz="2" w:space="0" w:color="000000"/>
            </w:tcBorders>
            <w:vAlign w:val="center"/>
          </w:tcPr>
          <w:p>
            <w:pPr>
              <w:pStyle w:val="TableContents"/>
              <w:bidi w:val="0"/>
              <w:spacing w:before="0" w:after="0"/>
              <w:jc w:val="left"/>
              <w:rPr>
                <w:spacing w:val="-3"/>
              </w:rPr>
            </w:pPr>
            <w:r>
              <w:rPr>
                <w:spacing w:val="-3"/>
              </w:rPr>
              <w:t xml:space="preserve">Name – Title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Egholm, Ph.D. –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spacing w:val="4"/>
              </w:rPr>
            </w:pPr>
            <w:r>
              <w:rPr>
                <w:spacing w:val="4"/>
              </w:rPr>
              <w:t xml:space="preserve">Jeffrey Black –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pPr>
            <w:r>
              <w:rPr>
                <w:spacing w:val="4"/>
              </w:rPr>
              <w:t>Hanjoon Alex Kim – Chief Operating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party’s obligation to complete the Merger is subject to the satisfaction or waiver (to the extent permitted by applicable law) by each of the parties, at or prior to the Merger, of various conditions, which include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 the Standard BioTools Share Issuance and (ii) the Standard BioTools Charter Amendment shall have been approved by the affirmative vote of the majority of the voting power of the shares present in person or represented by proxy at the Standard BioTools Special Meeting and entitled to vote on the subject matters (the “Standard BioTools Stockholder Approval”); </w:t>
      </w:r>
      <w:r>
        <mc:AlternateContent>
          <mc:Choice Requires="wps">
            <w:drawing>
              <wp:anchor behindDoc="0" distT="7493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2"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shall have been adopted by the affirmative vote of the holders of a majority of the outstanding shares of SomaLogic Common Stock entitled to vote thereon at the SomaLogic Special Meeting (the “SomaLogic Stockholder Approval”); </w:t>
      </w:r>
      <w:r>
        <mc:AlternateContent>
          <mc:Choice Requires="wps">
            <w:drawing>
              <wp:anchor behindDoc="0" distT="7493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3"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applicable law, judgment (whether temporary, preliminary or permanent) or other legal restraint or binding order or determination by any governmental entity shall be in effect that prevents, restrains, enjoins, makes illegal or otherwise prohibits the consummation of the Merger;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4"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on Form S-4 of which this joint proxy statement/prospectus forms a part, which is being filed by Standard BioTools with the SEC to register the Standard BioTools Common Stock to be issued to the holders of the shares of SomaLogic Common Stock in connection with the Merger, must have become effective in accordance with the provisions of the Securities Act of 1933 (as amended, the “Securities Act”) and no stop order suspending the effectiveness of such registration statement has been issued and no legal proceedings for that purpose have been initiated or threatened;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5"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shares of Standard BioTools Common Stock shall have been continually listed on Nasdaq as of and from the date of the Merger Agreement through the Closing Date, and the shares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6"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Standard BioTools Common Stock issuable in connection with the Merger shall have been approved for listing on The Nasdaq Global Select Market, subject to official notice of issuance;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waiting period (and any extension thereof) applicable to the Merger or any of the Contemplated Transactions under the HSR Act and any other applicable antitrust laws shall have expired or been terminated. </w:t>
      </w:r>
      <w:r>
        <mc:AlternateContent>
          <mc:Choice Requires="wps">
            <w:drawing>
              <wp:anchor behindDoc="0" distT="7620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7"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party’s obligation to complete the Merger is further subject to the satisfaction or waiver (to the extent permitted by applicable law) by that party of the following additional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of the representations and warranties of the other party other than the Standard BioTools Fundamental Representations and the SomaLogic Fundamental Representations (as such terms are defined below), as applicable, shall be true and correct (without giving effect to any limitation as to “materiality” or “material adverse effect” set forth in the Merger Agreement) at and as of the date of the Merger Agreement and as of the Closing Date as if made on and as of the Closing Date (except to the extent in either case expressly made as of an earlier date, in which case as of such date), except where the failure of such representations and warranties to be true and correct (without giving effect to any limitation as to “materiality” or “material adverse effect” set forth in the Merger Agreement), would not have a material adverse effect on the other party, (ii) the representations and warranties of the other party related to, due organizational documents, organization, subsidiaries, capitalization, authority to enter into the Merger Agreement, application of takeover laws, brokers/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finders and opinions of financial advisors (other than the portions of the capitalization representation related to authorized and outstanding capital stock and equity securities, the existence of stock option plans and other plans for equity-based compensation and the existence of undisclosed outstanding equity securities) shall be true and correct in all material respects at and as of the date of the Merger Agreement and as of the Closing Date as if made on and as of the Closing Date (except to the extent in either case expressly made as of an earlier date, in which case as of such date), (iii) the portions of the capitalization representation related to authorized and outstanding capital stock and equity securities, the existence of stock option plans and other plans for equity-based compensation and the existence of undisclosed outstanding equity securities shall be true and correct in all respects except for de minimis inaccuracies at and as of the date of the Merger Agreement and as of the Closing Date as if made on and as of the Closing Date, and (iv) the representations and warranties of the other party related to the existence of a material adverse effect on the other party shall be true and correct in all respects at and as of the date of the Merger Agreement and as of the Closing Date as if made on and as of the Closing Date (such representations and warranties referenced in clauses (ii), (iii) and (iv) by Standard BioTools, the “Standard BioTools Fundamental Representations” and such representations and warranties referenced in clauses (ii), (iii) and (iv) by SomaLogic, the “SomaLogic Fundamental Representations”). </w:t>
      </w:r>
      <w:r>
        <mc:AlternateContent>
          <mc:Choice Requires="wps">
            <w:drawing>
              <wp:anchor behindDoc="0" distT="7620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8"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must have performed in all material respects all obligations in the Merger Agreement required to be performed by it at or prior to the Closing; </w:t>
      </w:r>
      <w:r>
        <mc:AlternateContent>
          <mc:Choice Requires="wps">
            <w:drawing>
              <wp:anchor behindDoc="0" distT="7620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9"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not have occurred any material adverse effect on the other party after the date of the Merger Agreement; and </w:t>
      </w:r>
      <w:r>
        <mc:AlternateContent>
          <mc:Choice Requires="wps">
            <w:drawing>
              <wp:anchor behindDoc="0" distT="7620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40"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to the Merger Agreement must have delivered a customary closing certificate to such party certifying that the closing conditions related to the accuracy of representations and warranties, lack of material adverse effect and performance in all material respects of all obligations required to be performed by the other party under the Merger Agreement have been satisfied.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41"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SomaLogic’s obligation to complete the Merger is further subject to Standard BioTools effecting the Standard BioTools Charter Amendment and delivering to SomaLogic a file-stamped copy of the Standard BioTools Charter Amendment or waiver by SomaLogic of such additional condition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RAW"/>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following events shall not be considered a material adverse effect to Standard BioTools or SomaLogic, as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or economic conditions generally affecting the industry in which such party and its subsidiaries operate; </w:t>
      </w:r>
      <w:r>
        <mc:AlternateContent>
          <mc:Choice Requires="wps">
            <w:drawing>
              <wp:anchor behindDoc="0" distT="7239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2"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w:t>
      </w:r>
      <w:r>
        <mc:AlternateContent>
          <mc:Choice Requires="wps">
            <w:drawing>
              <wp:anchor behindDoc="0" distT="7239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3"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w:t>
      </w:r>
      <w:r>
        <mc:AlternateContent>
          <mc:Choice Requires="wps">
            <w:drawing>
              <wp:anchor behindDoc="0" distT="7239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4"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or any compliance with or action taken for the purpose of complying with, any law or generally accepted accounting principles (or interpretations thereof); </w:t>
      </w:r>
      <w:r>
        <mc:AlternateContent>
          <mc:Choice Requires="wps">
            <w:drawing>
              <wp:anchor behindDoc="0" distT="7239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5"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stock price or trading volume of such party’s common stock; </w:t>
      </w:r>
      <w:r>
        <mc:AlternateContent>
          <mc:Choice Requires="wps">
            <w:drawing>
              <wp:anchor behindDoc="0" distT="7239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6"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such party to meet internal or analysts’ expectations or projections or the results of operations of such party; </w:t>
      </w:r>
      <w:r>
        <mc:AlternateContent>
          <mc:Choice Requires="wps">
            <w:drawing>
              <wp:anchor behindDoc="0" distT="7239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7"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or announcement of the Merger Agreement or the pendency of the Merger and the other transactions contemplated by the Merger Agreement (the “Contemplated Transactions”), including (A) the identity of the other party, (B) the loss or departure of officers or other employees of such party or any of its subsidiaries directly or indirectly resulting from, arising out of, attributable to, or related to the Contemplated Transactions, and (C) any other negative development (or potential negative development) in the relationships of such party or any of its subsidiaries with business partners, whether as a direct or indirect result of the loss or departure of officers or employees of such party or any of its subsidiaries or otherwise, directly or indirectly resulting from, arising out of, attributable to, or related to the Contemplated Transactions; </w:t>
      </w:r>
      <w:r>
        <mc:AlternateContent>
          <mc:Choice Requires="wps">
            <w:drawing>
              <wp:anchor behindDoc="0" distT="7366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8"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actions taken or failure to take action, in each case, to which such party has provided its prior written consent; or compliance with the terms of, or the taking of any action required or contemplated by, the Merger Agreement; or the failure to take any action prohibited by the Merger Agreement; </w:t>
      </w:r>
      <w:r>
        <mc:AlternateContent>
          <mc:Choice Requires="wps">
            <w:drawing>
              <wp:anchor behindDoc="0" distT="7366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9"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fees or expenses incurred in connection with the Contemplated Transactions; or </w:t>
      </w:r>
      <w:r>
        <mc:AlternateContent>
          <mc:Choice Requires="wps">
            <w:drawing>
              <wp:anchor behindDoc="0" distT="7366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50"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proceedings made or brought by any of the current or former stockholders of such party (on their own behalf or on behalf of such party) against Standard BioTools, Merger Sub, SomaLogic or any of their directors or officers, including legal proceedings arising out of the Merger or in connection with any other Contemplated Transactions. </w:t>
      </w:r>
      <w:r>
        <mc:AlternateContent>
          <mc:Choice Requires="wps">
            <w:drawing>
              <wp:anchor behindDoc="0" distT="7366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51"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(i) any effect causing or contributing to the events described in the fifth and sixth bullets above may be taken into account in determining whether there has been, or would reasonably be expected to be, a material adverse effect to such party (unless such effects are otherwise included in the events listed above), and (ii) any event referred to in the first, second, third and fourth bullets above may be considered a material adverse effect to such party to the extent disproportionately affecting such party and its subsidiaries, taken as a whole, relative to other similarly situated companies in the industries in which such party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Standard BioTools, Merger Sub and SomaLogic for a transaction of this type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organizational documents; </w:t>
      </w:r>
      <w:r>
        <mc:AlternateContent>
          <mc:Choice Requires="wps">
            <w:drawing>
              <wp:anchor behindDoc="0" distT="7366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2"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subsidiaries; </w:t>
      </w:r>
      <w:r>
        <mc:AlternateContent>
          <mc:Choice Requires="wps">
            <w:drawing>
              <wp:anchor behindDoc="0" distT="7366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3"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NOSO"/>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0" distB="0" distL="254000" distR="0" simplePos="0" locked="0" layoutInCell="1" allowOverlap="1" relativeHeight="457">
                <wp:simplePos x="0" y="0"/>
                <wp:positionH relativeFrom="column">
                  <wp:align>left</wp:align>
                </wp:positionH>
                <wp:positionV relativeFrom="line">
                  <wp:posOffset>635</wp:posOffset>
                </wp:positionV>
                <wp:extent cx="127000" cy="350520"/>
                <wp:effectExtent l="0" t="0" r="0" b="0"/>
                <wp:wrapSquare wrapText="right"/>
                <wp:docPr id="454"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binding nature of the Merger Agreement; required votes; </w:t>
      </w:r>
      <w:r>
        <mc:AlternateContent>
          <mc:Choice Requires="wps">
            <w:drawing>
              <wp:anchor behindDoc="0" distT="7366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5"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non-contravention; consents; </w:t>
      </w:r>
      <w:r>
        <mc:AlternateContent>
          <mc:Choice Requires="wps">
            <w:drawing>
              <wp:anchor behindDoc="0" distT="7366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6"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filings; financial statements; </w:t>
      </w:r>
      <w:r>
        <mc:AlternateContent>
          <mc:Choice Requires="wps">
            <w:drawing>
              <wp:anchor behindDoc="0" distT="7366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7"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changes; </w:t>
      </w:r>
      <w:r>
        <mc:AlternateContent>
          <mc:Choice Requires="wps">
            <w:drawing>
              <wp:anchor behindDoc="0" distT="7366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8"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undisclosed liabilities; </w:t>
      </w:r>
      <w:r>
        <mc:AlternateContent>
          <mc:Choice Requires="wps">
            <w:drawing>
              <wp:anchor behindDoc="0" distT="7366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9"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to assets; </w:t>
      </w:r>
      <w:r>
        <mc:AlternateContent>
          <mc:Choice Requires="wps">
            <w:drawing>
              <wp:anchor behindDoc="0" distT="7366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60"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orders; </w:t>
      </w:r>
      <w:r>
        <mc:AlternateContent>
          <mc:Choice Requires="wps">
            <w:drawing>
              <wp:anchor behindDoc="0" distT="7366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61"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customers and suppliers; </w:t>
      </w:r>
      <w:r>
        <mc:AlternateContent>
          <mc:Choice Requires="wps">
            <w:drawing>
              <wp:anchor behindDoc="0" distT="7366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2"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w:t>
      </w:r>
      <w:r>
        <mc:AlternateContent>
          <mc:Choice Requires="wps">
            <w:drawing>
              <wp:anchor behindDoc="0" distT="7366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3"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and labor matters; benefit plans; </w:t>
      </w:r>
      <w:r>
        <mc:AlternateContent>
          <mc:Choice Requires="wps">
            <w:drawing>
              <wp:anchor behindDoc="0" distT="7366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4"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366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5"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taxes; </w:t>
      </w:r>
      <w:r>
        <mc:AlternateContent>
          <mc:Choice Requires="wps">
            <w:drawing>
              <wp:anchor behindDoc="0" distT="7493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6"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493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7"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and data security; </w:t>
      </w:r>
      <w:r>
        <mc:AlternateContent>
          <mc:Choice Requires="wps">
            <w:drawing>
              <wp:anchor behindDoc="0" distT="7493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8"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permits; regulatory matters; </w:t>
      </w:r>
      <w:r>
        <mc:AlternateContent>
          <mc:Choice Requires="wps">
            <w:drawing>
              <wp:anchor behindDoc="0" distT="7493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9"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7493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70"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w:t>
      </w:r>
      <w:r>
        <mc:AlternateContent>
          <mc:Choice Requires="wps">
            <w:drawing>
              <wp:anchor behindDoc="0" distT="7493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71"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statement and joint proxy statement/prospectus; </w:t>
      </w:r>
      <w:r>
        <mc:AlternateContent>
          <mc:Choice Requires="wps">
            <w:drawing>
              <wp:anchor behindDoc="0" distT="7493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2"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with affiliates; </w:t>
      </w:r>
      <w:r>
        <mc:AlternateContent>
          <mc:Choice Requires="wps">
            <w:drawing>
              <wp:anchor behindDoc="0" distT="7493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3"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finders; </w:t>
      </w:r>
      <w:r>
        <mc:AlternateContent>
          <mc:Choice Requires="wps">
            <w:drawing>
              <wp:anchor behindDoc="0" distT="7493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4"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financial advisor; </w:t>
      </w:r>
      <w:r>
        <mc:AlternateContent>
          <mc:Choice Requires="wps">
            <w:drawing>
              <wp:anchor behindDoc="0" distT="7493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5"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business practices; </w:t>
      </w:r>
      <w:r>
        <mc:AlternateContent>
          <mc:Choice Requires="wps">
            <w:drawing>
              <wp:anchor behindDoc="0" distT="7493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6"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common stock; and </w:t>
      </w:r>
      <w:r>
        <mc:AlternateContent>
          <mc:Choice Requires="wps">
            <w:drawing>
              <wp:anchor behindDoc="0" distT="7493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7"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and operations of Merger Sub (with respect to Standard BioTools and Merger Sub only). </w:t>
      </w:r>
      <w:r>
        <mc:AlternateContent>
          <mc:Choice Requires="wps">
            <w:drawing>
              <wp:anchor behindDoc="0" distT="7493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8"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are, in many respects, qualified by materiality and knowledge, and will not survive the Merger, but their accuracy forms the basis of certain of the conditions to the obligations of Standard BioTools and SomaLogic to complete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except as described below, each of Standard BioTools and SomaLogic will not, and will cause it and its subsidiaries’ officers, directors, employees, investment bankers, attorneys, accountants and other advisors, agents and representatives not to, directly or indirectly: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induce, knowingly encourage or knowingly facilitate any inquiries or the making of any proposal or offer that constitutes, or could reasonably be expected to lead to, an Acquisition Proposal (as defined below); </w:t>
      </w:r>
      <w:r>
        <mc:AlternateContent>
          <mc:Choice Requires="wps">
            <w:drawing>
              <wp:anchor behindDoc="0" distT="7493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9"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in any discussions or negotiations or cooperate in any way with any person regarding any Acquisition Proposal or any inquiry, proposal or offer that could reasonably be expected to lead to an Acquisition Proposal; </w:t>
      </w:r>
      <w:r>
        <mc:AlternateContent>
          <mc:Choice Requires="wps">
            <w:drawing>
              <wp:anchor behindDoc="0" distT="7493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80"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any non-public information or data concerning it or any of its subsidiaries to any person in connection with any Acquisition Proposal or for the purpose of soliciting, initiating, inducing, </w:t>
      </w:r>
      <w:r>
        <mc:AlternateContent>
          <mc:Choice Requires="wps">
            <w:drawing>
              <wp:anchor behindDoc="0" distT="7366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81"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encouraging or facilitating an Acquisition Proposal or any inquiry, proposal or offer that could reasonably be expected to lead to an Acquisition Proposal;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an Acquisition Proposal or that could reasonably be expected to lead to an Acquisition Proposal (other than an executed confidentiality agreement with terms at least as restrictive in all material respects (including with respect to confidentiality and restrictions on use)) on the person or group making such Acquisition Proposal as the terms of the confidentiality agreement entered into by Standard BioTools and SomaLogic are on the other party (an “Acceptable Confidentiality Agreement”); </w:t>
      </w:r>
      <w:r>
        <mc:AlternateContent>
          <mc:Choice Requires="wps">
            <w:drawing>
              <wp:anchor behindDoc="0" distT="7747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2"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approve, declare advisable or recommend or make any public statement approving or recommending any inquiry, proposal or offer that constitutes, or could reasonably be expected to lead to, an Acquisition Proposal (including by approving any transaction, or approving any person becoming an “interested stockholder,” for purposes of Section 203 of the DGCL); </w:t>
      </w:r>
      <w:r>
        <mc:AlternateContent>
          <mc:Choice Requires="wps">
            <w:drawing>
              <wp:anchor behindDoc="0" distT="7620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3"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r>
        <mc:AlternateContent>
          <mc:Choice Requires="wps">
            <w:drawing>
              <wp:anchor behindDoc="0" distT="7620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4"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resolve, publicly propose or agree to do any of the foregoing actions. </w:t>
      </w:r>
      <w:r>
        <mc:AlternateContent>
          <mc:Choice Requires="wps">
            <w:drawing>
              <wp:anchor behindDoc="0" distT="7620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5"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also agreed that it shall, and shall cause its subsidiaries and representatives to, immediately cease and cause to be terminated any solicitation, encouragement, discussions and negotiations with any person conducted prior to the date of the Merger Agreement with respect to any Acquisition Proposal, or inquiry, proposal, or offer that could reasonably be expected to lead to an Acquisition Proposal, and shall promptly terminate access by any such person to any physical or electronic data rooms relating to any such Acquisition Proposal. Each of Standard BioTools and SomaLogic also agreed to, within three business days after the date of the Merger Agreement, deliver a written notice to any person it entered into a confidentiality agreement in anticipation of an Acquisition Proposal, to the effect that it will end any discussions and negotiations such person and requiring the return or destruction of any confidential information furnished to such person. Each of Standard BioTools and SomaLogic will also (i) use its commercially reasonable efforts to have such confidential information returned to it or destroyed, (ii) immediately terminate all physical and electronic data room access provided to any such person or its representative, and (iii) prohibit any third party (other than the other party and its representatives) from having access to any physical or electronic data room relating to any possible Acquisition Proposal as of the date of the Merger Agreement. Each of Standard BioTools and SomaLogic further agreed to use commercially reasonable efforts to enforce the terms of each confidentiality agreement, and the terms of any standstill agreement, entered into with any other person, unless such party’s board of directors determined, in good faith after consultation with outside legal counsel, that such failure to take actions would be inconsistent with the fiduciary duties of the party’s board of directors to its stockholders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“Acquisition Proposal” means, with respect to Standard BioTools or SomaLogic, any transaction or series of related transactions (other than the Contemplated Transactions)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acquisition or purchase from such party by any person or “group” ​(as defined in or under Section 13(d) of the Securities Exchange Act of 1934, as amended (the “Exchange Act”)), directly or indirectly, of more than 15% interest in the total outstanding securities (or instruments convertible into or exercisable or exchangeable for 15% or more of such securities) of such party, including pursuant to a stock purchase, merger, consolidation, tender offer, share exchange or other transaction involving such party or any of its subsidiaries; </w:t>
      </w:r>
      <w:r>
        <mc:AlternateContent>
          <mc:Choice Requires="wps">
            <w:drawing>
              <wp:anchor behindDoc="0" distT="7620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6"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such party; </w:t>
      </w:r>
      <w:r>
        <mc:AlternateContent>
          <mc:Choice Requires="wps">
            <w:drawing>
              <wp:anchor behindDoc="0" distT="7620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7"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consolidation, business combination, share exchange, issuance of securities, acquisition of securities, reorganization, recapitalization or other similar transaction involving such party, pursuant to which the stockholders of such party immediately preceding such transaction hold less than 85% of the equity interests in the surviving or resulting entity of such transaction or any Standard BioTools entity thereof; </w:t>
      </w:r>
      <w:r>
        <mc:AlternateContent>
          <mc:Choice Requires="wps">
            <w:drawing>
              <wp:anchor behindDoc="0" distT="0" distB="0" distL="254000" distR="0" simplePos="0" locked="0" layoutInCell="1" allowOverlap="1" relativeHeight="491">
                <wp:simplePos x="0" y="0"/>
                <wp:positionH relativeFrom="column">
                  <wp:align>left</wp:align>
                </wp:positionH>
                <wp:positionV relativeFrom="line">
                  <wp:posOffset>635</wp:posOffset>
                </wp:positionV>
                <wp:extent cx="127000" cy="350520"/>
                <wp:effectExtent l="0" t="0" r="0" b="0"/>
                <wp:wrapSquare wrapText="right"/>
                <wp:docPr id="488"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exchange, transfer, license or disposition (in each case, other than in the ordinary course of business) of more than 15% of the assets of such party or its subsidiaries (taken as a whole) (measured by the fair market value thereof); or </w:t>
      </w:r>
      <w:r>
        <mc:AlternateContent>
          <mc:Choice Requires="wps">
            <w:drawing>
              <wp:anchor behindDoc="0" distT="7747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9"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foregoing. </w:t>
      </w:r>
      <w:r>
        <mc:AlternateContent>
          <mc:Choice Requires="wps">
            <w:drawing>
              <wp:anchor behindDoc="0" distT="7747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90"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prior to the time the Standard BioTools Stockholder Approval or SomaLogic Stockholder Approval, as applicable, is obtained, such party may (i) subject to certain conditions, provide access to nonpublic information regarding such party or any of its subsidiaries to, and (ii) may engage or participate in discussions or negotiations with, any third party in response to a written bona fide Acquisition Proposal first received after the date of the Merger Agreement (and which has not been withdrawn),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Acquisition Proposal did not result from a breach of the non-solicitation provisions of the Merger Agreement described above with respect to such Acquisition Proposal; </w:t>
      </w:r>
      <w:r>
        <mc:AlternateContent>
          <mc:Choice Requires="wps">
            <w:drawing>
              <wp:anchor behindDoc="0" distT="7747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91"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has provided prior written notice to the other party of the identity of the person or group making such Acquisition Proposal, the material terms and conditions of such Acquisition Proposal (including, if applicable, copies of any material written communications), and its intention to engage or participate in any discussions or negotiations with any such person; and </w:t>
      </w:r>
      <w:r>
        <mc:AlternateContent>
          <mc:Choice Requires="wps">
            <w:drawing>
              <wp:anchor behindDoc="0" distT="7747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2"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party’s board of directors determines in good faith, after consultation with its outside legal counsel and outside financial advisors, that such Acquisition Proposal either (x) constitutes or would reasonably be expected to result in a “Superior Proposal” ​(as defined below) and (y) the failure to take such action would reasonably be expected to be inconsistent with the directors’ fiduciary duties under applicable laws. </w:t>
      </w:r>
      <w:r>
        <mc:AlternateContent>
          <mc:Choice Requires="wps">
            <w:drawing>
              <wp:anchor behindDoc="0" distT="7747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3"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to promptly (and in any event within 24 hours), notify the other party (orally and in writing) if (i) such party or any of its representatives receives any proposals, offers or any written or other inquiries with respect to an Acquisition Proposal or any inquiries, proposals, offers or requests for information relating to or that could reasonably be expected to lead to an Acquisition Proposal, (ii) any person requests non-public information from such party or any of its representatives in connection with any Acquisition Proposal (provided that such party shall only be required to provide notice once per person under this clause (ii)), or (iii) any discussions or negotiations with respect to or that could reasonably be expected to lead to an Acquisition Proposal are sought to be initiated with such party (which notification shall include certain required information and ongoing notice obligations as further specified in the Merger Agreement). Thereafter, each of Standard BioTools and SomaLogic agreed to keep the other party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in the foregoing, and provide copies of any written materials provided by such party and its representations to the person making such offer or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agreed that it and its subsidiaries would not enter into a confidentiality agreement with any person that would prohibit it from providing confidential information to the other party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such party from providing confidential information to the other party pursuant to the terms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“Superior Proposal” means, with respect to Standard BioTools or SomaLogic, any bona fide, written Acquisition Proposal on terms which the board of Standard BioTools or SomaLogic, as applicable, determines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NCIR"/>
      <w:bookmarkEnd w:id="135"/>
      <w:r>
        <w:rPr>
          <w:rFonts w:ascii="calibri;arial;sans-serif" w:hAnsi="calibri;arial;sans-serif"/>
          <w:b w:val="false"/>
          <w:i w:val="false"/>
          <w:caps w:val="false"/>
          <w:smallCaps w:val="false"/>
          <w:color w:val="000000"/>
          <w:sz w:val="16"/>
        </w:rPr>
        <w:t>​</w:t>
      </w:r>
      <w:bookmarkStart w:id="136" w:name="tETNC"/>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such party’s stockholders from a financial point of view than the Merger (after taking into account any revisions to the terms of the Contemplated Transactions and the time likely to be required to consummate such Acquisition Proposal); provided that for purposes of the definition of “Superior Proposal”, the references to “15%” in the definition of Acquisition Proposal shall be deemed to be references to “50%.”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Change in Recommendation or Alternative Acquisition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provided below, the board of directors of Standard BioTools or SomaLogic, as applicable, and each committee thereof may not (i)(A) withhold, withdraw, qualify or modify (or publicly propose or resolve to withhold, withdraw, qualify or modify), in a manner adverse to the other party, its recommendation to such party’s stockholders to, (1) in the case of Standard BioTools, approve the Standard BioTools Share Issuance and the Standard BioTools Charter Amendment (the “Standard BioTools Board Recommendation”) and (2) in the case of SomaLogic, adopt the Merger Agreement (the “SomaLogic Board Recommendation”), (B) approve, recommend or otherwise declare advisable (or publicly propose or resolve to approve, recommend or otherwise declare advisable) any Acquisition Proposal, or (C) remove such party’s Board Recommendation from or fail to include such party’s Board Recommendation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(each, a “Change in Recommendation”) or (ii) approve, recommend or declare advisable, or propose to approve, recommend or declare advisable, or cause or permit such party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relating to or that could reasonably be expected to lead to any Acquisition Proposal or an agreement requiring such party (or that would require or could reasonably be expected to require such party) to abandon, terminate, delay or fail to consummate the Merger or any other transaction contemplated by the Merger Agreement or that would otherwise materially impede, interfere with or be inconsistent with, the Contemplated Transactions (an “Alternative Acquisition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Exceptions to No Change in Recommendation and Alternative Acquisition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upon receipt of a written Acquisition Proposal in compliance with the terms of the Merger Agreement by either party that has not been withdrawn and has been determined by the board of directors of such party in good faith, in consultation with outside financial advisors and outside legal counsel, to constitute a Superior Proposal, the board of directors of such party may make a Change in Recommendation and/or cause such party to terminate the Merger Agreement, in the manner further specified in the Merger Agreement, and to enter into a binding written definitive acquisition agreement providing for the consummation of a transaction constituting a Superior Proposal (a “Specified Agreement”) with respect to such Superior Proposal prior to the receipt of such party’s stockholder approval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provided the other party with four business days’ written notice, which notice shall contain certain required information as further specified in the Merger Agreement; </w:t>
      </w:r>
      <w:r>
        <mc:AlternateContent>
          <mc:Choice Requires="wps">
            <w:drawing>
              <wp:anchor behindDoc="0" distT="7493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4"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making such Change in Recommendation, such party engaged, and used its reasonable best efforts to cause its representatives to engage, in good faith negotiations with the other party, during such four-business day notice period to consider adjustments to the terms and conditions of the Merger Agreement or other proposals that may have been proposed in writing by the other party such that the Alternative Acquisition Agreement would cease to constitute a Superior Proposal; </w:t>
      </w:r>
      <w:r>
        <mc:AlternateContent>
          <mc:Choice Requires="wps">
            <w:drawing>
              <wp:anchor behindDoc="0" distT="7493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5"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such party determined in good faith, in consultation with outside financial advisors and outside legal counsel, that, in light of such Superior Proposal and taking into account any revised terms proposed in writing by the other party and the results of the negotiations contemplated by the preceding bullet, such Superior Proposal continues to constitute a Superior Proposal and, after consultation with outside legal counsel, that the failure to make such Change in Recommendation or terminate the Merger Agreement to enter into a Specified Agreement with respect </w:t>
      </w:r>
      <w:r>
        <mc:AlternateContent>
          <mc:Choice Requires="wps">
            <w:drawing>
              <wp:anchor behindDoc="0" distT="7493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6"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such Superior Proposal would be inconsistent with the fiduciary duties of such party’s board of directors to its stockholders under applicable law; and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termination of the Merger Agreement in order to cause such party to enter into a Specified Agreement with respect to such Superior Proposal, such party has validly terminated the Merger Agreement in accordance with the terms thereof, including paying the Termination Fee (as defined below). </w:t>
      </w:r>
      <w:r>
        <mc:AlternateContent>
          <mc:Choice Requires="wps">
            <w:drawing>
              <wp:anchor behindDoc="0" distT="8001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7"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board of directors of such party may make a Change in Recommendation upon the occurrence of an Intervening Event (as defined below) prior to receipt of such party’s stockholder approval if: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provided the other party with four business days’ written notice, which notice shall contain certain required information as further specified in the Merger Agreement; </w:t>
      </w:r>
      <w:r>
        <mc:AlternateContent>
          <mc:Choice Requires="wps">
            <w:drawing>
              <wp:anchor behindDoc="0" distT="8001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8"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engaged in good faith negotiations with the other party, during such four business day notice period to consider adjustments to the terms and conditions of the Merger Agreement or other proposals that may have been proposed in writing by the other party such that the failure of such party’s board of directors to make a Change in Recommendation in response to the Intervening Event would no longer be inconsistent with the fiduciary duties of such party’s board of directors to its stockholders under applicable law; and </w:t>
      </w:r>
      <w:r>
        <mc:AlternateContent>
          <mc:Choice Requires="wps">
            <w:drawing>
              <wp:anchor behindDoc="0" distT="8001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9"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such party determined in good faith, in consultation with outside financial advisors and outside legal counsel, that, in light of such Intervening Event and taking into account any revised terms proposed in writing by the other party and the results of the negotiations contemplated by the preceding bullet, that the failure of the board of directors of such party to make a Change in Recommendation would be inconsistent with the fiduciary duties of such party’s board of directors to its stockholders under applicable law. </w:t>
      </w:r>
      <w:r>
        <mc:AlternateContent>
          <mc:Choice Requires="wps">
            <w:drawing>
              <wp:anchor behindDoc="0" distT="8001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500"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Intervening Event” means any effect that is material to Standard BioTools or SomaLogic, as applicable and in each case their subsidiaries taken as a whole, occurring or arising after the date of the Merger Agreement that (i) was not known to, or reasonably foreseeable by, the board of directors of such party (or, if known, the magnitude or effect of which was not known to, or reasonably foreseeable) prior to the execution of the Merger Agreement, which effect (or magnitude) becomes known to, or reasonably foreseeable by, the board of directors of such party prior to the receipt of such party’s stockholder approval and (ii) does not relate to (A) an Acquisition Proposal made to such party or (B) (1) any changes in the market price or trading volume of either party, (2) the mere fact either party meets or exceeds any internal or analysts’ published projections, forecasts, estimates or predictions of revenue, earnings or other financial or operating metrics for any period ending on or after the date of the Merger Agreement, or changes after the date of the Merger Agreement in the market price or trading volume of the Standard BioTools Common Stock or SomaLogic Common Stock or the credit rating of either party (provided, that any facts or occurrences giving rise or contributing to such change or event may be taken into account when determining an Intervening Event), (3) any events or developments relating to the other party or any of its affiliates, (4) any event or development generally affecting the industries in which Standard BioTools or SomaLogic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Standard BioTools or SomaLogic (or refrained to be taken by Standard BioTools or SomaLogic) pursuant to the Merger Agreement or the consummation of the Contemplated Transactions, including expiration or termination of waiting periods or the receipt of approvals, consents or clearances applicable to the Merger under antitrust laws, (7) earthquakes, hurricanes, tsunamis, tornadoes, floods, mudslides, wild fires or other natural disasters, weather conditions and other force majeure events or (8) any legal proceedings made or brought by any of the current or former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MOS"/>
      <w:bookmarkEnd w:id="137"/>
      <w:r>
        <w:rPr>
          <w:rFonts w:ascii="calibri;arial;sans-serif" w:hAnsi="calibri;arial;sans-serif"/>
          <w:b w:val="false"/>
          <w:i w:val="false"/>
          <w:caps w:val="false"/>
          <w:smallCaps w:val="false"/>
          <w:color w:val="000000"/>
          <w:sz w:val="16"/>
        </w:rPr>
        <w:t>​</w:t>
      </w:r>
      <w:bookmarkStart w:id="138" w:name="tCCOB"/>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Standard BioTools or SomaLogic (on their own behalf or on behalf of Standard BioTools or SomaLogic) against Standard BioTools or SomaLogic, including legal proceedings arising out of the Contemplated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Merger Agreement is terminated in accordance with the terms of the Merger Agreement, Standard BioTools is obligated under the Merger Agreement to establish the record date for, duly call, give notice of and use its reasonable best efforts to convene and hold the Standard BioTools Special Meeting to consider and vote upon the Standard BioTools Share Issuance, which meeting shall in any event take place within 45 days after the declaration of the effectiveness of the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Standard BioTools Change in Recommendation, Standard BioTools shall seek the Standard BioTools Stockholder Approval at the Standard BioTools Special Meeting unless the Merger Agreement is terminated in accordance with its terms prior to the Standard BioTools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Merger Agreement is terminated in accordance with the terms of the Merger Agreement, SomaLogic is obligated under the Merger Agreement to establish the record date for, duly call, give notice of and use its reasonable best efforts to convene and hold the SomaLogic Special Meeting to consider and vote upon the adoption of the Merger Agreement, which meeting shall in any event take place within 45 days after the declaration of the effectiveness of the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SomaLogic Change in Recommendation, SomaLogic shall submit the Merger Agreement to the holders of shares of SomaLogic Common Stock for adoption at the SomaLogic Special Meeting unless the Merger Agreement is terminated in accordance with its terms prior to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that during the period from the date of the Merger Agreement to the earlier of the termination of the Merger Agreement in accordance with its terms and the Effective Time (the “Interim Period”), it will, and cause each of its subsidiaries to, (i) to conduct its business in the ordinary course of its normal operations and consistent in all material respects with past practices (the “Ordinary Course of Business”) and (ii) use commercially reasonable efforts to preserve intact the material components of its present business organization, keep available the services of its present officers and key employees in all material respects, preserve its relationships with manufacturers, suppliers, vendors, distributors, governmental entities, customers, licensors, licensees and other material business relations, comply with all applicable laws in all material respects and maintain in effect all permits necessary to the conduct of such party’s business and renew any such permits that would otherwise expire, except as (a) set forth in the disclosure schedules (the “Disclosure Schedules”) delivered by Standard BioTools or SomaLogic, as applicable pursuant to the Merger Agreement, (b) expressly contemplated or permitted by the Merger Agreement, (c) as required by applicable laws or (d) as consented to in writing by the other party, which consent shall not be unreasonably withheld, delayed or conditioned. Each of Standard BioTools and SomaLogic also agreed that, subject to certain limited exceptions, without the consent of the other party, it will not, and will not cause or permit any of its subsidiaries to, during the Interim Period (except as set forth in such party’s Disclosure Schedules, expressly permitted by or required in accordance with the Merger Agreement or as required by applicable laws):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such party or in connection with the payment of the exercise price and/or withholding taxes incurred upon the exercise, settlement or vesting of any award or purchase rights granted under such party’s equity compensation plans in accordance with the terms of such award in effect on the date of the Merger Agreement); </w:t>
      </w:r>
      <w:r>
        <mc:AlternateContent>
          <mc:Choice Requires="wps">
            <w:drawing>
              <wp:anchor behindDoc="0" distT="7366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501"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issue, grant, modify, reprice, pledge or otherwise dispose of or encumber or authorize: (1) any capital stock or other equity interests or security of such party (and with respect to Standard BioTools, </w:t>
      </w:r>
      <w:r>
        <mc:AlternateContent>
          <mc:Choice Requires="wps">
            <w:drawing>
              <wp:anchor behindDoc="0" distT="7366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2"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(except for shares of such party’s common stock issued upon the valid exercise or conversion of outstanding options or warrants or settlement of restricted stock units); (2) any option, warrant or right to acquire any capital stock or any other equity interests or security (other than equity awards granted to (A) new employees, service providers or board members who were offered a specific number of equity awards as part of an offer letter entered into prior to the date of the Merger Agreement or, in the Ordinary Course of Business, after the date of the Merger Agreement and (B) existing employees, service providers or board members in the Ordinary Course of Business as annual incentive compensation (provided, that the aggregate number of equity awards granted by such party during the Interim Period pursuant to the preceding exceptions, whether or not any such equity awards are exercised, terminated or forfeited during the Interim Period, many not exceed the number of equity awards set forth in such party’s Disclosure Schedules, the strike price of any such options shall be determined using the fair market valuation methodology set forth on such party’s Disclosure Schedules and such equity awards shall only be exercisable for such party’s common stock)); or (3) any instrument convertible into or exchangeable for any capital stock or other equity interests or security of such party or any of its subsidiaries (and, with respect to Standard BioTools, Merger Sub);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the Merger Agreement, adopt, amend, terminate or waive or propose to adopt, amend, terminate or waive such party’s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r>
        <mc:AlternateContent>
          <mc:Choice Requires="wps">
            <w:drawing>
              <wp:anchor behindDoc="0" distT="7366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3"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the Merger Agreement, adopt, amend, terminate or waive or propose to adopt, amend, terminate or waive any of such party’s equity plans, any provision of any agreement regarding any of such party’s outstanding stock options, restricted stock unit grant, or performance-based vesting restricted stock unit grant, or otherwise modify any of the terms of any outstanding option, restricted stock unit, warrant or other equity interest or security or any related contracts or agreements; </w:t>
      </w:r>
      <w:r>
        <mc:AlternateContent>
          <mc:Choice Requires="wps">
            <w:drawing>
              <wp:anchor behindDoc="0" distT="7493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4"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or implement any stockholder rights plan or similar arrangement; </w:t>
      </w:r>
      <w:r>
        <mc:AlternateContent>
          <mc:Choice Requires="wps">
            <w:drawing>
              <wp:anchor behindDoc="0" distT="7493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5"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any subsidiary or acquire or propose to acquire any equity interest or other interest in, or business of, any other entity or enter into a joint venture with any other entity (other than, with respect to Standard BioTools, Merger Sub); </w:t>
      </w:r>
      <w:r>
        <mc:AlternateContent>
          <mc:Choice Requires="wps">
            <w:drawing>
              <wp:anchor behindDoc="0" distT="7493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6"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lend money to any person (except for the advancement of expenses to employees, directors and consultants in the Ordinary Course of Business), (2) incur or guarantee any indebtedness for borrowed money, (3) guarantee any debt securities of others, or (4) other than the incurrence or payment of transaction expenses, make any capital expenditure for any two-month period in excess of 110% of the budgeted capital expenditure amounts for such two-month period set forth in such party’s operating budget (such party’s “Budget”) delivered to the other party concurrently with the execution of the Merger Agreement; </w:t>
      </w:r>
      <w:r>
        <mc:AlternateContent>
          <mc:Choice Requires="wps">
            <w:drawing>
              <wp:anchor behindDoc="0" distT="7493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7"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required by the terms of any employee benefit plan as in effect on the date of the Merger Agreement: (1) adopt, terminate, establish or enter into any employee benefit plan, other than in the Ordinary Course of Business; (2) cause or permit any employee benefit plan to be amended in any material respect other than in the Ordinary Course of Business; or (3)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such party’s Disclosure Schedules; </w:t>
      </w:r>
      <w:r>
        <mc:AlternateContent>
          <mc:Choice Requires="wps">
            <w:drawing>
              <wp:anchor behindDoc="0" distT="7493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8"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any labor union or labor organization, except as otherwise required by applicable laws; </w:t>
      </w:r>
      <w:r>
        <mc:AlternateContent>
          <mc:Choice Requires="wps">
            <w:drawing>
              <wp:anchor behindDoc="0" distT="7493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9"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 any employee, or terminate any existing employee, who (1) has (or would have, if hired) a total target annual compensation opportunity (base salary, target bonus, other target incentive opportunity and target cash long-term incentive opportunity) of $350,000 or more or (2) holds (or would hold, if hired) a vice president-level position, in each case, other than termination for cause (as determined in such party’s reasonable discretion), the hiring of new employees to fill vacant positions in the </w:t>
      </w:r>
      <w:r>
        <mc:AlternateContent>
          <mc:Choice Requires="wps">
            <w:drawing>
              <wp:anchor behindDoc="0" distT="7493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10"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 the salary ranges set next to such position on such party’s Disclosure Schedules;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acquire any material asset (including material intellectual property rights, excluding, for the avoidance of doubt, the creation of intellectual property rights in the Ordinary Course of Business) or properties, (2) sell, lease or otherwise irrevocably dispose of any of its material assets or properties (other than intellectual property rights), or (3) except in the Ordinary Course of Business, grant any lien, other than a lien of the type, nature and scope permitted by the Merger Agreement, with respect to any material asset (including intellectual property rights or properties) to be permitted; </w:t>
      </w:r>
      <w:r>
        <mc:AlternateContent>
          <mc:Choice Requires="wps">
            <w:drawing>
              <wp:anchor behindDoc="0" distT="7747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11"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license or sublicense intellectual property (other than pursuant to non-exclusive licenses in the Ordinary Course of Business) or otherwise dispose of any material intellectual property (other than the disclosure of trade secrets in support of the business of such party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r>
        <mc:AlternateContent>
          <mc:Choice Requires="wps">
            <w:drawing>
              <wp:anchor behindDoc="0" distT="7747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12"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disclose to any third party (other than pursuant to written confidentiality obligations) or otherwise fail to preserve and maintain, any trade secrets, know-how, methods, protocols, specifications, techniques, data or other confidential information or ideas; </w:t>
      </w:r>
      <w:r>
        <mc:AlternateContent>
          <mc:Choice Requires="wps">
            <w:drawing>
              <wp:anchor behindDoc="0" distT="7747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3"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change or revoke any material tax election, fail to pay any income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r>
        <mc:AlternateContent>
          <mc:Choice Requires="wps">
            <w:drawing>
              <wp:anchor behindDoc="0" distT="7747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4"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materially amend, terminate or expressly release any material rights under any material contract, or purchase order, work order or quality agreement with respect thereto, or enter into any contract that would be considered a material contract if in effect on the date hereof except that such party may enter into, and amend, contracts with material customers or material suppliers in the Ordinary Course of Business to the extent such contract is not, or, if such contract or amendment was in effect on the date hereof, would not be considered a material contracts pursuant to certain provisions of the Merger Agreement; </w:t>
      </w:r>
      <w:r>
        <mc:AlternateContent>
          <mc:Choice Requires="wps">
            <w:drawing>
              <wp:anchor behindDoc="0" distT="7747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5"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materially amend the milestone, royalty or similar contingent payment terms of, any contract under which such party or any of its subsidiaries has continuing milestone, royalty or similar contingent payment obligations, including upon the achievement of regulatory or commercial milestones or obligations to pay any royalty, dividend or similar payment based on the revenues or profits of such party or any of its subsidiaries, in each case, excluding indemnification and performance guarantee obligations provided in the Ordinary Course of Business; </w:t>
      </w:r>
      <w:r>
        <mc:AlternateContent>
          <mc:Choice Requires="wps">
            <w:drawing>
              <wp:anchor behindDoc="0" distT="7747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6"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make any expenditures, incur any liabilities or discharge any liabilities, in each case, for any two-month period in amounts that exceed 110% of such party’s Budget for such two-month period; </w:t>
      </w:r>
      <w:r>
        <mc:AlternateContent>
          <mc:Choice Requires="wps">
            <w:drawing>
              <wp:anchor behindDoc="0" distT="7747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7"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required by law or GAAP, take any action to change accounting policies or procedures; </w:t>
      </w:r>
      <w:r>
        <mc:AlternateContent>
          <mc:Choice Requires="wps">
            <w:drawing>
              <wp:anchor behindDoc="0" distT="7747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8"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amend any material filings with any governmental entity related to any of such party’s products; </w:t>
      </w:r>
      <w:r>
        <mc:AlternateContent>
          <mc:Choice Requires="wps">
            <w:drawing>
              <wp:anchor behindDoc="0" distT="7747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9"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or settle any legal proceeding; </w:t>
      </w:r>
      <w:r>
        <mc:AlternateContent>
          <mc:Choice Requires="wps">
            <w:drawing>
              <wp:anchor behindDoc="0" distT="7747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20"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REAP1"/>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amend a contract if such contract or amendment would reasonably be expected to prevent or materially impede, interfere with, hinder or delay the consummation of the Contemplated Transactions; </w:t>
      </w:r>
      <w:r>
        <mc:AlternateContent>
          <mc:Choice Requires="wps">
            <w:drawing>
              <wp:anchor behindDoc="0" distT="0" distB="0" distL="254000" distR="0" simplePos="0" locked="0" layoutInCell="1" allowOverlap="1" relativeHeight="524">
                <wp:simplePos x="0" y="0"/>
                <wp:positionH relativeFrom="column">
                  <wp:align>left</wp:align>
                </wp:positionH>
                <wp:positionV relativeFrom="line">
                  <wp:posOffset>635</wp:posOffset>
                </wp:positionV>
                <wp:extent cx="127000" cy="350520"/>
                <wp:effectExtent l="0" t="0" r="0" b="0"/>
                <wp:wrapSquare wrapText="right"/>
                <wp:docPr id="521"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maintain in full force and effect the existing insurance policies or to renew or replace such insurance policies with comparable insurance policies; </w:t>
      </w:r>
      <w:r>
        <mc:AlternateContent>
          <mc:Choice Requires="wps">
            <w:drawing>
              <wp:anchor behindDoc="0" distT="7493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22"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dissolve or liquidate such party or any of its subsidiaries; </w:t>
      </w:r>
      <w:r>
        <mc:AlternateContent>
          <mc:Choice Requires="wps">
            <w:drawing>
              <wp:anchor behindDoc="0" distT="7493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3"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outside of such party’s existing business; </w:t>
      </w:r>
      <w:r>
        <mc:AlternateContent>
          <mc:Choice Requires="wps">
            <w:drawing>
              <wp:anchor behindDoc="0" distT="7493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4"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material transaction other than in the Ordinary Course of Business; or </w:t>
      </w:r>
      <w:r>
        <mc:AlternateContent>
          <mc:Choice Requires="wps">
            <w:drawing>
              <wp:anchor behindDoc="0" distT="7493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5"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resolve or commit to do any of the foregoing. </w:t>
      </w:r>
      <w:r>
        <mc:AlternateContent>
          <mc:Choice Requires="wps">
            <w:drawing>
              <wp:anchor behindDoc="0" distT="7493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6"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shall use its reasonable best efforts to take, or cause to be taken, all actions and to do, or cause to be done, all things necessary, proper or advisable under applicable laws in connection with the Merger and the Contemplated Transactions; </w:t>
      </w:r>
      <w:r>
        <mc:AlternateContent>
          <mc:Choice Requires="wps">
            <w:drawing>
              <wp:anchor behindDoc="0" distT="7493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7"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shall use reasonable best efforts to (i) prepare and file, as promptly as possible, but not later than 10 business days after the date of the Merger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entity in connection with the Merger, and (iii) obtain as promptly as possible, all consents, clearances and approvals required to be obtained from any governmental entity that are necessary, proper or advisable to consummate the Merger, including responding to, and substantially complying with, a request for additional information or documentary material received pursuant to the HSR Act and advocating for antitrust clearance; </w:t>
      </w:r>
      <w:r>
        <mc:AlternateContent>
          <mc:Choice Requires="wps">
            <w:drawing>
              <wp:anchor behindDoc="0" distT="7493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8"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by applicable law, each party shall promptly advise the other party of any material communication between it or its affiliates and any governmental entity regarding the Merger or otherwise materially affecting its ability to timely consummate the Merger;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9"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shall consult and cooperate with the other party, and consider in good faith the views of the other party, in connection with, and provide to the other in advance (to the extent legally permissible), any analyses, presentations, memoranda, briefs, arguments, opinions and proposals made or submitted by or on behalf of such party in connection with proceeds under or relating to antitrust laws;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30"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will (i) notify the other party of all meetings or substantive communications with any governmental entity relating to any antitrust laws, and give the other party an opportunity to participate in each of such meetings, (ii) promptly notify the other party of all substantive oral and written communications with any governmental entity related to any antitrust laws, (iii) provide the other party with a reasonable advance opportunity to review and comment upon all written communications with a governmental entity regarding antitrust laws and (iv) provide the other party with copies of all written communications from any governmental entity relating to any antitrust laws; </w:t>
      </w:r>
      <w:r>
        <mc:AlternateContent>
          <mc:Choice Requires="wps">
            <w:drawing>
              <wp:anchor behindDoc="0" distT="7620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31"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and shall cause each of its subsidiaries and affiliates, to take reasonable actions necessary to obtain any consents, clearance or approvals required under or in connection with antitrust laws to expeditiously close the Merger or the other transactions contemplated by the Merger Agreement (and in any event by or prior to the termination date of the Merger Agreement); </w:t>
      </w:r>
      <w:r>
        <mc:AlternateContent>
          <mc:Choice Requires="wps">
            <w:drawing>
              <wp:anchor behindDoc="0" distT="7620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32"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not, and shall cause each of its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Standard BioTools and its affiliates to consummate the Merger or any of the </w:t>
      </w:r>
      <w:r>
        <mc:AlternateContent>
          <mc:Choice Requires="wps">
            <w:drawing>
              <wp:anchor behindDoc="0" distT="7620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33"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IDAO"/>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Contemplated Transactions, or (ii) cause any party to be required to obtain any clearances, consents, approvals, waivers, waiting period expirations or terminations, non-actions or other authorizations under any laws with respect to the Merger or the other transactions contemplated by the Merger Agreement.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will bear its own expenses and costs incurred by such party in connection with any filings and submissions pursuant to antitrust laws; </w:t>
      </w:r>
      <w:r>
        <mc:AlternateContent>
          <mc:Choice Requires="wps">
            <w:drawing>
              <wp:anchor behindDoc="0" distT="7620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4"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shall use commercially reasonable efforts to obtain any consents, approvals or waivers of third parties with respect to certain contracts set forth on such party’s Disclosure Schedules and any to which such party is a party, upon the reasonable request of the other party, as may be necessary for consummation of the Contemplated Transactions or required by such contract as a result of the Merger or the other Contemplated Transactions; and </w:t>
      </w:r>
      <w:r>
        <mc:AlternateContent>
          <mc:Choice Requires="wps">
            <w:drawing>
              <wp:anchor behindDoc="0" distT="7620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5"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bullets, neither party shall be required to (i) sell, divest or otherwise dispose of (including by license) or hold separate any assets or businesses of such party or any of its affiliates or subsidiaries, as applicable, (ii) litigate against any governmental entity or defend against any administrative or judicial action that is instituted (or threatened to be instituted) by a governmental entity challenging the Merger or (iii) modify, amend or terminate any existing contract to which such party is a party or enter into any agreement to restrict the ownership or operation of any assets or businesses of such party or any of its affiliates or subsidiaries, as applicable, unless, such modification, amendment, termination or agreement would not reasonably be expected to have, individually or in the aggregate, a material and negative effect on Standard BioTools and its subsidiaries (including SomaLogic following the closing of the Merger), taken as a whole, following the closing. </w:t>
      </w:r>
      <w:r>
        <mc:AlternateContent>
          <mc:Choice Requires="wps">
            <w:drawing>
              <wp:anchor behindDoc="0" distT="7620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6"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Directors’ and Officers’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for a period of six years from the date of the Effective Time, Standard BioTools shall cause all rights to exculpation, indemnification and advancement by SomaLogic and its subsidiaries existing in favor of any person who is, has been or becomes prior to the Effective Time a director or officer of SomaLogic or any of its subsidiaries for their acts and omissions as directors and officers of SomaLogic or any of its subsidiaries occurring prior to the Effective Time, as provided in SomaLogic’s or its applicable subsidiary’s organizational documents and as provided in any indemnification agreement between SomaLogic and such person to survive the Merger and be observed by the Surviving Company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SomaLogic shall purchase prior to the Effective Time a tail policy or policies under SomaLogic’s current directors’ and officers’ liability insurance policies program (collectively, the “D&amp;O Tail Policy”),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as the coverage provided by such existing policies. The total annual premium for the D&amp;O Tail Policy shall not exceed 300% of the annual premiums most recently paid by SomaLogic for such insurance prior to the Effective Time (the “Maximum Premium”). Standard BioTools shall cause such D&amp;O Tail Policy to be maintained in full force and effect for its full term and cause all obligations thereunder to be honored by the Surviving Company. In the event any future annual premiums for the D&amp;O Tail Policy exceed the Maximum Premium, the Surviving Company will be entitled to reduce the amount of coverage of the D&amp;O Tail Policy to the amount of coverage that can be obtained for a premium equal to the Maximum Premium. In the event that such run-off or tail endorsement is not reasonably available to SomaLogic prior to the Effective Time, the Surviving Company shall maintain in effect the existing policy of directors’ and officers’ liability insurance maintained by SomaLogic until the sixth anniversary of the Closing Date (provided, that the Surviving Company shall not be required to pay annual premiums in excess of the Maximum Premium).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OTAG"/>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has agreed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promptly notify the other party in writing upon becoming aware of any event, condition, fact or circumstance that would reasonably be expected to make the timely satisfaction of any condition to closing of the Merger impossible; </w:t>
      </w:r>
      <w:r>
        <mc:AlternateContent>
          <mc:Choice Requires="wps">
            <w:drawing>
              <wp:anchor behindDoc="0" distT="7620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7"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Contemplated Transactions; and (iii) any other material legal proceeding or material claim threatened in writing, commenced or asserted against any party or its respective subsidiaries; </w:t>
      </w:r>
      <w:r>
        <mc:AlternateContent>
          <mc:Choice Requires="wps">
            <w:drawing>
              <wp:anchor behindDoc="0" distT="7620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8"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Standard BioTools and SomaLogic shall, and shall cause each of its subsidiaries to, furnish as promptly as practicable to the other all other information concerning its or any of its subsidiaries’ capital stock, business and personnel as may reasonably be requested by the other, as and when reasonably requested by the other party; </w:t>
      </w:r>
      <w:r>
        <mc:AlternateContent>
          <mc:Choice Requires="wps">
            <w:drawing>
              <wp:anchor behindDoc="0" distT="7620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9"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its reasonable best efforts to, and cause its subsidiaries to, cause the Merger to qualify as a “reorganization” within the meaning of Section 368(a) of the Code, as amended, and, if requested by the SEC, use their respective reasonable best efforts to cause its respective counsel to deliver a tax opinion; and </w:t>
      </w:r>
      <w:r>
        <mc:AlternateContent>
          <mc:Choice Requires="wps">
            <w:drawing>
              <wp:anchor behindDoc="0" distT="7620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40"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following the initial joint press release with respect to the Merger and the Contemplated Transactions, consult with each other prior to making any press releases or other public announcements concerning the Merger and any filings with any governmental entity, subject to certain exceptions. </w:t>
      </w:r>
      <w:r>
        <mc:AlternateContent>
          <mc:Choice Requires="wps">
            <w:drawing>
              <wp:anchor behindDoc="0" distT="7620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41"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agreed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use its reasonable best efforts to cause the shares of Standard BioTools Common Stock issued in the Standard BioTools Share Issuance to be approved for listing on The Nasdaq Global Select Market; </w:t>
      </w:r>
      <w:r>
        <mc:AlternateContent>
          <mc:Choice Requires="wps">
            <w:drawing>
              <wp:anchor behindDoc="0" distT="7620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42"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each individual who is both employed by SomaLogic as of the Closing Date and continues employment with Standard BioTools or one of its subsidiaries after such date (each, a “Continuing Employee”) with (i) base compensation that is no less favorable than the base compensation provided to such individual immediately prior to the Effective Time and (ii) employee benefits (excluding equity and equity-based compensation) that are no less favorable, in the aggregate, than the employee benefits provided to such individual immediately prior to the Effective Time, in each case until December 31, 2024 (or, if earlier, the termination of employment of such individual); </w:t>
      </w:r>
      <w:r>
        <mc:AlternateContent>
          <mc:Choice Requires="wps">
            <w:drawing>
              <wp:anchor behindDoc="0" distT="7620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43"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closing of the Merger occurs after April 1, 2024, provide each Continuing Employee with target annual or short-term cash incentive opportunities for the calendar year 2024 that are approved for such individuals by the compensation committee of the SomaLogic Board prior to the Effective Time, which shall not exceed the amount set forth in SomaLogic’s Disclosure Schedules; and </w:t>
      </w:r>
      <w:r>
        <mc:AlternateContent>
          <mc:Choice Requires="wps">
            <w:drawing>
              <wp:anchor behindDoc="0" distT="7620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44"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honor and pay 2023 incentive compensation bonuses as determined by the compensation committee of the SomaLogic Board prior to the Effective Time based on past practice and not to exceed the amounts set forth in SomaLogic’s Disclosure Schedules unless such bonuses have been paid prior to the closing of the Merger. </w:t>
      </w:r>
      <w:r>
        <mc:AlternateContent>
          <mc:Choice Requires="wps">
            <w:drawing>
              <wp:anchor behindDoc="0" distT="7620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45"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TER"/>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agreed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cooperate with Standard BioTools and take, or cause to be taken, all actions necessary, proper or advisable under applicable laws and rules and policies of Nasdaq to permit its shares of capital stock and any other security issued by SomaLogic and listed on The Nasdaq Capital Market to be de-listed and de-registered under the Exchange Act as soon as possible following the Effective Time; </w:t>
      </w:r>
      <w:r>
        <mc:AlternateContent>
          <mc:Choice Requires="wps">
            <w:drawing>
              <wp:anchor behindDoc="0" distT="7493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6"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directed by Standard BioTools in writing at least five business days before the Effective Time, (i) take all actions necessary to terminate each employee benefit plan intended to qualify under Section 401(a) of the Internal Revenue Code of 1986, as amended (each a “SomaLogic 401(k) Plan”) effective not later than the date immediately preceding the Closing Date and (ii) prior to and conditioned upon the termination of the SomaLogic 401(k) Plans, take any action necessary to fully vest any and all unvested amounts of the accounts of all participants in SomaLogic 401(k) Plans; and </w:t>
      </w:r>
      <w:r>
        <mc:AlternateContent>
          <mc:Choice Requires="wps">
            <w:drawing>
              <wp:anchor behindDoc="0" distT="7493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7"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and deliver to Standard BioTools at or prior to the Effective Time the resignation of each officer and director of SomaLogic and each of its subsidiaries effective as of the Effective Time. </w:t>
      </w:r>
      <w:r>
        <mc:AlternateContent>
          <mc:Choice Requires="wps">
            <w:drawing>
              <wp:anchor behindDoc="0" distT="7493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8"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before the Effective Time, whether before or after the Standard BioTools Stockholder Approval and the SomaLogic Stockholder Approval have been obtained, as set forth below: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Standard BioTools and SomaLogic; or </w:t>
      </w:r>
      <w:r>
        <mc:AlternateContent>
          <mc:Choice Requires="wps">
            <w:drawing>
              <wp:anchor behindDoc="0" distT="74930" distB="0" distL="254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49"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Standard BioTools or SomaLogic, if (a) the Merger has not been consummated by 11:59 p.m. (Eastern Time) on May 1, 2024 (the “Terminate Date”) (provided, that if on the Termination Date the waiting period (and any extension thereof) applicable to the Merger or any of the Contemplated Transactions under the HSR Act or any other applicable antitrust laws have not expired or been terminated, either party may, upon written notice to the other party, extend the Termination Date on one or more occasions, for additional periods of up to 30 days per extension, until October 4, 2024), (b) the Standard BioTools Stockholder Approval was not obtained at the Standard BioTools Special Meeting duly convened therefor or at any adjournment or postponement thereof at which a vote upon the adoption of the Merger Agreement was taken, (c) the SomaLogic Stockholder Approval was not obtained at the SomaLogic Special Meeting duly convened therefor or at any adjournment or postponement thereof at which a vote upon the adoption of the Merger Agreement was taken, or (d) if any applicable law, judgment or other legal restraint or binding order or determination by any governmental entity restrains, enjoins, makes illegal or otherwise prohibits the consummation of the Merger and such restraint shall have become final and non-appealable, in each of (a), (b) and (c) where the terminating party’s material breach of the Merger Agreement is not the cause of, or has resulted in, the failure of such condition and in (d) where the terminating party’s complied with its obligations with respect to regulatory matters under the Merger Agreement; </w:t>
      </w:r>
      <w:r>
        <mc:AlternateContent>
          <mc:Choice Requires="wps">
            <w:drawing>
              <wp:anchor behindDoc="0" distT="7493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50"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Standard BioTools, if: </w:t>
      </w:r>
      <w:r>
        <mc:AlternateContent>
          <mc:Choice Requires="wps">
            <w:drawing>
              <wp:anchor behindDoc="0" distT="7620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51"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SomaLogic breaches any of its representations, warranties, covenants or agreements contained in the Merger Agreement, or any such representation and warranty shall have become untrue after the date of the Merger Agreement, such that any of SomaLogic’s conditions to closing the Merger would not be satisfied, and such breach or failure, to be true is not curable, or, if curable, is not cured in accordance with the terms of the Merger Agreement; provided, that Standard BioTools shall not have the right to terminate the Merger Agreement pursuant to this provision if Standard BioTools is then in material breach of any of its representations, warranties, covenants or agreements under the Merger Agreement; </w:t>
      </w:r>
      <w:r>
        <mc:AlternateContent>
          <mc:Choice Requires="wps">
            <w:drawing>
              <wp:anchor behindDoc="0" distT="76200" distB="0" distL="508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52"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SomaLogic Stockholder Approval, (i) SomaLogic Change in Recommendation has occurred, (ii) the SomaLogic Board has failed to publicly reaffirm its recommendation to approve the SomaLogic Board Recommendation within 10 business days after Standard BioTools so requests in writing following the public disclosure of any Acquisition </w:t>
      </w:r>
      <w:r>
        <mc:AlternateContent>
          <mc:Choice Requires="wps">
            <w:drawing>
              <wp:anchor behindDoc="0" distT="76200" distB="0" distL="508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53"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TFAE"/>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with any person other than Standard BioTools (or if the SomaLogic Special Meeting is scheduled to be held within 10 business days of the written request of Standard BioTools, promptly and in any event prior to the date of which the SomaLogic Special Meeting is scheduled to be held) (iii) the SomaLogic Board has failed to publicly recommend against any tender offer or exchange offer subject to Regulation 14D under the Exchange Act that constitutes an Acquisition Proposal (including by taking no position with respect to the acceptance of such tender offer or exchange offer by SomaLogic’s stockholders) within 10 business days of the commencement of such tender offer or exchange offer or (iv) SomaLogic has intentionally and materially breached its no solicitation or negotiation and notice obligations under the Merger Agreement, provided, that Standard BioTools’ right to terminate the Merger Agreement pursuant to this provision shall expire upon receipt of the SomaLogic Stockholder Approval; or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Standard BioTools Stockholder Approval, in order to accept a Superior Proposal and, substantially concurrently with such termination, to enter into a Specified Agreement, provided that Standard BioTools has complied in all material respects with its no solicitation or negotiation and notice obligations under the Merger Agreement with respect to such Superior Proposal and pays the Termination Fee. </w:t>
      </w:r>
      <w:r>
        <mc:AlternateContent>
          <mc:Choice Requires="wps">
            <w:drawing>
              <wp:anchor behindDoc="0" distT="77470" distB="0" distL="508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54" name="Frame5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SomaLogic, if: </w:t>
      </w:r>
      <w:r>
        <mc:AlternateContent>
          <mc:Choice Requires="wps">
            <w:drawing>
              <wp:anchor behindDoc="0" distT="7747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55" name="Frame5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Standard BioTools breaches or fails to perform any of its representations, warranties or covenants contained in the Merger Agreement, or any such representation and warranty has become untrue after the date of the Merger Agreement, such that any of Standard BioTools’ conditions to closing the Merger would not be satisfied, and such breach or failure to be true is not curable, or, if curable, is not cured in accordance with the terms of the Merger Agreement; provided, that SomaLogic shall not have the right to terminate the Merger Agreement pursuant to this provision if SomaLogic is then in material breach of any of its representations, warranties, covenants or agreements under the Merger Agreement; or </w:t>
      </w:r>
      <w:r>
        <mc:AlternateContent>
          <mc:Choice Requires="wps">
            <w:drawing>
              <wp:anchor behindDoc="0" distT="77470" distB="0" distL="508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6"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SomaLogic so requests in writing following the public disclosure of any Acquisition Proposal with any person other than SomaLogic (or if the Standard BioTools Special Meeting is scheduled to be held within 10 business days of the written request of SomaLogic, promptly and in any event prior to the date of which the Standard BioTools Special Meeting is scheduled to be held), (iii) the Standard BioTools Board has failed to publicly recommend against any tender offer or exchange offer subject to Regulation 14D under the Exchange Act that constitutes an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SomaLogic’s right to terminate the Merger Agreement pursuant to this provision shall expire upon receipt of the Standard BioTools Stockholder Approval; or </w:t>
      </w:r>
      <w:r>
        <mc:AlternateContent>
          <mc:Choice Requires="wps">
            <w:drawing>
              <wp:anchor behindDoc="0" distT="77470" distB="0" distL="508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7"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SomaLogic Stockholder Approval, in order to accept a Superior Proposal and, substantially concurrently with such termination, to enter into a Specified Agreement, provided that SomaLogic has complied in all material respects with its no solicitation or negotiation and notice obligations under the Merger Agreement with respect to such Superior Proposal and pays the Termination Fee. </w:t>
      </w:r>
      <w:r>
        <mc:AlternateContent>
          <mc:Choice Requires="wps">
            <w:drawing>
              <wp:anchor behindDoc="0" distT="76200" distB="0" distL="508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8"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 Reimbursement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payment of a termination fee in the amount of $19,123,214, in the case of Standard BioTools, and in the amount of $17,176,173, in the case of SomaLogic (in each case, the “Termination Fee”), will be payable by the terminating party to the non-terminating party under the following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(i) after the date of the Merger Agreement, an Acquisition Proposal has been made to Standard BioTools or SomaLogic, as applicable (the “Paying Party”), and such Acquisition Proposal becomes publicly known prior to the Paying Party’s Special Meeting and, in either case, such Acquisition Proposal has not been withdrawn at the time of the Paying Party’s Special Meeting, or a third party has publicly announced an intention to make an Acquisition Proposal and such intention has not been withdrawn at the time of the Paying Party’s Special Meeting, (ii) the Merger Agreement is terminated (A) by either party due to the Merger not being consummated by the Termination Date, (B) by either party due to the Paying Party’s stockholder approval not being obtained at the Paying Party Special Meeting duly convened therefor or at any adjournment or postponement thereof at which a vote upon the adoption of the Merger Agreement was taken, where the terminating party’s material breach of the Merger Agreement is not the cause of, or has resulted in, the failure of to obtain the Paying Party’s stockholder approval, or (C) by the other party (the “Non-Paying Party”) due to the Paying Party breaching any of its representations, warranties, covenants or agreements contained in the Merger Agreement, or any such representation and warranty having become untrue after the date of the Merger Agreement, such that any of the Non-Paying Party’s conditions to closing the Merger would not be satisfied, and such breach or failure, if curable, is not cured in accordance with the terms of the Merger Agreement (provided, that the Non-Paying Party shall not have the right to terminate the Merger Agreement pursuant to this provision if the Non-Paying Party is then in material breach of any of its representations, warranties, covenants or agreements contained in the Merger Agreement), and (iii) within 12 months after such termination, the Paying Party enters into an Alternative Acquisition Agreement with respect to an Acquisition Proposal or consummates an Acquisition Proposal (solely for purposes of this provision, the references to “15%” in the definition of Acquisition Proposal shall be deemed to be references to “50%”); then, in each case, the Paying Party shall, subject to certain conditions, pay the Non-Paying Party the Termination Fee. </w:t>
      </w:r>
      <w:r>
        <mc:AlternateContent>
          <mc:Choice Requires="wps">
            <w:drawing>
              <wp:anchor behindDoc="0" distT="0" distB="0" distL="254000" distR="0" simplePos="0" locked="0" layoutInCell="1" allowOverlap="1" relativeHeight="562">
                <wp:simplePos x="0" y="0"/>
                <wp:positionH relativeFrom="column">
                  <wp:align>left</wp:align>
                </wp:positionH>
                <wp:positionV relativeFrom="line">
                  <wp:posOffset>635</wp:posOffset>
                </wp:positionV>
                <wp:extent cx="127000" cy="350520"/>
                <wp:effectExtent l="0" t="0" r="0" b="0"/>
                <wp:wrapSquare wrapText="right"/>
                <wp:docPr id="559"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the Non-Paying Party if, prior to obtaining its stockholder approval, (i) a Paying Party Change in Recommendation shall have occurred, (ii) the Paying Party board of directors shall have failed to publicly reaffirm its recommendation to approve its Board Recommendation within 10 business days after the Non-Paying Party so requests in writing following the public disclosure of any Acquisition Proposal with any person other than the Non-Paying Party (or if the Paying Party Special Meeting is scheduled to be held within 10 business days of the written request of the Non-Paying Party , promptly and in any event prior to the date of which the Paying Party Special Meeting is scheduled to be held), (iii) the Paying Party board of directors shall have failed to publicly recommend against any tender offer or exchange offer subject to Regulation 14D under the Exchange Act that constitutes an Acquisition Proposal (including by taking no position with respect to the acceptance of such tender offer or exchange offer by the Paying Party’s stockholders) within 10 business days of the commencement of such tender offer or exchange offer or (iv) the Paying Party shall have intentionally and materially breached its no solicitation or negotiation and notice obligations under the Merger Agreement, provided, that the Paying Party’s right to terminate the Merger Agreement pursuant to this provision shall expire upon receipt of the Non-Paying Party’s stockholder approval; then, in each case, the Paying Party shall, subject to certain conditions pay the Non-Paying Party the Termination Fee. </w:t>
      </w:r>
      <w:r>
        <mc:AlternateContent>
          <mc:Choice Requires="wps">
            <w:drawing>
              <wp:anchor behindDoc="0" distT="78740" distB="0" distL="254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60"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the Paying Party, prior to obtaining the Paying Party’s stockholder approval, in order to accept a Superior Proposal and, substantially concurrently with such termination, to enter into a Specified Agreement, provided that the Paying Party has complied in all material respects with its no solicitation or negotiation and notice obligations under the Merger Agreement with respect to such Superior Proposal; then, the Paying Party shall, subject to certain conditions, pay the Non-Paying Party the Termination Fee simultaneously with such termination and execution of the Specified Agreement (or if the Specified Agreement is executed on a day that is not a business day, the next business day). </w:t>
      </w:r>
      <w:r>
        <mc:AlternateContent>
          <mc:Choice Requires="wps">
            <w:drawing>
              <wp:anchor behindDoc="0" distT="77470" distB="0" distL="25400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61" name="Frame5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shall either party be required to pay the Termination Fee more than once, and the Termination Fee shall be reduced by an amount equal to the Fee Reimbursement (as defined below) actually paid to the Non-Paying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PPE"/>
      <w:bookmarkEnd w:id="144"/>
      <w:r>
        <w:rPr>
          <w:rFonts w:ascii="calibri;arial;sans-serif" w:hAnsi="calibri;arial;sans-serif"/>
          <w:b w:val="false"/>
          <w:i w:val="false"/>
          <w:caps w:val="false"/>
          <w:smallCaps w:val="false"/>
          <w:color w:val="000000"/>
          <w:sz w:val="16"/>
        </w:rPr>
        <w:t>​</w:t>
      </w:r>
      <w:bookmarkStart w:id="145" w:name="tEXP"/>
      <w:bookmarkEnd w:id="145"/>
      <w:r>
        <w:rPr>
          <w:rFonts w:ascii="calibri;arial;sans-serif" w:hAnsi="calibri;arial;sans-serif"/>
          <w:b w:val="false"/>
          <w:i w:val="false"/>
          <w:caps w:val="false"/>
          <w:smallCaps w:val="false"/>
          <w:color w:val="000000"/>
          <w:sz w:val="16"/>
        </w:rPr>
        <w:t>​</w:t>
      </w:r>
      <w:bookmarkStart w:id="146" w:name="tAME"/>
      <w:bookmarkEnd w:id="146"/>
      <w:r>
        <w:rPr>
          <w:rFonts w:ascii="calibri;arial;sans-serif" w:hAnsi="calibri;arial;sans-serif"/>
          <w:b w:val="false"/>
          <w:i w:val="false"/>
          <w:caps w:val="false"/>
          <w:smallCaps w:val="false"/>
          <w:color w:val="000000"/>
          <w:sz w:val="16"/>
        </w:rPr>
        <w:t>​</w:t>
      </w:r>
      <w:bookmarkStart w:id="147" w:name="tGOLA"/>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each party will reimburse the other party for all reasonable out-of-pocket fees and expenses incurred by such party in connection with the Merger Agreement and the Contemplated Transactions, up to a maximum of $2,000,000 (in each case, the “Fee Reimbursement”), if the Merger Agreement is terminated by Standard BioTools or SomaLogic, as applicable, due to (i) the other party’s stockholder approval not being obtained at such party’s Special Meeting; or (ii) prior to the Effective Time, such other party breaching any of its representations, warranties, covenants or agreements contained in the Merger Agreement, or any such representation and warranty having become untrue after the date of the Merger Agreement, such that any of its conditions to closing the Merger would not be satisfied, and such breach or failure to be true is not curable or, if curable, is not cured in accordance with the terms of the Merger Agreement (provided, that the terminating party shall not have the right to terminate the Merger Agreement pursuant to this subsection (ii) if the terminating party is then in material breach of any of its representations, warranties, covenants or agreements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acknowledged and agreed that irreparable damage would occur and that the parties would not have any adequate remedy at law if any provision of the Merger Agreement were not performed in accordance with its specific terms or were otherwise breached, and that monetary damages, even if available, would not be an adequate remedy therefor. The parties accordingly agreed that each party shall be entitled to an injunction or injunctions, specific performance and other equitable relief to prevent breaches of the Merger Agreement and to enforce specifically the performance of the terms and provisions hereof, without proof of actual damages (and each party waived any requirement for the security or posting of any bond in connection with such remedy), in addition to any other remedy to which they are entitled at law or in equity. The parties further agreed not to assert that a remedy of specific enforcement is unenforceable, invalid, contrary to applicable law or inequitable for any reason, and not to assert that a remedy of monetary damages would provide an adequate remedy for any such breach or that Standard BioTools or SomaLogic otherwise have an adequate remedy at law. The parties acknowledged that the agreements described in this paragraph are an integral part of the Contemplated Transactions, and that, without these agreements, the parties would not have entered into the Merger Agreement. In no event shall either Standard BioTools or SomaLogic be entitled to both (i) specific performance to cause the other party to consummate the closing of the Merger and (ii) payment of the Termination Fee.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under the headings of the Merger Agreement entitled “</w:t>
      </w:r>
      <w:r>
        <w:rPr>
          <w:rFonts w:ascii="Times New Roman;Times;serif" w:hAnsi="Times New Roman;Times;serif"/>
          <w:b w:val="false"/>
          <w:i/>
          <w:caps w:val="false"/>
          <w:smallCaps w:val="false"/>
          <w:color w:val="000000"/>
          <w:spacing w:val="4"/>
          <w:sz w:val="20"/>
        </w:rPr>
        <w:t>Termination Fee and Expenses Reimbursement,</w:t>
      </w:r>
      <w:r>
        <w:rPr>
          <w:rFonts w:ascii="Times New Roman;Times;serif" w:hAnsi="Times New Roman;Times;serif"/>
          <w:b w:val="false"/>
          <w:i w:val="false"/>
          <w:caps w:val="false"/>
          <w:smallCaps w:val="false"/>
          <w:color w:val="000000"/>
          <w:spacing w:val="4"/>
          <w:sz w:val="20"/>
        </w:rPr>
        <w:t xml:space="preserve">” whether or not the Merger is consummated, all costs and expenses incurred in connection with the Merger Agreement and the Contemplated Transactions will be paid by the party incurring such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amended by an instrument in writing signed by the parties at any time, except that after the Merger Agreement has been adopted and approved by the stockholders of a party, no amendment which by law requires further approval by the stockholders of such party shall be made without such further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is governed by the laws of the State of Delaware.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SBAS"/>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AND SOMALOGIC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Standard BioTools Inc. (“Standard BioTools”) entered into an Agreement and Plan of Merger (the “Merger Agreement”) with SomaLogic, Inc. (“SomaLogic”) and Martis Merger Sub Inc. (“Merger Sub”). The merger contemplated by the Merger Agreement will be implemented through a merger of Merger Sub with and into SomaLogic, with SomaLogic becoming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is based on the historical consolidated financial statements of Standard BioTools and SomaLogic; and is adjusted to give effect to the proposed Merger. Under the terms of the Merger Agreement, upon consummation of the proposed Merger, SomaLogic shareholders will receive 1.11 shares (the “Exchange Ratio”) of Standard BioTools common stock (“Standard BioTools Common Stock”) for each share of SomaLogic common stock (“SomaLogic Common Stock”) issued and outstanding as of the effective time of the Merger (the “Effective Time”) and cash in lieu of the fractional shares. In connection with the proposed Merger, all SomaLogic Common Stock will be cancelled and converted into the right to receive Standard BioTools Common Stock. Based on a stock price of $2.09 as of November 3, 2023, the estimated total purchase price is equal to approximately $461.2 million. Upon the close of the proposed Merger, Standard BioTools shareholders will own approximately 43% of the combined company, and SomaLogic shareholders will own approximately 57% of the combined company on a fully diluted basis. The combined company will account for the transaction as a business combination between Standard BioTools and SomaLogic using the acquisition method of accounting with Standard BioTools as the accounting acquirer.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balance sheet as of September 30, 2023, and the unaudited pro forma condensed combined statements of operations for the year ended December 31, 2022, and the nine months ended September 30, 2023, are presented herein. The unaudited pro forma condensed combined balance sheet combines the unaudited condensed consolidated balance sheets of Standard BioTools and SomaLogic as of September 30, 2023 and gives effect to the proposed Merger as if it occurred on September 30, 2023. The unaudited pro forma condensed combined statements of operations combine the historical results of Standard BioTools and SomaLogic for the year ended December 31, 2022 and the nine months ended September 30, 2023 and give effect to the proposed Merger as if it occurred on January 1, 2022.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financial information has been adjusted in the unaudited pro forma condensed combined financial information to give effect to pro forma adjustments deemed to be directly related to the proposed Merger and expected to be incurred either prior to the transaction or post-close, irrespective of whether such adjustment is deemed to be recurring.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are subject to modification based on the final purchase price which is based on the value of Standard BioTools Common Stock and the fair value of the replacement Standard BioTools stock options issued on the closing date, the final determination of the fair value of the assets acquired and liabilities assumed and additional information that may become available. This may cause the final adjustments to be materially different from the unaudited pro forma condensed combined financial information presented below. Management performed a preliminary review of SomaLogic’s accounting policies and did not identify any material adjustments to be made to align accounting policies. Following the consummation of the proposed Merger, Standard BioTools management will perform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presented is for informational purposes only and is not necessarily indicative of the financial position or results of operations that would have been realized if the proposed business combination had been completed on the dates set forth above, nor is it indicative of future results or financial position of the combined company. The unaudited pro forma condensed combined financial information does not reflect any anticipated synergies or dis-synergies,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efficiencies or cost savings that may result from the proposed business combination. The pro forma adjustments, which Standard BioTools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unaudited pro forma condensed combined financial statements should be read in conjunction with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to the unaudited pro forma condensed combined financial information; </w:t>
      </w:r>
      <w:r>
        <mc:AlternateContent>
          <mc:Choice Requires="wps">
            <w:drawing>
              <wp:anchor behindDoc="0" distT="76200" distB="0" distL="25400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62" name="Frame5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Standard BioTools as of and for the year ended December 31, 2022, included in Standard BioTools’ Annual Report on Form 10-K for the year ended December 31, 2022, filed with the SEC on March 14, 2023; </w:t>
      </w:r>
      <w:r>
        <mc:AlternateContent>
          <mc:Choice Requires="wps">
            <w:drawing>
              <wp:anchor behindDoc="0" distT="76200" distB="0" distL="254000" distR="0" simplePos="0" locked="0" layoutInCell="1" allowOverlap="1" relativeHeight="566">
                <wp:simplePos x="0" y="0"/>
                <wp:positionH relativeFrom="column">
                  <wp:align>left</wp:align>
                </wp:positionH>
                <wp:positionV relativeFrom="line">
                  <wp:align>top</wp:align>
                </wp:positionV>
                <wp:extent cx="127000" cy="350520"/>
                <wp:effectExtent l="0" t="0" r="0" b="0"/>
                <wp:wrapSquare wrapText="right"/>
                <wp:docPr id="563"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Standard BioTools as of and for the nine months ended September 30, 2023, included in Standard BioTools’ Quarterly Report on Form 10-Q for the quarter ended September 30, 2023, filed with the SEC on November 7, 2023; </w:t>
      </w:r>
      <w:r>
        <mc:AlternateContent>
          <mc:Choice Requires="wps">
            <w:drawing>
              <wp:anchor behindDoc="0" distT="76200" distB="0" distL="254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64" name="Frame5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SomaLogic as of and for the year ended December 31, 2022, included in SomaLogic’s Annual Report on Form 10-K for the year ended December 31, 2022, filed with the SEC on March 28, 2023; and </w:t>
      </w:r>
      <w:r>
        <mc:AlternateContent>
          <mc:Choice Requires="wps">
            <w:drawing>
              <wp:anchor behindDoc="0" distT="76200" distB="0" distL="254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65" name="Frame5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SomaLogic as of and for the nine months ended September 30, 2023, included in SomaLogic’s Quarterly Report on Form 10-Q for the quarter ended September 30, 2023, filed with the SEC on November 8, 2023. </w:t>
      </w:r>
      <w:r>
        <mc:AlternateContent>
          <mc:Choice Requires="wps">
            <w:drawing>
              <wp:anchor behindDoc="0" distT="76200" distB="0" distL="25400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66" name="Frame5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BALANCE SHEET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AS OF SEPTEMBER 30, 2023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 thousands)</w:t>
      </w:r>
      <w:r>
        <w:rPr>
          <w:rFonts w:ascii="Times New Roman;Times;serif" w:hAnsi="Times New Roman;Times;serif"/>
          <w:b/>
          <w:i w:val="false"/>
          <w:caps w:val="false"/>
          <w:smallCaps w:val="false"/>
          <w:color w:val="000000"/>
          <w:spacing w:val="4"/>
          <w:sz w:val="20"/>
        </w:rPr>
        <w:t xml:space="preserve"> </w:t>
      </w:r>
    </w:p>
    <w:tbl>
      <w:tblPr>
        <w:tblW w:w="9230" w:type="dxa"/>
        <w:jc w:val="left"/>
        <w:tblInd w:w="1393" w:type="dxa"/>
        <w:tblLayout w:type="fixed"/>
        <w:tblCellMar>
          <w:top w:w="0" w:type="dxa"/>
          <w:left w:w="0" w:type="dxa"/>
          <w:bottom w:w="28" w:type="dxa"/>
          <w:right w:w="0" w:type="dxa"/>
        </w:tblCellMar>
      </w:tblPr>
      <w:tblGrid>
        <w:gridCol w:w="1594"/>
        <w:gridCol w:w="109"/>
        <w:gridCol w:w="109"/>
        <w:gridCol w:w="109"/>
        <w:gridCol w:w="226"/>
        <w:gridCol w:w="961"/>
        <w:gridCol w:w="109"/>
        <w:gridCol w:w="109"/>
        <w:gridCol w:w="109"/>
        <w:gridCol w:w="109"/>
        <w:gridCol w:w="226"/>
        <w:gridCol w:w="1066"/>
        <w:gridCol w:w="109"/>
        <w:gridCol w:w="109"/>
        <w:gridCol w:w="109"/>
        <w:gridCol w:w="109"/>
        <w:gridCol w:w="226"/>
        <w:gridCol w:w="961"/>
        <w:gridCol w:w="109"/>
        <w:gridCol w:w="109"/>
        <w:gridCol w:w="109"/>
        <w:gridCol w:w="562"/>
        <w:gridCol w:w="109"/>
        <w:gridCol w:w="109"/>
        <w:gridCol w:w="109"/>
        <w:gridCol w:w="226"/>
        <w:gridCol w:w="106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spacing w:val="4"/>
              </w:rPr>
            </w:pPr>
            <w:r>
              <w:rPr>
                <w:spacing w:val="4"/>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79,655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383,326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Short-term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49,195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197,434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21,927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35,811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ind w:left="180" w:right="0" w:hanging="0"/>
              <w:jc w:val="left"/>
              <w:rPr>
                <w:spacing w:val="4"/>
              </w:rPr>
            </w:pPr>
            <w:r>
              <w:rPr>
                <w:spacing w:val="4"/>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3,404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5,681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(379)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0"/>
              <w:jc w:val="center"/>
              <w:rPr>
                <w:b/>
              </w:rPr>
            </w:pPr>
            <w:r>
              <w:rPr>
                <w:b/>
                <w:spacing w:val="-4"/>
              </w:rPr>
              <w:t>B</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8,706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170,741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494,105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662,567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24,538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Non-current 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Accounts receivable, net of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Operating lease right-of-use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31,191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35,533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non-current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Developed technology,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Trade Name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Goodwill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106,225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10,399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(10,399)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b/>
              </w:rPr>
            </w:pPr>
            <w:r>
              <w:rPr>
                <w:b/>
                <w:spacing w:val="-4"/>
              </w:rPr>
              <w:t>D</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106,225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339,285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565,048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(14,304)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890,029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pPr>
            <w:r>
              <w:rPr>
                <w:spacing w:val="-4"/>
              </w:rPr>
              <w:t>Liabilities and 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18,785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Accrued compensation and related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Operating lease liabilities,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Deferred revenue,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Deferred grant income,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Other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ind w:left="180" w:right="0" w:hanging="0"/>
              <w:jc w:val="left"/>
              <w:rPr>
                <w:spacing w:val="4"/>
              </w:rPr>
            </w:pPr>
            <w:r>
              <w:rPr>
                <w:spacing w:val="4"/>
              </w:rPr>
              <w:t xml:space="preserve">Term loan, 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51,800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Convertible notes,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54,975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54,975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Term loan,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Deferred tax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31,150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33,664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Deferred revenue,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Deferred grant income,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non-current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3,444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4,530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Total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159,752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68,309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13,160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241,221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Mezzanine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311,253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311,253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spacing w:val="4"/>
              </w:rPr>
            </w:pPr>
            <w:r>
              <w:rPr>
                <w:spacing w:val="4"/>
              </w:rPr>
              <w:t xml:space="preserve">Stockholders’ equity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E,I,J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856,926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1,186,420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(725,404)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E,I,J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1,317,942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Accumulated other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(980,976)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(689,686)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697,735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A - 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(972,927)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Treasury stock at cost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(5,803)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(5,803)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stockholders’ equity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(131,720)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496,739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(27,464)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337,555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liabilities and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339,285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565,048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(14,304)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890,029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NINE MONTHS ENDED SEPTEMBER 30, 2023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for share and per share amounts)</w:t>
      </w:r>
      <w:r>
        <w:rPr>
          <w:rFonts w:ascii="Times New Roman;Times;serif" w:hAnsi="Times New Roman;Times;serif"/>
          <w:b/>
          <w:i w:val="false"/>
          <w:caps w:val="false"/>
          <w:smallCaps w:val="false"/>
          <w:color w:val="000000"/>
          <w:spacing w:val="4"/>
          <w:sz w:val="20"/>
        </w:rPr>
        <w:t xml:space="preserve"> </w:t>
      </w:r>
    </w:p>
    <w:tbl>
      <w:tblPr>
        <w:tblW w:w="9095" w:type="dxa"/>
        <w:jc w:val="left"/>
        <w:tblInd w:w="1393" w:type="dxa"/>
        <w:tblLayout w:type="fixed"/>
        <w:tblCellMar>
          <w:top w:w="0" w:type="dxa"/>
          <w:left w:w="0" w:type="dxa"/>
          <w:bottom w:w="28" w:type="dxa"/>
          <w:right w:w="0" w:type="dxa"/>
        </w:tblCellMar>
      </w:tblPr>
      <w:tblGrid>
        <w:gridCol w:w="2008"/>
        <w:gridCol w:w="109"/>
        <w:gridCol w:w="109"/>
        <w:gridCol w:w="109"/>
        <w:gridCol w:w="226"/>
        <w:gridCol w:w="841"/>
        <w:gridCol w:w="109"/>
        <w:gridCol w:w="109"/>
        <w:gridCol w:w="109"/>
        <w:gridCol w:w="109"/>
        <w:gridCol w:w="226"/>
        <w:gridCol w:w="886"/>
        <w:gridCol w:w="109"/>
        <w:gridCol w:w="109"/>
        <w:gridCol w:w="109"/>
        <w:gridCol w:w="109"/>
        <w:gridCol w:w="226"/>
        <w:gridCol w:w="817"/>
        <w:gridCol w:w="109"/>
        <w:gridCol w:w="109"/>
        <w:gridCol w:w="109"/>
        <w:gridCol w:w="562"/>
        <w:gridCol w:w="109"/>
        <w:gridCol w:w="109"/>
        <w:gridCol w:w="109"/>
        <w:gridCol w:w="226"/>
        <w:gridCol w:w="961"/>
        <w:gridCol w:w="109"/>
        <w:gridCol w:w="154"/>
      </w:tblGrid>
      <w:tr>
        <w:trPr/>
        <w:tc>
          <w:tcPr>
            <w:tcW w:w="20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57,814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61" w:type="dxa"/>
            <w:tcBorders/>
            <w:tcMar>
              <w:bottom w:w="0" w:type="dxa"/>
            </w:tcMar>
            <w:vAlign w:val="center"/>
          </w:tcPr>
          <w:p>
            <w:pPr>
              <w:pStyle w:val="TableContents"/>
              <w:bidi w:val="0"/>
              <w:spacing w:before="0" w:after="0"/>
              <w:jc w:val="right"/>
              <w:rPr>
                <w:b/>
              </w:rPr>
            </w:pPr>
            <w:r>
              <w:rPr>
                <w:b w:val="false"/>
              </w:rPr>
              <w:t>65,327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Service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19,268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72,150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Development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1,070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1,282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78,152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141,047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of 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33,276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37,081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Cost of service and 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7,783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shd w:fill="CCEEFF" w:val="clear"/>
            <w:tcMar>
              <w:bottom w:w="50" w:type="dxa"/>
            </w:tcMar>
            <w:vAlign w:val="center"/>
          </w:tcPr>
          <w:p>
            <w:pPr>
              <w:pStyle w:val="TableContents"/>
              <w:bidi w:val="0"/>
              <w:spacing w:before="0" w:after="283"/>
              <w:jc w:val="right"/>
              <w:rPr/>
            </w:pPr>
            <w:r>
              <w:rPr/>
              <w:t>165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D,E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39,301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costs of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41,059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35,126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197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76,382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64,665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19,039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(2,471)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51,908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Selling, 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66,187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(6,344)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147,485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Restructuring and related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Transaction-related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1,666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4,157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5,823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92,307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127,139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(8,815)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210,631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Income (loss)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(55,214)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8,618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(145,966)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Change in fair value of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fair value of earn-out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4,417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16,810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21,227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(54,266)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(128,193)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(614)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(482)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1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50"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(1,096)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Net (loss)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(54,880)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(81,131)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7" w:type="dxa"/>
            <w:tcBorders>
              <w:bottom w:val="double" w:sz="8" w:space="0" w:color="000000"/>
            </w:tcBorders>
            <w:shd w:fill="CCEEFF" w:val="clear"/>
            <w:tcMar>
              <w:bottom w:w="50" w:type="dxa"/>
            </w:tcMar>
            <w:vAlign w:val="center"/>
          </w:tcPr>
          <w:p>
            <w:pPr>
              <w:pStyle w:val="TableContents"/>
              <w:bidi w:val="0"/>
              <w:spacing w:before="0" w:after="283"/>
              <w:jc w:val="right"/>
              <w:rPr/>
            </w:pPr>
            <w:r>
              <w:rPr/>
              <w:t>6,722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w:t>
            </w:r>
          </w:p>
        </w:tc>
        <w:tc>
          <w:tcPr>
            <w:tcW w:w="961"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val="false"/>
              </w:rPr>
              <w:t>(129,289)</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Net loss per share,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17"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(0.45)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used in computing 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37" w:type="dxa"/>
            </w:tcMar>
            <w:vAlign w:val="center"/>
          </w:tcPr>
          <w:p>
            <w:pPr>
              <w:pStyle w:val="TableContents"/>
              <w:bidi w:val="0"/>
              <w:spacing w:before="0" w:after="283"/>
              <w:jc w:val="right"/>
              <w:rPr/>
            </w:pPr>
            <w:r>
              <w:rPr/>
              <w:t>78,967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186,781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17"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22,721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288,469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YEAR ENDED DECEMBER 31, 2022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for share and per share amounts)</w:t>
      </w:r>
      <w:r>
        <w:rPr>
          <w:rFonts w:ascii="Times New Roman;Times;serif" w:hAnsi="Times New Roman;Times;serif"/>
          <w:b/>
          <w:i w:val="false"/>
          <w:caps w:val="false"/>
          <w:smallCaps w:val="false"/>
          <w:color w:val="000000"/>
          <w:spacing w:val="4"/>
          <w:sz w:val="20"/>
        </w:rPr>
        <w:t xml:space="preserve"> </w:t>
      </w:r>
    </w:p>
    <w:tbl>
      <w:tblPr>
        <w:tblW w:w="9314" w:type="dxa"/>
        <w:jc w:val="left"/>
        <w:tblInd w:w="1393" w:type="dxa"/>
        <w:tblLayout w:type="fixed"/>
        <w:tblCellMar>
          <w:top w:w="0" w:type="dxa"/>
          <w:left w:w="0" w:type="dxa"/>
          <w:bottom w:w="28" w:type="dxa"/>
          <w:right w:w="0" w:type="dxa"/>
        </w:tblCellMar>
      </w:tblPr>
      <w:tblGrid>
        <w:gridCol w:w="2008"/>
        <w:gridCol w:w="109"/>
        <w:gridCol w:w="109"/>
        <w:gridCol w:w="109"/>
        <w:gridCol w:w="226"/>
        <w:gridCol w:w="961"/>
        <w:gridCol w:w="109"/>
        <w:gridCol w:w="109"/>
        <w:gridCol w:w="109"/>
        <w:gridCol w:w="109"/>
        <w:gridCol w:w="226"/>
        <w:gridCol w:w="961"/>
        <w:gridCol w:w="109"/>
        <w:gridCol w:w="109"/>
        <w:gridCol w:w="109"/>
        <w:gridCol w:w="109"/>
        <w:gridCol w:w="226"/>
        <w:gridCol w:w="841"/>
        <w:gridCol w:w="109"/>
        <w:gridCol w:w="109"/>
        <w:gridCol w:w="109"/>
        <w:gridCol w:w="562"/>
        <w:gridCol w:w="109"/>
        <w:gridCol w:w="109"/>
        <w:gridCol w:w="109"/>
        <w:gridCol w:w="226"/>
        <w:gridCol w:w="961"/>
        <w:gridCol w:w="109"/>
        <w:gridCol w:w="154"/>
      </w:tblGrid>
      <w:tr>
        <w:trPr/>
        <w:tc>
          <w:tcPr>
            <w:tcW w:w="20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61" w:type="dxa"/>
            <w:tcBorders/>
            <w:tcMar>
              <w:bottom w:w="0" w:type="dxa"/>
            </w:tcMar>
            <w:vAlign w:val="center"/>
          </w:tcPr>
          <w:p>
            <w:pPr>
              <w:pStyle w:val="TableContents"/>
              <w:bidi w:val="0"/>
              <w:spacing w:before="0" w:after="0"/>
              <w:jc w:val="right"/>
              <w:rPr>
                <w:b/>
              </w:rPr>
            </w:pPr>
            <w:r>
              <w:rPr>
                <w:b w:val="false"/>
              </w:rPr>
              <w:t>76,697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Service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63,038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86,750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Development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964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27,334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28,298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97,948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97,666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195,614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pPr>
            <w:r>
              <w:rPr>
                <w:spacing w:val="4"/>
              </w:rPr>
              <w:t>Cost of 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of 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52,555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54,513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Cost of service and 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8,342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41,419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D,E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49,744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costs of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60,897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43,364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104,257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37,051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54,302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91,357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38,498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73,444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107,517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pPr>
            <w:r>
              <w:rPr>
                <w:spacing w:val="4"/>
              </w:rPr>
              <w:t>Selling, general and administrative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114,758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156,619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(22,016)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A,D,E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249,361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Transaction-related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17,087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F</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17,087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153,256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230,063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(9,354)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373,965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(175,761)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(282,608)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(4,331)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(4,331)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fair value of warrant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(30,968)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Change in fair value of earn-out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Loss on forward sale of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(60,081)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(60,081)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Loss on bridge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(13,719)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(13,719)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pPr>
            <w:r>
              <w:rPr>
                <w:spacing w:val="4"/>
              </w:rPr>
              <w:t>Surplus funding from NIH Contract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Gain on bargain purchase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26,878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1,255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8,049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9,304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Income (loss) before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(192,928)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(109,874)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(297,534)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2,830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717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3,547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Net (loss)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(190,098)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(109,157)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5,268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0"/>
              <w:jc w:val="right"/>
              <w:rPr>
                <w:b/>
              </w:rPr>
            </w:pPr>
            <w:r>
              <w:rPr>
                <w:b/>
              </w:rPr>
              <w:t>$</w:t>
            </w:r>
          </w:p>
        </w:tc>
        <w:tc>
          <w:tcPr>
            <w:tcW w:w="961" w:type="dxa"/>
            <w:tcBorders>
              <w:bottom w:val="double" w:sz="8" w:space="0" w:color="000000"/>
            </w:tcBorders>
            <w:tcMar>
              <w:bottom w:w="50" w:type="dxa"/>
            </w:tcMar>
            <w:vAlign w:val="center"/>
          </w:tcPr>
          <w:p>
            <w:pPr>
              <w:pStyle w:val="TableContents"/>
              <w:bidi w:val="0"/>
              <w:spacing w:before="0" w:after="0"/>
              <w:jc w:val="right"/>
              <w:rPr>
                <w:b/>
              </w:rPr>
            </w:pPr>
            <w:r>
              <w:rPr>
                <w:b w:val="false"/>
              </w:rPr>
              <w:t>(293,987)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200"/>
              <w:jc w:val="left"/>
              <w:rPr>
                <w:spacing w:val="4"/>
              </w:rPr>
            </w:pPr>
            <w:r>
              <w:rPr>
                <w:spacing w:val="4"/>
              </w:rPr>
              <w:t xml:space="preserve">Shares used in computing net loss per share,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tcMar>
              <w:bottom w:w="37" w:type="dxa"/>
            </w:tcMar>
            <w:vAlign w:val="center"/>
          </w:tcPr>
          <w:p>
            <w:pPr>
              <w:pStyle w:val="TableContents"/>
              <w:bidi w:val="0"/>
              <w:spacing w:before="0" w:after="283"/>
              <w:jc w:val="right"/>
              <w:rPr/>
            </w:pPr>
            <w:r>
              <w:rPr/>
              <w:t>78,305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tcMar>
              <w:bottom w:w="37" w:type="dxa"/>
            </w:tcMar>
            <w:vAlign w:val="center"/>
          </w:tcPr>
          <w:p>
            <w:pPr>
              <w:pStyle w:val="TableContents"/>
              <w:bidi w:val="0"/>
              <w:spacing w:before="0" w:after="283"/>
              <w:jc w:val="right"/>
              <w:rPr/>
            </w:pPr>
            <w:r>
              <w:rPr/>
              <w:t>183,992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841" w:type="dxa"/>
            <w:tcBorders>
              <w:bottom w:val="double" w:sz="8" w:space="0" w:color="000000"/>
            </w:tcBorders>
            <w:tcMar>
              <w:bottom w:w="37" w:type="dxa"/>
            </w:tcMar>
            <w:vAlign w:val="center"/>
          </w:tcPr>
          <w:p>
            <w:pPr>
              <w:pStyle w:val="TableContents"/>
              <w:bidi w:val="0"/>
              <w:spacing w:before="0" w:after="283"/>
              <w:jc w:val="right"/>
              <w:rPr/>
            </w:pPr>
            <w:r>
              <w:rPr/>
              <w:t>25,510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tcMar>
              <w:bottom w:w="37" w:type="dxa"/>
            </w:tcMar>
            <w:vAlign w:val="center"/>
          </w:tcPr>
          <w:p>
            <w:pPr>
              <w:pStyle w:val="TableContents"/>
              <w:bidi w:val="0"/>
              <w:spacing w:before="0" w:after="283"/>
              <w:jc w:val="right"/>
              <w:rPr/>
            </w:pPr>
            <w:r>
              <w:rPr/>
              <w:t>287,807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7"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Standard BioTools, SomaLogic and Merger Sub entered into the Merger Agreement. The proposed Merger contemplated by the Merger Agreement will be implemented through a merger of Merger Sub with and into SomaLogic, with SomaLogic becoming a wholly owned subsidiary of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each share of SomaLogic Common Stock issued and outstanding immediately prior to the Effective Time of the Merger will be cancelled and become the right to receive 1.11, fully paid and non-assessable shares of Standard BioTools Common Stock, and cash in lieu of fractional shares. The Merger Agreement also provides that at the Effective Time, each SomaLogic restricted stock unit (each, a “SomaLogic RSU”), other than those SomaLogic RSUs that accelerate or lapse as a result of the completion of the Merger, will be assumed by Standard BioTools, the number of which will be adjusted in accordance with the Exchange Ratio, and in accordance with the terms of the Merger Agreement. In addition, each outstanding and unexercised option to acquire SomaLogic Common Stock granted under the SomaLogic equity plan (each, a “SomaLogic Stock Option”) will become an option to acquire Standard BioTools Common Stock (each, a “Standard BioTools Stock Option”), with the number of shares and exercise price adjusted by the Exchange Ratio, in accordance with the terms of the Merger Agreement. Immediately following the Effective Time, SomaLogic shareholders and Standard BioTools shareholders are expected to own approximately 57% and 43%, respectively, of the Standard BioTools Common Stock, calculated based on the companies’ fully diluted market capitalizations as of the signing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expected to be accounted for as an acquisition of a business pursuant to Accounting Standards Codification Topic 805 —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at closing based on an evaluation of all the facts and circumstances,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initiated the transaction negotiations as part of management’s strategic focus to achieve growth through mergers and acquisitions. </w:t>
      </w:r>
      <w:r>
        <mc:AlternateContent>
          <mc:Choice Requires="wps">
            <w:drawing>
              <wp:anchor behindDoc="0" distT="7493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8" name="Frame5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shares are issued to effect the merger and will remain outstanding. The merged entity will retain the Standard BioTools name. </w:t>
      </w:r>
      <w:r>
        <mc:AlternateContent>
          <mc:Choice Requires="wps">
            <w:drawing>
              <wp:anchor behindDoc="0" distT="7620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9"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composition of the combined company’s board of directors will consist of seven total members. Pursuant to the Merger Agreement, three directors will be appointed by Standard BioTools (one of whom will be the designee of the holders of the Series B-2 Preferred Stock), three directors will be appointed by SomaLogic and the holders of Series B-1 Preferred Stock will appoint the seventh director based on its rights as a holder of the Series B-1 Preferred Stock. As such, Standard BioTools was determined for accounting purposes to have the right to appoint four of the seven total members of the board. All directors are appointed with term limits while two of the directors determined for accounting purposes to be appointed by Standard BioTools are not subject to a term limit. </w:t>
      </w:r>
      <w:r>
        <mc:AlternateContent>
          <mc:Choice Requires="wps">
            <w:drawing>
              <wp:anchor behindDoc="0" distT="7620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70"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 Chief Financial Officer, and Chief Operating Officer of Standard BioTools will continue to serve in the respective roles in the combined company. </w:t>
      </w:r>
      <w:r>
        <mc:AlternateContent>
          <mc:Choice Requires="wps">
            <w:drawing>
              <wp:anchor behindDoc="0" distT="7620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71"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72"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statements and related notes are prepared in accordance with Article 11 of Regulation S-X and present the historical financial information of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and SomaLogic and present the pro forma effects of the Merger and certain transaction accounting adjustments described herein. The historical financial information of Standard BioTools and SomaLogic have been prepared in accordance with U.S.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proposed business combination of SomaLogic will be accounted for using the acquisition method of accounting as per the provisions of Accounting Standards Codification (“ASC”)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using the fair value concepts defined in 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and based on the historical consolidated financial statements of Standard BioTools and the historical consolidated financial statements of SomaLogic. Under ASC 805, all assets acquired, and liabilities assumed in a business combination are recognized and measured at their assumed acquisition date fair value, while transaction costs and restructuring costs associated with the business combination are expensed as incurred. The total purchase price is less than the fair value of the assets acquired and liabilities assumed and as a result the excess of the fair value of assets acquired and liabilities assumed over the preliminary purchase price is recorded as a bargain purchase gain, while any excess of preliminary purchase price over the fair value of assets acquired and liabilities assumed would be recorded in goodwill.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represent Management’s best estimates and are based upon currently available information and certain assumptions that management believes are reasonable under the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combined pro forma financial statements are not necessarily indicative of what the combined company’s financial position or results of operations would have been had the proposed Merger been completed on the dates indicated. In addition, the unaudited pro forma condensed combined financial information does not purport to project the future financial position or operating results of the combined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material transactions between Standard BioTools and SomaLogic during the periods presented in the unaudited pro forma condensed combined financial statements.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Reclassifications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3"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reclassifications were made to align SomaLogic’s financial statement presentation with that of Standard BioTools based on information available to date. </w:t>
      </w:r>
    </w:p>
    <w:tbl>
      <w:tblPr>
        <w:tblW w:w="8812" w:type="dxa"/>
        <w:jc w:val="left"/>
        <w:tblInd w:w="1393" w:type="dxa"/>
        <w:tblLayout w:type="fixed"/>
        <w:tblCellMar>
          <w:top w:w="0" w:type="dxa"/>
          <w:left w:w="0" w:type="dxa"/>
          <w:bottom w:w="43" w:type="dxa"/>
          <w:right w:w="0" w:type="dxa"/>
        </w:tblCellMar>
      </w:tblPr>
      <w:tblGrid>
        <w:gridCol w:w="1637"/>
        <w:gridCol w:w="109"/>
        <w:gridCol w:w="109"/>
        <w:gridCol w:w="109"/>
        <w:gridCol w:w="226"/>
        <w:gridCol w:w="890"/>
        <w:gridCol w:w="109"/>
        <w:gridCol w:w="109"/>
        <w:gridCol w:w="109"/>
        <w:gridCol w:w="152"/>
        <w:gridCol w:w="317"/>
        <w:gridCol w:w="1014"/>
        <w:gridCol w:w="155"/>
        <w:gridCol w:w="109"/>
        <w:gridCol w:w="109"/>
        <w:gridCol w:w="109"/>
        <w:gridCol w:w="226"/>
        <w:gridCol w:w="886"/>
        <w:gridCol w:w="109"/>
        <w:gridCol w:w="109"/>
        <w:gridCol w:w="109"/>
        <w:gridCol w:w="1844"/>
        <w:gridCol w:w="157"/>
      </w:tblGrid>
      <w:tr>
        <w:trPr/>
        <w:tc>
          <w:tcPr>
            <w:tcW w:w="1637" w:type="dxa"/>
            <w:tcBorders>
              <w:bottom w:val="single" w:sz="2" w:space="0" w:color="000000"/>
            </w:tcBorders>
            <w:vAlign w:val="center"/>
          </w:tcPr>
          <w:p>
            <w:pPr>
              <w:pStyle w:val="TableContents"/>
              <w:bidi w:val="0"/>
              <w:spacing w:before="0" w:after="283"/>
              <w:jc w:val="left"/>
              <w:rPr/>
            </w:pPr>
            <w:r>
              <w:rPr>
                <w:spacing w:val="-3"/>
              </w:rPr>
              <w:t>SomaLogic Financial Statement Line</w:t>
            </w:r>
            <w:r>
              <w:rPr/>
              <w:t xml:space="preserve"> </w:t>
              <w:br/>
            </w:r>
            <w:r>
              <w:rPr>
                <w:spacing w:val="-3"/>
              </w:rPr>
              <w:t>(in thousands)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4"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Reclassified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4" w:type="dxa"/>
            <w:tcBorders>
              <w:bottom w:val="single" w:sz="2" w:space="0" w:color="000000"/>
            </w:tcBorders>
            <w:vAlign w:val="center"/>
          </w:tcPr>
          <w:p>
            <w:pPr>
              <w:pStyle w:val="TableContents"/>
              <w:bidi w:val="0"/>
              <w:spacing w:before="0" w:after="0"/>
              <w:jc w:val="center"/>
              <w:rPr/>
            </w:pPr>
            <w:r>
              <w:rPr>
                <w:spacing w:val="-3"/>
              </w:rPr>
              <w:t xml:space="preserve">Standard BioTools Financial </w:t>
            </w:r>
            <w:r>
              <w:rPr/>
              <w:br/>
            </w:r>
            <w:r>
              <w:rPr>
                <w:spacing w:val="-3"/>
              </w:rPr>
              <w:t xml:space="preserve">Statement Line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7"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Balance Sheet as of September 30,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spacing w:val="4"/>
              </w:rPr>
            </w:pPr>
            <w:r>
              <w:rPr>
                <w:spacing w:val="4"/>
              </w:rPr>
              <w:t xml:space="preserve">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4" w:type="dxa"/>
            <w:tcBorders/>
            <w:tcMar>
              <w:bottom w:w="0" w:type="dxa"/>
            </w:tcMar>
            <w:vAlign w:val="center"/>
          </w:tcPr>
          <w:p>
            <w:pPr>
              <w:pStyle w:val="TableContents"/>
              <w:bidi w:val="0"/>
              <w:spacing w:before="0" w:after="283"/>
              <w:jc w:val="left"/>
              <w:rPr>
                <w:spacing w:val="4"/>
              </w:rPr>
            </w:pPr>
            <w:r>
              <w:rPr>
                <w:spacing w:val="4"/>
              </w:rPr>
              <w:t xml:space="preserve">Short-term investment </w:t>
            </w:r>
          </w:p>
        </w:tc>
        <w:tc>
          <w:tcPr>
            <w:tcW w:w="157" w:type="dxa"/>
            <w:tcBorders/>
            <w:tcMar>
              <w:bottom w:w="0" w:type="dxa"/>
            </w:tcMar>
            <w:vAlign w:val="center"/>
          </w:tcPr>
          <w:p>
            <w:pPr>
              <w:pStyle w:val="TableContents"/>
              <w:bidi w:val="0"/>
              <w:spacing w:before="0" w:after="283"/>
              <w:jc w:val="left"/>
              <w:rPr/>
            </w:pPr>
            <w:r>
              <w:rPr/>
              <w:t>​</w:t>
            </w:r>
          </w:p>
        </w:tc>
      </w:tr>
      <w:tr>
        <w:trPr/>
        <w:tc>
          <w:tcPr>
            <w:tcW w:w="1637" w:type="dxa"/>
            <w:tcBorders/>
            <w:shd w:fill="CCEEFF" w:val="clear"/>
            <w:tcMar>
              <w:bottom w:w="0" w:type="dxa"/>
            </w:tcMar>
            <w:vAlign w:val="center"/>
          </w:tcPr>
          <w:p>
            <w:pPr>
              <w:pStyle w:val="TableContents"/>
              <w:bidi w:val="0"/>
              <w:spacing w:before="0" w:after="0"/>
              <w:jc w:val="left"/>
              <w:rPr>
                <w:spacing w:val="4"/>
              </w:rPr>
            </w:pPr>
            <w:r>
              <w:rPr>
                <w:spacing w:val="4"/>
              </w:rPr>
              <w:t xml:space="preserve">Inventory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13,884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4" w:type="dxa"/>
            <w:tcBorders/>
            <w:shd w:fill="CCEEFF" w:val="clear"/>
            <w:tcMar>
              <w:bottom w:w="0" w:type="dxa"/>
            </w:tcMar>
            <w:vAlign w:val="center"/>
          </w:tcPr>
          <w:p>
            <w:pPr>
              <w:pStyle w:val="TableContents"/>
              <w:bidi w:val="0"/>
              <w:spacing w:before="0" w:after="283"/>
              <w:jc w:val="left"/>
              <w:rPr>
                <w:spacing w:val="4"/>
              </w:rPr>
            </w:pPr>
            <w:r>
              <w:rPr>
                <w:spacing w:val="4"/>
              </w:rPr>
              <w:t xml:space="preserve">Inventories, net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spacing w:val="4"/>
              </w:rPr>
            </w:pPr>
            <w:r>
              <w:rPr>
                <w:spacing w:val="4"/>
              </w:rPr>
              <w:t xml:space="preserve">Deferred costs of services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4" w:type="dxa"/>
            <w:tcBorders/>
            <w:tcMar>
              <w:bottom w:w="0" w:type="dxa"/>
            </w:tcMar>
            <w:vAlign w:val="center"/>
          </w:tcPr>
          <w:p>
            <w:pPr>
              <w:pStyle w:val="TableContents"/>
              <w:bidi w:val="0"/>
              <w:spacing w:before="0" w:after="283"/>
              <w:jc w:val="left"/>
              <w:rPr>
                <w:spacing w:val="4"/>
              </w:rPr>
            </w:pPr>
            <w:r>
              <w:rPr>
                <w:spacing w:val="4"/>
              </w:rPr>
              <w:t xml:space="preserve">Prepaid expenses and other current assets </w:t>
            </w:r>
          </w:p>
        </w:tc>
        <w:tc>
          <w:tcPr>
            <w:tcW w:w="157" w:type="dxa"/>
            <w:tcBorders/>
            <w:tcMar>
              <w:bottom w:w="0" w:type="dxa"/>
            </w:tcMar>
            <w:vAlign w:val="center"/>
          </w:tcPr>
          <w:p>
            <w:pPr>
              <w:pStyle w:val="TableContents"/>
              <w:bidi w:val="0"/>
              <w:spacing w:before="0" w:after="283"/>
              <w:jc w:val="left"/>
              <w:rPr/>
            </w:pPr>
            <w:r>
              <w:rPr/>
              <w:t>​</w:t>
            </w:r>
          </w:p>
        </w:tc>
      </w:tr>
      <w:tr>
        <w:trPr/>
        <w:tc>
          <w:tcPr>
            <w:tcW w:w="1637" w:type="dxa"/>
            <w:tcBorders/>
            <w:shd w:fill="CCEEFF" w:val="clear"/>
            <w:tcMar>
              <w:bottom w:w="0" w:type="dxa"/>
            </w:tcMar>
            <w:vAlign w:val="center"/>
          </w:tcPr>
          <w:p>
            <w:pPr>
              <w:pStyle w:val="TableContents"/>
              <w:bidi w:val="0"/>
              <w:spacing w:before="0" w:after="0"/>
              <w:jc w:val="left"/>
              <w:rPr>
                <w:spacing w:val="4"/>
              </w:rPr>
            </w:pPr>
            <w:r>
              <w:rPr>
                <w:spacing w:val="4"/>
              </w:rPr>
              <w:t xml:space="preserve">Other long-term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5,872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(4,268)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4" w:type="dxa"/>
            <w:tcBorders/>
            <w:shd w:fill="CCEEFF" w:val="clear"/>
            <w:tcMar>
              <w:bottom w:w="0" w:type="dxa"/>
            </w:tcMar>
            <w:vAlign w:val="center"/>
          </w:tcPr>
          <w:p>
            <w:pPr>
              <w:pStyle w:val="TableContents"/>
              <w:bidi w:val="0"/>
              <w:spacing w:before="0" w:after="283"/>
              <w:jc w:val="left"/>
              <w:rPr>
                <w:spacing w:val="4"/>
              </w:rPr>
            </w:pPr>
            <w:r>
              <w:rPr>
                <w:spacing w:val="4"/>
              </w:rPr>
              <w:t xml:space="preserve">Other non-current assets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3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90"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7" w:type="dxa"/>
            <w:tcBorders>
              <w:bottom w:val="single" w:sz="2" w:space="0" w:color="000000"/>
            </w:tcBorders>
            <w:tcMar>
              <w:bottom w:w="37" w:type="dxa"/>
            </w:tcMar>
            <w:vAlign w:val="center"/>
          </w:tcPr>
          <w:p>
            <w:pPr>
              <w:pStyle w:val="TableContents"/>
              <w:bidi w:val="0"/>
              <w:spacing w:before="0" w:after="283"/>
              <w:jc w:val="right"/>
              <w:rPr/>
            </w:pPr>
            <w:r>
              <w:rPr/>
              <w:t>​</w:t>
            </w:r>
          </w:p>
        </w:tc>
        <w:tc>
          <w:tcPr>
            <w:tcW w:w="1014" w:type="dxa"/>
            <w:tcBorders>
              <w:bottom w:val="single" w:sz="2" w:space="0" w:color="000000"/>
            </w:tcBorders>
            <w:tcMar>
              <w:bottom w:w="37" w:type="dxa"/>
            </w:tcMar>
            <w:vAlign w:val="center"/>
          </w:tcPr>
          <w:p>
            <w:pPr>
              <w:pStyle w:val="TableContents"/>
              <w:bidi w:val="0"/>
              <w:spacing w:before="0" w:after="283"/>
              <w:jc w:val="right"/>
              <w:rPr/>
            </w:pPr>
            <w:r>
              <w:rPr/>
              <w:t>4,268</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tcMar>
              <w:bottom w:w="37" w:type="dxa"/>
            </w:tcMar>
            <w:vAlign w:val="center"/>
          </w:tcPr>
          <w:p>
            <w:pPr>
              <w:pStyle w:val="TableContents"/>
              <w:bidi w:val="0"/>
              <w:spacing w:before="0" w:after="283"/>
              <w:jc w:val="right"/>
              <w:rPr/>
            </w:pPr>
            <w:r>
              <w:rPr/>
              <w:t>4,268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4" w:type="dxa"/>
            <w:tcBorders>
              <w:bottom w:val="single" w:sz="2" w:space="0" w:color="FFFFFF"/>
            </w:tcBorders>
            <w:tcMar>
              <w:bottom w:w="28" w:type="dxa"/>
            </w:tcMar>
            <w:vAlign w:val="center"/>
          </w:tcPr>
          <w:p>
            <w:pPr>
              <w:pStyle w:val="TableContents"/>
              <w:bidi w:val="0"/>
              <w:spacing w:before="0" w:after="283"/>
              <w:jc w:val="left"/>
              <w:rPr/>
            </w:pPr>
            <w:r>
              <w:rPr>
                <w:spacing w:val="4"/>
              </w:rPr>
              <w:t xml:space="preserve">Operating lease right-of-use asset, </w:t>
            </w:r>
            <w:r>
              <w:rPr/>
              <w:br/>
            </w:r>
            <w:r>
              <w:rPr>
                <w:spacing w:val="4"/>
              </w:rPr>
              <w:t xml:space="preserve">net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0" w:type="dxa"/>
            <w:tcBorders>
              <w:bottom w:val="single" w:sz="2" w:space="0" w:color="000000"/>
            </w:tcBorders>
            <w:shd w:fill="CCEEFF" w:val="clear"/>
            <w:tcMar>
              <w:bottom w:w="50" w:type="dxa"/>
            </w:tcMar>
            <w:vAlign w:val="center"/>
          </w:tcPr>
          <w:p>
            <w:pPr>
              <w:pStyle w:val="TableContents"/>
              <w:bidi w:val="0"/>
              <w:spacing w:before="0" w:after="283"/>
              <w:jc w:val="right"/>
              <w:rPr/>
            </w:pPr>
            <w:r>
              <w:rPr/>
              <w:t>168,374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168,374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spacing w:val="4"/>
              </w:rPr>
            </w:pPr>
            <w:r>
              <w:rPr>
                <w:spacing w:val="4"/>
              </w:rPr>
              <w:t xml:space="preserve">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9,363</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4" w:type="dxa"/>
            <w:tcBorders/>
            <w:tcMar>
              <w:bottom w:w="0" w:type="dxa"/>
            </w:tcMar>
            <w:vAlign w:val="center"/>
          </w:tcPr>
          <w:p>
            <w:pPr>
              <w:pStyle w:val="TableContents"/>
              <w:bidi w:val="0"/>
              <w:spacing w:before="0" w:after="283"/>
              <w:jc w:val="left"/>
              <w:rPr>
                <w:spacing w:val="4"/>
              </w:rPr>
            </w:pPr>
            <w:r>
              <w:rPr>
                <w:spacing w:val="4"/>
              </w:rPr>
              <w:t xml:space="preserve">Other accrued liabilities </w:t>
            </w:r>
          </w:p>
        </w:tc>
        <w:tc>
          <w:tcPr>
            <w:tcW w:w="157" w:type="dxa"/>
            <w:tcBorders/>
            <w:tcMar>
              <w:bottom w:w="0" w:type="dxa"/>
            </w:tcMar>
            <w:vAlign w:val="center"/>
          </w:tcPr>
          <w:p>
            <w:pPr>
              <w:pStyle w:val="TableContents"/>
              <w:bidi w:val="0"/>
              <w:spacing w:before="0" w:after="283"/>
              <w:jc w:val="left"/>
              <w:rPr/>
            </w:pPr>
            <w:r>
              <w:rPr/>
              <w:t>​</w:t>
            </w:r>
          </w:p>
        </w:tc>
      </w:tr>
      <w:tr>
        <w:trPr/>
        <w:tc>
          <w:tcPr>
            <w:tcW w:w="16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(9,363)</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4" w:type="dxa"/>
            <w:tcBorders/>
            <w:shd w:fill="CCEEFF" w:val="clear"/>
            <w:tcMar>
              <w:bottom w:w="0" w:type="dxa"/>
            </w:tcMar>
            <w:vAlign w:val="center"/>
          </w:tcPr>
          <w:p>
            <w:pPr>
              <w:pStyle w:val="TableContents"/>
              <w:bidi w:val="0"/>
              <w:spacing w:before="0" w:after="283"/>
              <w:jc w:val="left"/>
              <w:rPr>
                <w:spacing w:val="4"/>
              </w:rPr>
            </w:pPr>
            <w:r>
              <w:rPr>
                <w:spacing w:val="4"/>
              </w:rPr>
              <w:t xml:space="preserve">Accrued compensation and related benefits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(2,420)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1,970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4" w:type="dxa"/>
            <w:tcBorders/>
            <w:tcMar>
              <w:bottom w:w="0" w:type="dxa"/>
            </w:tcMar>
            <w:vAlign w:val="center"/>
          </w:tcPr>
          <w:p>
            <w:pPr>
              <w:pStyle w:val="TableContents"/>
              <w:bidi w:val="0"/>
              <w:spacing w:before="0" w:after="283"/>
              <w:jc w:val="left"/>
              <w:rPr>
                <w:spacing w:val="4"/>
              </w:rPr>
            </w:pPr>
            <w:r>
              <w:rPr>
                <w:spacing w:val="4"/>
              </w:rPr>
              <w:t xml:space="preserve">Other accrued liabilities </w:t>
            </w:r>
          </w:p>
        </w:tc>
        <w:tc>
          <w:tcPr>
            <w:tcW w:w="157" w:type="dxa"/>
            <w:tcBorders/>
            <w:tcMar>
              <w:bottom w:w="0" w:type="dxa"/>
            </w:tcMar>
            <w:vAlign w:val="center"/>
          </w:tcPr>
          <w:p>
            <w:pPr>
              <w:pStyle w:val="TableContents"/>
              <w:bidi w:val="0"/>
              <w:spacing w:before="0" w:after="283"/>
              <w:jc w:val="left"/>
              <w:rPr/>
            </w:pPr>
            <w:r>
              <w:rPr/>
              <w:t>​</w:t>
            </w:r>
          </w:p>
        </w:tc>
      </w:tr>
      <w:tr>
        <w:trPr/>
        <w:tc>
          <w:tcPr>
            <w:tcW w:w="16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(1,970)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4"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current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spacing w:val="4"/>
              </w:rPr>
            </w:pPr>
            <w:r>
              <w:rPr>
                <w:spacing w:val="4"/>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4" w:type="dxa"/>
            <w:tcBorders/>
            <w:tcMar>
              <w:bottom w:w="0" w:type="dxa"/>
            </w:tcMar>
            <w:vAlign w:val="center"/>
          </w:tcPr>
          <w:p>
            <w:pPr>
              <w:pStyle w:val="TableContents"/>
              <w:bidi w:val="0"/>
              <w:spacing w:before="0" w:after="283"/>
              <w:jc w:val="left"/>
              <w:rPr/>
            </w:pPr>
            <w:r>
              <w:rPr>
                <w:spacing w:val="4"/>
              </w:rPr>
              <w:t>Deferred revenue, current</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530"/>
        <w:gridCol w:w="109"/>
        <w:gridCol w:w="109"/>
        <w:gridCol w:w="109"/>
        <w:gridCol w:w="226"/>
        <w:gridCol w:w="844"/>
        <w:gridCol w:w="109"/>
        <w:gridCol w:w="109"/>
        <w:gridCol w:w="109"/>
        <w:gridCol w:w="152"/>
        <w:gridCol w:w="316"/>
        <w:gridCol w:w="1011"/>
        <w:gridCol w:w="155"/>
        <w:gridCol w:w="109"/>
        <w:gridCol w:w="109"/>
        <w:gridCol w:w="109"/>
        <w:gridCol w:w="226"/>
        <w:gridCol w:w="843"/>
        <w:gridCol w:w="109"/>
        <w:gridCol w:w="109"/>
        <w:gridCol w:w="109"/>
        <w:gridCol w:w="2045"/>
        <w:gridCol w:w="156"/>
      </w:tblGrid>
      <w:tr>
        <w:trPr/>
        <w:tc>
          <w:tcPr>
            <w:tcW w:w="1530" w:type="dxa"/>
            <w:tcBorders>
              <w:bottom w:val="single" w:sz="2" w:space="0" w:color="000000"/>
            </w:tcBorders>
            <w:vAlign w:val="center"/>
          </w:tcPr>
          <w:p>
            <w:pPr>
              <w:pStyle w:val="TableContents"/>
              <w:bidi w:val="0"/>
              <w:spacing w:before="0" w:after="283"/>
              <w:jc w:val="left"/>
              <w:rPr/>
            </w:pPr>
            <w:r>
              <w:rPr>
                <w:spacing w:val="-3"/>
              </w:rPr>
              <w:t>SomaLogic Financial Statement Line</w:t>
            </w:r>
            <w:r>
              <w:rPr/>
              <w:t xml:space="preserve"> </w:t>
              <w:br/>
            </w:r>
            <w:r>
              <w:rPr>
                <w:spacing w:val="-3"/>
              </w:rPr>
              <w:t>(in thousands)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7"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Reclassified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5" w:type="dxa"/>
            <w:tcBorders>
              <w:bottom w:val="single" w:sz="2" w:space="0" w:color="000000"/>
            </w:tcBorders>
            <w:vAlign w:val="center"/>
          </w:tcPr>
          <w:p>
            <w:pPr>
              <w:pStyle w:val="TableContents"/>
              <w:bidi w:val="0"/>
              <w:spacing w:before="0" w:after="0"/>
              <w:jc w:val="center"/>
              <w:rPr/>
            </w:pPr>
            <w:r>
              <w:rPr>
                <w:spacing w:val="-3"/>
              </w:rPr>
              <w:t xml:space="preserve">Standard BioTools Financial </w:t>
            </w:r>
            <w:r>
              <w:rPr/>
              <w:br/>
            </w:r>
            <w:r>
              <w:rPr>
                <w:spacing w:val="-3"/>
              </w:rPr>
              <w:t xml:space="preserve">Statement Line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Deferred revenue, net of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(30,944)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(30,944)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pPr>
            <w:r>
              <w:rPr>
                <w:spacing w:val="4"/>
              </w:rPr>
              <w:t>Deferred revenue, non-current</w:t>
            </w:r>
            <w:r>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Other long-term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(7,267)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3,823</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(3,444)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spacing w:val="4"/>
              </w:rPr>
            </w:pPr>
            <w:r>
              <w:rPr>
                <w:spacing w:val="4"/>
              </w:rPr>
              <w:t xml:space="preserve">Other non-current liabilities </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(1,060)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(1,060)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tax liability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44"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37" w:type="dxa"/>
            </w:tcMar>
            <w:vAlign w:val="center"/>
          </w:tcPr>
          <w:p>
            <w:pPr>
              <w:pStyle w:val="TableContents"/>
              <w:bidi w:val="0"/>
              <w:spacing w:before="0" w:after="283"/>
              <w:jc w:val="right"/>
              <w:rPr/>
            </w:pPr>
            <w:r>
              <w:rPr/>
              <w:t>​</w:t>
            </w:r>
          </w:p>
        </w:tc>
        <w:tc>
          <w:tcPr>
            <w:tcW w:w="1011" w:type="dxa"/>
            <w:tcBorders>
              <w:bottom w:val="single" w:sz="2" w:space="0" w:color="000000"/>
            </w:tcBorders>
            <w:tcMar>
              <w:bottom w:w="37" w:type="dxa"/>
            </w:tcMar>
            <w:vAlign w:val="center"/>
          </w:tcPr>
          <w:p>
            <w:pPr>
              <w:pStyle w:val="TableContents"/>
              <w:bidi w:val="0"/>
              <w:spacing w:before="0" w:after="283"/>
              <w:jc w:val="right"/>
              <w:rPr/>
            </w:pPr>
            <w:r>
              <w:rPr/>
              <w:t>(2,763)</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43" w:type="dxa"/>
            <w:tcBorders>
              <w:bottom w:val="single" w:sz="2" w:space="0" w:color="000000"/>
            </w:tcBorders>
            <w:tcMar>
              <w:bottom w:w="37" w:type="dxa"/>
            </w:tcMar>
            <w:vAlign w:val="center"/>
          </w:tcPr>
          <w:p>
            <w:pPr>
              <w:pStyle w:val="TableContents"/>
              <w:bidi w:val="0"/>
              <w:spacing w:before="0" w:after="283"/>
              <w:jc w:val="right"/>
              <w:rPr/>
            </w:pPr>
            <w:r>
              <w:rPr/>
              <w:t>(2,763)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5" w:type="dxa"/>
            <w:tcBorders>
              <w:bottom w:val="single" w:sz="2" w:space="0" w:color="FFFFFF"/>
            </w:tcBorders>
            <w:tcMar>
              <w:bottom w:w="37" w:type="dxa"/>
            </w:tcMar>
            <w:vAlign w:val="center"/>
          </w:tcPr>
          <w:p>
            <w:pPr>
              <w:pStyle w:val="TableContents"/>
              <w:bidi w:val="0"/>
              <w:spacing w:before="0" w:after="283"/>
              <w:jc w:val="left"/>
              <w:rPr>
                <w:spacing w:val="4"/>
              </w:rPr>
            </w:pPr>
            <w:r>
              <w:rPr>
                <w:spacing w:val="4"/>
              </w:rPr>
              <w:t xml:space="preserve">Operating lease liabilities, non-current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b w:val="false"/>
              </w:rPr>
            </w:pPr>
            <w:r>
              <w:rPr>
                <w:b w:val="false"/>
              </w:rPr>
              <w:t>$</w:t>
            </w:r>
          </w:p>
        </w:tc>
        <w:tc>
          <w:tcPr>
            <w:tcW w:w="844" w:type="dxa"/>
            <w:tcBorders>
              <w:bottom w:val="single" w:sz="2" w:space="0" w:color="000000"/>
            </w:tcBorders>
            <w:shd w:fill="CCEEFF" w:val="clear"/>
            <w:tcMar>
              <w:bottom w:w="50" w:type="dxa"/>
            </w:tcMar>
            <w:vAlign w:val="center"/>
          </w:tcPr>
          <w:p>
            <w:pPr>
              <w:pStyle w:val="TableContents"/>
              <w:bidi w:val="0"/>
              <w:spacing w:before="0" w:after="0"/>
              <w:jc w:val="right"/>
              <w:rPr>
                <w:b w:val="false"/>
              </w:rPr>
            </w:pPr>
            <w:r>
              <w:rPr>
                <w:b/>
              </w:rPr>
              <w:t>(54,534)</w:t>
            </w:r>
            <w:r>
              <w:rPr>
                <w:b w:val="false"/>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(54,534)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4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ind w:left="200" w:right="0" w:hanging="200"/>
              <w:jc w:val="left"/>
              <w:rPr/>
            </w:pPr>
            <w:r>
              <w:rPr>
                <w:spacing w:val="-4"/>
                <w:u w:val="single"/>
              </w:rPr>
              <w:t xml:space="preserve">Income Statement for the nine </w:t>
            </w:r>
            <w:r>
              <w:rPr/>
              <w:br/>
            </w:r>
            <w:r>
              <w:rPr>
                <w:spacing w:val="-4"/>
                <w:u w:val="single"/>
              </w:rPr>
              <w:t>months ended September 30, 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Assay services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52,882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52,882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spacing w:val="4"/>
              </w:rPr>
            </w:pPr>
            <w:r>
              <w:rPr>
                <w:spacing w:val="4"/>
              </w:rPr>
              <w:t xml:space="preserve">Service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spacing w:val="4"/>
              </w:rPr>
            </w:pPr>
            <w:r>
              <w:rPr>
                <w:spacing w:val="4"/>
              </w:rPr>
              <w:t xml:space="preserve">Development revenue </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Cost of assay services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(31,353)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(31,353)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service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Transaction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(4,157)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(4,157)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spacing w:val="4"/>
              </w:rPr>
            </w:pPr>
            <w:r>
              <w:rPr>
                <w:spacing w:val="4"/>
              </w:rPr>
              <w:t xml:space="preserve">Transaction-related expenses </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Interest income and other,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16,810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16,810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spacing w:val="4"/>
              </w:rPr>
            </w:pPr>
            <w:r>
              <w:rPr>
                <w:spacing w:val="4"/>
              </w:rPr>
              <w:t xml:space="preserve">Other income, net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4" w:type="dxa"/>
            <w:tcBorders>
              <w:bottom w:val="single" w:sz="2" w:space="0" w:color="000000"/>
            </w:tcBorders>
            <w:tcMar>
              <w:bottom w:w="50" w:type="dxa"/>
            </w:tcMar>
            <w:vAlign w:val="center"/>
          </w:tcPr>
          <w:p>
            <w:pPr>
              <w:pStyle w:val="TableContents"/>
              <w:bidi w:val="0"/>
              <w:spacing w:before="0" w:after="283"/>
              <w:jc w:val="right"/>
              <w:rPr/>
            </w:pPr>
            <w:r>
              <w:rPr/>
              <w:t>(482)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(482)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5"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Income tax benefit (expense)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Net (loss)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4" w:type="dxa"/>
            <w:tcBorders>
              <w:bottom w:val="single" w:sz="2" w:space="0" w:color="000000"/>
            </w:tcBorders>
            <w:shd w:fill="CCEEFF" w:val="clear"/>
            <w:tcMar>
              <w:bottom w:w="50" w:type="dxa"/>
            </w:tcMar>
            <w:vAlign w:val="center"/>
          </w:tcPr>
          <w:p>
            <w:pPr>
              <w:pStyle w:val="TableContents"/>
              <w:bidi w:val="0"/>
              <w:spacing w:before="0" w:after="283"/>
              <w:jc w:val="right"/>
              <w:rPr/>
            </w:pPr>
            <w:r>
              <w:rPr/>
              <w:t>35,988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35,988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4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ind w:left="200" w:right="0" w:hanging="200"/>
              <w:jc w:val="left"/>
              <w:rPr/>
            </w:pPr>
            <w:r>
              <w:rPr>
                <w:spacing w:val="-4"/>
                <w:u w:val="single"/>
              </w:rPr>
              <w:t xml:space="preserve">Income Statement for the year ended </w:t>
            </w:r>
            <w:r>
              <w:rPr/>
              <w:br/>
            </w:r>
            <w:r>
              <w:rPr>
                <w:spacing w:val="-4"/>
                <w:u w:val="single"/>
              </w:rPr>
              <w:t>December 31, 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Assay services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63,038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63,038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spacing w:val="4"/>
              </w:rPr>
            </w:pPr>
            <w:r>
              <w:rPr>
                <w:spacing w:val="4"/>
              </w:rPr>
              <w:t xml:space="preserve">Service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Collaboration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3,051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3,051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spacing w:val="4"/>
              </w:rPr>
            </w:pPr>
            <w:r>
              <w:rPr>
                <w:spacing w:val="4"/>
              </w:rPr>
              <w:t xml:space="preserve">Development revenue </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Cost of assay services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4" w:type="dxa"/>
            <w:tcBorders/>
            <w:shd w:fill="CCEEFF" w:val="clear"/>
            <w:tcMar>
              <w:bottom w:w="0" w:type="dxa"/>
            </w:tcMar>
            <w:vAlign w:val="center"/>
          </w:tcPr>
          <w:p>
            <w:pPr>
              <w:pStyle w:val="TableContents"/>
              <w:bidi w:val="0"/>
              <w:spacing w:before="0" w:after="283"/>
              <w:jc w:val="right"/>
              <w:rPr/>
            </w:pPr>
            <w:r>
              <w:rPr/>
              <w:t>(41,419)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(41,419)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5"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service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Interest income and other,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4" w:type="dxa"/>
            <w:tcBorders/>
            <w:tcMar>
              <w:bottom w:w="0" w:type="dxa"/>
            </w:tcMar>
            <w:vAlign w:val="center"/>
          </w:tcPr>
          <w:p>
            <w:pPr>
              <w:pStyle w:val="TableContents"/>
              <w:bidi w:val="0"/>
              <w:spacing w:before="0" w:after="283"/>
              <w:jc w:val="right"/>
              <w:rPr/>
            </w:pPr>
            <w:r>
              <w:rPr/>
              <w:t>8,049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8,049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283"/>
              <w:jc w:val="left"/>
              <w:rPr>
                <w:spacing w:val="4"/>
              </w:rPr>
            </w:pPr>
            <w:r>
              <w:rPr>
                <w:spacing w:val="4"/>
              </w:rPr>
              <w:t xml:space="preserve">Other income, net </w:t>
            </w:r>
          </w:p>
        </w:tc>
        <w:tc>
          <w:tcPr>
            <w:tcW w:w="156" w:type="dxa"/>
            <w:tcBorders/>
            <w:tcMar>
              <w:bottom w:w="0" w:type="dxa"/>
            </w:tcMar>
            <w:vAlign w:val="center"/>
          </w:tcPr>
          <w:p>
            <w:pPr>
              <w:pStyle w:val="TableContents"/>
              <w:bidi w:val="0"/>
              <w:spacing w:before="0" w:after="283"/>
              <w:jc w:val="left"/>
              <w:rPr/>
            </w:pPr>
            <w:r>
              <w:rPr/>
              <w:t>​</w:t>
            </w:r>
          </w:p>
        </w:tc>
      </w:tr>
      <w:tr>
        <w:trPr/>
        <w:tc>
          <w:tcPr>
            <w:tcW w:w="153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(provision)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4" w:type="dxa"/>
            <w:tcBorders>
              <w:bottom w:val="single" w:sz="2" w:space="0" w:color="000000"/>
            </w:tcBorders>
            <w:shd w:fill="CCEEFF" w:val="clear"/>
            <w:tcMar>
              <w:bottom w:w="50" w:type="dxa"/>
            </w:tcMar>
            <w:vAlign w:val="center"/>
          </w:tcPr>
          <w:p>
            <w:pPr>
              <w:pStyle w:val="TableContents"/>
              <w:bidi w:val="0"/>
              <w:spacing w:before="0" w:after="283"/>
              <w:jc w:val="right"/>
              <w:rPr/>
            </w:pPr>
            <w:r>
              <w:rPr/>
              <w:t>717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717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45" w:type="dxa"/>
            <w:tcBorders>
              <w:bottom w:val="single" w:sz="2" w:space="0" w:color="CCEEFF"/>
            </w:tcBorders>
            <w:shd w:fill="CCEEFF" w:val="clear"/>
            <w:tcMar>
              <w:bottom w:w="50" w:type="dxa"/>
            </w:tcMar>
            <w:vAlign w:val="center"/>
          </w:tcPr>
          <w:p>
            <w:pPr>
              <w:pStyle w:val="TableContents"/>
              <w:bidi w:val="0"/>
              <w:spacing w:before="0" w:after="283"/>
              <w:jc w:val="left"/>
              <w:rPr>
                <w:spacing w:val="4"/>
              </w:rPr>
            </w:pPr>
            <w:r>
              <w:rPr>
                <w:spacing w:val="4"/>
              </w:rPr>
              <w:t xml:space="preserve">Income tax benefit (expense) </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30" w:type="dxa"/>
            <w:tcBorders>
              <w:bottom w:val="single" w:sz="2" w:space="0" w:color="FFFFFF"/>
            </w:tcBorders>
            <w:tcMar>
              <w:bottom w:w="50" w:type="dxa"/>
            </w:tcMar>
            <w:vAlign w:val="center"/>
          </w:tcPr>
          <w:p>
            <w:pPr>
              <w:pStyle w:val="TableContents"/>
              <w:bidi w:val="0"/>
              <w:spacing w:before="0" w:after="0"/>
              <w:jc w:val="left"/>
              <w:rPr/>
            </w:pPr>
            <w:r>
              <w:rPr>
                <w:spacing w:val="-4"/>
              </w:rPr>
              <w:t>Net (loss)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4" w:type="dxa"/>
            <w:tcBorders>
              <w:bottom w:val="single" w:sz="2" w:space="0" w:color="000000"/>
            </w:tcBorders>
            <w:tcMar>
              <w:bottom w:w="50" w:type="dxa"/>
            </w:tcMar>
            <w:vAlign w:val="center"/>
          </w:tcPr>
          <w:p>
            <w:pPr>
              <w:pStyle w:val="TableContents"/>
              <w:bidi w:val="0"/>
              <w:spacing w:before="0" w:after="283"/>
              <w:jc w:val="right"/>
              <w:rPr/>
            </w:pPr>
            <w:r>
              <w:rPr/>
              <w:t>33,436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33,436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5"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812" w:type="dxa"/>
            <w:gridSpan w:val="23"/>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purchase price and allocation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844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4"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2pt;mso-wrap-distance-bottom:0pt;margin-top:17.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Preliminary purchase price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SomaLogic shareholders will be entitled to receive approximately 209.4 million shares of Standard BioTools Common Stock upon consummation of the proposed Merger. In addition, pursuant to the terms of the Merger Agreement, Standard BioTools will substitute all outstanding and unexercised SomaLogic Stock Options and all outstanding SomaLogic RSUs with Standard BioTools Stock Options and RSUs with similar remaining vesting terms and adjusted exercise prices in connection with Exchange Ratio. It is also expected that any outstanding SomaLogic ESPP Options will be exercised immediately prior to the proposed Merger, and consequently each share of SomaLogic Common Stock will be replaced with 1.11 shares of Standard BioTools Common Stock per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financial statements reflect a preliminary purchase price of approximately $461.2 million, determined as of November 3, 2023, which consists of the following (in thousands, except exchange ratio and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6954"/>
        <w:gridCol w:w="109"/>
        <w:gridCol w:w="109"/>
        <w:gridCol w:w="109"/>
        <w:gridCol w:w="226"/>
        <w:gridCol w:w="91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283"/>
              <w:jc w:val="left"/>
              <w:rPr/>
            </w:pPr>
            <w:r>
              <w:rPr>
                <w:spacing w:val="-4"/>
              </w:rPr>
              <w:t>Preliminary purchase price</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spacing w:val="4"/>
              </w:rPr>
            </w:pPr>
            <w:r>
              <w:rPr>
                <w:spacing w:val="4"/>
              </w:rPr>
              <w:t xml:space="preserve">SomaLogic Common Stock issued and outstanding as of November 3,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188,662</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Fixed 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t>1.11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Number of shares of Standard BioTools Common Stock issued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Standard BioTools Common Stock price at November 3, 2023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t>2.09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pPr>
            <w:r>
              <w:rPr>
                <w:spacing w:val="4"/>
              </w:rPr>
              <w:t>Preliminary purchase price paid for SomaLogic Common Stock</w:t>
            </w:r>
            <w:r>
              <w:rPr>
                <w:spacing w:val="3"/>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437,678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0"/>
              <w:ind w:left="200" w:right="0" w:hanging="200"/>
              <w:jc w:val="left"/>
              <w:rPr/>
            </w:pPr>
            <w:r>
              <w:rPr>
                <w:spacing w:val="4"/>
              </w:rPr>
              <w:t xml:space="preserve">Fair value of replacement Standard BioTools Stock Options attributable to the purchase </w:t>
            </w:r>
            <w:r>
              <w:rPr/>
              <w:br/>
            </w:r>
            <w:r>
              <w:rPr>
                <w:spacing w:val="4"/>
              </w:rPr>
              <w:t>price</w:t>
            </w:r>
            <w:r>
              <w:rPr>
                <w:spacing w:val="3"/>
                <w:szCs w:val="13"/>
              </w:rPr>
              <w:t>﻿</w:t>
            </w:r>
            <w:r>
              <w:rPr>
                <w:spacing w:val="3"/>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7" w:type="dxa"/>
            <w:tcBorders/>
            <w:shd w:fill="CCEEFF" w:val="clear"/>
            <w:vAlign w:val="center"/>
          </w:tcPr>
          <w:p>
            <w:pPr>
              <w:pStyle w:val="TableContents"/>
              <w:bidi w:val="0"/>
              <w:spacing w:before="0" w:after="283"/>
              <w:jc w:val="right"/>
              <w:rPr/>
            </w:pPr>
            <w:r>
              <w:rPr/>
              <w:t>23,366</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Fair value of Standard BioTools Common Stock issued as if all outstanding ESPP Options are exercised and converted</w:t>
            </w:r>
            <w:r>
              <w:rPr>
                <w:spacing w:val="3"/>
                <w:szCs w:val="13"/>
              </w:rPr>
              <w:t>﻿</w:t>
            </w:r>
            <w:r>
              <w:rPr>
                <w:spacing w:val="3"/>
                <w:sz w:val="13"/>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917" w:type="dxa"/>
            <w:tcBorders>
              <w:bottom w:val="single" w:sz="2" w:space="0" w:color="000000"/>
            </w:tcBorders>
            <w:tcMar>
              <w:bottom w:w="37" w:type="dxa"/>
            </w:tcMar>
            <w:vAlign w:val="center"/>
          </w:tcPr>
          <w:p>
            <w:pPr>
              <w:pStyle w:val="TableContents"/>
              <w:bidi w:val="0"/>
              <w:spacing w:before="0" w:after="283"/>
              <w:jc w:val="right"/>
              <w:rPr/>
            </w:pPr>
            <w:r>
              <w:rPr/>
              <w:t>181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Preliminary Purchase Price</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b/>
              </w:rPr>
              <w:t>461,225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Fair value of net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tcMar>
              <w:bottom w:w="50" w:type="dxa"/>
            </w:tcMar>
            <w:vAlign w:val="center"/>
          </w:tcPr>
          <w:p>
            <w:pPr>
              <w:pStyle w:val="TableContents"/>
              <w:bidi w:val="0"/>
              <w:spacing w:before="0" w:after="283"/>
              <w:jc w:val="right"/>
              <w:rPr/>
            </w:pPr>
            <w:r>
              <w:rPr/>
              <w:t>488,103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0"/>
              <w:jc w:val="left"/>
              <w:rPr/>
            </w:pPr>
            <w:r>
              <w:rPr>
                <w:spacing w:val="-4"/>
              </w:rPr>
              <w:t>Gain on bargain purchase</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double" w:sz="8" w:space="0" w:color="000000"/>
            </w:tcBorders>
            <w:shd w:fill="CCEEFF" w:val="clear"/>
            <w:tcMar>
              <w:bottom w:w="50" w:type="dxa"/>
            </w:tcMar>
            <w:vAlign w:val="center"/>
          </w:tcPr>
          <w:p>
            <w:pPr>
              <w:pStyle w:val="TableContents"/>
              <w:bidi w:val="0"/>
              <w:spacing w:before="0" w:after="283"/>
              <w:jc w:val="right"/>
              <w:rPr/>
            </w:pPr>
            <w:r>
              <w:rPr/>
              <w:t>(26,878)</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SomaLogic shareholders will be entitled to receive 209.4 million shares of Standard BioTools Common Stock upon consummation of the Merger. The aggregate fair value of those shares has been estimated using $2.09 per share, which was the last reported sale price of Standard BioTools Common Stock on The Nasdaq Global Select Market on November 3, 2023. The value of the purchase price will change based on fluctuations in the price of Standard BioTools Common Stock and the number of shares of SomaLogic Common Stock outstanding at the Effective Time. </w:t>
      </w:r>
      <w:r>
        <mc:AlternateContent>
          <mc:Choice Requires="wps">
            <w:drawing>
              <wp:anchor behindDoc="0" distT="11684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5"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it will issue approximately 28.5 million Standard BioTools Stock Options as replacement awards to outstanding and unexercised holders of SomaLogic Stock Options. The aggregate fair value of those replacement awards of $39.5 million has been estimated using the Black Scholes option pricing model and $2.09 per share. Of that amount, $23.4 million was allocated to purchase consideration, based on the portion of the replacement awards’ fair value attributable to pre-combination employee services, and $16.1 million was allocated to future employee services and will be expensed as stock-based compensation on a straight-line basis over the remaining service periods of those awards. </w:t>
      </w:r>
      <w:r>
        <mc:AlternateContent>
          <mc:Choice Requires="wps">
            <w:drawing>
              <wp:anchor behindDoc="0" distT="66040" distB="0" distL="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6"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0.1 million shares of SomaLogic Common Stock will be issued to settle current SomaLogic ESPP Options. Those SomaLogic shareholders are expected to be entitled to 0.1 million shares of Standard BioTools Common Stock. The aggregate fair value of those shares has been estimated using $2.09 per share. </w:t>
      </w:r>
      <w:r>
        <mc:AlternateContent>
          <mc:Choice Requires="wps">
            <w:drawing>
              <wp:anchor behindDoc="0" distT="66040" distB="0" distL="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7"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does not purport to represent the actual value of the total consideration that will be received by SomaLogic’s shareholders when the proposed business combination is completed. In accordance with U.S. GAAP, the fair value of the shares of Standard BioTools Common Stock issued as part of the consideration will be measured on the closing date at the closing price and the fair value of the replacement Standard BioTools Stock Options will be estimated using a Black-Scholes model on the grant date. These requirements will likely result in a difference in the purchase price and that difference may be material. A sensitivity analysis related to the fluctuation in the Standard BioTools Common Stock price was performed to assess the impact a hypothetical change of 10% on the closing price of Standard BioTools Common Stock as of November 3, 2023 would have on the preliminary purchase price and the preliminary pro forma bargain purchase gain. The following table shows the change in stock price, preliminary estimated purchase price and the pro forma bargain purchase gain or goodwill (amounts in thousands, except exchange ratio and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514"/>
        <w:gridCol w:w="109"/>
        <w:gridCol w:w="109"/>
        <w:gridCol w:w="109"/>
        <w:gridCol w:w="226"/>
        <w:gridCol w:w="909"/>
        <w:gridCol w:w="109"/>
        <w:gridCol w:w="109"/>
        <w:gridCol w:w="109"/>
        <w:gridCol w:w="109"/>
        <w:gridCol w:w="226"/>
        <w:gridCol w:w="909"/>
        <w:gridCol w:w="109"/>
        <w:gridCol w:w="156"/>
      </w:tblGrid>
      <w:tr>
        <w:trPr/>
        <w:tc>
          <w:tcPr>
            <w:tcW w:w="55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14" w:type="dxa"/>
            <w:tcBorders/>
            <w:shd w:fill="CCEEFF" w:val="clear"/>
            <w:tcMar>
              <w:bottom w:w="0" w:type="dxa"/>
            </w:tcMar>
            <w:vAlign w:val="center"/>
          </w:tcPr>
          <w:p>
            <w:pPr>
              <w:pStyle w:val="TableContents"/>
              <w:bidi w:val="0"/>
              <w:spacing w:before="0" w:after="0"/>
              <w:jc w:val="left"/>
              <w:rPr>
                <w:spacing w:val="4"/>
              </w:rPr>
            </w:pPr>
            <w:r>
              <w:rPr>
                <w:spacing w:val="4"/>
              </w:rPr>
              <w:t xml:space="preserve">Potential volatility in Standard BioTools stock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2.30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14" w:type="dxa"/>
            <w:tcBorders/>
            <w:tcMar>
              <w:bottom w:w="0" w:type="dxa"/>
            </w:tcMar>
            <w:vAlign w:val="center"/>
          </w:tcPr>
          <w:p>
            <w:pPr>
              <w:pStyle w:val="TableContents"/>
              <w:bidi w:val="0"/>
              <w:spacing w:before="0" w:after="0"/>
              <w:jc w:val="left"/>
              <w:rPr>
                <w:spacing w:val="4"/>
              </w:rPr>
            </w:pPr>
            <w:r>
              <w:rPr>
                <w:spacing w:val="4"/>
              </w:rPr>
              <w:t xml:space="preserve">Fixed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1.11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14" w:type="dxa"/>
            <w:tcBorders/>
            <w:shd w:fill="CCEEFF" w:val="clear"/>
            <w:tcMar>
              <w:bottom w:w="0" w:type="dxa"/>
            </w:tcMar>
            <w:vAlign w:val="center"/>
          </w:tcPr>
          <w:p>
            <w:pPr>
              <w:pStyle w:val="TableContents"/>
              <w:bidi w:val="0"/>
              <w:spacing w:before="0" w:after="0"/>
              <w:jc w:val="left"/>
              <w:rPr>
                <w:spacing w:val="4"/>
              </w:rPr>
            </w:pPr>
            <w:r>
              <w:rPr>
                <w:spacing w:val="4"/>
              </w:rPr>
              <w:t xml:space="preserve">SomaLogic Common Stock issued and outstanding as of November 3,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188,662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188,662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1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Number of shares of Standard BioTools Common Stock issued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tcMar>
              <w:bottom w:w="50" w:type="dxa"/>
            </w:tcMar>
            <w:vAlign w:val="center"/>
          </w:tcPr>
          <w:p>
            <w:pPr>
              <w:pStyle w:val="TableContents"/>
              <w:bidi w:val="0"/>
              <w:spacing w:before="0" w:after="283"/>
              <w:jc w:val="right"/>
              <w:rPr/>
            </w:pPr>
            <w:r>
              <w:rPr/>
              <w:t xml:space="preserve">209,415 </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514" w:type="dxa"/>
            <w:tcBorders/>
            <w:shd w:fill="CCEEFF" w:val="clear"/>
            <w:tcMar>
              <w:bottom w:w="0" w:type="dxa"/>
            </w:tcMar>
            <w:vAlign w:val="center"/>
          </w:tcPr>
          <w:p>
            <w:pPr>
              <w:pStyle w:val="TableContents"/>
              <w:bidi w:val="0"/>
              <w:spacing w:before="0" w:after="0"/>
              <w:jc w:val="left"/>
              <w:rPr>
                <w:spacing w:val="4"/>
              </w:rPr>
            </w:pPr>
            <w:r>
              <w:rPr>
                <w:spacing w:val="4"/>
              </w:rPr>
              <w:t xml:space="preserve">Preliminary purchase price paid for SomaLogic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481,446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 xml:space="preserve">393,910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514" w:type="dxa"/>
            <w:tcBorders/>
            <w:tcMar>
              <w:bottom w:w="0" w:type="dxa"/>
            </w:tcMar>
            <w:vAlign w:val="center"/>
          </w:tcPr>
          <w:p>
            <w:pPr>
              <w:pStyle w:val="TableContents"/>
              <w:bidi w:val="0"/>
              <w:spacing w:before="0" w:after="0"/>
              <w:ind w:left="200" w:right="0" w:hanging="200"/>
              <w:jc w:val="left"/>
              <w:rPr>
                <w:spacing w:val="4"/>
              </w:rPr>
            </w:pPr>
            <w:r>
              <w:rPr>
                <w:spacing w:val="4"/>
              </w:rPr>
              <w:t xml:space="preserve">Fair value of replacement Standard BioTools Stock Options attributable to the purchase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26,298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20,483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14"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Fair value of Standard BioTools Common Stock issued as if all outstanding ESPP Options are exercised and converted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37" w:type="dxa"/>
            </w:tcMar>
            <w:vAlign w:val="center"/>
          </w:tcPr>
          <w:p>
            <w:pPr>
              <w:pStyle w:val="TableContents"/>
              <w:bidi w:val="0"/>
              <w:spacing w:before="0" w:after="283"/>
              <w:jc w:val="right"/>
              <w:rPr/>
            </w:pPr>
            <w:r>
              <w:rPr/>
              <w:t>199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37" w:type="dxa"/>
            </w:tcMar>
            <w:vAlign w:val="center"/>
          </w:tcPr>
          <w:p>
            <w:pPr>
              <w:pStyle w:val="TableContents"/>
              <w:bidi w:val="0"/>
              <w:spacing w:before="0" w:after="283"/>
              <w:jc w:val="right"/>
              <w:rPr/>
            </w:pPr>
            <w:r>
              <w:rPr/>
              <w:t>163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4" w:type="dxa"/>
            <w:tcBorders/>
            <w:tcMar>
              <w:bottom w:w="0" w:type="dxa"/>
            </w:tcMar>
            <w:vAlign w:val="center"/>
          </w:tcPr>
          <w:p>
            <w:pPr>
              <w:pStyle w:val="TableContents"/>
              <w:bidi w:val="0"/>
              <w:spacing w:before="0" w:after="0"/>
              <w:jc w:val="left"/>
              <w:rPr>
                <w:spacing w:val="4"/>
              </w:rPr>
            </w:pPr>
            <w:r>
              <w:rPr>
                <w:spacing w:val="4"/>
              </w:rPr>
              <w:t xml:space="preserve">Total preliminary purchase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xml:space="preserve">507,943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414,556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51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of net assets acquired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488,103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9" w:type="dxa"/>
            <w:tcBorders>
              <w:bottom w:val="single" w:sz="2" w:space="0" w:color="000000"/>
            </w:tcBorders>
            <w:shd w:fill="CCEEFF" w:val="clear"/>
            <w:tcMar>
              <w:bottom w:w="50" w:type="dxa"/>
            </w:tcMar>
            <w:vAlign w:val="center"/>
          </w:tcPr>
          <w:p>
            <w:pPr>
              <w:pStyle w:val="TableContents"/>
              <w:bidi w:val="0"/>
              <w:spacing w:before="0" w:after="283"/>
              <w:jc w:val="right"/>
              <w:rPr/>
            </w:pPr>
            <w:r>
              <w:rPr/>
              <w:t>488,103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14" w:type="dxa"/>
            <w:tcBorders/>
            <w:tcMar>
              <w:bottom w:w="0" w:type="dxa"/>
            </w:tcMar>
            <w:vAlign w:val="center"/>
          </w:tcPr>
          <w:p>
            <w:pPr>
              <w:pStyle w:val="TableContents"/>
              <w:bidi w:val="0"/>
              <w:spacing w:before="0" w:after="0"/>
              <w:jc w:val="left"/>
              <w:rPr>
                <w:spacing w:val="4"/>
              </w:rPr>
            </w:pPr>
            <w:r>
              <w:rPr>
                <w:spacing w:val="4"/>
              </w:rPr>
              <w:t xml:space="preserve">Goodwill (Gain on bargain purchase)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19,840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(73,547)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allocation resulted in a gain on bargain purchase because the value of the consideration is primarily driven by the price of Standard BioTools Common Stock and is highly sensitive to changes in the stock price. The price of a share of Standard BioTools Common Stock fell from a closing price of $2.70 on October 3, 2023, the day before the proposed Merger was announced, compared to a closing price of $2.09 on November 3, 2023. The bargain purchase gain will be recognized on a separate line item within the unaudited pro forma condensed combined statement of operations.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Preliminary purchase price allocation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purchase price allocation for the proposed Merger is preliminary and subject to revision once the proposed Merger is complete and as additional information about the fair value of the assets to be acquired and liabilities to be assumed becomes available. Standard BioTools has engaged a third-party valuation company to assist it in completing the valuation of certain assets to be acquired and liabilities to be assumed. However, Standard BioTools has not completed a full, detailed valuation analysis. The preliminary valuation performed is limited to intangible assets i.e., developed technology, trade name and customer relationships. The valuation is based on available financial statement information as of September 30, 2023 and current forecasts prepared by Standard BioTools. Accordingly, the unaudited pro forma condensed combined financial information includes a preliminary allocation of the purchase price based on assumptions and estimates that, while considered reasonable under the circumstances, are subject to changes, which may be material. Standard BioTools will continue to refine its identification and valuation of assets to be acquired and liabilities to be assumed as further information becomes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determination of the purchase price allocation will be completed as soon as practicable and will be based on the fair values of the assets acquired and liabilities assumed as of the closing date. The final amounts allocated to assets acquired and liabilities assumed could differ significantly from the amounts presented in the unaudited pro forma condensed combined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preliminary allocation of the estimated purchase price to the identifiable tangible and intangible assets acquired and liabilities assumed of SomaLogic based on SomaLogic’s unaudited interim consolidated balance sheet as of September 30, 2023, with the shortfall recorded to bargain purchase gain (in thousands): </w:t>
      </w:r>
    </w:p>
    <w:tbl>
      <w:tblPr>
        <w:tblW w:w="6155" w:type="dxa"/>
        <w:jc w:val="left"/>
        <w:tblInd w:w="1393" w:type="dxa"/>
        <w:tblLayout w:type="fixed"/>
        <w:tblCellMar>
          <w:top w:w="0" w:type="dxa"/>
          <w:left w:w="0" w:type="dxa"/>
          <w:bottom w:w="0" w:type="dxa"/>
          <w:right w:w="0" w:type="dxa"/>
        </w:tblCellMar>
      </w:tblPr>
      <w:tblGrid>
        <w:gridCol w:w="124"/>
        <w:gridCol w:w="4329"/>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Total current assets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493,726</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Property and equipment, 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18,172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Non-current Inventory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11,119</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Accounts receivable, net of current portion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8,681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Operating lease right-of-use asset, net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4,342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Other non-current assets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 xml:space="preserve">1,604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189" w:type="dxa"/>
        <w:jc w:val="left"/>
        <w:tblInd w:w="1393" w:type="dxa"/>
        <w:tblLayout w:type="fixed"/>
        <w:tblCellMar>
          <w:top w:w="0" w:type="dxa"/>
          <w:left w:w="0" w:type="dxa"/>
          <w:bottom w:w="0" w:type="dxa"/>
          <w:right w:w="0" w:type="dxa"/>
        </w:tblCellMar>
      </w:tblPr>
      <w:tblGrid>
        <w:gridCol w:w="124"/>
        <w:gridCol w:w="4303"/>
        <w:gridCol w:w="109"/>
        <w:gridCol w:w="109"/>
        <w:gridCol w:w="109"/>
        <w:gridCol w:w="226"/>
        <w:gridCol w:w="9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303" w:type="dxa"/>
            <w:tcBorders/>
            <w:shd w:fill="CCEEFF" w:val="clear"/>
            <w:vAlign w:val="center"/>
          </w:tcPr>
          <w:p>
            <w:pPr>
              <w:pStyle w:val="TableContents"/>
              <w:bidi w:val="0"/>
              <w:spacing w:before="0" w:after="0"/>
              <w:jc w:val="left"/>
              <w:rPr>
                <w:spacing w:val="4"/>
              </w:rPr>
            </w:pPr>
            <w:r>
              <w:rPr>
                <w:spacing w:val="4"/>
              </w:rPr>
              <w:t xml:space="preserve">Trade Name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3,000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03" w:type="dxa"/>
            <w:tcBorders/>
            <w:vAlign w:val="center"/>
          </w:tcPr>
          <w:p>
            <w:pPr>
              <w:pStyle w:val="TableContents"/>
              <w:bidi w:val="0"/>
              <w:spacing w:before="0" w:after="0"/>
              <w:jc w:val="left"/>
              <w:rPr>
                <w:spacing w:val="4"/>
              </w:rPr>
            </w:pPr>
            <w:r>
              <w:rPr>
                <w:spacing w:val="4"/>
              </w:rPr>
              <w:t xml:space="preserve">Developed Technology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9,000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3,000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 xml:space="preserve">552,644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03" w:type="dxa"/>
            <w:tcBorders/>
            <w:shd w:fill="CCEEFF" w:val="cle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 xml:space="preserve">27,639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03" w:type="dxa"/>
            <w:tcBorders/>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46" w:type="dxa"/>
            <w:tcBorders/>
            <w:vAlign w:val="center"/>
          </w:tcPr>
          <w:p>
            <w:pPr>
              <w:pStyle w:val="TableContents"/>
              <w:bidi w:val="0"/>
              <w:spacing w:before="0" w:after="283"/>
              <w:jc w:val="right"/>
              <w:rPr/>
            </w:pPr>
            <w:r>
              <w:rPr/>
              <w:t>2,514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03" w:type="dxa"/>
            <w:tcBorders/>
            <w:shd w:fill="CCEEFF" w:val="clear"/>
            <w:vAlign w:val="center"/>
          </w:tcPr>
          <w:p>
            <w:pPr>
              <w:pStyle w:val="TableContents"/>
              <w:bidi w:val="0"/>
              <w:spacing w:before="0" w:after="0"/>
              <w:jc w:val="left"/>
              <w:rPr>
                <w:spacing w:val="4"/>
              </w:rPr>
            </w:pPr>
            <w:r>
              <w:rPr>
                <w:spacing w:val="4"/>
              </w:rPr>
              <w:t xml:space="preserve">Deferred revenue, non-current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46" w:type="dxa"/>
            <w:tcBorders/>
            <w:shd w:fill="CCEEFF" w:val="clear"/>
            <w:vAlign w:val="center"/>
          </w:tcPr>
          <w:p>
            <w:pPr>
              <w:pStyle w:val="TableContents"/>
              <w:bidi w:val="0"/>
              <w:spacing w:before="0" w:after="283"/>
              <w:jc w:val="right"/>
              <w:rPr/>
            </w:pPr>
            <w:r>
              <w:rPr/>
              <w:t>30,944</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non-current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3,444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liabilities assumed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64,541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pPr>
            <w:r>
              <w:rPr>
                <w:spacing w:val="-4"/>
              </w:rPr>
              <w:t>Net Assets Acquired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488,103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preliminary estimated purchase price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461,225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pPr>
            <w:r>
              <w:rPr>
                <w:spacing w:val="-4"/>
              </w:rPr>
              <w:t>Gain on bargain purchase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(26,878)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89" w:type="dxa"/>
            <w:gridSpan w:val="9"/>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 accounting adjustments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8440" distB="0" distL="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8"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2pt;mso-wrap-distance-bottom:0pt;margin-top:17.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adjustments included in the unaudited preliminary pro forma condensed combined financial statements are as follows: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reflect $1.9 million in cash transaction bonuses expected to be paid by Standard BioTools to new executives upon closing of the proposed Merger. </w:t>
      </w:r>
      <w:r>
        <mc:AlternateContent>
          <mc:Choice Requires="wps">
            <w:drawing>
              <wp:anchor behindDoc="0" distT="116840" distB="0" distL="254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9"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remove the deferred cost of services of $0.4 million, as unamortized fulfilment costs of an acquiree do not meet the definition of an asset to the acquirer. </w:t>
      </w:r>
      <w:r>
        <mc:AlternateContent>
          <mc:Choice Requires="wps">
            <w:drawing>
              <wp:anchor behindDoc="0" distT="116840" distB="0" distL="25400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80"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the right-of-use assets and lease liabilities for real estate leases acquired as part of the proposed Merger. Standard BioTools calculated the lease liability based on the remaining lease payments and Standard BioTool’s weighted average discount rate as of September 30, 2023. This resulted in a decrease to the current lease liability of $0.1 million, presented in Operating lease liabilities, current, and a decrease to the noncurrent lease liability of $0.3 million, presented in Operating lease liabilities, non-current. The right-of-use asset is calculated based on the lease liability, as there were not any lease incentives or tenant improvement allowances to be received post-close. This resulted in an increase to Operating lease right-of-use asset, net of $0.1 million. </w:t>
      </w:r>
      <w:r>
        <mc:AlternateContent>
          <mc:Choice Requires="wps">
            <w:drawing>
              <wp:anchor behindDoc="0" distT="116840" distB="0" distL="25400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81"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SomaLogic’s historical intangible assets of $16.7 million and historical goodwill of $10.4 million. This adjustment also establishes the fair values of the acquired identifiable intangible assets consisting of tradename, developed technology and customer relationships at a total estimated fair value of $15.0 million, which, as noted above, is preliminary and subject to change once the proposed Merger is completed. </w:t>
      </w:r>
      <w:r>
        <mc:AlternateContent>
          <mc:Choice Requires="wps">
            <w:drawing>
              <wp:anchor behindDoc="0" distT="116840" distB="0" distL="25400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2"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intangible assets has been estimated based on third-party preliminary studies utilizing income and market-based methodologies and corroborated with publicly available market benchmarks.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useful lives (where relevant for the purposes of the unaudited pro forma condensed combined financial information) are based on the time periods during which the intangibles are expected to result in substantial incremental cash flows. The following table summarizes the fair values of SomaLogic’s identifiable intangible assets, their estimated useful lives and the impact to amortization, a recurring expense, reflected in the condensed combined statements of operations (in thousands, except for useful lives):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324"/>
        <w:gridCol w:w="109"/>
        <w:gridCol w:w="109"/>
        <w:gridCol w:w="109"/>
        <w:gridCol w:w="226"/>
        <w:gridCol w:w="766"/>
        <w:gridCol w:w="109"/>
        <w:gridCol w:w="109"/>
        <w:gridCol w:w="109"/>
        <w:gridCol w:w="1203"/>
        <w:gridCol w:w="109"/>
        <w:gridCol w:w="109"/>
        <w:gridCol w:w="148"/>
        <w:gridCol w:w="308"/>
        <w:gridCol w:w="879"/>
        <w:gridCol w:w="144"/>
        <w:gridCol w:w="144"/>
        <w:gridCol w:w="144"/>
        <w:gridCol w:w="148"/>
        <w:gridCol w:w="310"/>
        <w:gridCol w:w="890"/>
        <w:gridCol w:w="145"/>
        <w:gridCol w:w="161"/>
      </w:tblGrid>
      <w:tr>
        <w:trPr/>
        <w:tc>
          <w:tcPr>
            <w:tcW w:w="23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0"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Pro Forma Amortization Expense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3" w:type="dxa"/>
            <w:tcBorders>
              <w:bottom w:val="single" w:sz="2" w:space="0" w:color="000000"/>
            </w:tcBorders>
            <w:tcMar>
              <w:bottom w:w="33" w:type="dxa"/>
            </w:tcMar>
            <w:vAlign w:val="center"/>
          </w:tcPr>
          <w:p>
            <w:pPr>
              <w:pStyle w:val="TableContents"/>
              <w:bidi w:val="0"/>
              <w:spacing w:before="0" w:after="0"/>
              <w:jc w:val="center"/>
              <w:rPr/>
            </w:pPr>
            <w:r>
              <w:rPr>
                <w:spacing w:val="-3"/>
              </w:rPr>
              <w:t xml:space="preserve">Estimated </w:t>
            </w:r>
            <w:r>
              <w:rPr/>
              <w:br/>
            </w:r>
            <w:r>
              <w:rPr>
                <w:spacing w:val="-3"/>
              </w:rPr>
              <w:t xml:space="preserve">Useful Life </w:t>
            </w:r>
            <w:r>
              <w:rPr/>
              <w:br/>
            </w:r>
            <w:r>
              <w:rPr>
                <w:spacing w:val="-3"/>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9"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Year Ended </w:t>
            </w:r>
            <w:r>
              <w:rPr/>
              <w:br/>
            </w:r>
            <w:r>
              <w:rPr>
                <w:spacing w:val="-3"/>
              </w:rPr>
              <w:t xml:space="preserve">December 31, </w:t>
            </w:r>
            <w:r>
              <w:rPr/>
              <w:br/>
            </w:r>
            <w:r>
              <w:rPr>
                <w:spacing w:val="-3"/>
              </w:rPr>
              <w:t xml:space="preserve">2022 </w:t>
            </w:r>
          </w:p>
        </w:tc>
        <w:tc>
          <w:tcPr>
            <w:tcW w:w="144" w:type="dxa"/>
            <w:tcBorders>
              <w:bottom w:val="single" w:sz="2" w:space="0" w:color="FFFFFF"/>
            </w:tcBorders>
            <w:vAlign w:val="center"/>
          </w:tcPr>
          <w:p>
            <w:pPr>
              <w:pStyle w:val="TableContents"/>
              <w:bidi w:val="0"/>
              <w:spacing w:before="0" w:after="283"/>
              <w:jc w:val="left"/>
              <w:rPr/>
            </w:pPr>
            <w:r>
              <w:rPr/>
              <w:t>​</w:t>
            </w:r>
          </w:p>
        </w:tc>
        <w:tc>
          <w:tcPr>
            <w:tcW w:w="144" w:type="dxa"/>
            <w:tcBorders>
              <w:bottom w:val="single" w:sz="2" w:space="0" w:color="FFFFFF"/>
            </w:tcBorders>
            <w:vAlign w:val="center"/>
          </w:tcPr>
          <w:p>
            <w:pPr>
              <w:pStyle w:val="TableContents"/>
              <w:bidi w:val="0"/>
              <w:spacing w:before="0" w:after="283"/>
              <w:jc w:val="left"/>
              <w:rPr/>
            </w:pPr>
            <w:r>
              <w:rPr/>
              <w:t>​</w:t>
            </w:r>
          </w:p>
        </w:tc>
        <w:tc>
          <w:tcPr>
            <w:tcW w:w="149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Nine Months </w:t>
            </w:r>
            <w:r>
              <w:rPr/>
              <w:br/>
            </w:r>
            <w:r>
              <w:rPr>
                <w:spacing w:val="-3"/>
              </w:rPr>
              <w:t xml:space="preserve">Ended </w:t>
            </w:r>
            <w:r>
              <w:rPr/>
              <w:br/>
            </w:r>
            <w:r>
              <w:rPr>
                <w:spacing w:val="-3"/>
              </w:rPr>
              <w:t xml:space="preserve">September 30, </w:t>
            </w:r>
            <w:r>
              <w:rPr/>
              <w:br/>
            </w:r>
            <w:r>
              <w:rPr>
                <w:spacing w:val="-3"/>
              </w:rPr>
              <w:t xml:space="preserve">2023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24" w:type="dxa"/>
            <w:tcBorders/>
            <w:shd w:fill="CCEEFF" w:val="clear"/>
            <w:tcMar>
              <w:bottom w:w="0" w:type="dxa"/>
            </w:tcMar>
            <w:vAlign w:val="center"/>
          </w:tcPr>
          <w:p>
            <w:pPr>
              <w:pStyle w:val="TableContents"/>
              <w:bidi w:val="0"/>
              <w:spacing w:before="0" w:after="0"/>
              <w:jc w:val="left"/>
              <w:rPr>
                <w:spacing w:val="4"/>
              </w:rPr>
            </w:pPr>
            <w:r>
              <w:rPr>
                <w:spacing w:val="4"/>
              </w:rPr>
              <w:t xml:space="preserve">Trade name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3" w:type="dxa"/>
            <w:tcBorders/>
            <w:shd w:fill="CCEEFF" w:val="clear"/>
            <w:tcMar>
              <w:bottom w:w="0" w:type="dxa"/>
            </w:tcMar>
            <w:vAlign w:val="center"/>
          </w:tcPr>
          <w:p>
            <w:pPr>
              <w:pStyle w:val="TableContents"/>
              <w:bidi w:val="0"/>
              <w:spacing w:before="0" w:after="0"/>
              <w:jc w:val="center"/>
              <w:rPr>
                <w:spacing w:val="4"/>
              </w:rPr>
            </w:pPr>
            <w:r>
              <w:rPr>
                <w:spacing w:val="4"/>
              </w:rPr>
              <w:t xml:space="preserve">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375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281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24" w:type="dxa"/>
            <w:tcBorders/>
            <w:tcMar>
              <w:bottom w:w="0" w:type="dxa"/>
            </w:tcMar>
            <w:vAlign w:val="center"/>
          </w:tcPr>
          <w:p>
            <w:pPr>
              <w:pStyle w:val="TableContents"/>
              <w:bidi w:val="0"/>
              <w:spacing w:before="0" w:after="0"/>
              <w:jc w:val="left"/>
              <w:rPr>
                <w:spacing w:val="4"/>
              </w:rPr>
            </w:pPr>
            <w:r>
              <w:rPr>
                <w:spacing w:val="4"/>
              </w:rPr>
              <w:t xml:space="preserve">Developed technology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3" w:type="dxa"/>
            <w:tcBorders/>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818</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614</w:t>
            </w:r>
          </w:p>
        </w:tc>
        <w:tc>
          <w:tcPr>
            <w:tcW w:w="14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324"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0" w:type="dxa"/>
            </w:tcMar>
            <w:vAlign w:val="center"/>
          </w:tcPr>
          <w:p>
            <w:pPr>
              <w:pStyle w:val="TableContents"/>
              <w:bidi w:val="0"/>
              <w:spacing w:before="0" w:after="283"/>
              <w:jc w:val="right"/>
              <w:rPr/>
            </w:pPr>
            <w:r>
              <w:rPr/>
              <w:t>3,000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3" w:type="dxa"/>
            <w:tcBorders>
              <w:bottom w:val="single" w:sz="2" w:space="0" w:color="CCEEFF"/>
            </w:tcBorders>
            <w:shd w:fill="CCEEFF" w:val="clear"/>
            <w:tcMar>
              <w:bottom w:w="40" w:type="dxa"/>
            </w:tcMar>
            <w:vAlign w:val="center"/>
          </w:tcPr>
          <w:p>
            <w:pPr>
              <w:pStyle w:val="TableContents"/>
              <w:bidi w:val="0"/>
              <w:spacing w:before="0" w:after="0"/>
              <w:jc w:val="center"/>
              <w:rPr>
                <w:spacing w:val="4"/>
              </w:rPr>
            </w:pPr>
            <w:r>
              <w:rPr>
                <w:spacing w:val="4"/>
              </w:rPr>
              <w:t xml:space="preserve">13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08"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40" w:type="dxa"/>
            </w:tcMar>
            <w:vAlign w:val="center"/>
          </w:tcPr>
          <w:p>
            <w:pPr>
              <w:pStyle w:val="TableContents"/>
              <w:bidi w:val="0"/>
              <w:spacing w:before="0" w:after="283"/>
              <w:jc w:val="right"/>
              <w:rPr/>
            </w:pPr>
            <w:r>
              <w:rPr/>
              <w:t>231</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90" w:type="dxa"/>
            <w:tcBorders>
              <w:bottom w:val="single" w:sz="2" w:space="0" w:color="000000"/>
            </w:tcBorders>
            <w:shd w:fill="CCEEFF" w:val="clear"/>
            <w:tcMar>
              <w:bottom w:w="40" w:type="dxa"/>
            </w:tcMar>
            <w:vAlign w:val="center"/>
          </w:tcPr>
          <w:p>
            <w:pPr>
              <w:pStyle w:val="TableContents"/>
              <w:bidi w:val="0"/>
              <w:spacing w:before="0" w:after="283"/>
              <w:jc w:val="right"/>
              <w:rPr/>
            </w:pPr>
            <w:r>
              <w:rPr/>
              <w:t xml:space="preserve">173 </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24" w:type="dxa"/>
            <w:tcBorders/>
            <w:tcMar>
              <w:bottom w:w="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766" w:type="dxa"/>
            <w:tcBorders>
              <w:bottom w:val="double" w:sz="8" w:space="0" w:color="000000"/>
            </w:tcBorders>
            <w:tcMar>
              <w:bottom w:w="40" w:type="dxa"/>
            </w:tcMar>
            <w:vAlign w:val="center"/>
          </w:tcPr>
          <w:p>
            <w:pPr>
              <w:pStyle w:val="TableContents"/>
              <w:bidi w:val="0"/>
              <w:spacing w:before="0" w:after="283"/>
              <w:jc w:val="right"/>
              <w:rPr/>
            </w:pPr>
            <w:r>
              <w:rPr/>
              <w:t>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bottom w:val="double" w:sz="8" w:space="0" w:color="000000"/>
            </w:tcBorders>
            <w:tcMar>
              <w:bottom w:w="40" w:type="dxa"/>
            </w:tcMar>
            <w:vAlign w:val="center"/>
          </w:tcPr>
          <w:p>
            <w:pPr>
              <w:pStyle w:val="TableContents"/>
              <w:bidi w:val="0"/>
              <w:spacing w:before="0" w:after="283"/>
              <w:jc w:val="right"/>
              <w:rPr/>
            </w:pPr>
            <w:r>
              <w:rPr/>
              <w:t>$</w:t>
            </w:r>
          </w:p>
        </w:tc>
        <w:tc>
          <w:tcPr>
            <w:tcW w:w="879" w:type="dxa"/>
            <w:tcBorders>
              <w:bottom w:val="double" w:sz="8" w:space="0" w:color="000000"/>
            </w:tcBorders>
            <w:tcMar>
              <w:bottom w:w="40" w:type="dxa"/>
            </w:tcMar>
            <w:vAlign w:val="center"/>
          </w:tcPr>
          <w:p>
            <w:pPr>
              <w:pStyle w:val="TableContents"/>
              <w:bidi w:val="0"/>
              <w:spacing w:before="0" w:after="283"/>
              <w:jc w:val="right"/>
              <w:rPr/>
            </w:pPr>
            <w:r>
              <w:rPr/>
              <w:t>1,424</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10" w:type="dxa"/>
            <w:tcBorders>
              <w:bottom w:val="double" w:sz="8" w:space="0" w:color="000000"/>
            </w:tcBorders>
            <w:tcMar>
              <w:bottom w:w="40" w:type="dxa"/>
            </w:tcMar>
            <w:vAlign w:val="center"/>
          </w:tcPr>
          <w:p>
            <w:pPr>
              <w:pStyle w:val="TableContents"/>
              <w:bidi w:val="0"/>
              <w:spacing w:before="0" w:after="283"/>
              <w:jc w:val="right"/>
              <w:rPr/>
            </w:pPr>
            <w:r>
              <w:rPr/>
              <w:t>$</w:t>
            </w:r>
          </w:p>
        </w:tc>
        <w:tc>
          <w:tcPr>
            <w:tcW w:w="890" w:type="dxa"/>
            <w:tcBorders>
              <w:bottom w:val="double" w:sz="8" w:space="0" w:color="000000"/>
            </w:tcBorders>
            <w:tcMar>
              <w:bottom w:w="40" w:type="dxa"/>
            </w:tcMar>
            <w:vAlign w:val="center"/>
          </w:tcPr>
          <w:p>
            <w:pPr>
              <w:pStyle w:val="TableContents"/>
              <w:bidi w:val="0"/>
              <w:spacing w:before="0" w:after="283"/>
              <w:jc w:val="right"/>
              <w:rPr/>
            </w:pPr>
            <w:r>
              <w:rPr/>
              <w:t>1,068</w:t>
            </w:r>
          </w:p>
        </w:tc>
        <w:tc>
          <w:tcPr>
            <w:tcW w:w="14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amortization expense related to developed technology is presented in cost of products and cost of services proportionately with SomaLogic’s historic product and service revenue, respectively, and the amortization expense related to customer relationships and trade name is presented in selling, general and administrative expenses. The following table summarizes the total amortization expense presented in the condensed combined statement of operations (in thousands): </w:t>
      </w:r>
    </w:p>
    <w:tbl>
      <w:tblPr>
        <w:tblW w:w="8267" w:type="dxa"/>
        <w:jc w:val="left"/>
        <w:tblInd w:w="1393" w:type="dxa"/>
        <w:tblLayout w:type="fixed"/>
        <w:tblCellMar>
          <w:top w:w="0" w:type="dxa"/>
          <w:left w:w="0" w:type="dxa"/>
          <w:bottom w:w="28" w:type="dxa"/>
          <w:right w:w="0" w:type="dxa"/>
        </w:tblCellMar>
      </w:tblPr>
      <w:tblGrid>
        <w:gridCol w:w="3548"/>
        <w:gridCol w:w="109"/>
        <w:gridCol w:w="109"/>
        <w:gridCol w:w="199"/>
        <w:gridCol w:w="415"/>
        <w:gridCol w:w="1190"/>
        <w:gridCol w:w="199"/>
        <w:gridCol w:w="148"/>
        <w:gridCol w:w="148"/>
        <w:gridCol w:w="204"/>
        <w:gridCol w:w="424"/>
        <w:gridCol w:w="1216"/>
        <w:gridCol w:w="204"/>
        <w:gridCol w:w="154"/>
      </w:tblGrid>
      <w:tr>
        <w:trPr/>
        <w:tc>
          <w:tcPr>
            <w:tcW w:w="3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Pro Forma Amortization Expense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20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8"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52</w:t>
            </w:r>
          </w:p>
        </w:tc>
        <w:tc>
          <w:tcPr>
            <w:tcW w:w="19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4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76</w:t>
            </w:r>
          </w:p>
        </w:tc>
        <w:tc>
          <w:tcPr>
            <w:tcW w:w="20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8"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766</w:t>
            </w:r>
          </w:p>
        </w:tc>
        <w:tc>
          <w:tcPr>
            <w:tcW w:w="19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42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538</w:t>
            </w:r>
          </w:p>
        </w:tc>
        <w:tc>
          <w:tcPr>
            <w:tcW w:w="20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4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0" w:type="dxa"/>
            <w:tcBorders>
              <w:bottom w:val="single" w:sz="2" w:space="0" w:color="000000"/>
            </w:tcBorders>
            <w:shd w:fill="CCEEFF" w:val="clear"/>
            <w:tcMar>
              <w:bottom w:w="50" w:type="dxa"/>
            </w:tcMar>
            <w:vAlign w:val="center"/>
          </w:tcPr>
          <w:p>
            <w:pPr>
              <w:pStyle w:val="TableContents"/>
              <w:bidi w:val="0"/>
              <w:spacing w:before="0" w:after="283"/>
              <w:jc w:val="right"/>
              <w:rPr/>
            </w:pPr>
            <w:r>
              <w:rPr/>
              <w:t>606</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204" w:type="dxa"/>
            <w:tcBorders>
              <w:bottom w:val="single" w:sz="2" w:space="0" w:color="CCEEFF"/>
            </w:tcBorders>
            <w:shd w:fill="CCEEFF" w:val="clear"/>
            <w:vAlign w:val="center"/>
          </w:tcPr>
          <w:p>
            <w:pPr>
              <w:pStyle w:val="TableContents"/>
              <w:bidi w:val="0"/>
              <w:spacing w:before="0" w:after="283"/>
              <w:jc w:val="left"/>
              <w:rPr/>
            </w:pPr>
            <w:r>
              <w:rPr/>
              <w:t>​</w:t>
            </w:r>
          </w:p>
        </w:tc>
        <w:tc>
          <w:tcPr>
            <w:tcW w:w="4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454</w:t>
            </w:r>
          </w:p>
        </w:tc>
        <w:tc>
          <w:tcPr>
            <w:tcW w:w="20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8" w:type="dxa"/>
            <w:tcBorders>
              <w:bottom w:val="single" w:sz="2" w:space="0" w:color="FFFFFF"/>
            </w:tcBorders>
            <w:tcMar>
              <w:bottom w:w="5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415" w:type="dxa"/>
            <w:tcBorders>
              <w:bottom w:val="single" w:sz="2" w:space="0" w:color="000000"/>
            </w:tcBorders>
            <w:tcMar>
              <w:bottom w:w="50" w:type="dxa"/>
            </w:tcMar>
            <w:vAlign w:val="center"/>
          </w:tcPr>
          <w:p>
            <w:pPr>
              <w:pStyle w:val="TableContents"/>
              <w:bidi w:val="0"/>
              <w:spacing w:before="0" w:after="283"/>
              <w:jc w:val="right"/>
              <w:rPr/>
            </w:pPr>
            <w:r>
              <w:rPr/>
              <w:t>$</w:t>
            </w:r>
          </w:p>
        </w:tc>
        <w:tc>
          <w:tcPr>
            <w:tcW w:w="1190" w:type="dxa"/>
            <w:tcBorders>
              <w:bottom w:val="single" w:sz="2" w:space="0" w:color="000000"/>
            </w:tcBorders>
            <w:tcMar>
              <w:bottom w:w="50" w:type="dxa"/>
            </w:tcMar>
            <w:vAlign w:val="center"/>
          </w:tcPr>
          <w:p>
            <w:pPr>
              <w:pStyle w:val="TableContents"/>
              <w:bidi w:val="0"/>
              <w:spacing w:before="0" w:after="283"/>
              <w:jc w:val="right"/>
              <w:rPr/>
            </w:pPr>
            <w:r>
              <w:rPr/>
              <w:t>1,424</w:t>
            </w:r>
          </w:p>
        </w:tc>
        <w:tc>
          <w:tcPr>
            <w:tcW w:w="199"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204" w:type="dxa"/>
            <w:tcBorders>
              <w:bottom w:val="single" w:sz="2" w:space="0" w:color="FFFFFF"/>
            </w:tcBorders>
            <w:vAlign w:val="center"/>
          </w:tcPr>
          <w:p>
            <w:pPr>
              <w:pStyle w:val="TableContents"/>
              <w:bidi w:val="0"/>
              <w:spacing w:before="0" w:after="283"/>
              <w:jc w:val="left"/>
              <w:rPr/>
            </w:pPr>
            <w:r>
              <w:rPr/>
              <w:t>​</w:t>
            </w:r>
          </w:p>
        </w:tc>
        <w:tc>
          <w:tcPr>
            <w:tcW w:w="424" w:type="dxa"/>
            <w:tcBorders>
              <w:bottom w:val="single" w:sz="2" w:space="0" w:color="000000"/>
            </w:tcBorders>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tcMar>
              <w:bottom w:w="50" w:type="dxa"/>
            </w:tcMar>
            <w:vAlign w:val="center"/>
          </w:tcPr>
          <w:p>
            <w:pPr>
              <w:pStyle w:val="TableContents"/>
              <w:bidi w:val="0"/>
              <w:spacing w:before="0" w:after="283"/>
              <w:jc w:val="right"/>
              <w:rPr/>
            </w:pPr>
            <w:r>
              <w:rPr/>
              <w:t>1,068</w:t>
            </w:r>
          </w:p>
        </w:tc>
        <w:tc>
          <w:tcPr>
            <w:tcW w:w="20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50" w:before="284"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or decrease of 10% in the fair value of the intangible assets acquired would increase or decrease the fair value by $1.5 million with an increase or decrease to gain on bargain purchase. With other assumptions held constant, a 10% increase or decrease in the fair value of the intangible assets would increase or decrease the estimated amortization expense by $0.1 million for the year ended December 31, 2022 and $0.1 million for the nine months ended September 30, 2023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$23.4 million of consideration transferred related to the pre-combination employee services for the replacement stock options expected to be granted to SomaLogic employees by Standard BioTools. This adjustment also represents the elimination of the existing SomaLogic liability related to the ESPP Options of $0.2 million, which will terminate in connection with the proposed Merger and the issuance of shares worth $0.2 million. </w:t>
      </w:r>
      <w:r>
        <mc:AlternateContent>
          <mc:Choice Requires="wps">
            <w:drawing>
              <wp:anchor behindDoc="0" distT="116840" distB="0" distL="25400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3"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represents the adjustment to eliminate SomaLogic’s historical stock-based compensation expense and record the incremental stock-based compensation expense related to the post-combination expense for the replacement Standard BioTools Stock Options and RSUs. The total pro forma stock-based compensation expense includes SomaLogic Common Stock subject to vesting conditions issued to Palamedrix founder employees, and the value of milestone consideration replacement awards of Palamedrix non-founder and founder employees, per SomaLogic’s acquisition of Palamedrix in 2022. This adjustment also includes the stock-based compensation expense from new Performance Units (each, a “PSU”) and Stock Options which will be issued to new executives upon the close of the Merger. The incremental expense is allocated to each financial statement line item as follows (in thousands):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Year Ended December 31, 2022</w:t>
      </w:r>
      <w:r>
        <w:rPr>
          <w:rFonts w:ascii="Times New Roman;Times;serif" w:hAnsi="Times New Roman;Times;serif"/>
          <w:b/>
          <w:i/>
          <w:caps w:val="false"/>
          <w:smallCaps w:val="false"/>
          <w:color w:val="000000"/>
          <w:spacing w:val="4"/>
          <w:sz w:val="20"/>
        </w:rPr>
        <w:t xml:space="preserve"> </w:t>
      </w:r>
    </w:p>
    <w:tbl>
      <w:tblPr>
        <w:tblW w:w="11616" w:type="dxa"/>
        <w:jc w:val="left"/>
        <w:tblInd w:w="1393" w:type="dxa"/>
        <w:tblLayout w:type="fixed"/>
        <w:tblCellMar>
          <w:top w:w="0" w:type="dxa"/>
          <w:left w:w="0" w:type="dxa"/>
          <w:bottom w:w="28" w:type="dxa"/>
          <w:right w:w="0" w:type="dxa"/>
        </w:tblCellMar>
      </w:tblPr>
      <w:tblGrid>
        <w:gridCol w:w="1493"/>
        <w:gridCol w:w="109"/>
        <w:gridCol w:w="109"/>
        <w:gridCol w:w="109"/>
        <w:gridCol w:w="226"/>
        <w:gridCol w:w="841"/>
        <w:gridCol w:w="109"/>
        <w:gridCol w:w="109"/>
        <w:gridCol w:w="109"/>
        <w:gridCol w:w="124"/>
        <w:gridCol w:w="258"/>
        <w:gridCol w:w="738"/>
        <w:gridCol w:w="126"/>
        <w:gridCol w:w="109"/>
        <w:gridCol w:w="109"/>
        <w:gridCol w:w="124"/>
        <w:gridCol w:w="258"/>
        <w:gridCol w:w="738"/>
        <w:gridCol w:w="126"/>
        <w:gridCol w:w="109"/>
        <w:gridCol w:w="109"/>
        <w:gridCol w:w="114"/>
        <w:gridCol w:w="237"/>
        <w:gridCol w:w="678"/>
        <w:gridCol w:w="115"/>
        <w:gridCol w:w="109"/>
        <w:gridCol w:w="109"/>
        <w:gridCol w:w="123"/>
        <w:gridCol w:w="255"/>
        <w:gridCol w:w="525"/>
        <w:gridCol w:w="124"/>
        <w:gridCol w:w="109"/>
        <w:gridCol w:w="109"/>
        <w:gridCol w:w="109"/>
        <w:gridCol w:w="226"/>
        <w:gridCol w:w="766"/>
        <w:gridCol w:w="109"/>
        <w:gridCol w:w="109"/>
        <w:gridCol w:w="109"/>
        <w:gridCol w:w="109"/>
        <w:gridCol w:w="226"/>
        <w:gridCol w:w="841"/>
        <w:gridCol w:w="109"/>
        <w:gridCol w:w="154"/>
      </w:tblGrid>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Removal of </w:t>
            </w:r>
            <w:r>
              <w:rPr/>
              <w:br/>
            </w:r>
            <w:r>
              <w:rPr>
                <w:spacing w:val="-3"/>
              </w:rPr>
              <w:t xml:space="preserve">historical </w:t>
            </w:r>
            <w:r>
              <w:rPr/>
              <w:br/>
            </w:r>
            <w:r>
              <w:rPr>
                <w:spacing w:val="-3"/>
              </w:rPr>
              <w:t xml:space="preserve">SomaLogic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stock </w:t>
            </w:r>
            <w:r>
              <w:rPr/>
              <w:br/>
            </w:r>
            <w:r>
              <w:rPr>
                <w:spacing w:val="-3"/>
              </w:rPr>
              <w:t xml:space="preserve">options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RSU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Palamedrix </w:t>
            </w:r>
            <w:r>
              <w:rPr/>
              <w:br/>
            </w:r>
            <w:r>
              <w:rPr>
                <w:spacing w:val="-3"/>
              </w:rPr>
              <w:t xml:space="preserve">Founder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New </w:t>
            </w:r>
            <w:r>
              <w:rPr/>
              <w:br/>
            </w:r>
            <w:r>
              <w:rPr>
                <w:spacing w:val="-3"/>
              </w:rPr>
              <w:t xml:space="preserve">Executive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Pro Forma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200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97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67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5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1,260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612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1,889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(34,290)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738" w:type="dxa"/>
            <w:tcBorders>
              <w:bottom w:val="single" w:sz="2" w:space="0" w:color="000000"/>
            </w:tcBorders>
            <w:tcMar>
              <w:bottom w:w="50" w:type="dxa"/>
            </w:tcMar>
            <w:vAlign w:val="center"/>
          </w:tcPr>
          <w:p>
            <w:pPr>
              <w:pStyle w:val="TableContents"/>
              <w:bidi w:val="0"/>
              <w:spacing w:before="0" w:after="283"/>
              <w:jc w:val="right"/>
              <w:rPr/>
            </w:pPr>
            <w:r>
              <w:rPr/>
              <w:t>6,356</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738" w:type="dxa"/>
            <w:tcBorders>
              <w:bottom w:val="single" w:sz="2" w:space="0" w:color="000000"/>
            </w:tcBorders>
            <w:tcMar>
              <w:bottom w:w="50" w:type="dxa"/>
            </w:tcMar>
            <w:vAlign w:val="center"/>
          </w:tcPr>
          <w:p>
            <w:pPr>
              <w:pStyle w:val="TableContents"/>
              <w:bidi w:val="0"/>
              <w:spacing w:before="0" w:after="283"/>
              <w:jc w:val="right"/>
              <w:rPr/>
            </w:pPr>
            <w:r>
              <w:rPr/>
              <w:t>3,083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0" w:type="dxa"/>
            </w:tcMar>
            <w:vAlign w:val="center"/>
          </w:tcPr>
          <w:p>
            <w:pPr>
              <w:pStyle w:val="TableContents"/>
              <w:bidi w:val="0"/>
              <w:spacing w:before="0" w:after="283"/>
              <w:jc w:val="right"/>
              <w:rPr/>
            </w:pPr>
            <w:r>
              <w:rPr/>
              <w:t>​</w:t>
            </w:r>
          </w:p>
        </w:tc>
        <w:tc>
          <w:tcPr>
            <w:tcW w:w="678" w:type="dxa"/>
            <w:tcBorders>
              <w:bottom w:val="single" w:sz="2" w:space="0" w:color="000000"/>
            </w:tcBorders>
            <w:tcMar>
              <w:bottom w:w="50" w:type="dxa"/>
            </w:tcMar>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525" w:type="dxa"/>
            <w:tcBorders>
              <w:bottom w:val="single" w:sz="2" w:space="0" w:color="000000"/>
            </w:tcBorders>
            <w:tcMar>
              <w:bottom w:w="50" w:type="dxa"/>
            </w:tcMar>
            <w:vAlign w:val="center"/>
          </w:tcPr>
          <w:p>
            <w:pPr>
              <w:pStyle w:val="TableContents"/>
              <w:bidi w:val="0"/>
              <w:spacing w:before="0" w:after="283"/>
              <w:jc w:val="right"/>
              <w:rPr/>
            </w:pPr>
            <w:r>
              <w:rPr/>
              <w:t>329</w:t>
            </w:r>
          </w:p>
        </w:tc>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9,768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(24,522)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ind w:left="200" w:right="0" w:hanging="200"/>
              <w:jc w:val="left"/>
              <w:rPr/>
            </w:pPr>
            <w:r>
              <w:rPr>
                <w:spacing w:val="-4"/>
              </w:rPr>
              <w:t>Total stock-based compensation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(43,609)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7,826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3,797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1,889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329</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(29,768)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Nine Months Ended September 30, 2023</w:t>
      </w:r>
      <w:r>
        <w:rPr>
          <w:rFonts w:ascii="Times New Roman;Times;serif" w:hAnsi="Times New Roman;Times;serif"/>
          <w:b/>
          <w:i/>
          <w:caps w:val="false"/>
          <w:smallCaps w:val="false"/>
          <w:color w:val="000000"/>
          <w:spacing w:val="4"/>
          <w:sz w:val="20"/>
        </w:rPr>
        <w:t xml:space="preserve"> </w:t>
      </w:r>
    </w:p>
    <w:tbl>
      <w:tblPr>
        <w:tblW w:w="11268" w:type="dxa"/>
        <w:jc w:val="left"/>
        <w:tblInd w:w="1393" w:type="dxa"/>
        <w:tblLayout w:type="fixed"/>
        <w:tblCellMar>
          <w:top w:w="0" w:type="dxa"/>
          <w:left w:w="0" w:type="dxa"/>
          <w:bottom w:w="28" w:type="dxa"/>
          <w:right w:w="0" w:type="dxa"/>
        </w:tblCellMar>
      </w:tblPr>
      <w:tblGrid>
        <w:gridCol w:w="1376"/>
        <w:gridCol w:w="109"/>
        <w:gridCol w:w="109"/>
        <w:gridCol w:w="109"/>
        <w:gridCol w:w="226"/>
        <w:gridCol w:w="841"/>
        <w:gridCol w:w="109"/>
        <w:gridCol w:w="109"/>
        <w:gridCol w:w="109"/>
        <w:gridCol w:w="124"/>
        <w:gridCol w:w="258"/>
        <w:gridCol w:w="738"/>
        <w:gridCol w:w="126"/>
        <w:gridCol w:w="109"/>
        <w:gridCol w:w="109"/>
        <w:gridCol w:w="124"/>
        <w:gridCol w:w="258"/>
        <w:gridCol w:w="738"/>
        <w:gridCol w:w="126"/>
        <w:gridCol w:w="109"/>
        <w:gridCol w:w="109"/>
        <w:gridCol w:w="137"/>
        <w:gridCol w:w="284"/>
        <w:gridCol w:w="585"/>
        <w:gridCol w:w="138"/>
        <w:gridCol w:w="109"/>
        <w:gridCol w:w="109"/>
        <w:gridCol w:w="141"/>
        <w:gridCol w:w="293"/>
        <w:gridCol w:w="449"/>
        <w:gridCol w:w="144"/>
        <w:gridCol w:w="109"/>
        <w:gridCol w:w="109"/>
        <w:gridCol w:w="109"/>
        <w:gridCol w:w="226"/>
        <w:gridCol w:w="646"/>
        <w:gridCol w:w="109"/>
        <w:gridCol w:w="109"/>
        <w:gridCol w:w="109"/>
        <w:gridCol w:w="109"/>
        <w:gridCol w:w="226"/>
        <w:gridCol w:w="730"/>
        <w:gridCol w:w="109"/>
        <w:gridCol w:w="154"/>
      </w:tblGrid>
      <w:tr>
        <w:trPr/>
        <w:tc>
          <w:tcPr>
            <w:tcW w:w="13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Removal of </w:t>
            </w:r>
            <w:r>
              <w:rPr/>
              <w:br/>
            </w:r>
            <w:r>
              <w:rPr>
                <w:spacing w:val="-3"/>
              </w:rPr>
              <w:t xml:space="preserve">historical </w:t>
            </w:r>
            <w:r>
              <w:rPr/>
              <w:br/>
            </w:r>
            <w:r>
              <w:rPr>
                <w:spacing w:val="-3"/>
              </w:rPr>
              <w:t xml:space="preserve">SomaLogic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stock </w:t>
            </w:r>
            <w:r>
              <w:rPr/>
              <w:br/>
            </w:r>
            <w:r>
              <w:rPr>
                <w:spacing w:val="-3"/>
              </w:rPr>
              <w:t xml:space="preserve">options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RSU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Palamedrix </w:t>
            </w:r>
            <w:r>
              <w:rPr/>
              <w:br/>
            </w:r>
            <w:r>
              <w:rPr>
                <w:spacing w:val="-3"/>
              </w:rPr>
              <w:t xml:space="preserve">Founder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New </w:t>
            </w:r>
            <w:r>
              <w:rPr/>
              <w:br/>
            </w:r>
            <w:r>
              <w:rPr>
                <w:spacing w:val="-3"/>
              </w:rPr>
              <w:t xml:space="preserve">Executive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Pro Forma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44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6"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131</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53</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4"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449"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(372)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839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341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918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44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(2,471)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Selling, general and </w:t>
            </w:r>
            <w:r>
              <w:rPr/>
              <w:br/>
            </w:r>
            <w:r>
              <w:rPr>
                <w:spacing w:val="4"/>
              </w:rPr>
              <w:t xml:space="preserve">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41" w:type="dxa"/>
            <w:tcBorders>
              <w:bottom w:val="single" w:sz="2" w:space="0" w:color="000000"/>
            </w:tcBorders>
            <w:tcMar>
              <w:bottom w:w="37" w:type="dxa"/>
            </w:tcMar>
            <w:vAlign w:val="center"/>
          </w:tcPr>
          <w:p>
            <w:pPr>
              <w:pStyle w:val="TableContents"/>
              <w:bidi w:val="0"/>
              <w:spacing w:before="0" w:after="283"/>
              <w:jc w:val="right"/>
              <w:rPr/>
            </w:pPr>
            <w:r>
              <w:rPr/>
              <w:t>(10,302)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37" w:type="dxa"/>
            </w:tcMar>
            <w:vAlign w:val="center"/>
          </w:tcPr>
          <w:p>
            <w:pPr>
              <w:pStyle w:val="TableContents"/>
              <w:bidi w:val="0"/>
              <w:spacing w:before="0" w:after="283"/>
              <w:jc w:val="right"/>
              <w:rPr/>
            </w:pPr>
            <w:r>
              <w:rPr/>
              <w:t>​</w:t>
            </w:r>
          </w:p>
        </w:tc>
        <w:tc>
          <w:tcPr>
            <w:tcW w:w="738" w:type="dxa"/>
            <w:tcBorders>
              <w:bottom w:val="single" w:sz="2" w:space="0" w:color="000000"/>
            </w:tcBorders>
            <w:tcMar>
              <w:bottom w:w="37" w:type="dxa"/>
            </w:tcMar>
            <w:vAlign w:val="center"/>
          </w:tcPr>
          <w:p>
            <w:pPr>
              <w:pStyle w:val="TableContents"/>
              <w:bidi w:val="0"/>
              <w:spacing w:before="0" w:after="283"/>
              <w:jc w:val="right"/>
              <w:rPr/>
            </w:pPr>
            <w:r>
              <w:rPr/>
              <w:t>2,428</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37" w:type="dxa"/>
            </w:tcMar>
            <w:vAlign w:val="center"/>
          </w:tcPr>
          <w:p>
            <w:pPr>
              <w:pStyle w:val="TableContents"/>
              <w:bidi w:val="0"/>
              <w:spacing w:before="0" w:after="283"/>
              <w:jc w:val="right"/>
              <w:rPr/>
            </w:pPr>
            <w:r>
              <w:rPr/>
              <w:t>​</w:t>
            </w:r>
          </w:p>
        </w:tc>
        <w:tc>
          <w:tcPr>
            <w:tcW w:w="738" w:type="dxa"/>
            <w:tcBorders>
              <w:bottom w:val="single" w:sz="2" w:space="0" w:color="000000"/>
            </w:tcBorders>
            <w:tcMar>
              <w:bottom w:w="37" w:type="dxa"/>
            </w:tcMar>
            <w:vAlign w:val="center"/>
          </w:tcPr>
          <w:p>
            <w:pPr>
              <w:pStyle w:val="TableContents"/>
              <w:bidi w:val="0"/>
              <w:spacing w:before="0" w:after="283"/>
              <w:jc w:val="right"/>
              <w:rPr/>
            </w:pPr>
            <w:r>
              <w:rPr/>
              <w:t xml:space="preserve">986 </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284" w:type="dxa"/>
            <w:tcBorders>
              <w:bottom w:val="single" w:sz="2" w:space="0" w:color="000000"/>
            </w:tcBorders>
            <w:tcMar>
              <w:bottom w:w="37" w:type="dxa"/>
            </w:tcMar>
            <w:vAlign w:val="center"/>
          </w:tcPr>
          <w:p>
            <w:pPr>
              <w:pStyle w:val="TableContents"/>
              <w:bidi w:val="0"/>
              <w:spacing w:before="0" w:after="283"/>
              <w:jc w:val="right"/>
              <w:rPr/>
            </w:pPr>
            <w:r>
              <w:rPr/>
              <w:t>​</w:t>
            </w:r>
          </w:p>
        </w:tc>
        <w:tc>
          <w:tcPr>
            <w:tcW w:w="585" w:type="dxa"/>
            <w:tcBorders>
              <w:bottom w:val="single" w:sz="2" w:space="0" w:color="000000"/>
            </w:tcBorders>
            <w:tcMar>
              <w:bottom w:w="37" w:type="dxa"/>
            </w:tcMar>
            <w:vAlign w:val="center"/>
          </w:tcPr>
          <w:p>
            <w:pPr>
              <w:pStyle w:val="TableContents"/>
              <w:bidi w:val="0"/>
              <w:spacing w:before="0" w:after="283"/>
              <w:jc w:val="righ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 w:type="dxa"/>
            <w:tcBorders>
              <w:bottom w:val="single" w:sz="2" w:space="0" w:color="FFFFFF"/>
            </w:tcBorders>
            <w:vAlign w:val="center"/>
          </w:tcPr>
          <w:p>
            <w:pPr>
              <w:pStyle w:val="TableContents"/>
              <w:bidi w:val="0"/>
              <w:spacing w:before="0" w:after="283"/>
              <w:jc w:val="left"/>
              <w:rPr/>
            </w:pPr>
            <w:r>
              <w:rPr/>
              <w:t>​</w:t>
            </w:r>
          </w:p>
        </w:tc>
        <w:tc>
          <w:tcPr>
            <w:tcW w:w="293" w:type="dxa"/>
            <w:tcBorders>
              <w:bottom w:val="single" w:sz="2" w:space="0" w:color="000000"/>
            </w:tcBorders>
            <w:tcMar>
              <w:bottom w:w="37" w:type="dxa"/>
            </w:tcMar>
            <w:vAlign w:val="center"/>
          </w:tcPr>
          <w:p>
            <w:pPr>
              <w:pStyle w:val="TableContents"/>
              <w:bidi w:val="0"/>
              <w:spacing w:before="0" w:after="283"/>
              <w:jc w:val="right"/>
              <w:rPr/>
            </w:pPr>
            <w:r>
              <w:rPr/>
              <w:t>​</w:t>
            </w:r>
          </w:p>
        </w:tc>
        <w:tc>
          <w:tcPr>
            <w:tcW w:w="449" w:type="dxa"/>
            <w:tcBorders>
              <w:bottom w:val="single" w:sz="2" w:space="0" w:color="000000"/>
            </w:tcBorders>
            <w:tcMar>
              <w:bottom w:w="37" w:type="dxa"/>
            </w:tcMar>
            <w:vAlign w:val="center"/>
          </w:tcPr>
          <w:p>
            <w:pPr>
              <w:pStyle w:val="TableContents"/>
              <w:bidi w:val="0"/>
              <w:spacing w:before="0" w:after="283"/>
              <w:jc w:val="right"/>
              <w:rPr/>
            </w:pPr>
            <w:r>
              <w:rPr/>
              <w:t>90</w:t>
            </w:r>
          </w:p>
        </w:tc>
        <w:tc>
          <w:tcPr>
            <w:tcW w:w="1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 xml:space="preserve">3,504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30" w:type="dxa"/>
            <w:tcBorders>
              <w:bottom w:val="single" w:sz="2" w:space="0" w:color="000000"/>
            </w:tcBorders>
            <w:tcMar>
              <w:bottom w:w="37" w:type="dxa"/>
            </w:tcMar>
            <w:vAlign w:val="center"/>
          </w:tcPr>
          <w:p>
            <w:pPr>
              <w:pStyle w:val="TableContents"/>
              <w:bidi w:val="0"/>
              <w:spacing w:before="0" w:after="283"/>
              <w:jc w:val="right"/>
              <w:rPr/>
            </w:pPr>
            <w:r>
              <w:rPr/>
              <w:t>(6,798)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ind w:left="200" w:right="0" w:hanging="200"/>
              <w:jc w:val="left"/>
              <w:rPr/>
            </w:pPr>
            <w:r>
              <w:rPr>
                <w:spacing w:val="-4"/>
              </w:rPr>
              <w:t>Total stock-based compensation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(15,494)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3,414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1,386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918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449" w:type="dxa"/>
            <w:tcBorders/>
            <w:shd w:fill="CCEEFF" w:val="clear"/>
            <w:tcMar>
              <w:bottom w:w="0" w:type="dxa"/>
            </w:tcMar>
            <w:vAlign w:val="center"/>
          </w:tcPr>
          <w:p>
            <w:pPr>
              <w:pStyle w:val="TableContents"/>
              <w:bidi w:val="0"/>
              <w:spacing w:before="0" w:after="283"/>
              <w:jc w:val="right"/>
              <w:rPr/>
            </w:pPr>
            <w:r>
              <w:rPr/>
              <w:t>90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(9,686)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38"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other assumptions held constant, an increase or decrease of 10% in the Standard BioTools Common Stock price as of November 3, 2023 would increase or decrease the post-close compensation expense by $2.8 million or $2.7 million, respectively. The total increase or decrease to the expense recognized during the year ended December 31, 2022, and the nine months ended September 30, 2023 would be $0.7 million and $0.2 million, respectively. </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reflect an accrual of additional $17.1 million in transaction costs expected to be incurred by Standard BioTools and SomaLogic between October 1, 2023 and the close of the proposed Merger that are not reflected in the historical financial statements. Additionally, $5.8 million of transaction costs have been incurred as of September 30, 2023 and are included in the historical balance sheets and statements of operations of Standard BioTools and SomaLogic for the nine months ended September 30, 2023. </w:t>
      </w:r>
      <w:r>
        <mc:AlternateContent>
          <mc:Choice Requires="wps">
            <w:drawing>
              <wp:anchor behindDoc="0" distT="87630" distB="0" distL="25400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84"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deferred tax liabilities for the tax effects of recognizing the preliminary purchase price allocation reflected herein (calculated at an estimated federal and state blended statutory rate of 24.34%). This resulted in an adjustment to deferred tax liabilities of $1.1 million as of September 30, 2023. These adjustments are based on estimates of the fair value of SomaLogic’s assets to be acquired, liabilities to be assumed, and the related purchase price allocations. These estimates are subject to further review by Standard BioTools’ and SomaLogic’s respective managements, which may result in material adjustments to deferred taxes with an offsetting adjustment to Gain on bargain purchase. </w:t>
      </w:r>
      <w:r>
        <mc:AlternateContent>
          <mc:Choice Requires="wps">
            <w:drawing>
              <wp:anchor behindDoc="0" distT="86360" distB="0" distL="25400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85"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does not reflect any adjustments for the income tax effect of the transaction accounting adjustments described above, as both companies continue to experience losses, are in historical cumulative loss positions and have established valuation allowances offsetting net deferred tax assets. The income tax effects of the pro forma adjustments would be fully offset by corresponding adjustments to the valuation allowances, resulting in no net effect on the pro forma condensed combined statements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the existing SomaLogic warrant liability of $2.3 million, which will be extinguished as a result of the proposed Merger. Also, represents the adjustment to eliminate historical changes in fair value of the warrant liability of $30.9 million for the year ended December 31, 2022, and $1.9 million for the nine months ended September 30, 2023. </w:t>
      </w:r>
      <w:r>
        <mc:AlternateContent>
          <mc:Choice Requires="wps">
            <w:drawing>
              <wp:anchor behindDoc="0" distT="116840" distB="0" distL="25400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6"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portion of the preliminary purchase price related to the issuance of 209.4 million shares of Standard BioTools Common Stock to SomaLogic shareholders, worth $437.7 million. The fair value of the Standard BioTools Common Stock was based on a closing price at November 3, 2023 of $2.09 per share. </w:t>
      </w:r>
      <w:r>
        <mc:AlternateContent>
          <mc:Choice Requires="wps">
            <w:drawing>
              <wp:anchor behindDoc="0" distT="116840" distB="0" distL="25400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7"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SomaLogic’s historical equity. </w:t>
      </w:r>
      <w:r>
        <mc:AlternateContent>
          <mc:Choice Requires="wps">
            <w:drawing>
              <wp:anchor behindDoc="0" distT="116840" distB="0" distL="25400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88"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preliminary excess of the estimated fair value of the net assets acquired over the preliminary purchase price as a Gain on bargain purchase of $26.9 million for the year ended December 31, 2022. </w:t>
      </w:r>
      <w:r>
        <mc:AlternateContent>
          <mc:Choice Requires="wps">
            <w:drawing>
              <wp:anchor behindDoc="0" distT="116840" distB="0" distL="254000" distR="0" simplePos="0" locked="0" layoutInCell="1" allowOverlap="1" relativeHeight="592">
                <wp:simplePos x="0" y="0"/>
                <wp:positionH relativeFrom="column">
                  <wp:align>left</wp:align>
                </wp:positionH>
                <wp:positionV relativeFrom="line">
                  <wp:align>top</wp:align>
                </wp:positionV>
                <wp:extent cx="254000" cy="350520"/>
                <wp:effectExtent l="0" t="0" r="0" b="0"/>
                <wp:wrapSquare wrapText="right"/>
                <wp:docPr id="589"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the weighted average shares outstanding due to the increase of the number of shares outstanding in relation to the transaction. The detail of the adjustment to the weighted average shares outstanding is as follows: </w:t>
      </w:r>
      <w:r>
        <mc:AlternateContent>
          <mc:Choice Requires="wps">
            <w:drawing>
              <wp:anchor behindDoc="0" distT="116840" distB="0" distL="25400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90"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4863"/>
        <w:gridCol w:w="109"/>
        <w:gridCol w:w="109"/>
        <w:gridCol w:w="142"/>
        <w:gridCol w:w="142"/>
        <w:gridCol w:w="1262"/>
        <w:gridCol w:w="144"/>
        <w:gridCol w:w="109"/>
        <w:gridCol w:w="109"/>
        <w:gridCol w:w="139"/>
        <w:gridCol w:w="139"/>
        <w:gridCol w:w="1242"/>
        <w:gridCol w:w="143"/>
        <w:gridCol w:w="160"/>
      </w:tblGrid>
      <w:tr>
        <w:trPr/>
        <w:tc>
          <w:tcPr>
            <w:tcW w:w="4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6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Standard BioTools Common Stock issued as preliminary purchase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209,415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209,415</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63" w:type="dxa"/>
            <w:tcBorders/>
            <w:tcMar>
              <w:bottom w:w="0" w:type="dxa"/>
            </w:tcMar>
            <w:vAlign w:val="center"/>
          </w:tcPr>
          <w:p>
            <w:pPr>
              <w:pStyle w:val="TableContents"/>
              <w:bidi w:val="0"/>
              <w:spacing w:before="0" w:after="0"/>
              <w:ind w:left="200" w:right="0" w:hanging="200"/>
              <w:jc w:val="left"/>
              <w:rPr>
                <w:spacing w:val="4"/>
              </w:rPr>
            </w:pPr>
            <w:r>
              <w:rPr>
                <w:spacing w:val="4"/>
              </w:rPr>
              <w:t xml:space="preserve">Number of shares of Standard BioTools Common Stock issued for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87</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87</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63"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Elimination of SomaLogic’ s historical shares used in computing net loss per share, basic and diluted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shd w:fill="CCEEFF" w:val="clear"/>
            <w:tcMar>
              <w:bottom w:w="37" w:type="dxa"/>
            </w:tcMar>
            <w:vAlign w:val="center"/>
          </w:tcPr>
          <w:p>
            <w:pPr>
              <w:pStyle w:val="TableContents"/>
              <w:bidi w:val="0"/>
              <w:spacing w:before="0" w:after="283"/>
              <w:jc w:val="right"/>
              <w:rPr/>
            </w:pPr>
            <w:r>
              <w:rPr/>
              <w:t>(186,781)</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9" w:type="dxa"/>
            <w:tcBorders>
              <w:bottom w:val="single" w:sz="2" w:space="0" w:color="CCEEFF"/>
            </w:tcBorders>
            <w:shd w:fill="CCEEFF" w:val="clear"/>
            <w:vAlign w:val="center"/>
          </w:tcPr>
          <w:p>
            <w:pPr>
              <w:pStyle w:val="TableContents"/>
              <w:bidi w:val="0"/>
              <w:spacing w:before="0" w:after="283"/>
              <w:jc w:val="left"/>
              <w:rPr/>
            </w:pPr>
            <w:r>
              <w:rPr/>
              <w:t>​</w:t>
            </w:r>
          </w:p>
        </w:tc>
        <w:tc>
          <w:tcPr>
            <w:tcW w:w="13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37" w:type="dxa"/>
            </w:tcMar>
            <w:vAlign w:val="center"/>
          </w:tcPr>
          <w:p>
            <w:pPr>
              <w:pStyle w:val="TableContents"/>
              <w:bidi w:val="0"/>
              <w:spacing w:before="0" w:after="283"/>
              <w:jc w:val="right"/>
              <w:rPr/>
            </w:pPr>
            <w:r>
              <w:rPr/>
              <w:t>(183,992)</w:t>
            </w:r>
          </w:p>
        </w:tc>
        <w:tc>
          <w:tcPr>
            <w:tcW w:w="143"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63"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Total proforma adjustment to shares used in computing net loss per share, </w:t>
            </w:r>
            <w:r>
              <w:rPr/>
              <w:br/>
            </w:r>
            <w:r>
              <w:rPr>
                <w:spacing w:val="-4"/>
              </w:rPr>
              <w:t>basic and diluted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000000"/>
            </w:tcBorders>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tcMar>
              <w:bottom w:w="37" w:type="dxa"/>
            </w:tcMar>
            <w:vAlign w:val="center"/>
          </w:tcPr>
          <w:p>
            <w:pPr>
              <w:pStyle w:val="TableContents"/>
              <w:bidi w:val="0"/>
              <w:spacing w:before="0" w:after="283"/>
              <w:jc w:val="right"/>
              <w:rPr/>
            </w:pPr>
            <w:r>
              <w:rPr/>
              <w:t>22,721</w:t>
            </w:r>
          </w:p>
        </w:tc>
        <w:tc>
          <w:tcPr>
            <w:tcW w:w="1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000000"/>
            </w:tcBorders>
            <w:tcMar>
              <w:bottom w:w="37" w:type="dxa"/>
            </w:tcMar>
            <w:vAlign w:val="center"/>
          </w:tcPr>
          <w:p>
            <w:pPr>
              <w:pStyle w:val="TableContents"/>
              <w:bidi w:val="0"/>
              <w:spacing w:before="0" w:after="283"/>
              <w:jc w:val="right"/>
              <w:rPr/>
            </w:pPr>
            <w:r>
              <w:rPr/>
              <w:t>​</w:t>
            </w:r>
          </w:p>
        </w:tc>
        <w:tc>
          <w:tcPr>
            <w:tcW w:w="1242" w:type="dxa"/>
            <w:tcBorders>
              <w:bottom w:val="single" w:sz="2" w:space="0" w:color="000000"/>
            </w:tcBorders>
            <w:tcMar>
              <w:bottom w:w="37" w:type="dxa"/>
            </w:tcMar>
            <w:vAlign w:val="center"/>
          </w:tcPr>
          <w:p>
            <w:pPr>
              <w:pStyle w:val="TableContents"/>
              <w:bidi w:val="0"/>
              <w:spacing w:before="0" w:after="283"/>
              <w:jc w:val="right"/>
              <w:rPr/>
            </w:pPr>
            <w:r>
              <w:rPr/>
              <w:t>25,510</w:t>
            </w:r>
          </w:p>
        </w:tc>
        <w:tc>
          <w:tcPr>
            <w:tcW w:w="143"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 Forma Earnings (Loss) Per 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1"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combined basic and diluted earnings per share have been adjusted to reflect the pro forma net loss for the year ended December 31, 2022, and the nine months ended September 30, 2023. In addition, the number of shares used in calculating the pro forma combined basic and diluted net loss per share has been adjusted to reflect the estimated total number of shares of common stock of the combined company that would be outstanding as of the closing date (see Note 5 adjustment L). For the year ended December 31, 2022 and the nine months ended September 30, 2023, the pro forma weighted average shares outstanding and proforma net loss per share has been calculated as follows: </w:t>
      </w:r>
    </w:p>
    <w:tbl>
      <w:tblPr>
        <w:tblW w:w="8812" w:type="dxa"/>
        <w:jc w:val="left"/>
        <w:tblInd w:w="1393" w:type="dxa"/>
        <w:tblLayout w:type="fixed"/>
        <w:tblCellMar>
          <w:top w:w="0" w:type="dxa"/>
          <w:left w:w="0" w:type="dxa"/>
          <w:bottom w:w="43" w:type="dxa"/>
          <w:right w:w="0" w:type="dxa"/>
        </w:tblCellMar>
      </w:tblPr>
      <w:tblGrid>
        <w:gridCol w:w="4450"/>
        <w:gridCol w:w="109"/>
        <w:gridCol w:w="109"/>
        <w:gridCol w:w="135"/>
        <w:gridCol w:w="281"/>
        <w:gridCol w:w="1346"/>
        <w:gridCol w:w="135"/>
        <w:gridCol w:w="109"/>
        <w:gridCol w:w="109"/>
        <w:gridCol w:w="138"/>
        <w:gridCol w:w="288"/>
        <w:gridCol w:w="1307"/>
        <w:gridCol w:w="138"/>
        <w:gridCol w:w="158"/>
      </w:tblGrid>
      <w:tr>
        <w:trPr/>
        <w:tc>
          <w:tcPr>
            <w:tcW w:w="4450" w:type="dxa"/>
            <w:tcBorders>
              <w:bottom w:val="single" w:sz="2" w:space="0" w:color="FFFFFF"/>
            </w:tcBorders>
            <w:vAlign w:val="center"/>
          </w:tcPr>
          <w:p>
            <w:pPr>
              <w:pStyle w:val="TableContents"/>
              <w:bidi w:val="0"/>
              <w:spacing w:before="0" w:after="0"/>
              <w:jc w:val="left"/>
              <w:rPr>
                <w:spacing w:val="-3"/>
              </w:rPr>
            </w:pPr>
            <w:r>
              <w:rPr>
                <w:spacing w:val="-3"/>
              </w:rPr>
              <w:t xml:space="preserve">(In thousands,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97" w:type="dxa"/>
            <w:gridSpan w:val="4"/>
            <w:tcBorders>
              <w:bottom w:val="single" w:sz="2" w:space="0" w:color="000000"/>
            </w:tcBorders>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1"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2022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net loss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81"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w:t>
            </w:r>
          </w:p>
        </w:tc>
        <w:tc>
          <w:tcPr>
            <w:tcW w:w="1346"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val="false"/>
              </w:rPr>
              <w:t>(129,289)</w:t>
            </w:r>
            <w:r>
              <w:rPr>
                <w:b/>
              </w:rPr>
              <w:t xml:space="preserve"> </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7" w:type="dxa"/>
            <w:tcBorders>
              <w:bottom w:val="single" w:sz="2" w:space="0" w:color="000000"/>
            </w:tcBorders>
            <w:shd w:fill="CCEEFF" w:val="clear"/>
            <w:tcMar>
              <w:bottom w:w="50" w:type="dxa"/>
            </w:tcMar>
            <w:vAlign w:val="center"/>
          </w:tcPr>
          <w:p>
            <w:pPr>
              <w:pStyle w:val="TableContents"/>
              <w:bidi w:val="0"/>
              <w:spacing w:before="0" w:after="283"/>
              <w:jc w:val="right"/>
              <w:rPr/>
            </w:pPr>
            <w:r>
              <w:rPr/>
              <w:t>(293,987)</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0" w:type="dxa"/>
            <w:tcBorders/>
            <w:tcMar>
              <w:bottom w:w="0" w:type="dxa"/>
            </w:tcMar>
            <w:vAlign w:val="center"/>
          </w:tcPr>
          <w:p>
            <w:pPr>
              <w:pStyle w:val="TableContents"/>
              <w:bidi w:val="0"/>
              <w:spacing w:before="0" w:after="0"/>
              <w:jc w:val="left"/>
              <w:rPr>
                <w:b/>
              </w:rPr>
            </w:pPr>
            <w:r>
              <w:rPr>
                <w:b/>
                <w:spacing w:val="-4"/>
              </w:rPr>
              <w:t>Total weighted average shares outstanding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1346" w:type="dxa"/>
            <w:tcBorders/>
            <w:tcMar>
              <w:bottom w:w="0" w:type="dxa"/>
            </w:tcMar>
            <w:vAlign w:val="center"/>
          </w:tcPr>
          <w:p>
            <w:pPr>
              <w:pStyle w:val="TableContents"/>
              <w:bidi w:val="0"/>
              <w:spacing w:before="0" w:after="283"/>
              <w:jc w:val="right"/>
              <w:rPr/>
            </w:pPr>
            <w:r>
              <w:rPr/>
              <w:t>288,469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1307" w:type="dxa"/>
            <w:tcBorders/>
            <w:tcMar>
              <w:bottom w:w="0" w:type="dxa"/>
            </w:tcMar>
            <w:vAlign w:val="center"/>
          </w:tcPr>
          <w:p>
            <w:pPr>
              <w:pStyle w:val="TableContents"/>
              <w:bidi w:val="0"/>
              <w:spacing w:before="0" w:after="283"/>
              <w:jc w:val="right"/>
              <w:rPr/>
            </w:pPr>
            <w:r>
              <w:rPr/>
              <w:t>287,807</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50" w:type="dxa"/>
            <w:tcBorders/>
            <w:shd w:fill="CCEEFF" w:val="clear"/>
            <w:tcMar>
              <w:bottom w:w="0" w:type="dxa"/>
            </w:tcMar>
            <w:vAlign w:val="center"/>
          </w:tcPr>
          <w:p>
            <w:pPr>
              <w:pStyle w:val="TableContents"/>
              <w:bidi w:val="0"/>
              <w:spacing w:before="0" w:after="0"/>
              <w:jc w:val="left"/>
              <w:rPr/>
            </w:pPr>
            <w:r>
              <w:rPr>
                <w:spacing w:val="-4"/>
              </w:rPr>
              <w:t>Pro forma basic net loss per share – basic and 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346" w:type="dxa"/>
            <w:tcBorders/>
            <w:shd w:fill="CCEEFF" w:val="clear"/>
            <w:tcMar>
              <w:bottom w:w="0" w:type="dxa"/>
            </w:tcMar>
            <w:vAlign w:val="center"/>
          </w:tcPr>
          <w:p>
            <w:pPr>
              <w:pStyle w:val="TableContents"/>
              <w:bidi w:val="0"/>
              <w:spacing w:before="0" w:after="283"/>
              <w:jc w:val="right"/>
              <w:rPr/>
            </w:pPr>
            <w:r>
              <w:rPr/>
              <w:t>(0.45)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1307" w:type="dxa"/>
            <w:tcBorders/>
            <w:shd w:fill="CCEEFF" w:val="clear"/>
            <w:tcMar>
              <w:bottom w:w="0" w:type="dxa"/>
            </w:tcMar>
            <w:vAlign w:val="center"/>
          </w:tcPr>
          <w:p>
            <w:pPr>
              <w:pStyle w:val="TableContents"/>
              <w:bidi w:val="0"/>
              <w:spacing w:before="0" w:after="283"/>
              <w:jc w:val="right"/>
              <w:rPr/>
            </w:pPr>
            <w:r>
              <w:rPr/>
              <w:t>(1.02)</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potentially dilutive common shares were excluded from the computations of diluted net loss per share for the periods presented because including them would have been anti-dilutive: </w:t>
      </w:r>
      <w:r>
        <mc:AlternateContent>
          <mc:Choice Requires="wps">
            <w:drawing>
              <wp:anchor behindDoc="0" distT="116840" distB="0" distL="0" distR="0" simplePos="0" locked="0" layoutInCell="1" allowOverlap="1" relativeHeight="595">
                <wp:simplePos x="0" y="0"/>
                <wp:positionH relativeFrom="column">
                  <wp:align>left</wp:align>
                </wp:positionH>
                <wp:positionV relativeFrom="line">
                  <wp:align>top</wp:align>
                </wp:positionV>
                <wp:extent cx="254000" cy="525780"/>
                <wp:effectExtent l="0" t="0" r="0" b="0"/>
                <wp:wrapSquare wrapText="right"/>
                <wp:docPr id="592" name="Frame5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4801"/>
        <w:gridCol w:w="109"/>
        <w:gridCol w:w="109"/>
        <w:gridCol w:w="153"/>
        <w:gridCol w:w="153"/>
        <w:gridCol w:w="1258"/>
        <w:gridCol w:w="157"/>
        <w:gridCol w:w="109"/>
        <w:gridCol w:w="109"/>
        <w:gridCol w:w="151"/>
        <w:gridCol w:w="151"/>
        <w:gridCol w:w="1239"/>
        <w:gridCol w:w="153"/>
        <w:gridCol w:w="160"/>
      </w:tblGrid>
      <w:tr>
        <w:trPr/>
        <w:tc>
          <w:tcPr>
            <w:tcW w:w="48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Replacement Stock Options and RSUs issued as part of the proposed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31,529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31,529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ind w:left="200" w:right="0" w:hanging="200"/>
              <w:jc w:val="left"/>
              <w:rPr>
                <w:spacing w:val="4"/>
              </w:rPr>
            </w:pPr>
            <w:r>
              <w:rPr>
                <w:spacing w:val="4"/>
              </w:rPr>
              <w:t xml:space="preserve">New stock options and PSUs issued for executives as part of the proposed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400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400</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Replacement awards for the Palamedrix founders issued as part of the proposed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588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588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ind w:left="200" w:right="0" w:hanging="200"/>
              <w:jc w:val="left"/>
              <w:rPr>
                <w:spacing w:val="4"/>
              </w:rPr>
            </w:pPr>
            <w:r>
              <w:rPr>
                <w:spacing w:val="4"/>
              </w:rPr>
              <w:t xml:space="preserve">Standard BioTools’ Stock options, RSUs, and performance stock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16,872</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15,455</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BioTools’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75,164</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 xml:space="preserve">75,164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jc w:val="left"/>
              <w:rPr>
                <w:spacing w:val="4"/>
              </w:rPr>
            </w:pPr>
            <w:r>
              <w:rPr>
                <w:spacing w:val="4"/>
              </w:rPr>
              <w:t xml:space="preserve">Standard BioTools’ 2019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18,966</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18,966</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Standard BioTools’ 2019 Convertible Notes potential make-whole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2,181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4,741</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Standard BioTools’ 2014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000000"/>
            </w:tcBorders>
            <w:tcMar>
              <w:bottom w:w="50" w:type="dxa"/>
            </w:tcMar>
            <w:vAlign w:val="center"/>
          </w:tcPr>
          <w:p>
            <w:pPr>
              <w:pStyle w:val="TableContents"/>
              <w:bidi w:val="0"/>
              <w:spacing w:before="0" w:after="283"/>
              <w:jc w:val="right"/>
              <w:rPr/>
            </w:pPr>
            <w:r>
              <w:rPr/>
              <w:t>​</w:t>
            </w:r>
          </w:p>
        </w:tc>
        <w:tc>
          <w:tcPr>
            <w:tcW w:w="1258" w:type="dxa"/>
            <w:tcBorders>
              <w:bottom w:val="single" w:sz="2" w:space="0" w:color="000000"/>
            </w:tcBorders>
            <w:tcMar>
              <w:bottom w:w="50" w:type="dxa"/>
            </w:tcMar>
            <w:vAlign w:val="center"/>
          </w:tcPr>
          <w:p>
            <w:pPr>
              <w:pStyle w:val="TableContents"/>
              <w:bidi w:val="0"/>
              <w:spacing w:before="0" w:after="283"/>
              <w:jc w:val="right"/>
              <w:rPr/>
            </w:pPr>
            <w:r>
              <w:rPr/>
              <w:t>10</w:t>
            </w:r>
          </w:p>
        </w:tc>
        <w:tc>
          <w:tcPr>
            <w:tcW w:w="1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000000"/>
            </w:tcBorders>
            <w:tcMar>
              <w:bottom w:w="50" w:type="dxa"/>
            </w:tcMar>
            <w:vAlign w:val="center"/>
          </w:tcPr>
          <w:p>
            <w:pPr>
              <w:pStyle w:val="TableContents"/>
              <w:bidi w:val="0"/>
              <w:spacing w:before="0" w:after="283"/>
              <w:jc w:val="right"/>
              <w:rPr/>
            </w:pPr>
            <w:r>
              <w:rPr/>
              <w:t>​</w:t>
            </w:r>
          </w:p>
        </w:tc>
        <w:tc>
          <w:tcPr>
            <w:tcW w:w="1239" w:type="dxa"/>
            <w:tcBorders>
              <w:bottom w:val="single" w:sz="2" w:space="0" w:color="000000"/>
            </w:tcBorders>
            <w:tcMar>
              <w:bottom w:w="50" w:type="dxa"/>
            </w:tcMar>
            <w:vAlign w:val="center"/>
          </w:tcPr>
          <w:p>
            <w:pPr>
              <w:pStyle w:val="TableContents"/>
              <w:bidi w:val="0"/>
              <w:spacing w:before="0" w:after="283"/>
              <w:jc w:val="right"/>
              <w:rPr/>
            </w:pPr>
            <w:r>
              <w:rPr/>
              <w:t>10</w:t>
            </w:r>
          </w:p>
        </w:tc>
        <w:tc>
          <w:tcPr>
            <w:tcW w:w="153"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jc w:val="left"/>
              <w:rPr/>
            </w:pPr>
            <w:r>
              <w:rPr>
                <w:spacing w:val="-4"/>
              </w:rPr>
              <w:t>Total anti-dilutive shares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58" w:type="dxa"/>
            <w:tcBorders>
              <w:bottom w:val="double" w:sz="8" w:space="0" w:color="000000"/>
            </w:tcBorders>
            <w:shd w:fill="CCEEFF" w:val="clear"/>
            <w:tcMar>
              <w:bottom w:w="50" w:type="dxa"/>
            </w:tcMar>
            <w:vAlign w:val="center"/>
          </w:tcPr>
          <w:p>
            <w:pPr>
              <w:pStyle w:val="TableContents"/>
              <w:bidi w:val="0"/>
              <w:spacing w:before="0" w:after="283"/>
              <w:jc w:val="right"/>
              <w:rPr/>
            </w:pPr>
            <w:r>
              <w:rPr/>
              <w:t>145,710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9" w:type="dxa"/>
            <w:tcBorders>
              <w:bottom w:val="double" w:sz="8" w:space="0" w:color="000000"/>
            </w:tcBorders>
            <w:shd w:fill="CCEEFF" w:val="clear"/>
            <w:tcMar>
              <w:bottom w:w="50" w:type="dxa"/>
            </w:tcMar>
            <w:vAlign w:val="center"/>
          </w:tcPr>
          <w:p>
            <w:pPr>
              <w:pStyle w:val="TableContents"/>
              <w:bidi w:val="0"/>
              <w:spacing w:before="0" w:after="283"/>
              <w:jc w:val="right"/>
              <w:rPr/>
            </w:pPr>
            <w:r>
              <w:rPr/>
              <w:t>146,853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DOCS"/>
      <w:bookmarkEnd w:id="149"/>
      <w:r>
        <w:rPr>
          <w:rFonts w:ascii="calibri;arial;sans-serif" w:hAnsi="calibri;arial;sans-serif"/>
          <w:b w:val="false"/>
          <w:i w:val="false"/>
          <w:caps w:val="false"/>
          <w:smallCaps w:val="false"/>
          <w:color w:val="000000"/>
          <w:sz w:val="16"/>
        </w:rPr>
        <w:t>​</w:t>
      </w:r>
      <w:bookmarkStart w:id="150" w:name="tACS"/>
      <w:bookmarkEnd w:id="150"/>
      <w:r>
        <w:rPr>
          <w:rFonts w:ascii="calibri;arial;sans-serif" w:hAnsi="calibri;arial;sans-serif"/>
          <w:b w:val="false"/>
          <w:i w:val="false"/>
          <w:caps w:val="false"/>
          <w:smallCaps w:val="false"/>
          <w:color w:val="000000"/>
          <w:sz w:val="16"/>
        </w:rPr>
        <w:t>​</w:t>
      </w:r>
      <w:bookmarkStart w:id="151" w:name="tCOST"/>
      <w:bookmarkEnd w:id="151"/>
      <w:r>
        <w:rPr>
          <w:rFonts w:ascii="calibri;arial;sans-serif" w:hAnsi="calibri;arial;sans-serif"/>
          <w:b w:val="false"/>
          <w:i w:val="false"/>
          <w:caps w:val="false"/>
          <w:smallCaps w:val="false"/>
          <w:color w:val="000000"/>
          <w:sz w:val="16"/>
        </w:rPr>
        <w:t>​</w:t>
      </w:r>
      <w:bookmarkStart w:id="152" w:name="tPRST"/>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As a result of the Merger and the other transactions described in this joint proxy statement/prospectus, SomaLogic stockholders will become stockholders of Standard BioTools, which will continue as the combined company. The rights of former SomaLogic stockholders and the rights of Standard BioTools stockholders following the consummation of the Merger will be governed by the Standard BioTools Charter, as amended, the Standard BioTools Bylaws, and the Certificate of Designations of the Series B-1 Preferred Stock and the Certificate of Designations of the Series B-2 Preferred Stock (together, the “Certificates of Designations”). The following description of Standard BioTools shares is a summary. This summary does not purport to be complete and is qualified in its entirety by reference to the latest Standard BioTools SEC filings on Form 10-K and 10-Q, the Standard BioTools Charter, Standard BioTools Bylaws, the Certificates of Designations, and to the applicable provisions of the DGCL. See also “Comparison of Stockholder Rights” beginning on page </w:t>
      </w:r>
      <w:hyperlink w:anchor="tCOSR1">
        <w:r>
          <w:rPr>
            <w:rStyle w:val="InternetLink"/>
          </w:rPr>
          <w:t>186</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authorized capital stock consists of 400,000,000 shares of Standard BioTools Common Stock and 10,000,000 shares of Series B Preferred Stock. Out of the Series B Preferred Stock, as of the Standard BioTools Record Date, 128,267 shares have been designated Series B-1 Preferred Stock and 128,267 shares have been designated Series B-2 Preferred Stock. As the Standard BioTools Record Date, there were               shares of Standard BioTools Common Stock outstanding, 127,780 shares of Series B-1 Preferred Stock outstanding and 127,779 shares of Series B-2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Standard BioTools Common Stock are entitled to one vote per share on all matters to be voted on by the Standard BioTools stockholders. Subject to preferences that may be applicable to any outstanding shares of Series B Preferred Stock, holders of Standard BioTools Common Stock are entitled to receive ratably such dividends as may be declared by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Series B Preferred Stock then outstanding. Except as otherwise described below in the section entitled “</w:t>
      </w:r>
      <w:r>
        <w:rPr>
          <w:rFonts w:ascii="Times New Roman;Times;serif" w:hAnsi="Times New Roman;Times;serif"/>
          <w:b w:val="false"/>
          <w:i/>
          <w:caps w:val="false"/>
          <w:smallCaps w:val="false"/>
          <w:color w:val="000000"/>
          <w:spacing w:val="4"/>
          <w:sz w:val="20"/>
        </w:rPr>
        <w:t>Preemptive Rights; Standstill; Transfer Restrictions</w:t>
      </w:r>
      <w:r>
        <w:rPr>
          <w:rFonts w:ascii="Times New Roman;Times;serif" w:hAnsi="Times New Roman;Times;serif"/>
          <w:b w:val="false"/>
          <w:i w:val="false"/>
          <w:caps w:val="false"/>
          <w:smallCaps w:val="false"/>
          <w:color w:val="000000"/>
          <w:spacing w:val="4"/>
          <w:sz w:val="20"/>
        </w:rPr>
        <w:t xml:space="preserve">,” holders of Standard BioTools Common Stock have no preemptive, conversion or subscription rights. There are no redemption or sinking fund provisions applicable to the Standard BioTools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Standard BioTools Common Stock are entitled to one vote for each share held by such holder on any matter submitted to a vote at a meeting of stockholders. In addition, the Standard BioTools Charter provides that certain corporate actions require the approval of the Standard BioTools stockholders. These actions, and the vote required, are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removal of a director requires the vote of a majority of the voting power of the issued and outstanding capital stock entitled to vote in the election of directors; and </w:t>
      </w:r>
      <w:r>
        <mc:AlternateContent>
          <mc:Choice Requires="wps">
            <w:drawing>
              <wp:anchor behindDoc="0" distT="7366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93"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of provisions of the charter relating to blank check preferred stock, the classification of the Standard BioTools directors, the removal of directors, the filling of vacancies on the Standard BioTools Board, cumulative voting, procedures for annual and special meetings of the stockholders, action by written consent of stockholders and procedures for the amendment of the charter require the vote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Standard BioTools then outstanding voting securities. </w:t>
      </w:r>
      <w:r>
        <mc:AlternateContent>
          <mc:Choice Requires="wps">
            <w:drawing>
              <wp:anchor behindDoc="0" distT="7366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94"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the authority, without further action by the Standard BioTools stockholders, to designate and issue the Preferred Stock in one or more series. The Standard BioTools Board may also fix by resolution or resolutions the designations, powers, preferences and rights, and the qualifications, limitations or restrictions, of each such series of the Series B Preferred Stock, any or all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may be greater than or senior to those of the Standard BioTools Common Stock. Though the actual effect of any such issuance on the rights of the holders of Standard BioTools Common Stock will not be known until the Standard BioTools Board determines the specific rights of the holders of Preferred Stock, the potential effects of such an issuance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diluting the voting power of the holders of Standard BioTools Common Stock; </w:t>
      </w:r>
      <w:r>
        <mc:AlternateContent>
          <mc:Choice Requires="wps">
            <w:drawing>
              <wp:anchor behindDoc="0" distT="7239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5"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likelihood that holders of Standard BioTools Common Stock will receive dividend payments; </w:t>
      </w:r>
      <w:r>
        <mc:AlternateContent>
          <mc:Choice Requires="wps">
            <w:drawing>
              <wp:anchor behindDoc="0" distT="7239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96"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likelihood that holders of Standard BioTools Common Stock will receive payments in the event of a liquidation, dissolution, or winding up; and </w:t>
      </w:r>
      <w:r>
        <mc:AlternateContent>
          <mc:Choice Requires="wps">
            <w:drawing>
              <wp:anchor behindDoc="0" distT="7239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97"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deterring or preventing a change-in-control or other corporate takeover. </w:t>
      </w:r>
      <w:r>
        <mc:AlternateContent>
          <mc:Choice Requires="wps">
            <w:drawing>
              <wp:anchor behindDoc="0" distT="7239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98"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B-1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terms of the Series B-1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powers, preferences and rights, and the qualifications, limitations or restrictions of the Series B-1 Preferred Stock are set forth in the Certificate of Designations of Rights, Preferences and Privileges of Series B-1 Convertible Preferred Stock, Par Value $0.001 of Standard BioTools Inc. dated April 1, 2022 (the “Series B-1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Preferred Stock ranks senior to the Standard BioTools Common Stock with respect to dividend rights and rights on the distribution of assets on any voluntary or involuntary liquidation, dissolution or winding up of the affairs of Standard BioTools.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B-1 Preferred Stock are entitled to participate in all dividends declared on the Standard BioTools Common Stock on an as-converted basis, on the terms and subject to the conditions set forth in the Series B-1 Certificate of Designations.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affairs of Standard BioTools,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 of Designations, as applicable (without regard to any limitations on conversion contained therein).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contained in the Series B-1 Certificate of Designations, the Series B-1 Preferred Stock is convertible at the option of the holders thereof at any time into a number of shares of Standard BioTools Common Stock equal to the Conversion Rate (as defined in the Series B-1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B-1 Certificate of Designations), Standard BioTools may elect to convert all of the outstanding shares of Series B Preferred Stock into shares of Standard BioTools Common Stock at the Conversion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Standard BioTools undergoes certain change of control transactions, each holder of outstanding Series B-1 Preferred Stock will have the option, subject to the holder’s right to convert all or a portion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Series B-1 Preferred Stock held by such holder into Standard BioTools Common Stock prior to such redemption, to require Standard BioTools to purchase all or a portion of such holder’s outstanding shares of Series B-1 Preferred Stock that have not been converted into Standard BioTools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Standard BioTools Common Stock immediately prior to the change of control transaction (“B-1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Standard BioTools Common Stock immediately prior to the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seventh anniversary of the Original Issuance Date (as defined in the Series B-1 Certificate of Designations), subject to certain conditions, Standard BioTools may, at its option, redeem all of the outstanding shares of Series B-1 Preferred Stock at a redemption price per share of Series B Preferred Stock, payable in cash, equal to the Liquidation Preference.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Consent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Series B-1 Preferred Stock have voting power measured in a manner related to the conversion ratio of the shares of Series B-1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B-1 Preferred Stock held by the Casdin Parties (as defined in the Series B-1 Certificate of Designations) would, in the aggregate, represent voting rights with respect to more than 19.9% of the Standard BioTools Common Stock (including the Series B-1 Preferred Stock on an as-converted basis) (the “B-1 Voting Threshold”), the Casdin Parties will not be permitted to exercise the voting rights with respect to any shares of Series B-1 Preferred Stock, as applicable, held by them in excess of the B-1 Voting Threshold and the Chief Financial Officer or General Counsel of Standard BioTools, each with full power of substitution and re-substitution, shall exercise the voting rights with respect to such shares of Series B-1 Preferred Stock in excess of the B-1 Voting Threshold in the same proportion as the outstanding Standard BioTools Common Stock (excluding any and all Standard BioTools Common Stock beneficially owned by the Casdin Parties and the Viking Parties (each as defined in the Series B-1 Certificate of Designations)) is voted on relevant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B-1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B-1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B-1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Casdin and its Permitted Transferees (as defined in the Series B-1 Certificate of Designations) continue to beneficially own shares of Series B-1 Preferred Stock that represent at least 7.5% of the outstanding shares of Standard BioTools Common Stock, on an as converted basis (the “Casdin Ownership Percentage”), on the terms and subject to the conditions set forth in the Series B-1 Certificate of Designations, the holders of a majority of the outstanding shares of Series B-1 Preferred Stock will have the right to nominate for election and to elect one member to the Standard BioTools Board (the “Series B-1 Preferred Director”). Subject to applicable law and Nasdaq listing standards, the Series B-1 Preferred Director shall be offered the opportunity, with respect to each standing committee of the Standard BioTools Board, to sit on such committee. Further, the Series B-1 Preferred Director will hold office until the following year’s annual meeting of Standard BioTools’ stockholders and until his or her successor is duly elected or qualified or until his or her earlier death, resignation or removal. For purposes of clarity, the Series B-1 Preferred Director shall not be classified with the remaining members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Certificate of Designations also provides that for so long as the Casdin Ownership Percentage continues to be met or exceeded for the Series B-1 Preferred Stock, the Series B-1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B-1 Certificate of Designations) or such shorter period ending immediately when the Series B-1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B-2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terms of the Series B-2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powers, preferences and rights, and the qualifications, limitations or restrictions of the Series B-2 Preferred Stock are set forth in the B-2 Certificate of Designations of Rights, Preferences and Privileges of Series B-2 Convertible Preferred Stock, Par Value $0.001 of Standard BioTools Inc. dated April 1, 2022 (the “Series B-2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Preferred Stock ranks senior to the Standard BioTools Common Stock, with respect to dividend rights and rights on the distribution of assets on any voluntary or involuntary liquidation, dissolution or winding up of the affairs of Standard BioTools.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B-2 Preferred Stock are entitled to participate in all dividends declared on the Standard BioTools Common Stock on an as-converted basis, on the terms and subject to the conditions set forth in the Series B-2 Certificate of Designations.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affairs of Standard BioTools, the Series B-2 Preferred Stock has a liquidation preference equal to the greater of (i) the Liquidation Preference (as defined in the Series B-2 Certificate of Designations) and (ii) the amount per share of Series B-2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pursuant to the terms of the Certificates of Designations, as applicable (without regard to any limitations on conversion contained therein).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contained in the Series B-2 Certificate of Designations, the Series B-2 Preferred Stock is convertible at the option of the holders thereof at any time into a number of shares of Standard BioTools Common Stock equal to the Conversion Rate (as defined in the Series B-2 Certificate of Designations), in each case subject to certain adjustments, provided that Viking and its affiliates shall not be permitted to voluntarily convert shares of its Series B-2 Preferred Stock if, as a result of such conversion, Viking, together with its affiliates, would beneficially own more than 9.5% of the total number of shares of Standard BioTools Common Stock issued and outstanding after giving effect to such conversion (the “Cap”).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B-2 Certificate of Designations), Standard BioTools may elect to convert all of the outstanding shares of Series B Preferred Stock into shares of Standard BioTools Common Stock at the Conversion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Standard BioTools undergoes certain change of control transactions, each holder of outstanding Series B-2 Preferred Stock will have the option, subject to the holder’s right to convert all or a portion of the shares of Series B-2 Preferred Stock held by such holder into Standard BioTools Common Stock prior to such redemption, to require Standard BioTools to purchase all or a portion of such holder’s outstanding shares of Series B-2 Preferred Stock that have not been converted into Standard BioTools Common Stock at a purchase price per share of Series B-2 Preferred Stock, payable in cash, equal to the greater of (A) the Liquidation Preference of such share of Series B-2 Preferred Stock, and (B) the amount of cash and/or other assets that such holder would have been entitled to receive if such holder had converted such share of Series B-2 Preferred Stock into Standard BioTools Common Stock immediately prior to the change of control transaction (“B-2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B-2 Preferred Stock, or if a holder exercises the B-2 Change of Control Put in part, the remainder of such holder’s shares of Series B-2 Preferred Stock, at a redemption price per share payable in cash, equal to the greater of (A) the Liquidation Preference of such share of Series B-2 Preferred Stock, and (B) the amount of cash and/or other property that the holder would have received if such holder had converted such share of Series B-2 Preferred Stock into Standard BioTools Common Stock immediately prior to the change of control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seventh anniversary of the Original Issuance Date (as defined in the Series B-2 Certificate of Designations), subject to certain conditions, Standard BioTools may, at its option, redeem all of the outstanding shares of Series B Preferred Stock at a redemption price per share of Series B Preferred Stock, payable in cash, equal to the Liquidation Preference.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Consent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Series B-2 Preferred Stock have voting power measured in a manner related to the conversion ratio of the shares of Series B-2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B-2 Preferred Stock held by the Viking Parties (as defined in the Series B-2 Certificate of Designations) would, in the aggregate, represent voting rights with respect to more than 19.9% of the Standard BioTools Common Stock (including the Series B-2 Preferred Stock on an as-converted basis) (the “B-2 Voting Threshold”), the Viking Parties will not be permitted to exercise the voting rights with respect to any shares of Series B-2 Preferred Stock, as applicable, held by them in excess of the B-2 Voting Threshold and the Chief Financial Officer or General Counsel of Standard BioTools,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RRA"/>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full power of substitution and re-substitution, shall exercise the voting rights with respect to such shares of Series B-2 Preferred Stock in excess of the B-2 Voting Threshold in the same proportion as the outstanding Standard BioTools Common Stock (excluding any and all Standard BioTools Common Stock beneficially owned by the Casdin Parties and the Viking Parties (each as defined in the Series B-2 Certificate of Designations)) is voted on relevant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Certificate of Designations also provides that the holders of shares of the Series B-2 Preferred Stock will have separate class approval rights over certain specified actions that would affect the rights of holders of the Series B-2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Cap or the B-2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B-2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B-2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Viking and its Permitted Transferees (as defined in the Series B-2 Certificate of Designations) continue to beneficially own shares of Series B-2 Preferred Stock that represent at least 7.5% of the outstanding shares of Standard BioTools Common Stock, on an as converted basis (the “Viking Ownership Percentage”), on the terms and subject to the conditions set forth in the Series B-2 Certificate of Designations, the holders of a majority of the outstanding shares of Series B-2 Preferred Stock, voting separately as a single class, and for the avoidance of doubt, without giving effect to limitations associated with the Cap or the B-2 Voting Threshold, will each have the right to nominate for election and to elect one member to the Standard BioTools Board (the “Series B-2 Preferred Director”). Subject to applicable law and Nasdaq listing standards, the Series B-2 Preferred Director shall be offered the opportunity, with respect to each standing committee of the Standard BioTools Board, to sit on such committee. The Series B-2 Preferred Director will hold office until the following year’s annual meeting of Standard BioTools’ stockholders and until his or her successor is duly elected or qualified or until his or her earlier death, resignation or removal. For purposes of clarity, the Series B-2 Preferred Director shall not be classified with the remaining members of the Standard BioTools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Certificate of Designations also provides that for so long as the Viking Ownership Percentage continues to be met or exceeded for the Series B-2 Preferred Stock, the Series B-2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B-2 Certificate of Designations) or such shorter period ending immediately when the Series B-2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23, 2022, Standard BioTools entered into a Registration Rights Agreement with the Purchasers, pursuant to which the Purchasers have certain customary registration rights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PRST1"/>
      <w:bookmarkEnd w:id="154"/>
      <w:r>
        <w:rPr>
          <w:rFonts w:ascii="calibri;arial;sans-serif" w:hAnsi="calibri;arial;sans-serif"/>
          <w:b w:val="false"/>
          <w:i w:val="false"/>
          <w:caps w:val="false"/>
          <w:smallCaps w:val="false"/>
          <w:color w:val="000000"/>
          <w:sz w:val="16"/>
        </w:rPr>
        <w:t>​</w:t>
      </w:r>
      <w:bookmarkStart w:id="155" w:name="tAEOD"/>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issuable under the Loan Agreements and the Purchase Agreements, including (i) any shares of Standard BioTools Common Stock acquired by any Holder (as defined in the Registration Rights Agreement) pursuant to the conversion of the Series B Preferred Stock in accordance with the Certificates of Designations and (ii) any shares of Standard BioTools Common Stock acquired by any Holder pursuant to preemptive rights under the Purchase Agreements.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Preemptive Rights; Standstill; Transfer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Purchase Agreements, and subject to customary exceptions, if Standard BioTools intends to issue or sell new equity securities, then each of the Purchaser Parties (as defined in the Casdin Purchase Agreement and Viking Purchase Agreement) have the right to participate in such equity offering on a pro rata basis for so long as such Purchaser Parties (as defined under each of their applicable Purchase Agreements), collectively, continue to beneficially own at least 25% of the Acquired Shares (as defined in each of the Casdin Purchase Agreement and Viking Purchase Agreement) (including Underlying Shares (as defined in each of the Casdin Purchase Agreement and Viking Purchase Agreement) issued on conversion of such Acquired Shares). Pursuant to the Purchase Agreements, until the later of (x) the first anniversary of April 4, 2022 and (y) such time as such Purchaser beneficially owns securities representing less than 7.5% of the outstanding shares of Standard BioTools Common Stock (on an as-converted basis), each selling securityholder is subject to customary standstill restrictions. The selling securityholders are prohibited under the Purchase Agreements from transferring any shares of Series B Preferred Stock and any shares of Standard BioTools Common Stock issued or issuable upon conversion of such shares of Series B Preferred Stock to certain purchasers who may be activists, competitors, or other significant holders, with certain exceptions.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us to first negotiate with the Board of Directors.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Charter and Bylaws include provisions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the Standard BioTools Board to issue, without further action by the stockholders, additional shares of undesignated preferred stock; </w:t>
      </w:r>
      <w:r>
        <mc:AlternateContent>
          <mc:Choice Requires="wps">
            <w:drawing>
              <wp:anchor behindDoc="0" distT="74930" distB="0" distL="25400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599"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that any action to be taken by the stockholders be effected at a duly called annual or special meeting and not by written consent; </w:t>
      </w:r>
      <w:r>
        <mc:AlternateContent>
          <mc:Choice Requires="wps">
            <w:drawing>
              <wp:anchor behindDoc="0" distT="74930" distB="0" distL="254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600"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special meetings of the stockholders can be called only by the Standard BioTools Board, the Chairperson of the Standard BioTools Board, the Secretary, the Chief Executive Officer or the President; </w:t>
      </w:r>
      <w:r>
        <mc:AlternateContent>
          <mc:Choice Requires="wps">
            <w:drawing>
              <wp:anchor behindDoc="0" distT="7493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601"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an advance notice procedure for stockholder proposals to be brought before an annual meeting of the stockholders and an advance notice procedure for nominations of persons for election to the Standard BioTools Board at any stockholder meeting; </w:t>
      </w:r>
      <w:r>
        <mc:AlternateContent>
          <mc:Choice Requires="wps">
            <w:drawing>
              <wp:anchor behindDoc="0" distT="7493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602"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directors may be removed only for cause; provided that, pursuant to the Certificates of Designations, the Series B-1 Director (as defined in the Series B-1 Certificate of Designations) and the Series B-2 Director (as defined in the Series B-2 Certificate of Designations) may only be removed by the holders of the Series B-1 Preferred Stock and the Series B-2 Preferred Stock, respectively; </w:t>
      </w:r>
      <w:r>
        <mc:AlternateContent>
          <mc:Choice Requires="wps">
            <w:drawing>
              <wp:anchor behindDoc="0" distT="7493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603"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(i) vacancies on the Standard BioTools Board resulting from one or more directors resignations from the Standard BioTools Board may be filled by a majority of directors then in office, </w:t>
      </w:r>
      <w:r>
        <mc:AlternateContent>
          <mc:Choice Requires="wps">
            <w:drawing>
              <wp:anchor behindDoc="0" distT="7493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604"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provided that, pursuant to the Certificates of Designations, vacancies in directorships provided for the Series B-1 Director and the Series B-2 Director may be filled by a majority of the directors in office from time to time, but shall solely be filled with the approval of the holders of a majority of the outstanding shares of the Series B-1 Preferred Stock and Series B-2 Preferred Stock, respectively, voting as a single class;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holders of any outstanding Preferred Stock, establish that the Standard BioTools Board is divided into three classes, Class I, Class II, and Class III, with each class serving staggered terms; </w:t>
      </w:r>
      <w:r>
        <mc:AlternateContent>
          <mc:Choice Requires="wps">
            <w:drawing>
              <wp:anchor behindDoc="0" distT="7620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605"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no stockholder is permitted to cumulate votes at any election of the Standard BioTools Board; and </w:t>
      </w:r>
      <w:r>
        <mc:AlternateContent>
          <mc:Choice Requires="wps">
            <w:drawing>
              <wp:anchor behindDoc="0" distT="7620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6"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require the affirmative vote of a majority of the Standard BioTools Board and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total voting power of outstanding voting securities, voting together as a single class, to amend the above-mentioned provisions. </w:t>
      </w:r>
      <w:r>
        <mc:AlternateContent>
          <mc:Choice Requires="wps">
            <w:drawing>
              <wp:anchor behindDoc="0" distT="76200" distB="0" distL="25400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607"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date of the transaction, the board of directors of the corporation approved either the business combination or the transaction which resulted in the stockholder becoming an interested stockholder; </w:t>
      </w:r>
      <w:r>
        <mc:AlternateContent>
          <mc:Choice Requires="wps">
            <w:drawing>
              <wp:anchor behindDoc="0" distT="76200" distB="0" distL="254000" distR="0" simplePos="0" locked="0" layoutInCell="1" allowOverlap="1" relativeHeight="611">
                <wp:simplePos x="0" y="0"/>
                <wp:positionH relativeFrom="column">
                  <wp:align>left</wp:align>
                </wp:positionH>
                <wp:positionV relativeFrom="line">
                  <wp:align>top</wp:align>
                </wp:positionV>
                <wp:extent cx="127000" cy="350520"/>
                <wp:effectExtent l="0" t="0" r="0" b="0"/>
                <wp:wrapSquare wrapText="right"/>
                <wp:docPr id="608"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 </w:t>
      </w:r>
      <w:r>
        <mc:AlternateContent>
          <mc:Choice Requires="wps">
            <w:drawing>
              <wp:anchor behindDoc="0" distT="76200" distB="0" distL="25400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9"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which is not owned by the interested stockholder. </w:t>
      </w:r>
      <w:r>
        <mc:AlternateContent>
          <mc:Choice Requires="wps">
            <w:drawing>
              <wp:anchor behindDoc="0" distT="76200" distB="0" distL="25400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10"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 </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provisions of Delaware law and the Standard BioTools Charter and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COSR1"/>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STOCKHOLDER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SomaLogic stockholders are governed by the SomaLogic Charter and the SomaLogic Bylaws, as well as the DGCL. The rights of Standard BioTools stockholders are governed by the Standard BioTools Charter, the Standard BioTools Bylaws, the Certificates of Designations, and the DGCL. Upon consummation of the Merger, the rights of the stockholders of Standard BioTools will be governed by the Standard BioTools Charter, as amended, the Standard BioTools Bylaws, and the Certificates of Designations, each of which are filed as exhibits to the registration statement to which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relates, as well as the DGCL.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is a summary discussion of the material differences, as of the date of this joint proxy statement/prospectus, between the current rights of SomaLogic stockholders and the current rights of Standard BioTools stockholders. The following description does not purport to be a complete statement of all the differences, or a complete description of the specific provisions referred to in this summary. The identification of specific differences is not intended to indicate that other equally or more significant differences do not exist. Stockholders should read carefully the relevant provisions of the DGCL, the Standard BioTools Charter, the Standard BioTools Bylaws and the Certificates of Designations, the SomaLogic Charter and the SomaLogic Bylaws. SomaLogic and Standard BioTools have filed with the SEC their respective governing documents referenced in this summary of stockholder rights and will send copies to you without charge, upon your request. See “</w:t>
      </w:r>
      <w:r>
        <w:rPr>
          <w:rFonts w:ascii="Times New Roman;Times;serif" w:hAnsi="Times New Roman;Times;serif"/>
          <w:b w:val="false"/>
          <w:i/>
          <w:caps w:val="false"/>
          <w:smallCaps w:val="false"/>
          <w:color w:val="000000"/>
          <w:spacing w:val="4"/>
          <w:sz w:val="20"/>
        </w:rPr>
        <w:t xml:space="preserve">Where You Can Find More Information” </w:t>
      </w:r>
      <w:r>
        <w:rPr>
          <w:rFonts w:ascii="Times New Roman;Times;serif" w:hAnsi="Times New Roman;Times;serif"/>
          <w:b w:val="false"/>
          <w:i w:val="false"/>
          <w:caps w:val="false"/>
          <w:smallCaps w:val="false"/>
          <w:color w:val="000000"/>
          <w:spacing w:val="4"/>
          <w:sz w:val="20"/>
        </w:rPr>
        <w:t xml:space="preserve">beginning on page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381"/>
        <w:gridCol w:w="109"/>
        <w:gridCol w:w="109"/>
        <w:gridCol w:w="3433"/>
        <w:gridCol w:w="109"/>
        <w:gridCol w:w="109"/>
        <w:gridCol w:w="3406"/>
        <w:gridCol w:w="156"/>
      </w:tblGrid>
      <w:tr>
        <w:trPr/>
        <w:tc>
          <w:tcPr>
            <w:tcW w:w="13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81" w:type="dxa"/>
            <w:tcBorders/>
            <w:tcMar>
              <w:bottom w:w="0" w:type="dxa"/>
            </w:tcMar>
            <w:vAlign w:val="center"/>
          </w:tcPr>
          <w:p>
            <w:pPr>
              <w:pStyle w:val="TableContents"/>
              <w:bidi w:val="0"/>
              <w:spacing w:before="0" w:after="0"/>
              <w:jc w:val="left"/>
              <w:rPr>
                <w:b/>
              </w:rPr>
            </w:pPr>
            <w:r>
              <w:rPr>
                <w:b/>
                <w:spacing w:val="-4"/>
              </w:rPr>
              <w:t>Authorized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3" w:type="dxa"/>
            <w:tcBorders/>
            <w:tcMar>
              <w:bottom w:w="0" w:type="dxa"/>
            </w:tcMar>
            <w:vAlign w:val="center"/>
          </w:tcPr>
          <w:p>
            <w:pPr>
              <w:pStyle w:val="TableContents"/>
              <w:bidi w:val="0"/>
              <w:spacing w:before="0" w:after="283"/>
              <w:jc w:val="left"/>
              <w:rPr>
                <w:spacing w:val="4"/>
              </w:rPr>
            </w:pPr>
            <w:r>
              <w:rPr>
                <w:spacing w:val="4"/>
              </w:rPr>
              <w:t xml:space="preserve">The authorized capital stock of Standard BioTools consists of 400,000,000 shares of common stock, $0.001 par value per share, and 10,000,000 shares of preferred stock, $0.001 par value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spacing w:val="4"/>
              </w:rPr>
            </w:pPr>
            <w:r>
              <w:rPr>
                <w:spacing w:val="4"/>
              </w:rPr>
              <w:t xml:space="preserve">The authorized capital stock of SomaLogic consists of 600,000,000 shares of common stock, $0.0001 par value per share, and 1,000,000 shares of preferred stock, $0.0001 par value per share. </w:t>
            </w:r>
          </w:p>
        </w:tc>
        <w:tc>
          <w:tcPr>
            <w:tcW w:w="156" w:type="dxa"/>
            <w:tcBorders/>
            <w:tcMar>
              <w:bottom w:w="0" w:type="dxa"/>
            </w:tcMar>
            <w:vAlign w:val="center"/>
          </w:tcPr>
          <w:p>
            <w:pPr>
              <w:pStyle w:val="TableContents"/>
              <w:bidi w:val="0"/>
              <w:spacing w:before="0" w:after="283"/>
              <w:jc w:val="left"/>
              <w:rPr/>
            </w:pPr>
            <w:r>
              <w:rPr/>
              <w:t>​</w:t>
            </w:r>
          </w:p>
        </w:tc>
      </w:tr>
      <w:tr>
        <w:trPr/>
        <w:tc>
          <w:tcPr>
            <w:tcW w:w="1381" w:type="dxa"/>
            <w:tcBorders/>
            <w:tcMar>
              <w:bottom w:w="0" w:type="dxa"/>
            </w:tcMar>
            <w:vAlign w:val="center"/>
          </w:tcPr>
          <w:p>
            <w:pPr>
              <w:pStyle w:val="TableContents"/>
              <w:bidi w:val="0"/>
              <w:spacing w:before="0" w:after="0"/>
              <w:jc w:val="left"/>
              <w:rPr>
                <w:b/>
              </w:rPr>
            </w:pPr>
            <w:r>
              <w:rPr>
                <w:b/>
                <w:spacing w:val="-4"/>
              </w:rPr>
              <w:t>Outstanding Capital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3" w:type="dxa"/>
            <w:tcBorders/>
            <w:tcMar>
              <w:bottom w:w="0" w:type="dxa"/>
            </w:tcMar>
            <w:vAlign w:val="center"/>
          </w:tcPr>
          <w:p>
            <w:pPr>
              <w:pStyle w:val="TableContents"/>
              <w:bidi w:val="0"/>
              <w:spacing w:before="0" w:after="283"/>
              <w:jc w:val="left"/>
              <w:rPr>
                <w:spacing w:val="4"/>
              </w:rPr>
            </w:pPr>
            <w:r>
              <w:rPr>
                <w:spacing w:val="4"/>
              </w:rPr>
              <w:t xml:space="preserve">As of the Standard BioTools Record Date, Standard BioTools had           shares of Standard BioTools Common Stock issued and outstanding,          shares of Series B-1 Preferred Stock issued and outstanding and          shares of Series B-2 Preferred Stock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spacing w:val="4"/>
              </w:rPr>
            </w:pPr>
            <w:r>
              <w:rPr>
                <w:spacing w:val="4"/>
              </w:rPr>
              <w:t xml:space="preserve">As of the SomaLogic Record Date, SomaLogic had          shares of SomaLogic Common Stock issued and outstanding, and no shares of preferred stock issued and outstanding. </w:t>
            </w:r>
          </w:p>
        </w:tc>
        <w:tc>
          <w:tcPr>
            <w:tcW w:w="156" w:type="dxa"/>
            <w:tcBorders/>
            <w:tcMar>
              <w:bottom w:w="0" w:type="dxa"/>
            </w:tcMar>
            <w:vAlign w:val="center"/>
          </w:tcPr>
          <w:p>
            <w:pPr>
              <w:pStyle w:val="TableContents"/>
              <w:bidi w:val="0"/>
              <w:spacing w:before="0" w:after="283"/>
              <w:jc w:val="left"/>
              <w:rPr/>
            </w:pPr>
            <w:r>
              <w:rPr/>
              <w:t>​</w:t>
            </w:r>
          </w:p>
        </w:tc>
      </w:tr>
      <w:tr>
        <w:trPr/>
        <w:tc>
          <w:tcPr>
            <w:tcW w:w="1381" w:type="dxa"/>
            <w:tcBorders/>
            <w:tcMar>
              <w:bottom w:w="0" w:type="dxa"/>
            </w:tcMar>
            <w:vAlign w:val="center"/>
          </w:tcPr>
          <w:p>
            <w:pPr>
              <w:pStyle w:val="TableContents"/>
              <w:bidi w:val="0"/>
              <w:spacing w:before="0" w:after="0"/>
              <w:jc w:val="left"/>
              <w:rPr>
                <w:b/>
              </w:rPr>
            </w:pPr>
            <w:r>
              <w:rPr>
                <w:b/>
                <w:spacing w:val="-4"/>
              </w:rPr>
              <w:t>Rights of Preferred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33" w:type="dxa"/>
            <w:tcBorders/>
            <w:tcMar>
              <w:bottom w:w="0" w:type="dxa"/>
            </w:tcMar>
            <w:vAlign w:val="center"/>
          </w:tcPr>
          <w:p>
            <w:pPr>
              <w:pStyle w:val="TableContents"/>
              <w:bidi w:val="0"/>
              <w:spacing w:before="0" w:after="283"/>
              <w:jc w:val="left"/>
              <w:rPr>
                <w:spacing w:val="4"/>
              </w:rPr>
            </w:pPr>
            <w:r>
              <w:rPr>
                <w:spacing w:val="4"/>
              </w:rPr>
              <w:t xml:space="preserve">Under the Standard BioTools Charter, the Standard BioTools Board, subject to limitations prescribed by law, may fix by resolution the designations, powers, preferences and rights, and the qualifications, limitations or restrictions thereof, of any wholly unissued series of Series B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6" w:type="dxa"/>
            <w:tcBorders/>
            <w:tcMar>
              <w:bottom w:w="0" w:type="dxa"/>
            </w:tcMar>
            <w:vAlign w:val="center"/>
          </w:tcPr>
          <w:p>
            <w:pPr>
              <w:pStyle w:val="TableContents"/>
              <w:bidi w:val="0"/>
              <w:spacing w:before="0" w:after="283"/>
              <w:jc w:val="left"/>
              <w:rPr>
                <w:spacing w:val="4"/>
              </w:rPr>
            </w:pPr>
            <w:r>
              <w:rPr>
                <w:spacing w:val="4"/>
              </w:rPr>
              <w:t xml:space="preserve">Under the SomaLogic Charter, the SomaLogic Board may, from time to time to issue preferred stock in one or more series, and in connection with the creation of any such series, by adopting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113"/>
        <w:gridCol w:w="109"/>
        <w:gridCol w:w="109"/>
        <w:gridCol w:w="2711"/>
        <w:gridCol w:w="109"/>
        <w:gridCol w:w="109"/>
        <w:gridCol w:w="4396"/>
        <w:gridCol w:w="156"/>
      </w:tblGrid>
      <w:tr>
        <w:trPr/>
        <w:tc>
          <w:tcPr>
            <w:tcW w:w="1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1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Series B Preferred Stock, and the number of shares constituting any such series and the designation thereof, or any of the foregoing.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resolutions providing for the creation and issuance of any series of preferred stock may provide that such series shall be superior or rank equally or be junior to any other series of Preferred Stock to the extent permitted by law and the SomaLogic Charter (including any certificate of designation). Except as otherwise required by law, holders of any series of Preferred Stock shall be entitled only to such voting rights, if any, as shall expressly be granted thereto by the SomaLogic Charter (including any certificate of designation). There are currently no shares of preferred stock issued and outstanding and no certificates of designation. </w:t>
            </w:r>
          </w:p>
        </w:tc>
        <w:tc>
          <w:tcPr>
            <w:tcW w:w="156" w:type="dxa"/>
            <w:tcBorders/>
            <w:tcMar>
              <w:bottom w:w="0" w:type="dxa"/>
            </w:tcMar>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0"/>
              <w:jc w:val="left"/>
              <w:rPr>
                <w:b/>
              </w:rPr>
            </w:pPr>
            <w:r>
              <w:rPr>
                <w:b/>
                <w:spacing w:val="-4"/>
              </w:rPr>
              <w:t>Preferred 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The Standard BioTools Certificates of Designations provide that holders of Series B Preferred Stock are entitled to vote, on an as converted basis, on all matters submitted to the vote of holders of Standard BioTools Common Stock as a single class, subject to certain beneficial owner limitations contained in the Certificates of Designations.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0"/>
              <w:jc w:val="left"/>
              <w:rPr>
                <w:b/>
              </w:rPr>
            </w:pPr>
            <w:r>
              <w:rPr>
                <w:b/>
                <w:spacing w:val="-4"/>
              </w:rPr>
              <w:t>Number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the number of directors that constitutes the entire Standard BioTools Board shall be determined in the manner set forth in the Standard BioTools Bylaws. The Standard BioTools Bylaws provide that the Standard BioTools Board shall consist of one or more members, and unless the Standard BioTools Charter fixes the number of directors, the total number of directors constituting the Standard BioTools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the number of directors shall be fixed exclusively by resolutions of the SomaLogic Board in accordance with the bylaws. The SomaLogic Bylaws provide that the total number of directors constituting the SomaLogic Board is to be determined by resolution of the SomaLogic Board and no reduction of the authorized number of directors should have the effect of removing any director before that director’s term of office expires.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067"/>
        <w:gridCol w:w="109"/>
        <w:gridCol w:w="109"/>
        <w:gridCol w:w="3846"/>
        <w:gridCol w:w="109"/>
        <w:gridCol w:w="109"/>
        <w:gridCol w:w="3307"/>
        <w:gridCol w:w="156"/>
      </w:tblGrid>
      <w:tr>
        <w:trPr/>
        <w:tc>
          <w:tcPr>
            <w:tcW w:w="10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spacing w:val="4"/>
              </w:rPr>
            </w:pPr>
            <w:r>
              <w:rPr>
                <w:spacing w:val="4"/>
              </w:rPr>
              <w:t xml:space="preserve">Board is to be determined by resolution of the Standard BioTools Board and no reduction of the authorized number of directors should have the effect of removing any director before that director’s term of office expires. The Standard BioTools Board currently has seven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7" w:type="dxa"/>
            <w:tcBorders/>
            <w:tcMar>
              <w:bottom w:w="0" w:type="dxa"/>
            </w:tcMar>
            <w:vAlign w:val="center"/>
          </w:tcPr>
          <w:p>
            <w:pPr>
              <w:pStyle w:val="TableContents"/>
              <w:bidi w:val="0"/>
              <w:spacing w:before="0" w:after="283"/>
              <w:jc w:val="left"/>
              <w:rPr>
                <w:spacing w:val="4"/>
              </w:rPr>
            </w:pPr>
            <w:r>
              <w:rPr>
                <w:spacing w:val="4"/>
              </w:rPr>
              <w:t xml:space="preserve">The SomaLogic Board currently has nine directors. </w:t>
            </w:r>
          </w:p>
        </w:tc>
        <w:tc>
          <w:tcPr>
            <w:tcW w:w="156" w:type="dxa"/>
            <w:tcBorders/>
            <w:tcMar>
              <w:bottom w:w="0" w:type="dxa"/>
            </w:tcMar>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0"/>
              <w:jc w:val="left"/>
              <w:rPr>
                <w:b/>
              </w:rPr>
            </w:pPr>
            <w:r>
              <w:rPr>
                <w:b/>
                <w:spacing w:val="-4"/>
              </w:rPr>
              <w:t>Election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pPr>
            <w:r>
              <w:rPr>
                <w:spacing w:val="4"/>
              </w:rPr>
              <w:t xml:space="preserve">The Standard BioTools Charter provides that, other than any directors who may be elected by holders of Series B Preferred Stock under specified circumstances, as described below, Standard BioTools directors shall be divided into three classes as nearly equal in size as is practicable. At each annual meeting of stockholders, directors of the Standard BioTools Board shall be elected for a full term of three years to succeed the directors of the class whose terms expire at such annual meeting. If the number of directors is changed, any newly created directorships or decrease in directorships shall be apportioned among the classes as to make all classes as nearly equal in number as is practicable, </w:t>
            </w:r>
            <w:r>
              <w:rPr>
                <w:i/>
                <w:spacing w:val="4"/>
              </w:rPr>
              <w:t>provided that</w:t>
            </w:r>
            <w:r>
              <w:rPr>
                <w:spacing w:val="4"/>
              </w:rPr>
              <w:t xml:space="preserve"> no decrease in the number of directors constituting the Standard BioTools Board shall shorten the term of any incumbent 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7" w:type="dxa"/>
            <w:tcBorders/>
            <w:tcMar>
              <w:bottom w:w="0" w:type="dxa"/>
            </w:tcMar>
            <w:vAlign w:val="center"/>
          </w:tcPr>
          <w:p>
            <w:pPr>
              <w:pStyle w:val="TableContents"/>
              <w:bidi w:val="0"/>
              <w:spacing w:before="0" w:after="283"/>
              <w:jc w:val="left"/>
              <w:rPr>
                <w:spacing w:val="4"/>
              </w:rPr>
            </w:pPr>
            <w:r>
              <w:rPr>
                <w:spacing w:val="4"/>
              </w:rPr>
              <w:t xml:space="preserve">The SomaLogic Charter provides for a classified board with three classes of directors, with each class consisting of one-third of the entire board as nearly as possible. At each annual meeting of stockholders, successors of the class of directors whose term expires at that meeting will be elected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the SomaLogic Charter. No decrease in the number of directors shall shorten the term of any incumbent director. </w:t>
            </w:r>
          </w:p>
        </w:tc>
        <w:tc>
          <w:tcPr>
            <w:tcW w:w="156" w:type="dxa"/>
            <w:tcBorders/>
            <w:tcMar>
              <w:bottom w:w="0" w:type="dxa"/>
            </w:tcMar>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spacing w:val="4"/>
              </w:rPr>
            </w:pPr>
            <w:r>
              <w:rPr>
                <w:spacing w:val="4"/>
              </w:rPr>
              <w:t xml:space="preserve">The holders of Standard BioTools Series B-1 Preferred Stock and Series B-2 Preferred Stock may separately nominate and elect by separate class vote a director to the Standard BioTools Board, subject to minimum ownership requirements. Series B-1 Preferred Stock and Series B-2 Preferred Stock nominees are to be elected annually only by the holders of Series B-1 Preferred Stock and Series B-2 Preferred Stock, voting together as a single class, and are outside of the classified Standard BioTools Board structure. The Series B-1 Director shall also be entitled to be a part of any standing Standard BioTools Board committee. </w:t>
            </w:r>
          </w:p>
        </w:tc>
        <w:tc>
          <w:tcPr>
            <w:tcW w:w="109" w:type="dxa"/>
            <w:tcBorders/>
            <w:tcMar>
              <w:bottom w:w="0" w:type="dxa"/>
            </w:tcMar>
            <w:vAlign w:val="center"/>
          </w:tcPr>
          <w:p>
            <w:pPr>
              <w:pStyle w:val="TableContents"/>
              <w:bidi w:val="0"/>
              <w:spacing w:before="0" w:after="283"/>
              <w:jc w:val="left"/>
              <w:rPr/>
            </w:pPr>
            <w:r>
              <w:rPr/>
              <w:t>​</w:t>
            </w:r>
          </w:p>
        </w:tc>
        <w:tc>
          <w:tcPr>
            <w:tcW w:w="3572"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662"/>
        <w:gridCol w:w="109"/>
        <w:gridCol w:w="109"/>
        <w:gridCol w:w="3157"/>
        <w:gridCol w:w="109"/>
        <w:gridCol w:w="109"/>
        <w:gridCol w:w="3401"/>
        <w:gridCol w:w="156"/>
      </w:tblGrid>
      <w:tr>
        <w:trPr/>
        <w:tc>
          <w:tcPr>
            <w:tcW w:w="16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any director or the entire Standard BioTools Board may be removed from office at any time, but only for cause, and only by the affirmative vote of the holders of at least a majority of the voting power of the issued and outstanding capital stock of Standard BioTools entitled to vote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283"/>
              <w:jc w:val="left"/>
              <w:rPr>
                <w:spacing w:val="4"/>
              </w:rPr>
            </w:pPr>
            <w:r>
              <w:rPr>
                <w:spacing w:val="4"/>
              </w:rPr>
              <w:t xml:space="preserve">The SomaLogic Charter provides, subject to the special rights of the holders of one or more outstanding series of preferred stock to elect directors, the SomaLogic Board or any individual director, may be removed from office at any time, but only for cause and only by the affirmative vote of the holders of at least a majority of the voting power of all of the then outstanding shares of voting stock entitled to vote at an election of directors. </w:t>
            </w:r>
          </w:p>
        </w:tc>
        <w:tc>
          <w:tcPr>
            <w:tcW w:w="156" w:type="dxa"/>
            <w:tcBorders/>
            <w:tcMar>
              <w:bottom w:w="0" w:type="dxa"/>
            </w:tcMar>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Vacancies on the Board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vacancies and newly created directorships on the Standard BioTools Board shall be filled only by the affirmative vote of a majority of the remaining directors then in office, even though less than a quorum, or by a sole remaining director, and not by the stockholders. A person so elected by the Standard BioTools Board to fill a vacancy or newly created directorship shall hold office until the next election of the class for which that director shall have been chosen until his or her successor shall have been duly elected and qualified, or until such director’s earlier death, resignation, or removal. No decrease in the number of directors constituting the Standard BioTools Board shall shorten the term of any incumbent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except as otherwise provided by law, and subject to the special rights of the holders of one or more outstanding series of preferred stock to elect directors, any vacancies on the SomaLogic Board resulting from death, resignation, disqualification, retirement, removal or other causes and any newly created directorships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is to hold office until the expiration of the term of the class to which that director has been appointed or until his or her earlier death, resignation, retirement, disqualification, or removal. </w:t>
            </w:r>
          </w:p>
        </w:tc>
        <w:tc>
          <w:tcPr>
            <w:tcW w:w="156" w:type="dxa"/>
            <w:tcBorders/>
            <w:tcMar>
              <w:bottom w:w="0" w:type="dxa"/>
            </w:tcMar>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Advance Notice Requirements for Stockholder Nominations and Other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0"/>
              <w:jc w:val="left"/>
              <w:rPr/>
            </w:pPr>
            <w:r>
              <w:rPr>
                <w:spacing w:val="4"/>
              </w:rPr>
              <w:t>The Standard BioTools Charter provides that advance notice of stockholder nominations for the election of directors and of business to be brought by stockholders before any meeting of the stockholders shall be given in the manner and to the extent provided in the Standard BioTools Bylaws.</w:t>
            </w:r>
            <w:r>
              <w:rPr/>
              <w:t xml:space="preserve"> </w:t>
            </w:r>
          </w:p>
          <w:p>
            <w:pPr>
              <w:pStyle w:val="TableContents"/>
              <w:bidi w:val="0"/>
              <w:spacing w:before="120" w:after="283"/>
              <w:jc w:val="left"/>
              <w:rPr>
                <w:spacing w:val="4"/>
              </w:rPr>
            </w:pPr>
            <w:r>
              <w:rPr>
                <w:spacing w:val="4"/>
              </w:rPr>
              <w:t xml:space="preserve">The Standard BioTools Bylaws provide that nominations and other proposals shall be made at an annual meeting of stockholders only (A) by or at the direction of the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0"/>
              <w:jc w:val="left"/>
              <w:rPr/>
            </w:pPr>
            <w:r>
              <w:rPr>
                <w:spacing w:val="4"/>
              </w:rPr>
              <w:t>The SomaLogic Charter provides that advance notice of stockholder nominations for the election of directors and of other business proposed to be brought by stockholders before any meeting of the stockholders of SomaLogic shall be given in the manner provided in the SomaLogic Bylaws.</w:t>
            </w:r>
            <w:r>
              <w:rPr/>
              <w:t xml:space="preserve"> </w:t>
            </w:r>
          </w:p>
          <w:p>
            <w:pPr>
              <w:pStyle w:val="TableContents"/>
              <w:bidi w:val="0"/>
              <w:spacing w:before="120" w:after="283"/>
              <w:jc w:val="left"/>
              <w:rPr>
                <w:spacing w:val="4"/>
              </w:rPr>
            </w:pPr>
            <w:r>
              <w:rPr>
                <w:spacing w:val="4"/>
              </w:rPr>
              <w:t xml:space="preserve">The SomaLogic Bylaws provide that, subject to provisions of the charter in all respects, nominations of any person for election to the SomaLogic Board at an annual meeting or at 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527"/>
        <w:gridCol w:w="109"/>
        <w:gridCol w:w="109"/>
        <w:gridCol w:w="357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7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27" w:type="dxa"/>
            <w:tcBorders/>
            <w:tcMar>
              <w:bottom w:w="0" w:type="dxa"/>
            </w:tcMar>
            <w:vAlign w:val="center"/>
          </w:tcPr>
          <w:p>
            <w:pPr>
              <w:pStyle w:val="TableContents"/>
              <w:bidi w:val="0"/>
              <w:spacing w:before="0" w:after="283"/>
              <w:jc w:val="left"/>
              <w:rPr/>
            </w:pPr>
            <w:r>
              <w:rPr>
                <w:spacing w:val="4"/>
              </w:rPr>
              <w:t xml:space="preserve">BioTools Board or (B) by a stockholder of Standard BioTools who (1) was a stockholder of record at the time of the giving of the notice required and entitled to vote at the annual meeting and (2) has complied with the notice procedures. In addition to any other applicable requirements, the stockholder must have given timely notice of the nomination thereof in proper written form to Standard BioTools’ Secretary containing certain information and must be received by the Secretary at the principal executive offices of Standard BioTools not later than the 45th day nor earlier than the 75th day before the one-year anniversary of the date on which Standard BioTools first mailed its proxy materials or a notice of availability of proxy materials (whichever is earlier) for the preceding year’s annual meeting; </w:t>
            </w:r>
            <w:r>
              <w:rPr>
                <w:i/>
                <w:spacing w:val="4"/>
              </w:rPr>
              <w:t>provided, however</w:t>
            </w:r>
            <w:r>
              <w:rPr>
                <w:spacing w:val="4"/>
              </w:rPr>
              <w:t xml:space="preserve">,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of the date of such annual meeting is first made.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0" w:type="dxa"/>
            <w:tcBorders/>
            <w:tcMar>
              <w:bottom w:w="0" w:type="dxa"/>
            </w:tcMar>
            <w:vAlign w:val="center"/>
          </w:tcPr>
          <w:p>
            <w:pPr>
              <w:pStyle w:val="TableContents"/>
              <w:bidi w:val="0"/>
              <w:spacing w:before="0" w:after="0"/>
              <w:jc w:val="left"/>
              <w:rPr/>
            </w:pPr>
            <w:r>
              <w:rPr>
                <w:spacing w:val="4"/>
              </w:rPr>
              <w:t>special meeting (but only if the election of directors is a matter specified in the notice of meeting given by or at the direction of the person calling such special meeting) may be made at such meeting only (x) by or at the direction of the SomaLogic Board, including by any committee or persons authorized to do so by the SomaLogic Board or the SomaLogic Bylaws, or (y) by a stockholder present in person (A) who was a record owner of shares of SomaLogic both at the time of giving such notice and at the time of the meeting, (B) is entitled to vote at the meeting, and (C) has complied with the requirements as to such notice and nomination. The foregoing clause (y) shall be the exclusive means for a stockholder to make any nomination of a person or persons for election to the SomaLogic Board at an annual meeting or special meeting.</w:t>
            </w:r>
            <w:r>
              <w:rPr/>
              <w:t xml:space="preserve"> </w:t>
            </w:r>
          </w:p>
          <w:p>
            <w:pPr>
              <w:pStyle w:val="TableContents"/>
              <w:bidi w:val="0"/>
              <w:spacing w:before="120" w:after="283"/>
              <w:jc w:val="left"/>
              <w:rPr>
                <w:spacing w:val="4"/>
              </w:rPr>
            </w:pPr>
            <w:r>
              <w:rPr>
                <w:spacing w:val="4"/>
              </w:rPr>
              <w:t xml:space="preserve">For a stockholder to make any nomination for election to the SomaLogic Board at an annual meeting, the stockholder must (1) provide timely notice in writing (as defined in the SomaLogic bylaws) and in proper form to SomaLogic’s Secretary, (2) the notice must contain specific information, agreements and questionnaires with respect to such stockholder and its candidate for nomination and (3) provide certain updates or supplements to such notice. To be timely, a stockholder’s notice must be delivered to, or mailed and received at, the principal executive offices of SomaLogic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963"/>
        <w:gridCol w:w="109"/>
        <w:gridCol w:w="109"/>
        <w:gridCol w:w="3496"/>
        <w:gridCol w:w="109"/>
        <w:gridCol w:w="109"/>
        <w:gridCol w:w="3762"/>
        <w:gridCol w:w="155"/>
      </w:tblGrid>
      <w:tr>
        <w:trPr/>
        <w:tc>
          <w:tcPr>
            <w:tcW w:w="9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9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2" w:type="dxa"/>
            <w:tcBorders/>
            <w:tcMar>
              <w:bottom w:w="0" w:type="dxa"/>
            </w:tcMar>
            <w:vAlign w:val="center"/>
          </w:tcPr>
          <w:p>
            <w:pPr>
              <w:pStyle w:val="TableContents"/>
              <w:bidi w:val="0"/>
              <w:spacing w:before="0" w:after="0"/>
              <w:jc w:val="left"/>
              <w:rPr/>
            </w:pPr>
            <w:r>
              <w:rPr>
                <w:spacing w:val="4"/>
              </w:rPr>
              <w:t>on which public disclosure of the date of such annual meeting was first made by SomaLogic.</w:t>
            </w:r>
            <w:r>
              <w:rPr/>
              <w:t xml:space="preserve"> </w:t>
            </w:r>
          </w:p>
          <w:p>
            <w:pPr>
              <w:pStyle w:val="TableContents"/>
              <w:bidi w:val="0"/>
              <w:spacing w:before="120" w:after="283"/>
              <w:jc w:val="left"/>
              <w:rPr/>
            </w:pPr>
            <w:r>
              <w:rPr>
                <w:spacing w:val="4"/>
              </w:rPr>
              <w:t>If the election of directors is a matter specified in the notice of meeting given by the person calling a special meeting, then for a stockholder to make any nomination for election to the SomaLogic Board at that special meeting, the stockholder must (i) provide timely written notice in proper form to the Secretary at the principal executive offices of SomaLogic, (ii) provide the required information with respect to such stockholder and its candidate for nomination and (iii) provide any updates or supplements to such notice at the specified times in proper form. To be timely, a stockholder’s notice for nominations at a special meeting must be delivered, or mailed and received at SomaLogic offices, not earlier than the 120</w:t>
            </w:r>
            <w:r>
              <w:rPr>
                <w:spacing w:val="3"/>
                <w:sz w:val="13"/>
              </w:rPr>
              <w:t>th</w:t>
            </w:r>
            <w:r>
              <w:rPr>
                <w:spacing w:val="4"/>
              </w:rPr>
              <w:t xml:space="preserve"> day prior to such special meeting and not later than the 90</w:t>
            </w:r>
            <w:r>
              <w:rPr>
                <w:spacing w:val="3"/>
                <w:sz w:val="13"/>
              </w:rPr>
              <w:t>th</w:t>
            </w:r>
            <w:r>
              <w:rPr>
                <w:spacing w:val="4"/>
              </w:rPr>
              <w:t xml:space="preserve"> day prior to such special meeting or, if later, the 10</w:t>
            </w:r>
            <w:r>
              <w:rPr>
                <w:spacing w:val="3"/>
                <w:sz w:val="13"/>
              </w:rPr>
              <w:t>th</w:t>
            </w:r>
            <w:r>
              <w:rPr>
                <w:spacing w:val="4"/>
              </w:rPr>
              <w:t xml:space="preserve"> day following the day on which public disclosure of the date of such special meeting was first made. </w:t>
            </w:r>
          </w:p>
        </w:tc>
        <w:tc>
          <w:tcPr>
            <w:tcW w:w="155" w:type="dxa"/>
            <w:tcBorders/>
            <w:tcMar>
              <w:bottom w:w="0" w:type="dxa"/>
            </w:tcMar>
            <w:vAlign w:val="center"/>
          </w:tcPr>
          <w:p>
            <w:pPr>
              <w:pStyle w:val="TableContents"/>
              <w:bidi w:val="0"/>
              <w:spacing w:before="0" w:after="283"/>
              <w:jc w:val="left"/>
              <w:rPr/>
            </w:pPr>
            <w:r>
              <w:rPr/>
              <w:t>​</w:t>
            </w:r>
          </w:p>
        </w:tc>
      </w:tr>
      <w:tr>
        <w:trPr/>
        <w:tc>
          <w:tcPr>
            <w:tcW w:w="963" w:type="dxa"/>
            <w:tcBorders/>
            <w:tcMar>
              <w:bottom w:w="0" w:type="dxa"/>
            </w:tcMar>
            <w:vAlign w:val="center"/>
          </w:tcPr>
          <w:p>
            <w:pPr>
              <w:pStyle w:val="TableContents"/>
              <w:bidi w:val="0"/>
              <w:spacing w:before="0" w:after="0"/>
              <w:jc w:val="left"/>
              <w:rPr>
                <w:b/>
              </w:rPr>
            </w:pPr>
            <w:r>
              <w:rPr>
                <w:b/>
                <w:spacing w:val="-4"/>
              </w:rPr>
              <w:t>Notice of Special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6" w:type="dxa"/>
            <w:tcBorders/>
            <w:tcMar>
              <w:bottom w:w="0" w:type="dxa"/>
            </w:tcMar>
            <w:vAlign w:val="center"/>
          </w:tcPr>
          <w:p>
            <w:pPr>
              <w:pStyle w:val="TableContents"/>
              <w:bidi w:val="0"/>
              <w:spacing w:before="0" w:after="283"/>
              <w:jc w:val="left"/>
              <w:rPr>
                <w:spacing w:val="4"/>
              </w:rPr>
            </w:pPr>
            <w:r>
              <w:rPr>
                <w:spacing w:val="4"/>
              </w:rPr>
              <w:t xml:space="preserve">The Standard BioTools Bylaws provide that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The written notice of any meeting of stockholders shall be given not less than 10 days nor more than 60 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2" w:type="dxa"/>
            <w:tcBorders/>
            <w:tcMar>
              <w:bottom w:w="0" w:type="dxa"/>
            </w:tcMar>
            <w:vAlign w:val="center"/>
          </w:tcPr>
          <w:p>
            <w:pPr>
              <w:pStyle w:val="TableContents"/>
              <w:bidi w:val="0"/>
              <w:spacing w:before="0" w:after="283"/>
              <w:jc w:val="left"/>
              <w:rPr>
                <w:spacing w:val="4"/>
              </w:rPr>
            </w:pPr>
            <w:r>
              <w:rPr>
                <w:spacing w:val="4"/>
              </w:rPr>
              <w:t xml:space="preserve">The SomaLogic Bylaws generally provide that notice of a stockholder meeting must be sent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58"/>
        <w:gridCol w:w="109"/>
        <w:gridCol w:w="109"/>
        <w:gridCol w:w="3537"/>
        <w:gridCol w:w="109"/>
        <w:gridCol w:w="109"/>
        <w:gridCol w:w="3225"/>
        <w:gridCol w:w="156"/>
      </w:tblGrid>
      <w:tr>
        <w:trPr/>
        <w:tc>
          <w:tcPr>
            <w:tcW w:w="14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before="0" w:after="283"/>
              <w:jc w:val="left"/>
              <w:rPr>
                <w:spacing w:val="4"/>
              </w:rPr>
            </w:pPr>
            <w:r>
              <w:rPr>
                <w:spacing w:val="4"/>
              </w:rPr>
              <w:t xml:space="preserve">before the date of the meeting to each stockholder entitled to vote at such meeting as of the record date for determining the stockholders entitled to notice of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Amendments to the Charter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before="0" w:after="0"/>
              <w:jc w:val="left"/>
              <w:rPr/>
            </w:pPr>
            <w:r>
              <w:rPr>
                <w:spacing w:val="4"/>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incorporation) be approved by a majority of the votes cast, subject to certain exceptions. The Standard BioTools Charter provides that, except as otherwise required by law, holders of Standard BioTools Common Stock shall not be entitled to vote on any amendment to the Standard BioTools Charter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the Standard BioTools Charter (including any certificate of designation filed with respect to any series of preferred stock).</w:t>
            </w:r>
            <w:r>
              <w:rPr/>
              <w:t xml:space="preserve"> </w:t>
            </w:r>
          </w:p>
          <w:p>
            <w:pPr>
              <w:pStyle w:val="TableContents"/>
              <w:bidi w:val="0"/>
              <w:spacing w:before="120" w:after="283"/>
              <w:jc w:val="left"/>
              <w:rPr>
                <w:spacing w:val="4"/>
              </w:rPr>
            </w:pPr>
            <w:r>
              <w:rPr>
                <w:spacing w:val="4"/>
              </w:rPr>
              <w:t xml:space="preserve">Standard BioTools reserves the right to amend or repeal any provision contained in the Standard BioTools Charter in the manner prescribed by the laws of the State of Delaware and all rights conferred upon stockholders are granted subject to this reservation;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5" w:type="dxa"/>
            <w:tcBorders/>
            <w:tcMar>
              <w:bottom w:w="0" w:type="dxa"/>
            </w:tcMar>
            <w:vAlign w:val="center"/>
          </w:tcPr>
          <w:p>
            <w:pPr>
              <w:pStyle w:val="TableContents"/>
              <w:bidi w:val="0"/>
              <w:spacing w:before="0" w:after="283"/>
              <w:jc w:val="left"/>
              <w:rPr/>
            </w:pPr>
            <w:r>
              <w:rPr>
                <w:spacing w:val="4"/>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incorporation) be approved by a majority of the votes cast, subject to certain exceptions. The SomaLogic Charter provides that in addition to any vote required by applicable law, the following provisions in the charter may be amended, altered, repealed or rescinded, in whole or in part, or any provision inconsistent with the charter therewith or herewith may be adopted, only by the affirmative vote of the holders of at least 66</w:t>
            </w:r>
            <w:r>
              <w:rPr>
                <w:spacing w:val="3"/>
                <w:sz w:val="12"/>
              </w:rPr>
              <w:t>2</w:t>
            </w:r>
            <w:r>
              <w:rPr>
                <w:spacing w:val="4"/>
              </w:rPr>
              <w:t>∕</w:t>
            </w:r>
            <w:r>
              <w:rPr>
                <w:spacing w:val="3"/>
                <w:sz w:val="14"/>
              </w:rPr>
              <w:t>3</w:t>
            </w:r>
            <w:r>
              <w:rPr>
                <w:spacing w:val="4"/>
              </w:rPr>
              <w:t xml:space="preserve">% of the total voting power of all the then outstanding shares of stock of SomaLogic entitled to vote, voting together as a single class.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9"/>
        <w:gridCol w:w="109"/>
        <w:gridCol w:w="109"/>
        <w:gridCol w:w="3919"/>
        <w:gridCol w:w="109"/>
        <w:gridCol w:w="109"/>
        <w:gridCol w:w="2833"/>
        <w:gridCol w:w="155"/>
      </w:tblGrid>
      <w:tr>
        <w:trPr/>
        <w:tc>
          <w:tcPr>
            <w:tcW w:w="146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9" w:type="dxa"/>
            <w:tcBorders/>
            <w:tcMar>
              <w:bottom w:w="0" w:type="dxa"/>
            </w:tcMar>
            <w:vAlign w:val="center"/>
          </w:tcPr>
          <w:p>
            <w:pPr>
              <w:pStyle w:val="TableContents"/>
              <w:bidi w:val="0"/>
              <w:spacing w:before="0" w:after="0"/>
              <w:jc w:val="left"/>
              <w:rPr/>
            </w:pPr>
            <w:r>
              <w:rPr>
                <w:i/>
                <w:spacing w:val="4"/>
              </w:rPr>
              <w:t>provided, however</w:t>
            </w:r>
            <w:r>
              <w:rPr>
                <w:spacing w:val="4"/>
              </w:rPr>
              <w:t>, that notwithstanding any other provision of the Standard BioTools Charter or any provision of law that might otherwise permit a lesser vote or no vote, the Standard BioTools Board acting pursuant to a resolution adopted by a majority of the Standard BioTools Board and the affirmative vote of sixty-six and two-thirds percent (66</w:t>
            </w:r>
            <w:r>
              <w:rPr>
                <w:spacing w:val="3"/>
                <w:sz w:val="12"/>
              </w:rPr>
              <w:t>2</w:t>
            </w:r>
            <w:r>
              <w:rPr>
                <w:spacing w:val="4"/>
              </w:rPr>
              <w:t>∕</w:t>
            </w:r>
            <w:r>
              <w:rPr>
                <w:spacing w:val="3"/>
                <w:sz w:val="14"/>
              </w:rPr>
              <w:t>3</w:t>
            </w:r>
            <w:r>
              <w:rPr>
                <w:spacing w:val="4"/>
              </w:rPr>
              <w:t>%) of the then outstanding voting securities of Standard BioTools, voting together as a single class, shall be required for the amendment, repeal or modification of certain provisions.</w:t>
            </w:r>
            <w:r>
              <w:rPr/>
              <w:t xml:space="preserve"> </w:t>
            </w:r>
          </w:p>
          <w:p>
            <w:pPr>
              <w:pStyle w:val="TableContents"/>
              <w:bidi w:val="0"/>
              <w:spacing w:before="120" w:after="283"/>
              <w:jc w:val="left"/>
              <w:rPr>
                <w:spacing w:val="4"/>
              </w:rPr>
            </w:pPr>
            <w:r>
              <w:rPr>
                <w:spacing w:val="4"/>
              </w:rPr>
              <w:t xml:space="preserve">Holders of Standard BioTools Series B-1 Preferred Stock and Series B-2 Preferred Stock shall be entitled to consent rights with regard to amendments to the Standard BioTools Charter under certain circumstances having an adverse effect on the rights, preferences, privileges or voting power of the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9" w:type="dxa"/>
            <w:tcBorders/>
            <w:tcMar>
              <w:bottom w:w="0" w:type="dxa"/>
            </w:tcMar>
            <w:vAlign w:val="center"/>
          </w:tcPr>
          <w:p>
            <w:pPr>
              <w:pStyle w:val="TableContents"/>
              <w:bidi w:val="0"/>
              <w:spacing w:before="0" w:after="0"/>
              <w:jc w:val="left"/>
              <w:rPr>
                <w:b/>
              </w:rPr>
            </w:pPr>
            <w:r>
              <w:rPr>
                <w:b/>
                <w:spacing w:val="-4"/>
              </w:rPr>
              <w:t>Amendments to Bylaws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9" w:type="dxa"/>
            <w:tcBorders/>
            <w:tcMar>
              <w:bottom w:w="0" w:type="dxa"/>
            </w:tcMar>
            <w:vAlign w:val="center"/>
          </w:tcPr>
          <w:p>
            <w:pPr>
              <w:pStyle w:val="TableContents"/>
              <w:bidi w:val="0"/>
              <w:spacing w:before="0" w:after="0"/>
              <w:jc w:val="left"/>
              <w:rPr/>
            </w:pPr>
            <w:r>
              <w:rPr>
                <w:spacing w:val="4"/>
              </w:rPr>
              <w:t>The Standard BioTools Charter provides that the Standard BioTools Board is expressly authorized to adopt, alter, amend or repeal the Standard BioTools Bylaws. The affirmative vote of at least a majority of the Standard BioTools Board then in office shall be required to adopt, amend, alter or repeal the Standard BioTools Bylaws. The Standard BioTools Bylaws may also be adopted, amended, altered or repealed by the stockholders of Standard BioTools. Notwithstanding any provisions of the Standard BioTools Bylaws, the Standard BioTools Bylaws may not be amended, altered or repealed except in accordance with related provisions in the Standard BioTools Bylaws.</w:t>
            </w:r>
            <w:r>
              <w:rPr/>
              <w:t xml:space="preserve"> </w:t>
            </w:r>
          </w:p>
          <w:p>
            <w:pPr>
              <w:pStyle w:val="TableContents"/>
              <w:bidi w:val="0"/>
              <w:spacing w:before="120" w:after="283"/>
              <w:jc w:val="left"/>
              <w:rPr>
                <w:spacing w:val="4"/>
              </w:rPr>
            </w:pPr>
            <w:r>
              <w:rPr>
                <w:spacing w:val="4"/>
              </w:rPr>
              <w:t xml:space="preserve">The Standard BioTools Bylaws provide that the Standard BioTools Bylaws may be adopted, amended or repealed by the stockholders entitled to vote; provided, however, that the affirmative vote of the holders of 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3" w:type="dxa"/>
            <w:tcBorders/>
            <w:tcMar>
              <w:bottom w:w="0" w:type="dxa"/>
            </w:tcMar>
            <w:vAlign w:val="center"/>
          </w:tcPr>
          <w:p>
            <w:pPr>
              <w:pStyle w:val="TableContents"/>
              <w:bidi w:val="0"/>
              <w:spacing w:before="0" w:after="0"/>
              <w:jc w:val="left"/>
              <w:rPr/>
            </w:pPr>
            <w:r>
              <w:rPr>
                <w:spacing w:val="4"/>
              </w:rPr>
              <w:t>The SomaLogic Charter provides that the SomaLogic Board is authorized to adopt, amend, or repeal the SomaLogic Bylaws.</w:t>
            </w:r>
            <w:r>
              <w:rPr/>
              <w:t xml:space="preserve"> </w:t>
            </w:r>
          </w:p>
          <w:p>
            <w:pPr>
              <w:pStyle w:val="TableContents"/>
              <w:bidi w:val="0"/>
              <w:spacing w:before="120" w:after="283"/>
              <w:jc w:val="left"/>
              <w:rPr>
                <w:spacing w:val="4"/>
              </w:rPr>
            </w:pPr>
            <w:r>
              <w:rPr>
                <w:spacing w:val="4"/>
              </w:rPr>
              <w:t xml:space="preserve">The stockholders of SomaLogic also have the power to adopt, amend or repeal the bylaws; provided that, in addition to any vote of the holders of any class or series of stock required by applicable law, or by the SomaLogic Charter, or the SomaLogic Bylaws, the adoption, amendment or repeal receives the affirmative vote of the holders of at least two-thirds of the voting power of all of the then outstanding shares of voting stock of SomaLogic entitled to vote generally in an election of directors.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3"/>
        <w:gridCol w:w="109"/>
        <w:gridCol w:w="109"/>
        <w:gridCol w:w="3478"/>
        <w:gridCol w:w="109"/>
        <w:gridCol w:w="109"/>
        <w:gridCol w:w="3280"/>
        <w:gridCol w:w="155"/>
      </w:tblGrid>
      <w:tr>
        <w:trPr/>
        <w:tc>
          <w:tcPr>
            <w:tcW w:w="1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left"/>
              <w:rPr/>
            </w:pPr>
            <w:r>
              <w:rPr>
                <w:spacing w:val="4"/>
              </w:rPr>
              <w:t>least 66</w:t>
            </w:r>
            <w:r>
              <w:rPr>
                <w:spacing w:val="3"/>
                <w:sz w:val="12"/>
              </w:rPr>
              <w:t>2</w:t>
            </w:r>
            <w:r>
              <w:rPr>
                <w:spacing w:val="4"/>
              </w:rPr>
              <w:t>∕</w:t>
            </w:r>
            <w:r>
              <w:rPr>
                <w:spacing w:val="3"/>
                <w:sz w:val="14"/>
              </w:rPr>
              <w:t>3</w:t>
            </w:r>
            <w:r>
              <w:rPr>
                <w:spacing w:val="4"/>
              </w:rPr>
              <w:t xml:space="preserve">% of the total voting power of outstanding voting securities, voting together as a single class, shall be required for the stockholders of Standard BioTools to alter, amend or repeal, or adopt any bylaw inconsistent with certain provisions of the Standard BioTools Bylaws. The Standard BioTools Board shall also have the power to adopt, amend or repeal the Standard BioTools Bylaws; </w:t>
            </w:r>
            <w:r>
              <w:rPr>
                <w:i/>
                <w:spacing w:val="4"/>
              </w:rPr>
              <w:t>provided, however</w:t>
            </w:r>
            <w:r>
              <w:rPr>
                <w:spacing w:val="4"/>
              </w:rPr>
              <w:t>, that a bylaw amendment adopted by stockholders which specifies the votes that shall be necessary for the election of directors shall not be further amended or repealed by the Standard BioTools Board.</w:t>
            </w:r>
            <w:r>
              <w:rPr/>
              <w:t xml:space="preserve"> </w:t>
            </w:r>
          </w:p>
          <w:p>
            <w:pPr>
              <w:pStyle w:val="TableContents"/>
              <w:bidi w:val="0"/>
              <w:spacing w:before="120" w:after="283"/>
              <w:jc w:val="left"/>
              <w:rPr>
                <w:spacing w:val="4"/>
              </w:rPr>
            </w:pPr>
            <w:r>
              <w:rPr>
                <w:spacing w:val="4"/>
              </w:rPr>
              <w:t xml:space="preserve">Holders of Standard BioTools Series B-1 Preferred Stock and Series B-2 Preferred Stock shall be entitled to consent rights with regard to amendments to the Standard BioTools Bylaws under certain circumstances having an adverse effect on the rights, preferences, privileges or voting power of the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0"/>
              <w:jc w:val="left"/>
              <w:rPr>
                <w:b/>
              </w:rPr>
            </w:pPr>
            <w:r>
              <w:rPr>
                <w:b/>
                <w:spacing w:val="-4"/>
              </w:rPr>
              <w:t>Special Meeting of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special meetings of stockholders may be called only by the Standard BioTools Board, the Chairperson of the Standard BioTools Board, the Chief Executive Officer or the President (in the absence of a chief executive officer), and any power of stockholders to call a special meeting of stockholders is specifically denied.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subject to the special rights of the holders of one or more series of preferred stock, special meetings of the stockholders may be called for any purpose or purposes, at any time, only by or at the direction of the SomaLogic Board, the Chairperson of the SomaLogic Board, the Chief Executive Officer or President, in each case, in accordance with the SomaLogic Bylaws, and is not to be called by any other person or persons. Any such special meeting may be postponed, rescheduled or cancelled by the SomaLogic Board or other person calling the meeting. </w:t>
            </w:r>
          </w:p>
        </w:tc>
        <w:tc>
          <w:tcPr>
            <w:tcW w:w="155" w:type="dxa"/>
            <w:tcBorders/>
            <w:tcMar>
              <w:bottom w:w="0" w:type="dxa"/>
            </w:tcMar>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0"/>
              <w:jc w:val="left"/>
              <w:rPr>
                <w:b/>
              </w:rPr>
            </w:pPr>
            <w:r>
              <w:rPr>
                <w:b/>
                <w:spacing w:val="-4"/>
              </w:rPr>
              <w:t>Forum Selection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283"/>
              <w:jc w:val="left"/>
              <w:rPr>
                <w:spacing w:val="4"/>
              </w:rPr>
            </w:pPr>
            <w:r>
              <w:rPr>
                <w:spacing w:val="4"/>
              </w:rPr>
              <w:t xml:space="preserve">The Standard BioTools Bylaws provide, that unless Standard BioTools consents in writing to the selection of an alternative forum, the Court of Chancery of the State of Delaware (or, if the Court of Chancery does not have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spacing w:val="4"/>
              </w:rPr>
            </w:pPr>
            <w:r>
              <w:rPr>
                <w:spacing w:val="4"/>
              </w:rPr>
              <w:t xml:space="preserve">The SomaLogic Charter designates the Court of Chancery of the State of Delaware (or, in the event that the Chancery Court does not have jurisdiction, the federal district court for the District of Delaware or other state courts of the State of Delaware)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347"/>
        <w:gridCol w:w="109"/>
        <w:gridCol w:w="109"/>
        <w:gridCol w:w="375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7" w:type="dxa"/>
            <w:tcBorders/>
            <w:tcMar>
              <w:bottom w:w="0" w:type="dxa"/>
            </w:tcMar>
            <w:vAlign w:val="center"/>
          </w:tcPr>
          <w:p>
            <w:pPr>
              <w:pStyle w:val="TableContents"/>
              <w:bidi w:val="0"/>
              <w:spacing w:before="0" w:after="0"/>
              <w:jc w:val="left"/>
              <w:rPr/>
            </w:pPr>
            <w:r>
              <w:rPr>
                <w:spacing w:val="4"/>
              </w:rPr>
              <w:t>another State court in Delaware or the federal district court for the District of Delaware) shall, to the fullest extent permitted by law, be the sole and exclusive forum for (a) any derivative action or proceeding brought on behalf of Standard BioTools, (b) any action asserting a claim of breach of a fiduciary duty owed by any director, stockholder, officer or other employee of Standard BioTools to the stockholders of Standard BioTools, (c) any action arising pursuant to any provision of the DGCL or the Standard BioTools charter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r>
              <w:rPr/>
              <w:t xml:space="preserve"> </w:t>
            </w:r>
          </w:p>
          <w:p>
            <w:pPr>
              <w:pStyle w:val="TableContents"/>
              <w:bidi w:val="0"/>
              <w:spacing w:before="120" w:after="283"/>
              <w:jc w:val="left"/>
              <w:rPr>
                <w:spacing w:val="4"/>
              </w:rPr>
            </w:pPr>
            <w:r>
              <w:rPr>
                <w:spacing w:val="4"/>
              </w:rPr>
              <w:t xml:space="preserve">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0" w:type="dxa"/>
            <w:tcBorders/>
            <w:tcMar>
              <w:bottom w:w="0" w:type="dxa"/>
            </w:tcMar>
            <w:vAlign w:val="center"/>
          </w:tcPr>
          <w:p>
            <w:pPr>
              <w:pStyle w:val="TableContents"/>
              <w:bidi w:val="0"/>
              <w:spacing w:before="0" w:after="0"/>
              <w:jc w:val="left"/>
              <w:rPr/>
            </w:pPr>
            <w:r>
              <w:rPr>
                <w:spacing w:val="4"/>
              </w:rPr>
              <w:t>and any appellate court thereof, unless SomaLogic consents in writing to the selection of an alternative forum, shall to the fullest extent permitted by law, be the sole and exclusive forum for (i) any derivative action, suit or proceeding brought on behalf of SomaLogic, (ii) any action, suit or proceeding asserting a claim of breach of a fiduciary duty owed by any director, officer or stockholder of SomaLogic to SomaLogic or to the stockholders of SomaLogic, (iii) any action, suit or proceeding arising pursuant to any provision of the DGCL or the SomaLogic bylaws or charter (as either may be amended from time to time), (iv) any action, suit or proceeding as to which the DGCL confers jurisdiction on the Court of Chancery of the State of Delaware, or (v) any action, suit or proceeding asserting a claim against SomaLogic or any current or former director, officer or stockholder governed by the internal affairs doctrine.</w:t>
            </w:r>
            <w:r>
              <w:rPr/>
              <w:t xml:space="preserve"> </w:t>
            </w:r>
          </w:p>
          <w:p>
            <w:pPr>
              <w:pStyle w:val="TableContents"/>
              <w:bidi w:val="0"/>
              <w:spacing w:before="120" w:after="283"/>
              <w:jc w:val="left"/>
              <w:rPr>
                <w:spacing w:val="4"/>
              </w:rPr>
            </w:pPr>
            <w:r>
              <w:rPr>
                <w:spacing w:val="4"/>
              </w:rPr>
              <w:t xml:space="preserve">If any action the subject matter of which is within the scope of the immediately preceding sentence is filed in a court other than the courts in the State of Delaware (a foreign action) in the name of any stockholder, such stockholder is to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26"/>
        <w:gridCol w:w="109"/>
        <w:gridCol w:w="109"/>
        <w:gridCol w:w="5364"/>
        <w:gridCol w:w="109"/>
        <w:gridCol w:w="109"/>
        <w:gridCol w:w="1430"/>
        <w:gridCol w:w="156"/>
      </w:tblGrid>
      <w:tr>
        <w:trPr/>
        <w:tc>
          <w:tcPr>
            <w:tcW w:w="1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Dividends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dividends may be declared by the Standard BioTools Board or any duly authorized committee thereof on any junior stock from time to time. The holders of the Series B Preferred Stock shall fully participate, on an as-converted basis, in any dividends declared and paid or distributions on the Standard BioTools Common Stock as if the Series B Preferred Stock were converted in accordance with the Certificates of Designations. No dividends shall be declared or paid on the Series B Preferred Stock unless a dividend in an equal amount per share is also declared or paid (as applicable) on the other series of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Preferred Stock Liquidation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In the event of a voluntary or involuntary liquidation, dissolution or winding up of the affairs of Standard BioTools, the Certificates of Designations provide that the holders of Series B Preferred Stock shall be entitled, out of assets legally available thereof, before any distributions or payment out of the assets of Standard BioTools may be made to or set aside for the holders of any junior stock, to receive in full a liquidating distribution in cash in the amount per share of the Series B Preferred Stock as determined according to the Certificates of Designations.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Change in Control “Put Right”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the holders of Series B-1 Preferred Stock and Series B-2 Preferred Stock have the right, upon a Change of Control (as defined in the Certificates of Designation), to convert all or a portion of its shares of Series B Preferred Stock or require Standard BioTools to purchase all of such holder’s Series B Preferred Stock for an amount of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Ranking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the Series B-1 Preferred Stock and the Series B-2 Preferred Stock shall rank, with respect to dividend rights and rights 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6679"/>
        <w:gridCol w:w="109"/>
        <w:gridCol w:w="109"/>
        <w:gridCol w:w="141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679"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8"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79" w:type="dxa"/>
            <w:tcBorders/>
            <w:tcMar>
              <w:bottom w:w="0" w:type="dxa"/>
            </w:tcMar>
            <w:vAlign w:val="center"/>
          </w:tcPr>
          <w:p>
            <w:pPr>
              <w:pStyle w:val="TableContents"/>
              <w:bidi w:val="0"/>
              <w:spacing w:before="0" w:after="283"/>
              <w:jc w:val="left"/>
              <w:rPr>
                <w:spacing w:val="4"/>
              </w:rPr>
            </w:pPr>
            <w:r>
              <w:rPr>
                <w:spacing w:val="4"/>
              </w:rPr>
              <w:t xml:space="preserve">distributions of assets on the voluntary or involuntary liquidation, dissolution or winding up of the affairs of Standard BioTools: (a) on parity with one another, (b) junior to each other class or series of capital stock of Standard BioTools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Standard BioTools, and (c) senior to the Standard BioTools Common Stock, each other currently existing class or series of capital stock of Standard BioTools and each class hereafter authorized, classified or reclassified, the terms of which expressly provide that such class or series ranks junior to the Series B Preferred Stock as to dividend rights and rights on the distribution of assets on any voluntary or involuntary liquidation, dissolution or winding up of the affairs of Standard BioTools.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SOOC"/>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SOMALOGIC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SomaLogic capital stock, as of October 13, 2023, 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Each person, or group of affiliated persons, known to beneficially own more than 5% of outstanding SomaLogic Common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Each current director of SomaLogic;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Each named executive officer of SomaLogic;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All current executive officers and directors of SomaLogic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SomaLogic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based its calculation of the percentage of beneficial ownership on 188,662,383 shares of common stock outstanding as of October 13,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stockholders listed has sole voting and investment power with respect to the shares beneficially owned by the stockholder unless noted otherwise, subject to community property laws where applicable. The beneficial ownership of each person holding more than 5% of the SomaLogic’s outstanding Common Stock as of October 13, 2023 is based solely on a review of filings with the SEC on Schedule 13G or Schedule 13D,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33" w:type="dxa"/>
          <w:right w:w="0" w:type="dxa"/>
        </w:tblCellMar>
      </w:tblPr>
      <w:tblGrid>
        <w:gridCol w:w="4410"/>
        <w:gridCol w:w="109"/>
        <w:gridCol w:w="109"/>
        <w:gridCol w:w="151"/>
        <w:gridCol w:w="151"/>
        <w:gridCol w:w="1713"/>
        <w:gridCol w:w="151"/>
        <w:gridCol w:w="109"/>
        <w:gridCol w:w="109"/>
        <w:gridCol w:w="205"/>
        <w:gridCol w:w="205"/>
        <w:gridCol w:w="1023"/>
        <w:gridCol w:w="207"/>
        <w:gridCol w:w="160"/>
      </w:tblGrid>
      <w:tr>
        <w:trPr/>
        <w:tc>
          <w:tcPr>
            <w:tcW w:w="4410" w:type="dxa"/>
            <w:tcBorders>
              <w:bottom w:val="single" w:sz="2" w:space="0" w:color="000000"/>
            </w:tcBorders>
            <w:vAlign w:val="center"/>
          </w:tcPr>
          <w:p>
            <w:pPr>
              <w:pStyle w:val="TableContents"/>
              <w:bidi w:val="0"/>
              <w:spacing w:before="0" w:after="0"/>
              <w:jc w:val="left"/>
              <w:rPr/>
            </w:pPr>
            <w:r>
              <w:rPr>
                <w:spacing w:val="-3"/>
              </w:rPr>
              <w:t>Name and Address of Beneficial Owner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66" w:type="dxa"/>
            <w:gridSpan w:val="4"/>
            <w:tcBorders>
              <w:bottom w:val="single" w:sz="2" w:space="0" w:color="000000"/>
            </w:tcBorders>
            <w:vAlign w:val="center"/>
          </w:tcPr>
          <w:p>
            <w:pPr>
              <w:pStyle w:val="TableContents"/>
              <w:bidi w:val="0"/>
              <w:spacing w:before="0" w:after="0"/>
              <w:jc w:val="center"/>
              <w:rPr/>
            </w:pPr>
            <w:r>
              <w:rPr>
                <w:spacing w:val="-3"/>
              </w:rPr>
              <w:t>Number of Shares of</w:t>
            </w:r>
            <w:r>
              <w:rPr/>
              <w:t xml:space="preserve"> </w:t>
              <w:br/>
            </w:r>
            <w:r>
              <w:rPr>
                <w:spacing w:val="-3"/>
              </w:rPr>
              <w:t>SomaLogic Common Stock</w:t>
            </w:r>
            <w:r>
              <w:rPr/>
              <w:t xml:space="preserve"> </w:t>
              <w:br/>
            </w:r>
            <w:r>
              <w:rPr>
                <w:spacing w:val="-3"/>
              </w:rPr>
              <w:t>Beneficially Owned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0" w:type="dxa"/>
            <w:gridSpan w:val="4"/>
            <w:tcBorders>
              <w:bottom w:val="single" w:sz="2" w:space="0" w:color="000000"/>
            </w:tcBorders>
            <w:vAlign w:val="center"/>
          </w:tcPr>
          <w:p>
            <w:pPr>
              <w:pStyle w:val="TableContents"/>
              <w:bidi w:val="0"/>
              <w:spacing w:before="0" w:after="0"/>
              <w:jc w:val="center"/>
              <w:rPr/>
            </w:pPr>
            <w:r>
              <w:rPr>
                <w:spacing w:val="-3"/>
              </w:rPr>
              <w:t>% of SomaLogic</w:t>
            </w:r>
            <w:r>
              <w:rPr/>
              <w:t xml:space="preserve"> </w:t>
              <w:br/>
            </w:r>
            <w:r>
              <w:rPr>
                <w:spacing w:val="-3"/>
              </w:rPr>
              <w:t>Common Stock</w:t>
            </w:r>
            <w:r>
              <w:rPr/>
              <w:t xml:space="preserve"> </w:t>
              <w:br/>
            </w:r>
            <w:r>
              <w:rPr>
                <w:spacing w:val="-3"/>
              </w:rPr>
              <w:t>Beneficially Owned</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283"/>
              <w:jc w:val="left"/>
              <w:rPr/>
            </w:pPr>
            <w:r>
              <w:rPr>
                <w:spacing w:val="-4"/>
              </w:rPr>
              <w:t>Directors &amp; Named Executive Officers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Robert Barchi</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53,528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Shaun Blakeman</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431,006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Thomas D. Carey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Eli Casdin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23,829,959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12.3%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Troy Cox</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610,728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Melody Harris</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2,285,517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1.2%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Kathy L. Hibbs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Anne H. Margulies</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140,566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Tycho Peterson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Richard A. Post</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134,566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Jason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Roy Smythe</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3,842,427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2.0%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Stephen Williams</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857,889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200" w:right="0" w:hanging="200"/>
              <w:jc w:val="left"/>
              <w:rPr/>
            </w:pPr>
            <w:r>
              <w:rPr>
                <w:i/>
                <w:spacing w:val="4"/>
              </w:rPr>
              <w:t>All current directors and executive officers as a group (13 individuals)</w:t>
            </w:r>
            <w:r>
              <w:rPr>
                <w:i/>
                <w:spacing w:val="3"/>
                <w:sz w:val="13"/>
              </w:rPr>
              <w:t>(1</w:t>
            </w:r>
            <w:r>
              <w:rPr>
                <w:iCs/>
                <w:spacing w:val="3"/>
                <w:szCs w:val="13"/>
              </w:rPr>
              <w:t>﻿</w:t>
            </w:r>
            <w:r>
              <w:rPr>
                <w:i/>
                <w:spacing w:val="3"/>
                <w:sz w:val="13"/>
              </w:rPr>
              <w:t>1)</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25,375,626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13.1%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Entities affiliated with Casdin Capital, LLC</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12,604,275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6.7%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Keith A. Meister</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11,186,669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 xml:space="preserve">5.9% </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Entities affiliated with CMLS Holdings II LLC</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713" w:type="dxa"/>
            <w:tcBorders/>
            <w:shd w:fill="CCEEFF" w:val="clear"/>
            <w:tcMar>
              <w:bottom w:w="0" w:type="dxa"/>
            </w:tcMar>
            <w:vAlign w:val="center"/>
          </w:tcPr>
          <w:p>
            <w:pPr>
              <w:pStyle w:val="TableContents"/>
              <w:bidi w:val="0"/>
              <w:spacing w:before="0" w:after="283"/>
              <w:jc w:val="right"/>
              <w:rPr/>
            </w:pPr>
            <w:r>
              <w:rPr/>
              <w:t xml:space="preserve">11,146,669 </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 xml:space="preserve">5.9% </w:t>
            </w:r>
          </w:p>
        </w:tc>
        <w:tc>
          <w:tcPr>
            <w:tcW w:w="207"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Blackrock, Inc.</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713" w:type="dxa"/>
            <w:tcBorders/>
            <w:tcMar>
              <w:bottom w:w="0" w:type="dxa"/>
            </w:tcMar>
            <w:vAlign w:val="center"/>
          </w:tcPr>
          <w:p>
            <w:pPr>
              <w:pStyle w:val="TableContents"/>
              <w:bidi w:val="0"/>
              <w:spacing w:before="0" w:after="283"/>
              <w:jc w:val="right"/>
              <w:rPr/>
            </w:pPr>
            <w:r>
              <w:rPr/>
              <w:t xml:space="preserve">10,268,281 </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5.4%</w:t>
            </w:r>
          </w:p>
        </w:tc>
        <w:tc>
          <w:tcPr>
            <w:tcW w:w="207"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Indicates beneficial ownership of less than 1%. </w:t>
      </w:r>
      <w:r>
        <mc:AlternateContent>
          <mc:Choice Requires="wps">
            <w:drawing>
              <wp:anchor behindDoc="0" distT="101600" distB="0" distL="0" distR="0" simplePos="0" locked="0" layoutInCell="1" allowOverlap="1" relativeHeight="614">
                <wp:simplePos x="0" y="0"/>
                <wp:positionH relativeFrom="column">
                  <wp:align>left</wp:align>
                </wp:positionH>
                <wp:positionV relativeFrom="line">
                  <wp:align>top</wp:align>
                </wp:positionV>
                <wp:extent cx="254000" cy="350520"/>
                <wp:effectExtent l="0" t="0" r="0" b="0"/>
                <wp:wrapSquare wrapText="right"/>
                <wp:docPr id="611" name="Frame6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of these stockholders is c/o SomaLogic, 2945 Wilderness Place, Boulder, Colorado 80301. </w:t>
      </w:r>
      <w:r>
        <mc:AlternateContent>
          <mc:Choice Requires="wps">
            <w:drawing>
              <wp:anchor behindDoc="0" distT="50800" distB="0" distL="0" distR="0" simplePos="0" locked="0" layoutInCell="1" allowOverlap="1" relativeHeight="615">
                <wp:simplePos x="0" y="0"/>
                <wp:positionH relativeFrom="column">
                  <wp:align>left</wp:align>
                </wp:positionH>
                <wp:positionV relativeFrom="line">
                  <wp:align>top</wp:align>
                </wp:positionV>
                <wp:extent cx="254000" cy="350520"/>
                <wp:effectExtent l="0" t="0" r="0" b="0"/>
                <wp:wrapSquare wrapText="right"/>
                <wp:docPr id="612" name="Frame6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7,630 shares of SomaLogic Common Stock held directly by Dr. Barchi; and (ii) 45,898 SomaLogic Stock Options exercisable within 60 days of October 13, 2023. </w:t>
      </w:r>
      <w:r>
        <mc:AlternateContent>
          <mc:Choice Requires="wps">
            <w:drawing>
              <wp:anchor behindDoc="0" distT="50800" distB="0" distL="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613"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431,006 SomaLogic Stock Options exercisable within 60 days of October 13, 2023. </w:t>
      </w:r>
      <w:r>
        <mc:AlternateContent>
          <mc:Choice Requires="wps">
            <w:drawing>
              <wp:anchor behindDoc="0" distT="50800" distB="0" distL="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614"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3,430 shares of SomaLogic Common Stock held directly by Mr. Casdin; (ii) 6,800,000 shares of SomaLogic Common Stock held by CMLS Holdings II LLC; (iii) 4,346,669 shares of SomaLogic Common Stock issuable upon the exercise of SomaLogic Warrants held by CMLS Holdings II LLC; (iv) 10,132,005 shares of SomaLogic Common Stock held by Casdin Partners Master Fund, L.P.; (v) 2,472,270 shares of SomaLogic Common Stock held by Casdin Private Growth Equity Fund, L.P.; and (vi) 75,585 SomaLogic Stock Options exercisable within 60 days of October 13, 2023. As described in footnotes (12) and (14) below, the shares held by CMLS Holdings II LLC, Casdin Partners Master Fund, L.P. and Casdin Private Growth Equity Fund, L.P. may be deemed to be indirectly beneficially owned by Mr. Casdin. </w:t>
      </w:r>
      <w:r>
        <mc:AlternateContent>
          <mc:Choice Requires="wps">
            <w:drawing>
              <wp:anchor behindDoc="0" distT="50800" distB="0" distL="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15" name="Frame6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78,430 shares of SomaLogic Common Stock held directly by Mr. Cox; (ii) 365,632 SomaLogic Stock Options exercisable within 60 days of October 13, 2023; and (iii) 166,666 shares of SomaLogic Common Stock issuable upon the exercise of SomaLogic Warrants. </w:t>
      </w:r>
      <w:r>
        <mc:AlternateContent>
          <mc:Choice Requires="wps">
            <w:drawing>
              <wp:anchor behindDoc="0" distT="50800" distB="0" distL="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616" name="Frame6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14,796 shares of SomaLogic Common Stock held directly by Ms. Harris; and (ii) 2,270,721 SomaLogic Stock Options exercisable within 60 days of October 13, 2023. </w:t>
      </w:r>
      <w:r>
        <mc:AlternateContent>
          <mc:Choice Requires="wps">
            <w:drawing>
              <wp:anchor behindDoc="0" distT="50800" distB="0" distL="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617" name="Frame6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23,430 shares of SomaLogic Common Stock held directly by Ms. Margulies; and (ii) 117,136 SomaLogic Stock Options exercisable within 60 days of October 13, 2023. </w:t>
      </w:r>
      <w:r>
        <mc:AlternateContent>
          <mc:Choice Requires="wps">
            <w:drawing>
              <wp:anchor behindDoc="0" distT="50800" distB="0" distL="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618" name="Frame6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57,430 shares of SomaLogic Common Stock held directly by Mr. Post; and (ii) 77,136 SomaLogic Stock Options exercisable within 60 days of October 13, 2023. </w:t>
      </w:r>
      <w:r>
        <mc:AlternateContent>
          <mc:Choice Requires="wps">
            <w:drawing>
              <wp:anchor behindDoc="0" distT="50800" distB="0" distL="0" distR="0" simplePos="0" locked="0" layoutInCell="1" allowOverlap="1" relativeHeight="622">
                <wp:simplePos x="0" y="0"/>
                <wp:positionH relativeFrom="column">
                  <wp:align>left</wp:align>
                </wp:positionH>
                <wp:positionV relativeFrom="line">
                  <wp:align>top</wp:align>
                </wp:positionV>
                <wp:extent cx="254000" cy="350520"/>
                <wp:effectExtent l="0" t="0" r="0" b="0"/>
                <wp:wrapSquare wrapText="right"/>
                <wp:docPr id="619" name="Frame6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49,208 shares of SomaLogic Common Stock held directly by Dr. Smythe; and (ii) 3,793,219 SomaLogic Stock Options exercisable within 60 days of October 13, 2023. </w:t>
      </w:r>
      <w:r>
        <mc:AlternateContent>
          <mc:Choice Requires="wps">
            <w:drawing>
              <wp:anchor behindDoc="0" distT="0" distB="0" distL="0" distR="0" simplePos="0" locked="0" layoutInCell="1" allowOverlap="1" relativeHeight="623">
                <wp:simplePos x="0" y="0"/>
                <wp:positionH relativeFrom="column">
                  <wp:align>left</wp:align>
                </wp:positionH>
                <wp:positionV relativeFrom="line">
                  <wp:posOffset>635</wp:posOffset>
                </wp:positionV>
                <wp:extent cx="254000" cy="350520"/>
                <wp:effectExtent l="0" t="0" r="0" b="0"/>
                <wp:wrapSquare wrapText="right"/>
                <wp:docPr id="620" name="Frame6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160,160 shares of SomaLogic Common Stock held directly by Dr. Williams; and (ii) 697,739 SomaLogic Stock Options exercisable within 60 days of October 13, 2023. </w:t>
      </w:r>
      <w:r>
        <mc:AlternateContent>
          <mc:Choice Requires="wps">
            <w:drawing>
              <wp:anchor behindDoc="0" distT="50800" distB="0" distL="0" distR="0" simplePos="0" locked="0" layoutInCell="1" allowOverlap="1" relativeHeight="624">
                <wp:simplePos x="0" y="0"/>
                <wp:positionH relativeFrom="column">
                  <wp:align>left</wp:align>
                </wp:positionH>
                <wp:positionV relativeFrom="line">
                  <wp:align>top</wp:align>
                </wp:positionV>
                <wp:extent cx="254000" cy="525780"/>
                <wp:effectExtent l="0" t="0" r="0" b="0"/>
                <wp:wrapSquare wrapText="right"/>
                <wp:docPr id="621" name="Frame6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19,650,145 shares of SomaLogic Common Stock held by SomaLogic’s current directors and executive officers; (ii) 1,195,396 SomaLogic Stock Options exercisable within 60 days of October 13, 2023; (iii) 16,750 SomaLogic RSUs that may vest and settle within 60 days of October 13, 2023 and (iv) 4,513,335 shares of SomaLogic Common Stock issuable upon the exercise of 4,513,335 SomaLogic Warrants. </w:t>
      </w:r>
      <w:r>
        <mc:AlternateContent>
          <mc:Choice Requires="wps">
            <w:drawing>
              <wp:anchor behindDoc="0" distT="50800" distB="0" distL="0" distR="0" simplePos="0" locked="0" layoutInCell="1" allowOverlap="1" relativeHeight="625">
                <wp:simplePos x="0" y="0"/>
                <wp:positionH relativeFrom="column">
                  <wp:align>left</wp:align>
                </wp:positionH>
                <wp:positionV relativeFrom="line">
                  <wp:align>top</wp:align>
                </wp:positionV>
                <wp:extent cx="254000" cy="525780"/>
                <wp:effectExtent l="0" t="0" r="0" b="0"/>
                <wp:wrapSquare wrapText="right"/>
                <wp:docPr id="622" name="Frame6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Casdin Capital, LLC on a Schedule 13D/A filed with the SEC on December 14, 2022. Consists of (i) 10,132,005 shares of SomaLogic Common Stock held of record by Casdin Partners Master Fund, L.P. and (ii) 2,472,270 shares of SomaLogic Common Stock held of record by Casdin Private Growth Equity Fund, L.P. The shares held by Casdin Partners Master Fund, L.P.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The shares held by Casdin Private Growth Equity Fund, L.P. may be deemed to be indirectly beneficially owned by (i) Casdin Capital, LLC, the investment adviser to Casdin Private Growth Equity Fund, L.P., (ii) Casdin Private Growth Equity GP, LLC, the general partner of Casdin Private Growth Equity Fund, L.P., and (iii) Mr. Casdin, the managing member of Casdin Capital, LLC and Casdin Private Growth Equity GP, LLC. Mr. Casdin disclaims beneficial ownership of such securities except to the extent of its or his respective pecuniary interest therein. The address of for the Casdin entities noted herein is 667 Madison Avenue, New York, New York 10065. </w:t>
      </w:r>
      <w:r>
        <mc:AlternateContent>
          <mc:Choice Requires="wps">
            <w:drawing>
              <wp:anchor behindDoc="0" distT="50800" distB="0" distL="0" distR="0" simplePos="0" locked="0" layoutInCell="1" allowOverlap="1" relativeHeight="626">
                <wp:simplePos x="0" y="0"/>
                <wp:positionH relativeFrom="column">
                  <wp:align>left</wp:align>
                </wp:positionH>
                <wp:positionV relativeFrom="line">
                  <wp:align>top</wp:align>
                </wp:positionV>
                <wp:extent cx="254000" cy="525780"/>
                <wp:effectExtent l="0" t="0" r="0" b="0"/>
                <wp:wrapSquare wrapText="right"/>
                <wp:docPr id="623" name="Frame6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Keith A. Meister on a Schedule 13D/A filed with the SEC on December 14, 2022. Consists of (i) 6,800,000 shares of SomaLogic Common Stock held by CMLS Holdings II LLC, (ii) 4,346,669 shares of SomaLogic Common Stock issuable upon the exercise of 4,346,669 SomaLogic Warrants held by CMLS Holdings II LLC, and (iii) 40,000 shares of SomaLogic Common Stock owned by investment funds advised by Corvex Management, L.P. and may be deemed to be indirectly beneficially owned by Mr. Meister by virtue of Mr. Meister’s control of the general partner of Corvex Management, L.P. The address of Corvex Management, L.P. is 667 Madison Avenue, New York, New York 10065. </w:t>
      </w:r>
      <w:r>
        <mc:AlternateContent>
          <mc:Choice Requires="wps">
            <w:drawing>
              <wp:anchor behindDoc="0" distT="50800" distB="0" distL="0" distR="0" simplePos="0" locked="0" layoutInCell="1" allowOverlap="1" relativeHeight="627">
                <wp:simplePos x="0" y="0"/>
                <wp:positionH relativeFrom="column">
                  <wp:align>left</wp:align>
                </wp:positionH>
                <wp:positionV relativeFrom="line">
                  <wp:align>top</wp:align>
                </wp:positionV>
                <wp:extent cx="254000" cy="525780"/>
                <wp:effectExtent l="0" t="0" r="0" b="0"/>
                <wp:wrapSquare wrapText="right"/>
                <wp:docPr id="624" name="Frame6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CMLS Holdings II LLC on a Schedule 13D/A filed with the SEC on December 14, 2022. Consists of (i) 6,800,000 shares of SomaLogic Common Stock and (ii) 4,346,669 shares of SomaLogic Common Stock issuable upon the exercise of 4,346,669 SomaLogic Warrants. CMLS Holdings II LLC is the record holder of the 6,800,000 shares of SomaLogic Common Stock and 4,346,669 SomaLogic Warrants reported herein. The Board of Managers of CMLS Holdings II LLC is comprised of Mr. Casdin and Mr. Meister who share voting and investment discretion with respect to the common stock held of record by CMLS Holdings II LLC. C-LSH II LLC and M-LSH II LLC are the members of CMLS Holdings II LLC, and Mr. Casdin and Mr. Meister are the managing members of C-LSH II LLC and M-LSH II LLC, respectively. As such, each of the foregoing may be deemed to have or share beneficial ownership of the Common Stock held directly by CMLS Holdings II LLC. The address for the Casdin entities noted herein is 667 Madison Avenue, New York, New York 10065. </w:t>
      </w:r>
      <w:r>
        <mc:AlternateContent>
          <mc:Choice Requires="wps">
            <w:drawing>
              <wp:anchor behindDoc="0" distT="50800" distB="0" distL="0" distR="0" simplePos="0" locked="0" layoutInCell="1" allowOverlap="1" relativeHeight="628">
                <wp:simplePos x="0" y="0"/>
                <wp:positionH relativeFrom="column">
                  <wp:align>left</wp:align>
                </wp:positionH>
                <wp:positionV relativeFrom="line">
                  <wp:align>top</wp:align>
                </wp:positionV>
                <wp:extent cx="254000" cy="525780"/>
                <wp:effectExtent l="0" t="0" r="0" b="0"/>
                <wp:wrapSquare wrapText="right"/>
                <wp:docPr id="625" name="Frame6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information reported by Blackrock, Inc. on a Schedule 13G filed with the SEC on February 3, 2023. Consists of 10,268,281 shares of SomaLogic Common Stock held of record by Blackrock, Inc. The address of Blackrock, Inc. is 55 East 52nd Street New York, NY 10055.</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629">
                <wp:simplePos x="0" y="0"/>
                <wp:positionH relativeFrom="column">
                  <wp:align>left</wp:align>
                </wp:positionH>
                <wp:positionV relativeFrom="line">
                  <wp:align>top</wp:align>
                </wp:positionV>
                <wp:extent cx="254000" cy="525780"/>
                <wp:effectExtent l="0" t="0" r="0" b="0"/>
                <wp:wrapSquare wrapText="right"/>
                <wp:docPr id="626" name="Frame6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SOOC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STANDARD BIOTOOLS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of October 15, 2023 (unless otherwise specified), with respect to the beneficial ownership of Standard BioTools by each person who is known, based solely on filings made under Sections 13(d) and 13(g) of the Exchange Act, to own beneficially more than five percent of outstanding Standard BioTools Common Stock or Standard BioTools Preferred Stock, each person currently serving as a director, each named executive officer and all of our current directors and executive officers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includes voting or investment power with respect to the securities. Standard BioTools Common Stock subject to Standard BioTools Stock Options, Standard BioTools Restricted Stock Units or other rights to purchase that may be acquired within 60 days after October 15, 2023, and Standard BioTools Common Stock into which Standard BioTools Preferred Stock is convertible, are to be considered outstanding for purposes of computing the percentage ownership of the persons holding these Standard BioTools Stock Options or other rights but are not to be considered outstanding for the purpose of computing the percentage ownership of any other person. As of October 15, 2023, there were 79,394,799 shares of Standard BioTools Common Stock outstanding and 255,559 shares of Standard BioTools Preferred Stock outstanding (which represents up to 75,164,397 shares of Standard BioTools Common Stock issuable upon conversion of the Standard BioTools Preferred Stock), and the percentages of Standard BioTools Common Stock and Standard BioTools Preferred Stock beneficially owned were calculated using these respective numbers as the denominators and as specified in this paragraph and in the footnotes below. Unless otherwise indicated, the address for each beneficial owner is c/o Standard BioTools Inc., 2 Tower Place, Suite 2000, South San Francisco, California 94080. </w:t>
      </w:r>
    </w:p>
    <w:tbl>
      <w:tblPr>
        <w:tblW w:w="8812" w:type="dxa"/>
        <w:jc w:val="left"/>
        <w:tblInd w:w="1393" w:type="dxa"/>
        <w:tblLayout w:type="fixed"/>
        <w:tblCellMar>
          <w:top w:w="0" w:type="dxa"/>
          <w:left w:w="0" w:type="dxa"/>
          <w:bottom w:w="43" w:type="dxa"/>
          <w:right w:w="0" w:type="dxa"/>
        </w:tblCellMar>
      </w:tblPr>
      <w:tblGrid>
        <w:gridCol w:w="2554"/>
        <w:gridCol w:w="109"/>
        <w:gridCol w:w="109"/>
        <w:gridCol w:w="109"/>
        <w:gridCol w:w="109"/>
        <w:gridCol w:w="1186"/>
        <w:gridCol w:w="109"/>
        <w:gridCol w:w="109"/>
        <w:gridCol w:w="109"/>
        <w:gridCol w:w="135"/>
        <w:gridCol w:w="135"/>
        <w:gridCol w:w="818"/>
        <w:gridCol w:w="138"/>
        <w:gridCol w:w="109"/>
        <w:gridCol w:w="109"/>
        <w:gridCol w:w="110"/>
        <w:gridCol w:w="110"/>
        <w:gridCol w:w="897"/>
        <w:gridCol w:w="110"/>
        <w:gridCol w:w="109"/>
        <w:gridCol w:w="109"/>
        <w:gridCol w:w="109"/>
        <w:gridCol w:w="109"/>
        <w:gridCol w:w="936"/>
        <w:gridCol w:w="109"/>
        <w:gridCol w:w="157"/>
      </w:tblGrid>
      <w:tr>
        <w:trPr/>
        <w:tc>
          <w:tcPr>
            <w:tcW w:w="2554"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6" w:type="dxa"/>
            <w:gridSpan w:val="4"/>
            <w:tcBorders>
              <w:bottom w:val="single" w:sz="2" w:space="0" w:color="000000"/>
            </w:tcBorders>
            <w:vAlign w:val="center"/>
          </w:tcPr>
          <w:p>
            <w:pPr>
              <w:pStyle w:val="TableContents"/>
              <w:bidi w:val="0"/>
              <w:spacing w:before="0" w:after="0"/>
              <w:jc w:val="center"/>
              <w:rPr/>
            </w:pPr>
            <w:r>
              <w:rPr>
                <w:spacing w:val="-3"/>
              </w:rPr>
              <w:t xml:space="preserve">% of </w:t>
            </w:r>
            <w:r>
              <w:rPr/>
              <w:br/>
            </w: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7"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Standard </w:t>
            </w:r>
            <w:r>
              <w:rPr/>
              <w:br/>
            </w:r>
            <w:r>
              <w:rPr>
                <w:spacing w:val="-3"/>
              </w:rPr>
              <w:t xml:space="preserve">BioTools </w:t>
            </w:r>
            <w:r>
              <w:rPr/>
              <w:br/>
            </w:r>
            <w:r>
              <w:rPr>
                <w:spacing w:val="-3"/>
              </w:rPr>
              <w:t xml:space="preserve">Preferred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3" w:type="dxa"/>
            <w:gridSpan w:val="4"/>
            <w:tcBorders>
              <w:bottom w:val="single" w:sz="2" w:space="0" w:color="000000"/>
            </w:tcBorders>
            <w:vAlign w:val="center"/>
          </w:tcPr>
          <w:p>
            <w:pPr>
              <w:pStyle w:val="TableContents"/>
              <w:bidi w:val="0"/>
              <w:spacing w:before="0" w:after="0"/>
              <w:jc w:val="center"/>
              <w:rPr/>
            </w:pPr>
            <w:r>
              <w:rPr>
                <w:spacing w:val="-3"/>
              </w:rPr>
              <w:t xml:space="preserve">% of </w:t>
            </w:r>
            <w:r>
              <w:rPr/>
              <w:br/>
            </w:r>
            <w:r>
              <w:rPr>
                <w:spacing w:val="-3"/>
              </w:rPr>
              <w:t xml:space="preserve">Standard </w:t>
            </w:r>
            <w:r>
              <w:rPr/>
              <w:br/>
            </w:r>
            <w:r>
              <w:rPr>
                <w:spacing w:val="-3"/>
              </w:rPr>
              <w:t xml:space="preserve">BioTools </w:t>
            </w:r>
            <w:r>
              <w:rPr/>
              <w:br/>
            </w:r>
            <w:r>
              <w:rPr>
                <w:spacing w:val="-3"/>
              </w:rPr>
              <w:t xml:space="preserve">Preferred </w:t>
            </w:r>
            <w:r>
              <w:rPr/>
              <w:br/>
            </w:r>
            <w:r>
              <w:rPr>
                <w:spacing w:val="-3"/>
              </w:rPr>
              <w:t xml:space="preserve">Stock </w:t>
            </w:r>
            <w:r>
              <w:rPr/>
              <w:br/>
            </w:r>
            <w:r>
              <w:rPr>
                <w:spacing w:val="-3"/>
              </w:rPr>
              <w:t xml:space="preserve">Beneficially </w:t>
            </w:r>
            <w:r>
              <w:rPr/>
              <w:br/>
            </w:r>
            <w:r>
              <w:rPr>
                <w:spacing w:val="-3"/>
              </w:rPr>
              <w:t xml:space="preserve">Owned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283"/>
              <w:jc w:val="left"/>
              <w:rPr/>
            </w:pPr>
            <w:r>
              <w:rPr>
                <w:spacing w:val="-4"/>
              </w:rPr>
              <w:t>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Entities affiliated with Casdin Capital, LLC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38,782,346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33.15%</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Entities affiliated with Viking Global Investors LP</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8,289,116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9.45%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127,779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49.9998%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Caligan Partners LP</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7,797,454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9.82%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Indaba Capital Management, L.P.</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7,894,751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9.94%</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Neuberger Berman Group LLC</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4,336,103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5.46%</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Michael Egholm, Ph.D.</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2,093,924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2.58%</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Stephen Christopher Linthwaite</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231,738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 xml:space="preserve">*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Jeremy Davis</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214,583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Hanjoon Alex Kim</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744,259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Eli Casdin</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38,883,266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33.22%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Laura M. Clague</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196,667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Fenel M. Eloi</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17,690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Martin D. Madaus, Ph.D.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Frank Witney,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Carlos Paya, M.D., Ph.D.</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237,520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ind w:left="200" w:right="0" w:hanging="200"/>
              <w:jc w:val="left"/>
              <w:rPr/>
            </w:pPr>
            <w:r>
              <w:rPr>
                <w:b/>
                <w:i/>
                <w:spacing w:val="-4"/>
              </w:rPr>
              <w:t xml:space="preserve">All Current Executive Officers and Directors as a group (9 </w:t>
            </w:r>
            <w:r>
              <w:rPr>
                <w:b/>
                <w:i/>
              </w:rPr>
              <w:br/>
            </w:r>
            <w:r>
              <w:rPr>
                <w:b/>
                <w:i/>
                <w:spacing w:val="-4"/>
              </w:rPr>
              <w:t>persons)</w:t>
            </w:r>
            <w:r>
              <w:rPr>
                <w:bCs/>
                <w:iCs/>
                <w:spacing w:val="-3"/>
                <w:szCs w:val="13"/>
              </w:rPr>
              <w:t>﻿</w:t>
            </w:r>
            <w:r>
              <w:rPr>
                <w:b/>
                <w:i/>
                <w:spacing w:val="-3"/>
                <w:sz w:val="13"/>
              </w:rPr>
              <w:t>(16)</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42,492,389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37.70%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one percent of outstanding Standard BioTools Common Stock. </w:t>
      </w:r>
      <w:r>
        <mc:AlternateContent>
          <mc:Choice Requires="wps">
            <w:drawing>
              <wp:anchor behindDoc="0" distT="99060" distB="0" distL="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7" name="Frame6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securities held by Casdin Partners Master Fund, L.P. (“Casdin Master Fund”), Casdin Private Growth Equity Fund II, L.P. (“Casdin Private Growth Fund”) and Casdin Partners FO1-MSV, LP (“Casdin FO1”). Casdin Capital, LLC (“Casdin Capital”) is the investment adviser to Casdin Master Fund, Casdin Private Growth Fund and Casdin FO1, Casdin Partners GP, LLC (“Casdin Partners GP”) is the general partner of Casdin Master Fund and Casdin FO1, Casdin Private Growth Equity Fund II GP, LLC (“Casdin Private Growth GP”) is the general partner of Casdin Private Growth Fund, and Eli Casdin is the managing member of Casdin Capital, Casdin Partners GP and Casdin Private Growth GP. Represents shared voting and dispositive power held with respect to 89,446 shares of Series B-1 Preferred Stock held by Casdin Master Fund, 38,334 shares of Series B-1 Preferred Stock held by Casdin Private Growth Fund, and 1,200,000 shares of Standard BioTools Common Stock held by Casdin FO1. Reported shares include 37,582,346 shares of Standard BioTools Common Stock issuable upon conversion of Series B-1 Preferred Stock and percentage of Standard BioTools Common Stock beneficially owned is based on 116,997,145 outstanding shares of Standard BioTools Common Stock and Standard BioTools Common Stock issuable upon conversion of the Series B-1 Preferred Stock, in each case as of October 15, 2023. Casdin Capital’s address is 1350 Avenue of the Americas, Suite 2600, New York, New York 10019. Casdin Capital and its affiliates are subject to certain limitations on their voting rights with respect to the shares of Series B-1 Preferred Stock held by them. For a discussion of these limitations, see the section entitled “</w:t>
      </w:r>
      <w:r>
        <w:rPr>
          <w:rFonts w:ascii="Times New Roman;Times;serif" w:hAnsi="Times New Roman;Times;serif"/>
          <w:b w:val="false"/>
          <w:i/>
          <w:caps w:val="false"/>
          <w:smallCaps w:val="false"/>
          <w:color w:val="000000"/>
          <w:spacing w:val="4"/>
          <w:sz w:val="20"/>
        </w:rPr>
        <w:t>Description of Capital Stock — Series B-1 Preferred Stock — Voting Rights; Consent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631">
                <wp:simplePos x="0" y="0"/>
                <wp:positionH relativeFrom="column">
                  <wp:align>left</wp:align>
                </wp:positionH>
                <wp:positionV relativeFrom="line">
                  <wp:align>top</wp:align>
                </wp:positionV>
                <wp:extent cx="254000" cy="350520"/>
                <wp:effectExtent l="0" t="0" r="0" b="0"/>
                <wp:wrapSquare wrapText="right"/>
                <wp:docPr id="628" name="Frame6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13D filed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and together with the Viking Hybrid Fund, “Viking”), O. Andrea Halvorsen, David C. Ott and Rose S. Shabet, filed with the SEC on October 16, 2023, which reported ownership as of October 4, 2023. Represents (i) 5,552,940 shares of Standard BioTools Common Stock that the Viking Hybrid Fund has the right to acquire and (ii) 2,736,176 shares of Standard BioTools Common Stock that the Viking Drawdown Fund has the right to acquire, in each case, upon conversion of shares of Series B-2 Preferred Stock held by Viking and after giving effect to a provision in the B-2 Certificate of Designations which provides that none of the Viking Hybrid Fund, the Viking Drawdown Fund, nor their affiliates shall be entitled to convert shares of Series B-2 Preferred Stock unless such conversion would not result in the Viking Hybrid Fund and the Viking Drawdown Fund, together with their affiliates, beneficially owning more than 9.5% of the total number of shares of Standard BioTools Common Stock outstanding (the “Blocker”). Accordingly, the number of shares of Standard BioTools Common Stock reported as beneficially owned by the Viking Hybrid Fund and the Viking Drawdown Fund set forth in the table above excludes shares of Standard BioTools Common Stock that the Viking Hybrid Fund and the Viking Drawdown Fund do not currently have the right to acquire upon conversion of Series B-2 Preferred Stock due to the Blocker (and applies the Blocker pro rata across the Viking Hybrid Fund and the Viking Drawdown Fund in the aggregate). Without giving effect to the Blocker, the Series B-2 Preferred Stock held by the Viking Hybrid Fund would be convertible into 25,179,995 shares of Standard BioTools Common Stock and the Series B-2 Preferred Stock held by the Viking Drawdown Fund would be convertible into 12,402,056 shares of Standard BioTools Common Stock, for an aggregate of 37,582,051 shares of Standard BioTools Common Stock.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Hybrid Opportunities GP, have shared authority to direct the voting and disposition of investments beneficially owned by VGI and Opportunities Portfolio GP. The Viking Drawdown Fund has the authority to dispose of and vote the shares directly owned </w:t>
      </w:r>
      <w:r>
        <mc:AlternateContent>
          <mc:Choice Requires="wps">
            <w:drawing>
              <wp:anchor behindDoc="0" distT="49530" distB="0" distL="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629" name="Frame6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Viking’s address is c/o Viking Global Investors LP, 600 Washington Boulevard, Stamford, Connecticut 06901. Viking and its affiliates are subject to certain limitations on their voting rights with respect to the Series B-2 Preferred Stock held by them. For a discussion of these limitations, see the section entitled “</w:t>
      </w:r>
      <w:r>
        <w:rPr>
          <w:rFonts w:ascii="Times New Roman;Times;serif" w:hAnsi="Times New Roman;Times;serif"/>
          <w:b w:val="false"/>
          <w:i/>
          <w:caps w:val="false"/>
          <w:smallCaps w:val="false"/>
          <w:color w:val="000000"/>
          <w:spacing w:val="4"/>
          <w:sz w:val="20"/>
        </w:rPr>
        <w:t>Description of Capital Stock — Series B-2 Preferred Stock—Voting Rights; Consent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is based solely on a Schedule 13D/A filed jointly by Caligan Partners LP (“Caligan”), which identified itself as the investment manager of an affiliated fund and managed accounts, and David Johnson, the managing member of the general partner of Caligan, shared voting power and dispositive power with respect to all such shares, filed with the SEC on July 3, 2023, which reported ownership as of July 3, 2023. Caligan’s address is 515 Madison Avenue, 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New York 10022. </w:t>
      </w:r>
      <w:r>
        <mc:AlternateContent>
          <mc:Choice Requires="wps">
            <w:drawing>
              <wp:anchor behindDoc="0" distT="49530" distB="0" distL="0" distR="0" simplePos="0" locked="0" layoutInCell="1" allowOverlap="1" relativeHeight="633">
                <wp:simplePos x="0" y="0"/>
                <wp:positionH relativeFrom="column">
                  <wp:align>left</wp:align>
                </wp:positionH>
                <wp:positionV relativeFrom="line">
                  <wp:align>top</wp:align>
                </wp:positionV>
                <wp:extent cx="254000" cy="350520"/>
                <wp:effectExtent l="0" t="0" r="0" b="0"/>
                <wp:wrapSquare wrapText="right"/>
                <wp:docPr id="630" name="Frame6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13G/A filed jointly by Indaba Capital Management, L.P., IC GP, LLC (“IC GP”), Indaba’s sole general partner, and Derek C. Schrier, the managing member of IC GP, shared voting and dispositive power is held with respect to all of such shares, filed with the SEC on February 14, 2023, which reported ownership as of December 31, 2022. Reported shares include 448,552 shares of Standard BioTools Common Stock issuable upon conversion of Indaba’s 5.25% Convertible Senior Notes due 2024. Indaba’s address is One Letterman Drive, Building D, Suite DM700, San Francisco, California 94129. </w:t>
      </w:r>
      <w:r>
        <mc:AlternateContent>
          <mc:Choice Requires="wps">
            <w:drawing>
              <wp:anchor behindDoc="0" distT="49530" distB="0" distL="0" distR="0" simplePos="0" locked="0" layoutInCell="1" allowOverlap="1" relativeHeight="634">
                <wp:simplePos x="0" y="0"/>
                <wp:positionH relativeFrom="column">
                  <wp:align>left</wp:align>
                </wp:positionH>
                <wp:positionV relativeFrom="line">
                  <wp:align>top</wp:align>
                </wp:positionV>
                <wp:extent cx="254000" cy="350520"/>
                <wp:effectExtent l="0" t="0" r="0" b="0"/>
                <wp:wrapSquare wrapText="right"/>
                <wp:docPr id="631" name="Frame6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13D filed jointly by Neuberger Berman Group LLC (“NB Group”), Neuberger Berman Investment Advisers LLC (“NBIA”), Neuberger Berman Investment Advisers Holdings, LLC, Neuberger Berman Canada Holdings LLC, NB Acquisitionco ULC, Neuberger Berman Canada ULC (“NBCU”), Benjamin Nahum, Amit Solomon, Rand Gesing, and Pong Chan, which identified themselves as a group, filed with the SEC on November 18, 2021, which reported ownership as of November 18, 2021. NBIA, which identified itself as an investment adviser, shared dispositive power and voting power with respect to 3,459,561 of such shares of Standard BioTools Common Stock and has been granted discretionary power, but not voting power, with respect to 823,514 of such shares and NBCU, which identified itself as an investment adviser, shared dispositive and voting power with respect to 53,028 of such shares of Standard BioTools Common Stock. Neuberger Berman’s address is 1290 Avenue of the Americas, New York, New York 10104. NBCU’s address is 2 Bloor St East, Toronto, Ontario M4W 1A8, Canada. </w:t>
      </w:r>
      <w:r>
        <mc:AlternateContent>
          <mc:Choice Requires="wps">
            <w:drawing>
              <wp:anchor behindDoc="0" distT="49530" distB="0" distL="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32" name="Frame6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206,512 shares of Standard BioTools Common Stock and (ii) 1,887,412 shares of Standard BioTools Common Stock underlying options that are exercisable as of October 15, 2023 or will become exercisable within 60 days after such date held by Dr. Egholm. </w:t>
      </w:r>
      <w:r>
        <mc:AlternateContent>
          <mc:Choice Requires="wps">
            <w:drawing>
              <wp:anchor behindDoc="0" distT="50800" distB="0" distL="0" distR="0" simplePos="0" locked="0" layoutInCell="1" allowOverlap="1" relativeHeight="636">
                <wp:simplePos x="0" y="0"/>
                <wp:positionH relativeFrom="column">
                  <wp:align>left</wp:align>
                </wp:positionH>
                <wp:positionV relativeFrom="line">
                  <wp:align>top</wp:align>
                </wp:positionV>
                <wp:extent cx="254000" cy="350520"/>
                <wp:effectExtent l="0" t="0" r="0" b="0"/>
                <wp:wrapSquare wrapText="right"/>
                <wp:docPr id="633" name="Frame6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shares of Standard BioTools Common Stock held by Mr. Linthwaite, the former Chief Executive Officer of Standard BioTools who is a named executive officer. </w:t>
      </w:r>
      <w:r>
        <mc:AlternateContent>
          <mc:Choice Requires="wps">
            <w:drawing>
              <wp:anchor behindDoc="0" distT="50800" distB="0" distL="0" distR="0" simplePos="0" locked="0" layoutInCell="1" allowOverlap="1" relativeHeight="637">
                <wp:simplePos x="0" y="0"/>
                <wp:positionH relativeFrom="column">
                  <wp:align>left</wp:align>
                </wp:positionH>
                <wp:positionV relativeFrom="line">
                  <wp:align>top</wp:align>
                </wp:positionV>
                <wp:extent cx="254000" cy="350520"/>
                <wp:effectExtent l="0" t="0" r="0" b="0"/>
                <wp:wrapSquare wrapText="right"/>
                <wp:docPr id="634" name="Frame6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150,000 shares of Standard BioTools Common Stock, (ii) 18,750 shares of Standard BioTools Common Stock underlying options that are exercisable as of October 15, 2023 or will become exercisable within 60 days after such date held by Mr. Davis and (iii) 45,833 shares of unvested Standard BioTools RSUs held by Mr. Davis that will vest within 60 days of October 15, 2023. </w:t>
      </w:r>
      <w:r>
        <mc:AlternateContent>
          <mc:Choice Requires="wps">
            <w:drawing>
              <wp:anchor behindDoc="0" distT="50800" distB="0" distL="0" distR="0" simplePos="0" locked="0" layoutInCell="1" allowOverlap="1" relativeHeight="638">
                <wp:simplePos x="0" y="0"/>
                <wp:positionH relativeFrom="column">
                  <wp:align>left</wp:align>
                </wp:positionH>
                <wp:positionV relativeFrom="line">
                  <wp:align>top</wp:align>
                </wp:positionV>
                <wp:extent cx="254000" cy="350520"/>
                <wp:effectExtent l="0" t="0" r="0" b="0"/>
                <wp:wrapSquare wrapText="right"/>
                <wp:docPr id="635" name="Frame6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70,183 shares of Standard BioTools Common Stock and (ii) 674,076 shares of Standard BioTools Common Stock underlying options that are exercisable as of October 15, 2023 or will become exercisable within 60 days after such date held by Mr. Kim. </w:t>
      </w:r>
      <w:r>
        <mc:AlternateContent>
          <mc:Choice Requires="wps">
            <w:drawing>
              <wp:anchor behindDoc="0" distT="50800" distB="0" distL="0" distR="0" simplePos="0" locked="0" layoutInCell="1" allowOverlap="1" relativeHeight="639">
                <wp:simplePos x="0" y="0"/>
                <wp:positionH relativeFrom="column">
                  <wp:align>left</wp:align>
                </wp:positionH>
                <wp:positionV relativeFrom="line">
                  <wp:align>top</wp:align>
                </wp:positionV>
                <wp:extent cx="254000" cy="350520"/>
                <wp:effectExtent l="0" t="0" r="0" b="0"/>
                <wp:wrapSquare wrapText="right"/>
                <wp:docPr id="636" name="Frame6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89,446 shares of Series B-1 Preferred Stock held of record by Casdin Master Fund, 38,334 shares of Series B-1 Preferred Stock held of record by Casdin Private Growth Fund and 1,200,000 shares of Standard BioTools Common Stock held of record by Casdin FO1 (see Footnote 1 above). Mr. Casdin is the managing member of the general partners of Casdin Master Fund, Casdin Private Growth Fund and Casdin FO1, and, as such, is deemed to have indirect beneficial ownership of such shares. Mr. Casdin’s reported shares include (i) 37,582,346 shares of Standard BioTools Common Stock </w:t>
      </w:r>
      <w:r>
        <mc:AlternateContent>
          <mc:Choice Requires="wps">
            <w:drawing>
              <wp:anchor behindDoc="0" distT="50800" distB="0" distL="0" distR="0" simplePos="0" locked="0" layoutInCell="1" allowOverlap="1" relativeHeight="640">
                <wp:simplePos x="0" y="0"/>
                <wp:positionH relativeFrom="column">
                  <wp:align>left</wp:align>
                </wp:positionH>
                <wp:positionV relativeFrom="line">
                  <wp:align>top</wp:align>
                </wp:positionV>
                <wp:extent cx="254000" cy="525780"/>
                <wp:effectExtent l="0" t="0" r="0" b="0"/>
                <wp:wrapSquare wrapText="right"/>
                <wp:docPr id="637" name="Frame6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upon conversion of the aforementioned Series B-1 Preferred Stock, (ii) 1,200,000 of the aforementioned shares of Standard BioTools Common Stock held of record by Casdin FO1, (iii) 34,809 shares of Standard BioTools Common Stock held by Mr. Casdin and (iv) 66,111 shares of Standard BioTools Common Stock underlying options that are exercisable as of October 15, 2023 or will become exercisable within 60 days after such date held by Mr. Casdin.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30,714 shares of Standard BioTools Common Stock, (ii) 118,452 shares of Standard BioTools Common Stock underlying options that are exercisable as of October 15, 2023 or will become exercisable within 60 days after such date held by Ms. Clague and (iii) 47,501 shares of Standard BioTools RSUs in respect to which Ms. Clague has deferred settlement. </w:t>
      </w:r>
      <w:r>
        <mc:AlternateContent>
          <mc:Choice Requires="wps">
            <w:drawing>
              <wp:anchor behindDoc="0" distT="50800" distB="0" distL="0" distR="0" simplePos="0" locked="0" layoutInCell="1" allowOverlap="1" relativeHeight="641">
                <wp:simplePos x="0" y="0"/>
                <wp:positionH relativeFrom="column">
                  <wp:align>left</wp:align>
                </wp:positionH>
                <wp:positionV relativeFrom="line">
                  <wp:align>top</wp:align>
                </wp:positionV>
                <wp:extent cx="254000" cy="525780"/>
                <wp:effectExtent l="0" t="0" r="0" b="0"/>
                <wp:wrapSquare wrapText="right"/>
                <wp:docPr id="638" name="Frame6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shares of Standard BioTools Common Stock underlying options that are exercisable as of October 15, 2023 or will become exercisable within 60 days after such date held by Mr. Eloi. </w:t>
      </w:r>
      <w:r>
        <mc:AlternateContent>
          <mc:Choice Requires="wps">
            <w:drawing>
              <wp:anchor behindDoc="0" distT="50800" distB="0" distL="0" distR="0" simplePos="0" locked="0" layoutInCell="1" allowOverlap="1" relativeHeight="642">
                <wp:simplePos x="0" y="0"/>
                <wp:positionH relativeFrom="column">
                  <wp:align>left</wp:align>
                </wp:positionH>
                <wp:positionV relativeFrom="line">
                  <wp:align>top</wp:align>
                </wp:positionV>
                <wp:extent cx="254000" cy="525780"/>
                <wp:effectExtent l="0" t="0" r="0" b="0"/>
                <wp:wrapSquare wrapText="right"/>
                <wp:docPr id="639" name="Frame6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34,809 shares of Standard BioTools Common Stock, (ii) 8,991 shares of unvested Standard BioTools RSUs held by Dr. Madaus that will vest within 60 days of October 15, 2023, (iii) 22,248 shares of Standard BioTools RSUs in respect to which Dr. Madaus has deferred settlement and (iv) 66,111 shares of Standard BioTools Common Stock underlying options that are exercisable as of October 15, 2023 or will become exercisable within 60 days after such date held by Dr. Madaus. </w:t>
      </w:r>
      <w:r>
        <mc:AlternateContent>
          <mc:Choice Requires="wps">
            <w:drawing>
              <wp:anchor behindDoc="0" distT="50800" distB="0" distL="0" distR="0" simplePos="0" locked="0" layoutInCell="1" allowOverlap="1" relativeHeight="643">
                <wp:simplePos x="0" y="0"/>
                <wp:positionH relativeFrom="column">
                  <wp:align>left</wp:align>
                </wp:positionH>
                <wp:positionV relativeFrom="line">
                  <wp:align>top</wp:align>
                </wp:positionV>
                <wp:extent cx="254000" cy="525780"/>
                <wp:effectExtent l="0" t="0" r="0" b="0"/>
                <wp:wrapSquare wrapText="right"/>
                <wp:docPr id="640" name="Frame6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4,225 shares of Standard BioTools Common Stock held by First Amended and Restated Revocable Trust Agreement For the Franklin R. Witney and Catherine J. Caulfield-Witney Trust Agreement Dated September 25, 2009 (dated July 31, 2018), of which Dr. Witney is the trustee, (ii) 30,584 shares of Standard BioTools Common Stock and (iii) 66,111 shares of Standard BioTools Common Stock underlying options that are exercisable as of October 15, 2023 or will become exercisable within 60 days after such date held by Dr. Witney. </w:t>
      </w:r>
      <w:r>
        <mc:AlternateContent>
          <mc:Choice Requires="wps">
            <w:drawing>
              <wp:anchor behindDoc="0" distT="50800" distB="0" distL="0" distR="0" simplePos="0" locked="0" layoutInCell="1" allowOverlap="1" relativeHeight="644">
                <wp:simplePos x="0" y="0"/>
                <wp:positionH relativeFrom="column">
                  <wp:align>left</wp:align>
                </wp:positionH>
                <wp:positionV relativeFrom="line">
                  <wp:align>top</wp:align>
                </wp:positionV>
                <wp:extent cx="254000" cy="525780"/>
                <wp:effectExtent l="0" t="0" r="0" b="0"/>
                <wp:wrapSquare wrapText="right"/>
                <wp:docPr id="641" name="Frame6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100,468 shares of Standard BioTools Common Stock and (ii) 137,052 shares of Standard BioTools Common Stock underlying options that are exercisable as of October 15, 2023 or will become exercisable within 60 days after such date held by Dr. Paya. </w:t>
      </w:r>
      <w:r>
        <mc:AlternateContent>
          <mc:Choice Requires="wps">
            <w:drawing>
              <wp:anchor behindDoc="0" distT="50800" distB="0" distL="0" distR="0" simplePos="0" locked="0" layoutInCell="1" allowOverlap="1" relativeHeight="645">
                <wp:simplePos x="0" y="0"/>
                <wp:positionH relativeFrom="column">
                  <wp:align>left</wp:align>
                </wp:positionH>
                <wp:positionV relativeFrom="line">
                  <wp:align>top</wp:align>
                </wp:positionV>
                <wp:extent cx="254000" cy="525780"/>
                <wp:effectExtent l="0" t="0" r="0" b="0"/>
                <wp:wrapSquare wrapText="right"/>
                <wp:docPr id="642" name="Frame6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footnotes 6 and 9 through 15 above. Also includes of 85,984 shares of Standard BioTools Common Stock held by Jeffrey Black, who is an executive officer but not a named executive officer. </w:t>
      </w:r>
      <w:r>
        <mc:AlternateContent>
          <mc:Choice Requires="wps">
            <w:drawing>
              <wp:anchor behindDoc="0" distT="50800" distB="0" distL="0" distR="0" simplePos="0" locked="0" layoutInCell="1" allowOverlap="1" relativeHeight="646">
                <wp:simplePos x="0" y="0"/>
                <wp:positionH relativeFrom="column">
                  <wp:align>left</wp:align>
                </wp:positionH>
                <wp:positionV relativeFrom="line">
                  <wp:align>top</wp:align>
                </wp:positionV>
                <wp:extent cx="254000" cy="525780"/>
                <wp:effectExtent l="0" t="0" r="0" b="0"/>
                <wp:wrapSquare wrapText="right"/>
                <wp:docPr id="643" name="Frame6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LEMA"/>
      <w:bookmarkEnd w:id="159"/>
      <w:r>
        <w:rPr>
          <w:rFonts w:ascii="calibri;arial;sans-serif" w:hAnsi="calibri;arial;sans-serif"/>
          <w:b w:val="false"/>
          <w:i w:val="false"/>
          <w:caps w:val="false"/>
          <w:smallCaps w:val="false"/>
          <w:color w:val="000000"/>
          <w:sz w:val="16"/>
        </w:rPr>
        <w:t>​</w:t>
      </w:r>
      <w:bookmarkStart w:id="160" w:name="tEXP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Standard BioTools Common Stock to be issued pursuant to the Merger is passed upon for Standard BioTools by Mintz, Levin, Cohn, Ferris, Glovsky and Popeo, P.C., Boston, Massachusetts.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Standard BioTools Inc. and management’s assessment of the effectiveness of internal control over financial reporting (which is included in Management’s Report on Internal Control over Financial Reporting) incorporated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by reference to Standard BioTools’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SomaLogic appearing in SomaLogic’s Annual Report (Form 10-K) for the year ended December 31,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IOCD1"/>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 allows SomaLogic and Standard BioTools to incorporate certain information into this joint proxy statement/prospectus by reference to other information that has been filed with the SEC. The information incorporated by reference is deemed to be part of this joint proxy statement/prospectus, except as set forth below and except for any information superseded by information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 later filed documents incorporated by reference into this joint proxy statement/prospectus. The documents that are incorporated by reference contain important information about SomaLogic and Standard BioTools and you should read this document together with any other documents incorporated by reference in this joint proxy statement/prospectus. Copies of all or any part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including the documents incorporated by reference or the exhibits, are available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This joint proxy statement/prospectus incorporates by reference the following documents that have previously been filed with the SEC by SomaLogic (File No. 001-40090) and Standard BioTools (File No. 001</w:t>
        <w:noBreakHyphen/>
        <w:t xml:space="preserve">34180), in each case excluding any information furnished but not filed pursuant to the rules promulgated under the Exchange Act: </w:t>
      </w:r>
    </w:p>
    <w:tbl>
      <w:tblPr>
        <w:tblW w:w="8812" w:type="dxa"/>
        <w:jc w:val="left"/>
        <w:tblInd w:w="1393" w:type="dxa"/>
        <w:tblLayout w:type="fixed"/>
        <w:tblCellMar>
          <w:top w:w="0" w:type="dxa"/>
          <w:left w:w="0" w:type="dxa"/>
          <w:bottom w:w="50" w:type="dxa"/>
          <w:right w:w="0" w:type="dxa"/>
        </w:tblCellMar>
      </w:tblPr>
      <w:tblGrid>
        <w:gridCol w:w="4315"/>
        <w:gridCol w:w="109"/>
        <w:gridCol w:w="109"/>
        <w:gridCol w:w="4124"/>
        <w:gridCol w:w="155"/>
      </w:tblGrid>
      <w:tr>
        <w:trPr/>
        <w:tc>
          <w:tcPr>
            <w:tcW w:w="4315" w:type="dxa"/>
            <w:tcBorders>
              <w:bottom w:val="single" w:sz="2" w:space="0" w:color="000000"/>
            </w:tcBorders>
            <w:vAlign w:val="center"/>
          </w:tcPr>
          <w:p>
            <w:pPr>
              <w:pStyle w:val="TableContents"/>
              <w:bidi w:val="0"/>
              <w:spacing w:before="0" w:after="0"/>
              <w:jc w:val="left"/>
              <w:rPr>
                <w:spacing w:val="-3"/>
              </w:rPr>
            </w:pPr>
            <w:r>
              <w:rPr>
                <w:spacing w:val="-3"/>
              </w:rPr>
              <w:t xml:space="preserve">SomaLogic SEC Filings (File No. 001-40090)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24" w:type="dxa"/>
            <w:tcBorders>
              <w:bottom w:val="single" w:sz="2" w:space="0" w:color="000000"/>
            </w:tcBorders>
            <w:vAlign w:val="center"/>
          </w:tcPr>
          <w:p>
            <w:pPr>
              <w:pStyle w:val="TableContents"/>
              <w:bidi w:val="0"/>
              <w:spacing w:before="0" w:after="0"/>
              <w:jc w:val="center"/>
              <w:rPr>
                <w:spacing w:val="-3"/>
              </w:rPr>
            </w:pPr>
            <w:r>
              <w:rPr>
                <w:spacing w:val="-3"/>
              </w:rPr>
              <w:t xml:space="preserve">Period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24" w:type="dxa"/>
            <w:tcBorders/>
            <w:tcMar>
              <w:bottom w:w="0" w:type="dxa"/>
            </w:tcMar>
            <w:vAlign w:val="center"/>
          </w:tcPr>
          <w:p>
            <w:pPr>
              <w:pStyle w:val="TableContents"/>
              <w:bidi w:val="0"/>
              <w:spacing w:before="0" w:after="0"/>
              <w:jc w:val="left"/>
              <w:rPr/>
            </w:pPr>
            <w:hyperlink r:id="rId12">
              <w:r>
                <w:rPr>
                  <w:rStyle w:val="InternetLink"/>
                  <w:spacing w:val="4"/>
                </w:rPr>
                <w:t>Fiscal year ended December 31,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283"/>
              <w:jc w:val="left"/>
              <w:rPr>
                <w:spacing w:val="4"/>
              </w:rPr>
            </w:pPr>
            <w:r>
              <w:rPr>
                <w:spacing w:val="4"/>
              </w:rPr>
              <w:t xml:space="preserve">Portions of the Proxy Statement on Schedule 14A incorporated by reference in the Annual Report on Form 10-K for the fiscal 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24" w:type="dxa"/>
            <w:tcBorders/>
            <w:tcMar>
              <w:bottom w:w="0" w:type="dxa"/>
            </w:tcMar>
            <w:vAlign w:val="center"/>
          </w:tcPr>
          <w:p>
            <w:pPr>
              <w:pStyle w:val="TableContents"/>
              <w:bidi w:val="0"/>
              <w:spacing w:before="0" w:after="0"/>
              <w:jc w:val="left"/>
              <w:rPr/>
            </w:pPr>
            <w:hyperlink r:id="rId13">
              <w:r>
                <w:rPr>
                  <w:rStyle w:val="InternetLink"/>
                  <w:spacing w:val="4"/>
                </w:rPr>
                <w:t>Filed April 25,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24" w:type="dxa"/>
            <w:tcBorders/>
            <w:tcMar>
              <w:bottom w:w="0" w:type="dxa"/>
            </w:tcMar>
            <w:vAlign w:val="center"/>
          </w:tcPr>
          <w:p>
            <w:pPr>
              <w:pStyle w:val="TableContents"/>
              <w:bidi w:val="0"/>
              <w:spacing w:before="0" w:after="283"/>
              <w:jc w:val="left"/>
              <w:rPr/>
            </w:pPr>
            <w:r>
              <w:rPr>
                <w:spacing w:val="4"/>
              </w:rPr>
              <w:t xml:space="preserve">Quarterly periods ended </w:t>
            </w:r>
            <w:hyperlink r:id="rId14">
              <w:r>
                <w:rPr>
                  <w:rStyle w:val="InternetLink"/>
                  <w:spacing w:val="4"/>
                </w:rPr>
                <w:t>March 31, 2023</w:t>
              </w:r>
            </w:hyperlink>
            <w:r>
              <w:rPr>
                <w:spacing w:val="4"/>
              </w:rPr>
              <w:t xml:space="preserve">, </w:t>
            </w:r>
            <w:hyperlink r:id="rId15">
              <w:r>
                <w:rPr>
                  <w:rStyle w:val="InternetLink"/>
                  <w:spacing w:val="4"/>
                </w:rPr>
                <w:t>June 30, 2023</w:t>
              </w:r>
            </w:hyperlink>
            <w:r>
              <w:rPr>
                <w:spacing w:val="4"/>
              </w:rPr>
              <w:t xml:space="preserve"> and </w:t>
            </w:r>
            <w:hyperlink r:id="rId16">
              <w:r>
                <w:rPr>
                  <w:rStyle w:val="InternetLink"/>
                  <w:spacing w:val="4"/>
                </w:rPr>
                <w:t>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283"/>
              <w:jc w:val="left"/>
              <w:rPr>
                <w:spacing w:val="4"/>
              </w:rPr>
            </w:pPr>
            <w:r>
              <w:rPr>
                <w:spacing w:val="4"/>
              </w:rPr>
              <w:t xml:space="preserve">Current Reports on Form 8-K, excluding any information furnished but not filed pursuant to the rules promulgated under the 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24" w:type="dxa"/>
            <w:tcBorders/>
            <w:tcMar>
              <w:bottom w:w="0" w:type="dxa"/>
            </w:tcMar>
            <w:vAlign w:val="center"/>
          </w:tcPr>
          <w:p>
            <w:pPr>
              <w:pStyle w:val="TableContents"/>
              <w:bidi w:val="0"/>
              <w:spacing w:before="0" w:after="283"/>
              <w:jc w:val="left"/>
              <w:rPr/>
            </w:pPr>
            <w:r>
              <w:rPr>
                <w:spacing w:val="4"/>
              </w:rPr>
              <w:t xml:space="preserve">Filed on </w:t>
            </w:r>
            <w:hyperlink r:id="rId17">
              <w:r>
                <w:rPr>
                  <w:rStyle w:val="InternetLink"/>
                  <w:spacing w:val="4"/>
                </w:rPr>
                <w:t>January 10, 2023</w:t>
              </w:r>
            </w:hyperlink>
            <w:r>
              <w:rPr>
                <w:spacing w:val="4"/>
              </w:rPr>
              <w:t xml:space="preserve">, </w:t>
            </w:r>
            <w:hyperlink r:id="rId18">
              <w:r>
                <w:rPr>
                  <w:rStyle w:val="InternetLink"/>
                  <w:spacing w:val="4"/>
                </w:rPr>
                <w:t>February 14, 2023</w:t>
              </w:r>
            </w:hyperlink>
            <w:r>
              <w:rPr>
                <w:spacing w:val="4"/>
              </w:rPr>
              <w:t xml:space="preserve">, </w:t>
            </w:r>
            <w:hyperlink r:id="rId19">
              <w:r>
                <w:rPr>
                  <w:rStyle w:val="InternetLink"/>
                  <w:spacing w:val="4"/>
                </w:rPr>
                <w:t>February 17, 2023</w:t>
              </w:r>
            </w:hyperlink>
            <w:r>
              <w:rPr>
                <w:spacing w:val="4"/>
              </w:rPr>
              <w:t xml:space="preserve">, </w:t>
            </w:r>
            <w:hyperlink r:id="rId20">
              <w:r>
                <w:rPr>
                  <w:rStyle w:val="InternetLink"/>
                  <w:spacing w:val="4"/>
                </w:rPr>
                <w:t>March 9, 2023</w:t>
              </w:r>
            </w:hyperlink>
            <w:r>
              <w:rPr>
                <w:spacing w:val="4"/>
              </w:rPr>
              <w:t xml:space="preserve">, </w:t>
            </w:r>
            <w:hyperlink r:id="rId21">
              <w:r>
                <w:rPr>
                  <w:rStyle w:val="InternetLink"/>
                  <w:spacing w:val="4"/>
                </w:rPr>
                <w:t>March 23, 2023</w:t>
              </w:r>
            </w:hyperlink>
            <w:r>
              <w:rPr>
                <w:spacing w:val="4"/>
              </w:rPr>
              <w:t xml:space="preserve">, </w:t>
            </w:r>
            <w:hyperlink r:id="rId22">
              <w:r>
                <w:rPr>
                  <w:rStyle w:val="InternetLink"/>
                  <w:spacing w:val="4"/>
                </w:rPr>
                <w:t>March 28, 2023</w:t>
              </w:r>
            </w:hyperlink>
            <w:r>
              <w:rPr>
                <w:spacing w:val="4"/>
              </w:rPr>
              <w:t xml:space="preserve">, </w:t>
            </w:r>
            <w:hyperlink r:id="rId23">
              <w:r>
                <w:rPr>
                  <w:rStyle w:val="InternetLink"/>
                  <w:spacing w:val="4"/>
                </w:rPr>
                <w:t>April 3, 2023</w:t>
              </w:r>
            </w:hyperlink>
            <w:r>
              <w:rPr>
                <w:spacing w:val="4"/>
              </w:rPr>
              <w:t xml:space="preserve">, </w:t>
            </w:r>
            <w:hyperlink r:id="rId24">
              <w:r>
                <w:rPr>
                  <w:rStyle w:val="InternetLink"/>
                  <w:spacing w:val="4"/>
                </w:rPr>
                <w:t>April 21, 2023</w:t>
              </w:r>
            </w:hyperlink>
            <w:r>
              <w:rPr>
                <w:spacing w:val="4"/>
              </w:rPr>
              <w:t xml:space="preserve">, </w:t>
            </w:r>
            <w:hyperlink r:id="rId25">
              <w:r>
                <w:rPr>
                  <w:rStyle w:val="InternetLink"/>
                  <w:spacing w:val="4"/>
                </w:rPr>
                <w:t>June 6, 2023</w:t>
              </w:r>
            </w:hyperlink>
            <w:r>
              <w:rPr>
                <w:spacing w:val="4"/>
              </w:rPr>
              <w:t xml:space="preserve">, </w:t>
            </w:r>
            <w:hyperlink r:id="rId26">
              <w:r>
                <w:rPr>
                  <w:rStyle w:val="InternetLink"/>
                  <w:spacing w:val="4"/>
                </w:rPr>
                <w:t>June 9, 2023</w:t>
              </w:r>
            </w:hyperlink>
            <w:r>
              <w:rPr>
                <w:spacing w:val="4"/>
              </w:rPr>
              <w:t xml:space="preserve">, </w:t>
            </w:r>
            <w:hyperlink r:id="rId27">
              <w:r>
                <w:rPr>
                  <w:rStyle w:val="InternetLink"/>
                  <w:spacing w:val="4"/>
                </w:rPr>
                <w:t>June 14, 2023</w:t>
              </w:r>
            </w:hyperlink>
            <w:r>
              <w:rPr>
                <w:spacing w:val="4"/>
              </w:rPr>
              <w:t xml:space="preserve">, </w:t>
            </w:r>
            <w:hyperlink r:id="rId28">
              <w:r>
                <w:rPr>
                  <w:rStyle w:val="InternetLink"/>
                  <w:spacing w:val="4"/>
                </w:rPr>
                <w:t>June 22, 2023</w:t>
              </w:r>
            </w:hyperlink>
            <w:r>
              <w:rPr>
                <w:spacing w:val="4"/>
              </w:rPr>
              <w:t xml:space="preserve">, and </w:t>
            </w:r>
            <w:hyperlink r:id="rId29">
              <w:r>
                <w:rPr>
                  <w:rStyle w:val="InternetLink"/>
                  <w:spacing w:val="4"/>
                </w:rPr>
                <w:t>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283"/>
              <w:jc w:val="left"/>
              <w:rPr>
                <w:spacing w:val="4"/>
              </w:rPr>
            </w:pPr>
            <w:r>
              <w:rPr>
                <w:spacing w:val="4"/>
              </w:rPr>
              <w:t xml:space="preserve">SomaLogic’s Description of Capital Stock, which is contained in the Registration Statement on Form 8-A, as filed with the SEC on February 19, 2021 and including any amendments or reports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2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50" w:type="dxa"/>
          <w:right w:w="0" w:type="dxa"/>
        </w:tblCellMar>
      </w:tblPr>
      <w:tblGrid>
        <w:gridCol w:w="4970"/>
        <w:gridCol w:w="109"/>
        <w:gridCol w:w="109"/>
        <w:gridCol w:w="3469"/>
        <w:gridCol w:w="155"/>
      </w:tblGrid>
      <w:tr>
        <w:trPr/>
        <w:tc>
          <w:tcPr>
            <w:tcW w:w="4970" w:type="dxa"/>
            <w:tcBorders>
              <w:bottom w:val="single" w:sz="2" w:space="0" w:color="000000"/>
            </w:tcBorders>
            <w:vAlign w:val="center"/>
          </w:tcPr>
          <w:p>
            <w:pPr>
              <w:pStyle w:val="TableContents"/>
              <w:bidi w:val="0"/>
              <w:spacing w:before="0" w:after="0"/>
              <w:jc w:val="left"/>
              <w:rPr>
                <w:spacing w:val="-3"/>
              </w:rPr>
            </w:pPr>
            <w:r>
              <w:rPr>
                <w:spacing w:val="-3"/>
              </w:rPr>
              <w:t xml:space="preserve">Standard BioTools SEC Filings (File No. 001-34180)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69" w:type="dxa"/>
            <w:tcBorders>
              <w:bottom w:val="single" w:sz="2" w:space="0" w:color="000000"/>
            </w:tcBorders>
            <w:vAlign w:val="center"/>
          </w:tcPr>
          <w:p>
            <w:pPr>
              <w:pStyle w:val="TableContents"/>
              <w:bidi w:val="0"/>
              <w:spacing w:before="0" w:after="0"/>
              <w:jc w:val="center"/>
              <w:rPr>
                <w:spacing w:val="-3"/>
              </w:rPr>
            </w:pPr>
            <w:r>
              <w:rPr>
                <w:spacing w:val="-3"/>
              </w:rPr>
              <w:t xml:space="preserve">Period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9" w:type="dxa"/>
            <w:tcBorders/>
            <w:tcMar>
              <w:bottom w:w="0" w:type="dxa"/>
            </w:tcMar>
            <w:vAlign w:val="center"/>
          </w:tcPr>
          <w:p>
            <w:pPr>
              <w:pStyle w:val="TableContents"/>
              <w:bidi w:val="0"/>
              <w:spacing w:before="0" w:after="0"/>
              <w:jc w:val="left"/>
              <w:rPr/>
            </w:pPr>
            <w:hyperlink r:id="rId30">
              <w:r>
                <w:rPr>
                  <w:rStyle w:val="InternetLink"/>
                  <w:spacing w:val="4"/>
                </w:rPr>
                <w:t>Fiscal year ended December 31,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283"/>
              <w:jc w:val="left"/>
              <w:rPr>
                <w:spacing w:val="4"/>
              </w:rPr>
            </w:pPr>
            <w:r>
              <w:rPr>
                <w:spacing w:val="4"/>
              </w:rPr>
              <w:t xml:space="preserve">Portions of the Proxy Statement on Schedule 14A incorporated by reference in the Annual Report on Form 10-K for the fiscal 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9" w:type="dxa"/>
            <w:tcBorders/>
            <w:tcMar>
              <w:bottom w:w="0" w:type="dxa"/>
            </w:tcMar>
            <w:vAlign w:val="center"/>
          </w:tcPr>
          <w:p>
            <w:pPr>
              <w:pStyle w:val="TableContents"/>
              <w:bidi w:val="0"/>
              <w:spacing w:before="0" w:after="0"/>
              <w:jc w:val="left"/>
              <w:rPr/>
            </w:pPr>
            <w:hyperlink r:id="rId31">
              <w:r>
                <w:rPr>
                  <w:rStyle w:val="InternetLink"/>
                  <w:spacing w:val="4"/>
                </w:rPr>
                <w:t>Filed on April 28,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9" w:type="dxa"/>
            <w:tcBorders/>
            <w:tcMar>
              <w:bottom w:w="0" w:type="dxa"/>
            </w:tcMar>
            <w:vAlign w:val="center"/>
          </w:tcPr>
          <w:p>
            <w:pPr>
              <w:pStyle w:val="TableContents"/>
              <w:bidi w:val="0"/>
              <w:spacing w:before="0" w:after="283"/>
              <w:jc w:val="left"/>
              <w:rPr/>
            </w:pPr>
            <w:r>
              <w:rPr>
                <w:spacing w:val="4"/>
              </w:rPr>
              <w:t xml:space="preserve">Quarterly periods ended </w:t>
            </w:r>
            <w:hyperlink r:id="rId32">
              <w:r>
                <w:rPr>
                  <w:rStyle w:val="InternetLink"/>
                  <w:spacing w:val="4"/>
                </w:rPr>
                <w:t>March 31, 2023</w:t>
              </w:r>
            </w:hyperlink>
            <w:r>
              <w:rPr>
                <w:spacing w:val="4"/>
              </w:rPr>
              <w:t xml:space="preserve">, </w:t>
            </w:r>
            <w:hyperlink r:id="rId33">
              <w:r>
                <w:rPr>
                  <w:rStyle w:val="InternetLink"/>
                  <w:spacing w:val="4"/>
                </w:rPr>
                <w:t>June 30, 2023</w:t>
              </w:r>
            </w:hyperlink>
            <w:r>
              <w:rPr>
                <w:spacing w:val="4"/>
              </w:rPr>
              <w:t xml:space="preserve"> and </w:t>
            </w:r>
            <w:hyperlink r:id="rId34">
              <w:r>
                <w:rPr>
                  <w:rStyle w:val="InternetLink"/>
                  <w:spacing w:val="4"/>
                </w:rPr>
                <w:t>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283"/>
              <w:jc w:val="left"/>
              <w:rPr>
                <w:spacing w:val="4"/>
              </w:rPr>
            </w:pPr>
            <w:r>
              <w:rPr>
                <w:spacing w:val="4"/>
              </w:rPr>
              <w:t xml:space="preserve">Current Reports on Form 8-K, excluding any information furnished but not filed pursuant to the rules promulgated under the 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9" w:type="dxa"/>
            <w:tcBorders/>
            <w:tcMar>
              <w:bottom w:w="0" w:type="dxa"/>
            </w:tcMar>
            <w:vAlign w:val="center"/>
          </w:tcPr>
          <w:p>
            <w:pPr>
              <w:pStyle w:val="TableContents"/>
              <w:bidi w:val="0"/>
              <w:spacing w:before="0" w:after="283"/>
              <w:jc w:val="left"/>
              <w:rPr/>
            </w:pPr>
            <w:r>
              <w:rPr>
                <w:spacing w:val="4"/>
              </w:rPr>
              <w:t xml:space="preserve">Filed on </w:t>
            </w:r>
            <w:hyperlink r:id="rId35">
              <w:r>
                <w:rPr>
                  <w:rStyle w:val="InternetLink"/>
                  <w:spacing w:val="4"/>
                </w:rPr>
                <w:t>March 13, 2023</w:t>
              </w:r>
            </w:hyperlink>
            <w:r>
              <w:rPr>
                <w:spacing w:val="4"/>
              </w:rPr>
              <w:t xml:space="preserve">, </w:t>
            </w:r>
            <w:hyperlink r:id="rId36">
              <w:r>
                <w:rPr>
                  <w:rStyle w:val="InternetLink"/>
                  <w:spacing w:val="4"/>
                </w:rPr>
                <w:t>March 16, 2023</w:t>
              </w:r>
            </w:hyperlink>
            <w:r>
              <w:rPr>
                <w:spacing w:val="4"/>
              </w:rPr>
              <w:t xml:space="preserve">, </w:t>
            </w:r>
            <w:hyperlink r:id="rId37">
              <w:r>
                <w:rPr>
                  <w:rStyle w:val="InternetLink"/>
                  <w:spacing w:val="4"/>
                </w:rPr>
                <w:t>May 3, 2023</w:t>
              </w:r>
            </w:hyperlink>
            <w:r>
              <w:rPr>
                <w:spacing w:val="4"/>
              </w:rPr>
              <w:t xml:space="preserve">, </w:t>
            </w:r>
            <w:hyperlink r:id="rId38">
              <w:r>
                <w:rPr>
                  <w:rStyle w:val="InternetLink"/>
                  <w:spacing w:val="4"/>
                </w:rPr>
                <w:t>May 15, 2023</w:t>
              </w:r>
            </w:hyperlink>
            <w:r>
              <w:rPr>
                <w:spacing w:val="4"/>
              </w:rPr>
              <w:t xml:space="preserve">, </w:t>
            </w:r>
            <w:hyperlink r:id="rId39">
              <w:r>
                <w:rPr>
                  <w:rStyle w:val="InternetLink"/>
                  <w:spacing w:val="4"/>
                </w:rPr>
                <w:t>June 16, 2023</w:t>
              </w:r>
            </w:hyperlink>
            <w:r>
              <w:rPr>
                <w:spacing w:val="4"/>
              </w:rPr>
              <w:t xml:space="preserve">, </w:t>
            </w:r>
            <w:hyperlink r:id="rId40">
              <w:r>
                <w:rPr>
                  <w:rStyle w:val="InternetLink"/>
                  <w:spacing w:val="4"/>
                </w:rPr>
                <w:t>July 28, 2023</w:t>
              </w:r>
            </w:hyperlink>
            <w:r>
              <w:rPr>
                <w:spacing w:val="4"/>
              </w:rPr>
              <w:t xml:space="preserve">, and </w:t>
            </w:r>
            <w:hyperlink r:id="rId41">
              <w:r>
                <w:rPr>
                  <w:rStyle w:val="InternetLink"/>
                  <w:spacing w:val="4"/>
                </w:rPr>
                <w:t>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283"/>
              <w:jc w:val="left"/>
              <w:rPr>
                <w:spacing w:val="4"/>
              </w:rPr>
            </w:pPr>
            <w:r>
              <w:rPr>
                <w:spacing w:val="4"/>
              </w:rPr>
              <w:t xml:space="preserve">Any description of Standard BioTools Common Stock contained in a registration statement filed pursuant to the Exchange Act and any amendment or report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SomaLogic and Standard BioTools are each incorporating by reference any documents they may file under Section 13(a), 13(c), 14 or 15(d) of the Exchange Act after the date of this joint proxy statement/prospectus and prior to the date of the SomaLogic Special Meeting and the Standard BioTools Special Meeting, as the case may be. Such documents are considered to be part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effective as of the date such documents are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has supplied all information contained in or incorporated by reference into this joint proxy statement/prospectus relating to Standard BioTools and SomaLogic has supplied all such information relating to SomaLogic.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SomaLogic and Standard BioTools file annual, quarterly and current reports, proxy statements and other information with the SEC. You may obtain the information incorporated by reference and any other materials SomaLogic or Standard BioTools files with the SEC without charge by following the instructions in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208</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SomaLogic nor Standard BioTools has authorized anyone to give any information or make any representation about the Merger, the Merger Agreement or the transactions contemplated thereby, including any of the proposals set forth herein, that is different from, or in addition to, that contained in this joint proxy statement/prospectus or in any of the materials that have been incorporated into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Therefore, if anyone does give you information of this sort, you should not rely on it. If you are in a jurisdiction where offers to exchange or sell, or solicitations of offers to exchange or purchase, the securities offered by this joint proxy statement/prospectus or the solicitation of proxies is unlawful, or if you are a person to whom it is unlawful to direct these types of activities, then the offer presented in this joint proxy statement/prospectus does not extend to you. The information contained in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prospectus speaks only as of the date of this joint proxy statement/prospectus unless the information specifically indicates that another date applies.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WYCF"/>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and SomaLogic file annual, quarterly and current reports, proxy statements and other information with the SEC. The SEC maintains an Internet site that contains reports, proxy and information statements, and other information regarding issuers that file electronically with the SEC, including both Standard BioTools and SomaLogic, which you can access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SomaLogic’s SEC filings are also available on SomaLogic’s corporate website at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under the heading “Investors.” Standard BioTools’ SEC filings are also available on Standard BioTools’ corporate website at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under the heading “Investors Resources.” By referring to SomaLogic’s and Standard BioTools’ websites and the SEC’s website, Standard BioTools and SomaLogic do not incorporate any such website or its contents into this joint proxy statement/prospectus. SomaLogic Common Stock and SomaLogic Warrants are listed on The Nasdaq Capital Market under the trading symbols of “SLGC” and “SLGCW,” respectively, and Standard BioTools Common Stock is listed on The Nasdaq Global Select Market under the trading symbol “LAB.”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engaged Alliance Advisors as its proxy solicitor for the Standard BioTools Special Meeting. Any questions about the Merger, requests for additional copies of documents or assistance submitting a proxy or voting your shares of Standard BioTools capital stock may be directed to Alliance Advisors by mail at 200 Broadacres Drive, 3rd Floor, Bloomfield, NJ 07003 or via email at LAB@AllianceAdvisors.com. Standard BioTools stockholders may call Alliance Advisors toll-free at (800) 574-5969.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SomaLogic has engaged Morrow Sodali as its proxy solicitor for the SomaLogic Special Meeting. Any questions about the Merger, requests for additional copies of documents or assistance submitting a proxy or voting your shares of SomaLogic Common Stock may be directed to Morrow Sodali by mail at 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10022 or email at SLGC@info.morrowsodali.com. SomaLogic stockholders may call Morrow Sodali toll-free at (800) 662-5200. Brokers and banks may call toll-free at (203) 658-9400.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HOPM"/>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proxy statements, notices or other meeting materials with respect to two or more stockholders sharing the same address by delivering a single proxy materials or other meeting materials addressed to those stockholders. This process, which is commonly referred to as “householding,” potentially means extra convenience for stockholders and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additional copies of this joint proxy statement/prospectus should be directed to, as applicable: </w:t>
      </w:r>
    </w:p>
    <w:tbl>
      <w:tblPr>
        <w:tblW w:w="6665" w:type="dxa"/>
        <w:jc w:val="left"/>
        <w:tblInd w:w="1393" w:type="dxa"/>
        <w:tblLayout w:type="fixed"/>
        <w:tblCellMar>
          <w:top w:w="0" w:type="dxa"/>
          <w:left w:w="0" w:type="dxa"/>
          <w:bottom w:w="0" w:type="dxa"/>
          <w:right w:w="0" w:type="dxa"/>
        </w:tblCellMar>
      </w:tblPr>
      <w:tblGrid>
        <w:gridCol w:w="124"/>
        <w:gridCol w:w="3321"/>
        <w:gridCol w:w="109"/>
        <w:gridCol w:w="109"/>
        <w:gridCol w:w="2848"/>
        <w:gridCol w:w="154"/>
      </w:tblGrid>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283"/>
              <w:jc w:val="left"/>
              <w:rPr/>
            </w:pPr>
            <w:r>
              <w:rPr>
                <w:spacing w:val="4"/>
              </w:rPr>
              <w:t xml:space="preserve">Standard BioTools Inc. </w:t>
            </w:r>
            <w:r>
              <w:rPr/>
              <w:br/>
            </w:r>
            <w:r>
              <w:rPr>
                <w:spacing w:val="4"/>
              </w:rPr>
              <w:t xml:space="preserve">2 Tower Place, Suite 2000 </w:t>
            </w:r>
            <w:r>
              <w:rPr/>
              <w:br/>
            </w:r>
            <w:r>
              <w:rPr>
                <w:spacing w:val="4"/>
              </w:rPr>
              <w:t xml:space="preserve">South San Francisco, CA 94080 </w:t>
            </w:r>
            <w:r>
              <w:rPr/>
              <w:br/>
            </w:r>
            <w:r>
              <w:rPr>
                <w:spacing w:val="4"/>
              </w:rPr>
              <w:t xml:space="preserve">Attention: Corporate Secretary </w:t>
            </w:r>
            <w:r>
              <w:rPr/>
              <w:br/>
            </w:r>
            <w:r>
              <w:rPr>
                <w:spacing w:val="4"/>
              </w:rPr>
              <w:t>Telephone: (650) 266-6000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48" w:type="dxa"/>
            <w:tcBorders/>
            <w:vAlign w:val="center"/>
          </w:tcPr>
          <w:p>
            <w:pPr>
              <w:pStyle w:val="TableContents"/>
              <w:bidi w:val="0"/>
              <w:spacing w:before="0" w:after="283"/>
              <w:jc w:val="left"/>
              <w:rPr/>
            </w:pPr>
            <w:r>
              <w:rPr>
                <w:spacing w:val="4"/>
              </w:rPr>
              <w:t xml:space="preserve">SomaLogic, Inc. </w:t>
            </w:r>
            <w:r>
              <w:rPr/>
              <w:br/>
            </w:r>
            <w:r>
              <w:rPr>
                <w:spacing w:val="4"/>
              </w:rPr>
              <w:t xml:space="preserve">2945 Wilderness Place </w:t>
            </w:r>
            <w:r>
              <w:rPr/>
              <w:br/>
            </w:r>
            <w:r>
              <w:rPr>
                <w:spacing w:val="4"/>
              </w:rPr>
              <w:t xml:space="preserve">Boulder, CO 80301 </w:t>
            </w:r>
            <w:r>
              <w:rPr/>
              <w:br/>
            </w:r>
            <w:r>
              <w:rPr>
                <w:spacing w:val="4"/>
              </w:rPr>
              <w:t xml:space="preserve">Attention: General Counsel </w:t>
            </w:r>
            <w:r>
              <w:rPr/>
              <w:br/>
            </w:r>
            <w:r>
              <w:rPr>
                <w:spacing w:val="4"/>
              </w:rPr>
              <w:t>Telephone: (303) 625-9000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CFSB"/>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STANDARD BIOTOOLS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will give appropriate attention to written communications that are submitted by stockholders and will respond if and as appropriate. Standard BioTools’ Secretary is primarily responsible for monitoring communications from stockholders and for providing copies or summaries to Standard BioTools’ directors as he or she considers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Communications are distributed to the Standard BioTools Board, or to any individual directors as appropriate, depending on the facts and circumstances outlined in the communication. Stockholders who wish to send communications on any topic to the Standard BioTools Board should address such communications to the Standard BioTools Board (i) in writing: c/o Corporate Secretary, Standard BioTools Inc., 2 Tower Place, Suite 2000, South San Francisco, CA 94080 or (ii) by going online to: </w:t>
      </w:r>
      <w:r>
        <w:rPr>
          <w:rFonts w:ascii="Times New Roman;Times;serif" w:hAnsi="Times New Roman;Times;serif"/>
          <w:b w:val="false"/>
          <w:i/>
          <w:caps w:val="false"/>
          <w:smallCaps w:val="false"/>
          <w:color w:val="000000"/>
          <w:spacing w:val="4"/>
          <w:sz w:val="20"/>
        </w:rPr>
        <w:t>https://investors.standardbio.com</w:t>
      </w:r>
      <w:r>
        <w:rPr>
          <w:rFonts w:ascii="Times New Roman;Times;serif" w:hAnsi="Times New Roman;Times;serif"/>
          <w:b w:val="false"/>
          <w:i w:val="false"/>
          <w:caps w:val="false"/>
          <w:smallCaps w:val="false"/>
          <w:color w:val="000000"/>
          <w:spacing w:val="4"/>
          <w:sz w:val="20"/>
        </w:rPr>
        <w:t xml:space="preserve"> and clicking on “Governance — Contact the Board”.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CFSS"/>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SOMALOGIC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provides to every stockholder the ability to communicate with the SomaLogic Board, as a whole, and with individual directors on the SomaLogic Board through an established process for stockholder communication. Stockholders may communicate with the SomaLogic Board or individual directors by submitting written correspondences to SomaLogic’s headquarters at 2945 Wilderness Place, Boulder, CO 80301, Attn: Office of General Counsel. SomaLogic’s General Counsel may facilitate or direct such communications with the SomaLogic Board or individual directors by reviewing, sorting and summarizing such communications. All such communications will be referred to the SomaLogic Board or individual directors for consideration unless the SomaLogic Board instructs the Secretary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AAAA"/>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 — Agreement and Plan of Merger</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October 4,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OC5"/>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5"/>
        <w:gridCol w:w="109"/>
        <w:gridCol w:w="109"/>
        <w:gridCol w:w="109"/>
        <w:gridCol w:w="109"/>
        <w:gridCol w:w="607"/>
        <w:gridCol w:w="109"/>
        <w:gridCol w:w="155"/>
      </w:tblGrid>
      <w:tr>
        <w:trPr/>
        <w:tc>
          <w:tcPr>
            <w:tcW w:w="75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4"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before="0" w:after="0"/>
              <w:jc w:val="left"/>
              <w:rPr/>
            </w:pPr>
            <w:hyperlink w:anchor="tAIMC">
              <w:r>
                <w:rPr>
                  <w:rStyle w:val="InternetLink"/>
                  <w:spacing w:val="4"/>
                </w:rPr>
                <w:t xml:space="preserve">ARTICLE I   THE MERGER; CLOSING; SURVIVING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AIMC">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MUT">
              <w:r>
                <w:rPr>
                  <w:rStyle w:val="InternetLink"/>
                  <w:spacing w:val="4"/>
                </w:rPr>
                <w:t xml:space="preserve">The Merger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342900" cy="350520"/>
                      <wp:effectExtent l="0" t="0" r="0" b="0"/>
                      <wp:wrapSquare wrapText="right"/>
                      <wp:docPr id="644" name="Frame6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MUT">
                                    <w:r>
                                      <w:rPr>
                                        <w:rStyle w:val="InternetLink"/>
                                        <w:spacing w:val="4"/>
                                      </w:rPr>
                                      <w:t>1.1</w:t>
                                    </w:r>
                                  </w:hyperlink>
                                  <w:hyperlink w:anchor="t1MU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MUT">
                              <w:r>
                                <w:rPr>
                                  <w:rStyle w:val="InternetLink"/>
                                  <w:spacing w:val="4"/>
                                </w:rPr>
                                <w:t>1.1</w:t>
                              </w:r>
                            </w:hyperlink>
                            <w:hyperlink w:anchor="t1MU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MU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MU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TCO">
              <w:r>
                <w:rPr>
                  <w:rStyle w:val="InternetLink"/>
                  <w:spacing w:val="4"/>
                </w:rPr>
                <w:t xml:space="preserve">Closing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342900" cy="350520"/>
                      <wp:effectExtent l="0" t="0" r="0" b="0"/>
                      <wp:wrapSquare wrapText="right"/>
                      <wp:docPr id="645" name="Frame6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TCO">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TUT">
              <w:r>
                <w:rPr>
                  <w:rStyle w:val="InternetLink"/>
                  <w:spacing w:val="4"/>
                </w:rPr>
                <w:t xml:space="preserve">Effective Time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342900" cy="350520"/>
                      <wp:effectExtent l="0" t="0" r="0" b="0"/>
                      <wp:wrapSquare wrapText="right"/>
                      <wp:docPr id="646" name="Frame6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TUT">
                                    <w:r>
                                      <w:rPr>
                                        <w:rStyle w:val="InternetLink"/>
                                        <w:spacing w:val="4"/>
                                      </w:rPr>
                                      <w:t>1.3</w:t>
                                    </w:r>
                                  </w:hyperlink>
                                  <w:hyperlink w:anchor="t1TU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UT">
                              <w:r>
                                <w:rPr>
                                  <w:rStyle w:val="InternetLink"/>
                                  <w:spacing w:val="4"/>
                                </w:rPr>
                                <w:t>1.3</w:t>
                              </w:r>
                            </w:hyperlink>
                            <w:hyperlink w:anchor="t1TU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U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TU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COI">
              <w:r>
                <w:rPr>
                  <w:rStyle w:val="InternetLink"/>
                  <w:spacing w:val="4"/>
                </w:rPr>
                <w:t xml:space="preserve">The Certificate of Incorporation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342900" cy="350520"/>
                      <wp:effectExtent l="0" t="0" r="0" b="0"/>
                      <wp:wrapSquare wrapText="right"/>
                      <wp:docPr id="647" name="Frame6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COI">
                                    <w:r>
                                      <w:rPr>
                                        <w:rStyle w:val="InternetLink"/>
                                        <w:spacing w:val="4"/>
                                      </w:rPr>
                                      <w:t>1.4</w:t>
                                    </w:r>
                                  </w:hyperlink>
                                  <w:hyperlink w:anchor="t1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OI">
                              <w:r>
                                <w:rPr>
                                  <w:rStyle w:val="InternetLink"/>
                                  <w:spacing w:val="4"/>
                                </w:rPr>
                                <w:t>1.4</w:t>
                              </w:r>
                            </w:hyperlink>
                            <w:hyperlink w:anchor="t1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COI">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BAT">
              <w:r>
                <w:rPr>
                  <w:rStyle w:val="InternetLink"/>
                  <w:spacing w:val="4"/>
                </w:rPr>
                <w:t xml:space="preserve">The Bylaws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342900" cy="350520"/>
                      <wp:effectExtent l="0" t="0" r="0" b="0"/>
                      <wp:wrapSquare wrapText="right"/>
                      <wp:docPr id="648" name="Frame6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BAT">
                                    <w:r>
                                      <w:rPr>
                                        <w:rStyle w:val="InternetLink"/>
                                        <w:spacing w:val="4"/>
                                      </w:rPr>
                                      <w:t>1.5</w:t>
                                    </w:r>
                                  </w:hyperlink>
                                  <w:hyperlink w:anchor="t1B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BAT">
                              <w:r>
                                <w:rPr>
                                  <w:rStyle w:val="InternetLink"/>
                                  <w:spacing w:val="4"/>
                                </w:rPr>
                                <w:t>1.5</w:t>
                              </w:r>
                            </w:hyperlink>
                            <w:hyperlink w:anchor="t1B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B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BA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AOO">
              <w:r>
                <w:rPr>
                  <w:rStyle w:val="InternetLink"/>
                  <w:spacing w:val="4"/>
                </w:rPr>
                <w:t xml:space="preserve">Directors and Officers of Parent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342900" cy="350520"/>
                      <wp:effectExtent l="0" t="0" r="0" b="0"/>
                      <wp:wrapSquare wrapText="right"/>
                      <wp:docPr id="649" name="Frame6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AOO">
                                    <w:r>
                                      <w:rPr>
                                        <w:rStyle w:val="InternetLink"/>
                                        <w:spacing w:val="4"/>
                                      </w:rPr>
                                      <w:t>1.6</w:t>
                                    </w:r>
                                  </w:hyperlink>
                                  <w:hyperlink w:anchor="t1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OO">
                              <w:r>
                                <w:rPr>
                                  <w:rStyle w:val="InternetLink"/>
                                  <w:spacing w:val="4"/>
                                </w:rPr>
                                <w:t>1.6</w:t>
                              </w:r>
                            </w:hyperlink>
                            <w:hyperlink w:anchor="t1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AOO">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AOO1">
              <w:r>
                <w:rPr>
                  <w:rStyle w:val="InternetLink"/>
                  <w:spacing w:val="4"/>
                </w:rPr>
                <w:t xml:space="preserve">Directors and Officers of the Surviving Company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342900" cy="350520"/>
                      <wp:effectExtent l="0" t="0" r="0" b="0"/>
                      <wp:wrapSquare wrapText="right"/>
                      <wp:docPr id="650" name="Frame6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AOO1">
                                    <w:r>
                                      <w:rPr>
                                        <w:rStyle w:val="InternetLink"/>
                                        <w:spacing w:val="4"/>
                                      </w:rPr>
                                      <w:t>1.7</w:t>
                                    </w:r>
                                  </w:hyperlink>
                                  <w:hyperlink w:anchor="t1A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OO1">
                              <w:r>
                                <w:rPr>
                                  <w:rStyle w:val="InternetLink"/>
                                  <w:spacing w:val="4"/>
                                </w:rPr>
                                <w:t>1.7</w:t>
                              </w:r>
                            </w:hyperlink>
                            <w:hyperlink w:anchor="t1A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AOO1">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before="0" w:after="0"/>
              <w:jc w:val="left"/>
              <w:rPr/>
            </w:pPr>
            <w:hyperlink w:anchor="tAIOT">
              <w:r>
                <w:rPr>
                  <w:rStyle w:val="InternetLink"/>
                  <w:spacing w:val="4"/>
                </w:rPr>
                <w:t xml:space="preserve">ARTICLE II   EFFECT OF THE MERGER ON SECURITIES; EXCHANGE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AIOT">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2OCS">
              <w:r>
                <w:rPr>
                  <w:rStyle w:val="InternetLink"/>
                  <w:spacing w:val="4"/>
                </w:rPr>
                <w:t xml:space="preserve">Effect on Capital Stock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342900" cy="350520"/>
                      <wp:effectExtent l="0" t="0" r="0" b="0"/>
                      <wp:wrapSquare wrapText="right"/>
                      <wp:docPr id="651" name="Frame6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CS">
                                    <w:r>
                                      <w:rPr>
                                        <w:rStyle w:val="InternetLink"/>
                                        <w:spacing w:val="4"/>
                                      </w:rPr>
                                      <w:t>2.1</w:t>
                                    </w:r>
                                  </w:hyperlink>
                                  <w:hyperlink w:anchor="t2O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CS">
                              <w:r>
                                <w:rPr>
                                  <w:rStyle w:val="InternetLink"/>
                                  <w:spacing w:val="4"/>
                                </w:rPr>
                                <w:t>2.1</w:t>
                              </w:r>
                            </w:hyperlink>
                            <w:hyperlink w:anchor="t2O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2OCS">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2OC">
              <w:r>
                <w:rPr>
                  <w:rStyle w:val="InternetLink"/>
                  <w:spacing w:val="4"/>
                </w:rPr>
                <w:t xml:space="preserve">Exchange of Certificates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342900" cy="350520"/>
                      <wp:effectExtent l="0" t="0" r="0" b="0"/>
                      <wp:wrapSquare wrapText="right"/>
                      <wp:docPr id="652" name="Frame6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C">
                                    <w:r>
                                      <w:rPr>
                                        <w:rStyle w:val="InternetLink"/>
                                        <w:spacing w:val="4"/>
                                      </w:rPr>
                                      <w:t>2.2</w:t>
                                    </w:r>
                                  </w:hyperlink>
                                  <w:hyperlink w:anchor="t2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C">
                              <w:r>
                                <w:rPr>
                                  <w:rStyle w:val="InternetLink"/>
                                  <w:spacing w:val="4"/>
                                </w:rPr>
                                <w:t>2.2</w:t>
                              </w:r>
                            </w:hyperlink>
                            <w:hyperlink w:anchor="t2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2OC">
              <w:r>
                <w:rPr>
                  <w:rStyle w:val="InternetLink"/>
                  <w:spacing w:val="4"/>
                </w:rPr>
                <w:t>A-3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2OEA">
              <w:r>
                <w:rPr>
                  <w:rStyle w:val="InternetLink"/>
                  <w:spacing w:val="4"/>
                </w:rPr>
                <w:t xml:space="preserve">Treatment of Equity Awards and Warrants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342900" cy="350520"/>
                      <wp:effectExtent l="0" t="0" r="0" b="0"/>
                      <wp:wrapSquare wrapText="right"/>
                      <wp:docPr id="653" name="Frame6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EA">
                                    <w:r>
                                      <w:rPr>
                                        <w:rStyle w:val="InternetLink"/>
                                        <w:spacing w:val="4"/>
                                      </w:rPr>
                                      <w:t>2.3</w:t>
                                    </w:r>
                                  </w:hyperlink>
                                  <w:hyperlink w:anchor="t2O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EA">
                              <w:r>
                                <w:rPr>
                                  <w:rStyle w:val="InternetLink"/>
                                  <w:spacing w:val="4"/>
                                </w:rPr>
                                <w:t>2.3</w:t>
                              </w:r>
                            </w:hyperlink>
                            <w:hyperlink w:anchor="t2O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2OEA">
              <w:r>
                <w:rPr>
                  <w:rStyle w:val="InternetLink"/>
                  <w:spacing w:val="4"/>
                </w:rPr>
                <w:t>A-6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2REO">
              <w:r>
                <w:rPr>
                  <w:rStyle w:val="InternetLink"/>
                  <w:spacing w:val="4"/>
                </w:rPr>
                <w:t xml:space="preserve">Withholding Rights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342900" cy="350520"/>
                      <wp:effectExtent l="0" t="0" r="0" b="0"/>
                      <wp:wrapSquare wrapText="right"/>
                      <wp:docPr id="654" name="Frame6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REO">
                                    <w:r>
                                      <w:rPr>
                                        <w:rStyle w:val="InternetLink"/>
                                        <w:spacing w:val="4"/>
                                      </w:rPr>
                                      <w:t>2.4</w:t>
                                    </w:r>
                                  </w:hyperlink>
                                  <w:hyperlink w:anchor="t2R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REO">
                              <w:r>
                                <w:rPr>
                                  <w:rStyle w:val="InternetLink"/>
                                  <w:spacing w:val="4"/>
                                </w:rPr>
                                <w:t>2.4</w:t>
                              </w:r>
                            </w:hyperlink>
                            <w:hyperlink w:anchor="t2R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R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2REO">
              <w:r>
                <w:rPr>
                  <w:rStyle w:val="InternetLink"/>
                  <w:spacing w:val="4"/>
                </w:rPr>
                <w:t>A-7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before="0" w:after="0"/>
              <w:jc w:val="left"/>
              <w:rPr/>
            </w:pPr>
            <w:hyperlink w:anchor="tAIAW">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AIAW">
              <w:r>
                <w:rPr>
                  <w:rStyle w:val="InternetLink"/>
                  <w:spacing w:val="4"/>
                </w:rPr>
                <w:t>A-7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DTC">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342900" cy="350520"/>
                      <wp:effectExtent l="0" t="0" r="0" b="0"/>
                      <wp:wrapSquare wrapText="right"/>
                      <wp:docPr id="655" name="Frame6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DTC">
                                    <w:r>
                                      <w:rPr>
                                        <w:rStyle w:val="InternetLink"/>
                                        <w:spacing w:val="4"/>
                                      </w:rPr>
                                      <w:t>3.1</w:t>
                                    </w:r>
                                  </w:hyperlink>
                                  <w:hyperlink w:anchor="t3D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TC">
                              <w:r>
                                <w:rPr>
                                  <w:rStyle w:val="InternetLink"/>
                                  <w:spacing w:val="4"/>
                                </w:rPr>
                                <w:t>3.1</w:t>
                              </w:r>
                            </w:hyperlink>
                            <w:hyperlink w:anchor="t3D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DT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S">
              <w:r>
                <w:rPr>
                  <w:rStyle w:val="InternetLink"/>
                  <w:spacing w:val="4"/>
                </w:rPr>
                <w:t xml:space="preserve">Due Organization; Subsidiaries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342900" cy="350520"/>
                      <wp:effectExtent l="0" t="0" r="0" b="0"/>
                      <wp:wrapSquare wrapText="right"/>
                      <wp:docPr id="656" name="Frame6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S">
                                    <w:r>
                                      <w:rPr>
                                        <w:rStyle w:val="InternetLink"/>
                                        <w:spacing w:val="4"/>
                                      </w:rPr>
                                      <w:t>3.2</w:t>
                                    </w:r>
                                  </w:hyperlink>
                                  <w:hyperlink w:anchor="t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S">
                              <w:r>
                                <w:rPr>
                                  <w:rStyle w:val="InternetLink"/>
                                  <w:spacing w:val="4"/>
                                </w:rPr>
                                <w:t>3.2</w:t>
                              </w:r>
                            </w:hyperlink>
                            <w:hyperlink w:anchor="t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S">
              <w:r>
                <w:rPr>
                  <w:rStyle w:val="InternetLink"/>
                  <w:spacing w:val="4"/>
                </w:rPr>
                <w:t>A-8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3C">
              <w:r>
                <w:rPr>
                  <w:rStyle w:val="InternetLink"/>
                  <w:spacing w:val="4"/>
                </w:rPr>
                <w:t xml:space="preserve">Capitalization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342900" cy="350520"/>
                      <wp:effectExtent l="0" t="0" r="0" b="0"/>
                      <wp:wrapSquare wrapText="right"/>
                      <wp:docPr id="657" name="Frame64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3C">
                                    <w:r>
                                      <w:rPr>
                                        <w:rStyle w:val="InternetLink"/>
                                        <w:spacing w:val="4"/>
                                      </w:rPr>
                                      <w:t>3.3</w:t>
                                    </w:r>
                                  </w:hyperlink>
                                  <w:hyperlink w:anchor="t3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3C">
                              <w:r>
                                <w:rPr>
                                  <w:rStyle w:val="InternetLink"/>
                                  <w:spacing w:val="4"/>
                                </w:rPr>
                                <w:t>3.3</w:t>
                              </w:r>
                            </w:hyperlink>
                            <w:hyperlink w:anchor="t3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3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3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BNO">
              <w:r>
                <w:rPr>
                  <w:rStyle w:val="InternetLink"/>
                  <w:spacing w:val="4"/>
                </w:rPr>
                <w:t xml:space="preserve">Authority; Binding Nature of Agreement; Required Vote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342900" cy="350520"/>
                      <wp:effectExtent l="0" t="0" r="0" b="0"/>
                      <wp:wrapSquare wrapText="right"/>
                      <wp:docPr id="658" name="Frame64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NO">
                                    <w:r>
                                      <w:rPr>
                                        <w:rStyle w:val="InternetLink"/>
                                        <w:spacing w:val="4"/>
                                      </w:rPr>
                                      <w:t>3.4</w:t>
                                    </w:r>
                                  </w:hyperlink>
                                  <w:hyperlink w:anchor="t3B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NO">
                              <w:r>
                                <w:rPr>
                                  <w:rStyle w:val="InternetLink"/>
                                  <w:spacing w:val="4"/>
                                </w:rPr>
                                <w:t>3.4</w:t>
                              </w:r>
                            </w:hyperlink>
                            <w:hyperlink w:anchor="t3B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BNO">
              <w:r>
                <w:rPr>
                  <w:rStyle w:val="InternetLink"/>
                  <w:spacing w:val="4"/>
                </w:rPr>
                <w:t>A-10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5CO">
              <w:r>
                <w:rPr>
                  <w:rStyle w:val="InternetLink"/>
                  <w:spacing w:val="4"/>
                </w:rPr>
                <w:t xml:space="preserve">Non-Contravention; Consents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342900" cy="350520"/>
                      <wp:effectExtent l="0" t="0" r="0" b="0"/>
                      <wp:wrapSquare wrapText="right"/>
                      <wp:docPr id="659" name="Frame64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5CO">
                                    <w:r>
                                      <w:rPr>
                                        <w:rStyle w:val="InternetLink"/>
                                        <w:spacing w:val="4"/>
                                      </w:rPr>
                                      <w:t>3.5</w:t>
                                    </w:r>
                                  </w:hyperlink>
                                  <w:hyperlink w:anchor="t3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5CO">
                              <w:r>
                                <w:rPr>
                                  <w:rStyle w:val="InternetLink"/>
                                  <w:spacing w:val="4"/>
                                </w:rPr>
                                <w:t>3.5</w:t>
                              </w:r>
                            </w:hyperlink>
                            <w:hyperlink w:anchor="t3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5CO">
              <w:r>
                <w:rPr>
                  <w:rStyle w:val="InternetLink"/>
                  <w:spacing w:val="4"/>
                </w:rPr>
                <w:t>A-10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DFS">
              <w:r>
                <w:rPr>
                  <w:rStyle w:val="InternetLink"/>
                  <w:spacing w:val="4"/>
                </w:rPr>
                <w:t xml:space="preserve">SEC Documents; Financial Statements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342900" cy="350520"/>
                      <wp:effectExtent l="0" t="0" r="0" b="0"/>
                      <wp:wrapSquare wrapText="right"/>
                      <wp:docPr id="660" name="Frame65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DFS">
                                    <w:r>
                                      <w:rPr>
                                        <w:rStyle w:val="InternetLink"/>
                                        <w:spacing w:val="4"/>
                                      </w:rPr>
                                      <w:t>3.6</w:t>
                                    </w:r>
                                  </w:hyperlink>
                                  <w:hyperlink w:anchor="t3D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FS">
                              <w:r>
                                <w:rPr>
                                  <w:rStyle w:val="InternetLink"/>
                                  <w:spacing w:val="4"/>
                                </w:rPr>
                                <w:t>3.6</w:t>
                              </w:r>
                            </w:hyperlink>
                            <w:hyperlink w:anchor="t3D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F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DFS">
              <w:r>
                <w:rPr>
                  <w:rStyle w:val="InternetLink"/>
                  <w:spacing w:val="4"/>
                </w:rPr>
                <w:t>A-11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OCE">
              <w:r>
                <w:rPr>
                  <w:rStyle w:val="InternetLink"/>
                  <w:spacing w:val="4"/>
                </w:rPr>
                <w:t xml:space="preserve">Absence of Changes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342900" cy="350520"/>
                      <wp:effectExtent l="0" t="0" r="0" b="0"/>
                      <wp:wrapSquare wrapText="right"/>
                      <wp:docPr id="661" name="Frame65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CE">
                                    <w:r>
                                      <w:rPr>
                                        <w:rStyle w:val="InternetLink"/>
                                        <w:spacing w:val="4"/>
                                      </w:rPr>
                                      <w:t>3.7</w:t>
                                    </w:r>
                                  </w:hyperlink>
                                  <w:hyperlink w:anchor="t3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CE">
                              <w:r>
                                <w:rPr>
                                  <w:rStyle w:val="InternetLink"/>
                                  <w:spacing w:val="4"/>
                                </w:rPr>
                                <w:t>3.7</w:t>
                              </w:r>
                            </w:hyperlink>
                            <w:hyperlink w:anchor="t3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OCE">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UL">
              <w:r>
                <w:rPr>
                  <w:rStyle w:val="InternetLink"/>
                  <w:spacing w:val="4"/>
                </w:rPr>
                <w:t xml:space="preserve">Absence of Undisclosed Liabilities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342900" cy="350520"/>
                      <wp:effectExtent l="0" t="0" r="0" b="0"/>
                      <wp:wrapSquare wrapText="right"/>
                      <wp:docPr id="662" name="Frame65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UL">
                                    <w:r>
                                      <w:rPr>
                                        <w:rStyle w:val="InternetLink"/>
                                        <w:spacing w:val="4"/>
                                      </w:rPr>
                                      <w:t>3.8</w:t>
                                    </w:r>
                                  </w:hyperlink>
                                  <w:hyperlink w:anchor="t3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UL">
                              <w:r>
                                <w:rPr>
                                  <w:rStyle w:val="InternetLink"/>
                                  <w:spacing w:val="4"/>
                                </w:rPr>
                                <w:t>3.8</w:t>
                              </w:r>
                            </w:hyperlink>
                            <w:hyperlink w:anchor="t3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UL">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TAT">
              <w:r>
                <w:rPr>
                  <w:rStyle w:val="InternetLink"/>
                  <w:spacing w:val="4"/>
                </w:rPr>
                <w:t xml:space="preserve">Title to Assets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342900" cy="350520"/>
                      <wp:effectExtent l="0" t="0" r="0" b="0"/>
                      <wp:wrapSquare wrapText="right"/>
                      <wp:docPr id="663" name="Frame65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TAT">
                                    <w:r>
                                      <w:rPr>
                                        <w:rStyle w:val="InternetLink"/>
                                        <w:spacing w:val="4"/>
                                      </w:rPr>
                                      <w:t>3.9</w:t>
                                    </w:r>
                                  </w:hyperlink>
                                  <w:hyperlink w:anchor="t3T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AT">
                              <w:r>
                                <w:rPr>
                                  <w:rStyle w:val="InternetLink"/>
                                  <w:spacing w:val="4"/>
                                </w:rPr>
                                <w:t>3.9</w:t>
                              </w:r>
                            </w:hyperlink>
                            <w:hyperlink w:anchor="t3T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TAT">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PO">
              <w:r>
                <w:rPr>
                  <w:rStyle w:val="InternetLink"/>
                  <w:spacing w:val="4"/>
                </w:rPr>
                <w:t xml:space="preserve">Legal Proceedings; Orders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342900" cy="350520"/>
                      <wp:effectExtent l="0" t="0" r="0" b="0"/>
                      <wp:wrapSquare wrapText="right"/>
                      <wp:docPr id="664" name="Frame65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PO">
                                    <w:r>
                                      <w:rPr>
                                        <w:rStyle w:val="InternetLink"/>
                                        <w:spacing w:val="4"/>
                                      </w:rPr>
                                      <w:t>3.10</w:t>
                                    </w:r>
                                  </w:hyperlink>
                                  <w:hyperlink w:anchor="t3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O">
                              <w:r>
                                <w:rPr>
                                  <w:rStyle w:val="InternetLink"/>
                                  <w:spacing w:val="4"/>
                                </w:rPr>
                                <w:t>3.10</w:t>
                              </w:r>
                            </w:hyperlink>
                            <w:hyperlink w:anchor="t3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PO">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S">
              <w:r>
                <w:rPr>
                  <w:rStyle w:val="InternetLink"/>
                  <w:spacing w:val="4"/>
                </w:rPr>
                <w:t xml:space="preserve">Customers and Suppliers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342900" cy="350520"/>
                      <wp:effectExtent l="0" t="0" r="0" b="0"/>
                      <wp:wrapSquare wrapText="right"/>
                      <wp:docPr id="665" name="Frame65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S">
                                    <w:r>
                                      <w:rPr>
                                        <w:rStyle w:val="InternetLink"/>
                                        <w:spacing w:val="4"/>
                                      </w:rPr>
                                      <w:t>3.11</w:t>
                                    </w:r>
                                  </w:hyperlink>
                                  <w:hyperlink w:anchor="t3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S">
                              <w:r>
                                <w:rPr>
                                  <w:rStyle w:val="InternetLink"/>
                                  <w:spacing w:val="4"/>
                                </w:rPr>
                                <w:t>3.11</w:t>
                              </w:r>
                            </w:hyperlink>
                            <w:hyperlink w:anchor="t3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S">
              <w:r>
                <w:rPr>
                  <w:rStyle w:val="InternetLink"/>
                  <w:spacing w:val="4"/>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12">
              <w:r>
                <w:rPr>
                  <w:rStyle w:val="InternetLink"/>
                  <w:spacing w:val="4"/>
                </w:rPr>
                <w:t xml:space="preserve">Contracts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342900" cy="350520"/>
                      <wp:effectExtent l="0" t="0" r="0" b="0"/>
                      <wp:wrapSquare wrapText="right"/>
                      <wp:docPr id="666" name="Frame65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2">
                                    <w:r>
                                      <w:rPr>
                                        <w:rStyle w:val="InternetLink"/>
                                        <w:spacing w:val="4"/>
                                      </w:rPr>
                                      <w:t>3.12</w:t>
                                    </w:r>
                                  </w:hyperlink>
                                  <w:hyperlink w:anchor="t3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2">
                              <w:r>
                                <w:rPr>
                                  <w:rStyle w:val="InternetLink"/>
                                  <w:spacing w:val="4"/>
                                </w:rPr>
                                <w:t>3.12</w:t>
                              </w:r>
                            </w:hyperlink>
                            <w:hyperlink w:anchor="t3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12">
              <w:r>
                <w:rPr>
                  <w:rStyle w:val="InternetLink"/>
                  <w:spacing w:val="4"/>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LM">
              <w:r>
                <w:rPr>
                  <w:rStyle w:val="InternetLink"/>
                  <w:spacing w:val="4"/>
                </w:rPr>
                <w:t xml:space="preserve">Employee and Labor Matters; Benefits Plans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342900" cy="350520"/>
                      <wp:effectExtent l="0" t="0" r="0" b="0"/>
                      <wp:wrapSquare wrapText="right"/>
                      <wp:docPr id="667" name="Frame65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LM">
                                    <w:r>
                                      <w:rPr>
                                        <w:rStyle w:val="InternetLink"/>
                                        <w:spacing w:val="4"/>
                                      </w:rPr>
                                      <w:t>3.13</w:t>
                                    </w:r>
                                  </w:hyperlink>
                                  <w:hyperlink w:anchor="t3A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LM">
                              <w:r>
                                <w:rPr>
                                  <w:rStyle w:val="InternetLink"/>
                                  <w:spacing w:val="4"/>
                                </w:rPr>
                                <w:t>3.13</w:t>
                              </w:r>
                            </w:hyperlink>
                            <w:hyperlink w:anchor="t3A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LM">
              <w:r>
                <w:rPr>
                  <w:rStyle w:val="InternetLink"/>
                  <w:spacing w:val="4"/>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MTC">
              <w:r>
                <w:rPr>
                  <w:rStyle w:val="InternetLink"/>
                  <w:spacing w:val="4"/>
                </w:rPr>
                <w:t xml:space="preserve">Environmental Matters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342900" cy="350520"/>
                      <wp:effectExtent l="0" t="0" r="0" b="0"/>
                      <wp:wrapSquare wrapText="right"/>
                      <wp:docPr id="668" name="Frame65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MTC">
                                    <w:r>
                                      <w:rPr>
                                        <w:rStyle w:val="InternetLink"/>
                                        <w:spacing w:val="4"/>
                                      </w:rPr>
                                      <w:t>3.14</w:t>
                                    </w:r>
                                  </w:hyperlink>
                                  <w:hyperlink w:anchor="t3M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MTC">
                              <w:r>
                                <w:rPr>
                                  <w:rStyle w:val="InternetLink"/>
                                  <w:spacing w:val="4"/>
                                </w:rPr>
                                <w:t>3.14</w:t>
                              </w:r>
                            </w:hyperlink>
                            <w:hyperlink w:anchor="t3M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M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MTC">
              <w:r>
                <w:rPr>
                  <w:rStyle w:val="InternetLink"/>
                  <w:spacing w:val="4"/>
                </w:rPr>
                <w:t>A-20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15">
              <w:r>
                <w:rPr>
                  <w:rStyle w:val="InternetLink"/>
                  <w:spacing w:val="4"/>
                </w:rPr>
                <w:t xml:space="preserve">Taxes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342900" cy="350520"/>
                      <wp:effectExtent l="0" t="0" r="0" b="0"/>
                      <wp:wrapSquare wrapText="right"/>
                      <wp:docPr id="669" name="Frame65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5">
                                    <w:r>
                                      <w:rPr>
                                        <w:rStyle w:val="InternetLink"/>
                                        <w:spacing w:val="4"/>
                                      </w:rPr>
                                      <w:t>3.15</w:t>
                                    </w:r>
                                  </w:hyperlink>
                                  <w:hyperlink w:anchor="t3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5">
                              <w:r>
                                <w:rPr>
                                  <w:rStyle w:val="InternetLink"/>
                                  <w:spacing w:val="4"/>
                                </w:rPr>
                                <w:t>3.15</w:t>
                              </w:r>
                            </w:hyperlink>
                            <w:hyperlink w:anchor="t3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5">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15">
              <w:r>
                <w:rPr>
                  <w:rStyle w:val="InternetLink"/>
                  <w:spacing w:val="4"/>
                </w:rPr>
                <w:t>A-20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1PR">
              <w:r>
                <w:rPr>
                  <w:rStyle w:val="InternetLink"/>
                  <w:spacing w:val="4"/>
                </w:rPr>
                <w:t xml:space="preserve">Intellectual Property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342900" cy="350520"/>
                      <wp:effectExtent l="0" t="0" r="0" b="0"/>
                      <wp:wrapSquare wrapText="right"/>
                      <wp:docPr id="670" name="Frame66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PR">
                                    <w:r>
                                      <w:rPr>
                                        <w:rStyle w:val="InternetLink"/>
                                        <w:spacing w:val="4"/>
                                      </w:rPr>
                                      <w:t>3.16</w:t>
                                    </w:r>
                                  </w:hyperlink>
                                  <w:hyperlink w:anchor="t3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PR">
                              <w:r>
                                <w:rPr>
                                  <w:rStyle w:val="InternetLink"/>
                                  <w:spacing w:val="4"/>
                                </w:rPr>
                                <w:t>3.16</w:t>
                              </w:r>
                            </w:hyperlink>
                            <w:hyperlink w:anchor="t3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1PR">
              <w:r>
                <w:rPr>
                  <w:rStyle w:val="InternetLink"/>
                  <w:spacing w:val="4"/>
                </w:rPr>
                <w:t>A-22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DS">
              <w:r>
                <w:rPr>
                  <w:rStyle w:val="InternetLink"/>
                  <w:spacing w:val="4"/>
                </w:rPr>
                <w:t xml:space="preserve">Privacy and Data Security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342900" cy="350520"/>
                      <wp:effectExtent l="0" t="0" r="0" b="0"/>
                      <wp:wrapSquare wrapText="right"/>
                      <wp:docPr id="671" name="Frame66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DS">
                                    <w:r>
                                      <w:rPr>
                                        <w:rStyle w:val="InternetLink"/>
                                        <w:spacing w:val="4"/>
                                      </w:rPr>
                                      <w:t>3.17</w:t>
                                    </w:r>
                                  </w:hyperlink>
                                  <w:hyperlink w:anchor="t3A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DS">
                              <w:r>
                                <w:rPr>
                                  <w:rStyle w:val="InternetLink"/>
                                  <w:spacing w:val="4"/>
                                </w:rPr>
                                <w:t>3.17</w:t>
                              </w:r>
                            </w:hyperlink>
                            <w:hyperlink w:anchor="t3A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DS">
              <w:r>
                <w:rPr>
                  <w:rStyle w:val="InternetLink"/>
                  <w:spacing w:val="4"/>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WLP">
              <w:r>
                <w:rPr>
                  <w:rStyle w:val="InternetLink"/>
                  <w:spacing w:val="4"/>
                </w:rPr>
                <w:t xml:space="preserve">Compliance with Laws; Permits; Regulatory Matters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342900" cy="350520"/>
                      <wp:effectExtent l="0" t="0" r="0" b="0"/>
                      <wp:wrapSquare wrapText="right"/>
                      <wp:docPr id="672" name="Frame66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LP">
                                    <w:r>
                                      <w:rPr>
                                        <w:rStyle w:val="InternetLink"/>
                                        <w:spacing w:val="4"/>
                                      </w:rPr>
                                      <w:t>3.18</w:t>
                                    </w:r>
                                  </w:hyperlink>
                                  <w:hyperlink w:anchor="t3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LP">
                              <w:r>
                                <w:rPr>
                                  <w:rStyle w:val="InternetLink"/>
                                  <w:spacing w:val="4"/>
                                </w:rPr>
                                <w:t>3.18</w:t>
                              </w:r>
                            </w:hyperlink>
                            <w:hyperlink w:anchor="t3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L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WLP">
              <w:r>
                <w:rPr>
                  <w:rStyle w:val="InternetLink"/>
                  <w:spacing w:val="4"/>
                </w:rPr>
                <w:t>A-26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TCH">
              <w:r>
                <w:rPr>
                  <w:rStyle w:val="InternetLink"/>
                  <w:spacing w:val="4"/>
                </w:rPr>
                <w:t xml:space="preserve">Insurance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342900" cy="350520"/>
                      <wp:effectExtent l="0" t="0" r="0" b="0"/>
                      <wp:wrapSquare wrapText="right"/>
                      <wp:docPr id="673" name="Frame66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TCH">
                                    <w:r>
                                      <w:rPr>
                                        <w:rStyle w:val="InternetLink"/>
                                        <w:spacing w:val="4"/>
                                      </w:rPr>
                                      <w:t>3.19</w:t>
                                    </w:r>
                                  </w:hyperlink>
                                  <w:hyperlink w:anchor="t3TC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CH">
                              <w:r>
                                <w:rPr>
                                  <w:rStyle w:val="InternetLink"/>
                                  <w:spacing w:val="4"/>
                                </w:rPr>
                                <w:t>3.19</w:t>
                              </w:r>
                            </w:hyperlink>
                            <w:hyperlink w:anchor="t3TC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C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TCH">
              <w:r>
                <w:rPr>
                  <w:rStyle w:val="InternetLink"/>
                  <w:spacing w:val="4"/>
                </w:rPr>
                <w:t>A-28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ENT">
              <w:r>
                <w:rPr>
                  <w:rStyle w:val="InternetLink"/>
                  <w:spacing w:val="4"/>
                </w:rPr>
                <w:t xml:space="preserve">Real Estate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342900" cy="350520"/>
                      <wp:effectExtent l="0" t="0" r="0" b="0"/>
                      <wp:wrapSquare wrapText="right"/>
                      <wp:docPr id="674" name="Frame66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ENT">
                                    <w:r>
                                      <w:rPr>
                                        <w:rStyle w:val="InternetLink"/>
                                        <w:spacing w:val="4"/>
                                      </w:rPr>
                                      <w:t>3.20</w:t>
                                    </w:r>
                                  </w:hyperlink>
                                  <w:hyperlink w:anchor="t3E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NT">
                              <w:r>
                                <w:rPr>
                                  <w:rStyle w:val="InternetLink"/>
                                  <w:spacing w:val="4"/>
                                </w:rPr>
                                <w:t>3.20</w:t>
                              </w:r>
                            </w:hyperlink>
                            <w:hyperlink w:anchor="t3E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ENT">
              <w:r>
                <w:rPr>
                  <w:rStyle w:val="InternetLink"/>
                  <w:spacing w:val="4"/>
                </w:rPr>
                <w:t>A-28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SAJ">
              <w:r>
                <w:rPr>
                  <w:rStyle w:val="InternetLink"/>
                  <w:spacing w:val="4"/>
                </w:rPr>
                <w:t xml:space="preserve">Registration Statement and Joint Proxy Statement/Prospectus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342900" cy="350520"/>
                      <wp:effectExtent l="0" t="0" r="0" b="0"/>
                      <wp:wrapSquare wrapText="right"/>
                      <wp:docPr id="675" name="Frame66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SAJ">
                                    <w:r>
                                      <w:rPr>
                                        <w:rStyle w:val="InternetLink"/>
                                        <w:spacing w:val="4"/>
                                      </w:rPr>
                                      <w:t>3.21</w:t>
                                    </w:r>
                                  </w:hyperlink>
                                  <w:hyperlink w:anchor="t3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AJ">
                              <w:r>
                                <w:rPr>
                                  <w:rStyle w:val="InternetLink"/>
                                  <w:spacing w:val="4"/>
                                </w:rPr>
                                <w:t>3.21</w:t>
                              </w:r>
                            </w:hyperlink>
                            <w:hyperlink w:anchor="t3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A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SAJ">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WAS">
              <w:r>
                <w:rPr>
                  <w:rStyle w:val="InternetLink"/>
                  <w:spacing w:val="4"/>
                </w:rPr>
                <w:t xml:space="preserve">Transactions with Affiliates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342900" cy="350520"/>
                      <wp:effectExtent l="0" t="0" r="0" b="0"/>
                      <wp:wrapSquare wrapText="right"/>
                      <wp:docPr id="676" name="Frame66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AS">
                                    <w:r>
                                      <w:rPr>
                                        <w:rStyle w:val="InternetLink"/>
                                        <w:spacing w:val="4"/>
                                      </w:rPr>
                                      <w:t>3.22</w:t>
                                    </w:r>
                                  </w:hyperlink>
                                  <w:hyperlink w:anchor="t3W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AS">
                              <w:r>
                                <w:rPr>
                                  <w:rStyle w:val="InternetLink"/>
                                  <w:spacing w:val="4"/>
                                </w:rPr>
                                <w:t>3.22</w:t>
                              </w:r>
                            </w:hyperlink>
                            <w:hyperlink w:anchor="t3W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WAS">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FE">
              <w:r>
                <w:rPr>
                  <w:rStyle w:val="InternetLink"/>
                  <w:spacing w:val="4"/>
                </w:rPr>
                <w:t xml:space="preserve">Brokers and Finders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342900" cy="350520"/>
                      <wp:effectExtent l="0" t="0" r="0" b="0"/>
                      <wp:wrapSquare wrapText="right"/>
                      <wp:docPr id="677" name="Frame66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FE">
                                    <w:r>
                                      <w:rPr>
                                        <w:rStyle w:val="InternetLink"/>
                                        <w:spacing w:val="4"/>
                                      </w:rPr>
                                      <w:t>3.23</w:t>
                                    </w:r>
                                  </w:hyperlink>
                                  <w:hyperlink w:anchor="t3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FE">
                              <w:r>
                                <w:rPr>
                                  <w:rStyle w:val="InternetLink"/>
                                  <w:spacing w:val="4"/>
                                </w:rPr>
                                <w:t>3.23</w:t>
                              </w:r>
                            </w:hyperlink>
                            <w:hyperlink w:anchor="t3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F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FE">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342900" cy="350520"/>
                      <wp:effectExtent l="0" t="0" r="0" b="0"/>
                      <wp:wrapSquare wrapText="right"/>
                      <wp:docPr id="678" name="Frame66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FA">
                                    <w:r>
                                      <w:rPr>
                                        <w:rStyle w:val="InternetLink"/>
                                        <w:spacing w:val="4"/>
                                      </w:rPr>
                                      <w:t>3.24</w:t>
                                    </w:r>
                                  </w:hyperlink>
                                  <w:hyperlink w:anchor="t3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FA">
                              <w:r>
                                <w:rPr>
                                  <w:rStyle w:val="InternetLink"/>
                                  <w:spacing w:val="4"/>
                                </w:rPr>
                                <w:t>3.24</w:t>
                              </w:r>
                            </w:hyperlink>
                            <w:hyperlink w:anchor="t3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FA">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BP">
              <w:r>
                <w:rPr>
                  <w:rStyle w:val="InternetLink"/>
                  <w:spacing w:val="4"/>
                </w:rPr>
                <w:t xml:space="preserve">Certain Business Practices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342900" cy="350520"/>
                      <wp:effectExtent l="0" t="0" r="0" b="0"/>
                      <wp:wrapSquare wrapText="right"/>
                      <wp:docPr id="679" name="Frame66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3.25</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3.25</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BP">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PC">
              <w:r>
                <w:rPr>
                  <w:rStyle w:val="InternetLink"/>
                  <w:spacing w:val="4"/>
                </w:rPr>
                <w:t xml:space="preserve">Ownership of Parent Common Stock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342900" cy="350520"/>
                      <wp:effectExtent l="0" t="0" r="0" b="0"/>
                      <wp:wrapSquare wrapText="right"/>
                      <wp:docPr id="680" name="Frame67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PC">
                                    <w:r>
                                      <w:rPr>
                                        <w:rStyle w:val="InternetLink"/>
                                        <w:spacing w:val="4"/>
                                      </w:rPr>
                                      <w:t>3.26</w:t>
                                    </w:r>
                                  </w:hyperlink>
                                  <w:hyperlink w:anchor="t3O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PC">
                              <w:r>
                                <w:rPr>
                                  <w:rStyle w:val="InternetLink"/>
                                  <w:spacing w:val="4"/>
                                </w:rPr>
                                <w:t>3.26</w:t>
                              </w:r>
                            </w:hyperlink>
                            <w:hyperlink w:anchor="t3O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P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PC">
              <w:r>
                <w:rPr>
                  <w:rStyle w:val="InternetLink"/>
                  <w:spacing w:val="4"/>
                </w:rPr>
                <w:t>A-30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OC6"/>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36"/>
        <w:gridCol w:w="109"/>
        <w:gridCol w:w="109"/>
        <w:gridCol w:w="109"/>
        <w:gridCol w:w="109"/>
        <w:gridCol w:w="576"/>
        <w:gridCol w:w="109"/>
        <w:gridCol w:w="155"/>
      </w:tblGrid>
      <w:tr>
        <w:trPr/>
        <w:tc>
          <w:tcPr>
            <w:tcW w:w="75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before="0" w:after="0"/>
              <w:ind w:left="200" w:right="0" w:hanging="200"/>
              <w:jc w:val="left"/>
              <w:rPr/>
            </w:pPr>
            <w:hyperlink w:anchor="tAIAW1">
              <w:r>
                <w:rPr>
                  <w:rStyle w:val="InternetLink"/>
                  <w:spacing w:val="4"/>
                </w:rPr>
                <w:t xml:space="preserve">ARTICLE IV   REPRESENTATIONS AND WARRANTIES OF PARENT AND MERGER </w:t>
              </w:r>
            </w:hyperlink>
            <w:hyperlink w:anchor="tAIAW1">
              <w:r>
                <w:rPr>
                  <w:rStyle w:val="InternetLink"/>
                </w:rPr>
                <w:br/>
              </w:r>
            </w:hyperlink>
            <w:hyperlink w:anchor="tAIAW1">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AIAW1">
              <w:r>
                <w:rPr>
                  <w:rStyle w:val="InternetLink"/>
                  <w:spacing w:val="4"/>
                </w:rPr>
                <w:t>A-30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DPH">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342900" cy="350520"/>
                      <wp:effectExtent l="0" t="0" r="0" b="0"/>
                      <wp:wrapSquare wrapText="right"/>
                      <wp:docPr id="681" name="Frame67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DPH">
                                    <w:r>
                                      <w:rPr>
                                        <w:rStyle w:val="InternetLink"/>
                                        <w:spacing w:val="4"/>
                                      </w:rPr>
                                      <w:t>4.1</w:t>
                                    </w:r>
                                  </w:hyperlink>
                                  <w:hyperlink w:anchor="t4DP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PH">
                              <w:r>
                                <w:rPr>
                                  <w:rStyle w:val="InternetLink"/>
                                  <w:spacing w:val="4"/>
                                </w:rPr>
                                <w:t>4.1</w:t>
                              </w:r>
                            </w:hyperlink>
                            <w:hyperlink w:anchor="t4DP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P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DPH">
              <w:r>
                <w:rPr>
                  <w:rStyle w:val="InternetLink"/>
                  <w:spacing w:val="4"/>
                </w:rPr>
                <w:t>A-30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S">
              <w:r>
                <w:rPr>
                  <w:rStyle w:val="InternetLink"/>
                  <w:spacing w:val="4"/>
                </w:rPr>
                <w:t xml:space="preserve">Due Organization; Subsidiaries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342900" cy="350520"/>
                      <wp:effectExtent l="0" t="0" r="0" b="0"/>
                      <wp:wrapSquare wrapText="right"/>
                      <wp:docPr id="682" name="Frame67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S">
                                    <w:r>
                                      <w:rPr>
                                        <w:rStyle w:val="InternetLink"/>
                                        <w:spacing w:val="4"/>
                                      </w:rPr>
                                      <w:t>4.2</w:t>
                                    </w:r>
                                  </w:hyperlink>
                                  <w:hyperlink w:anchor="t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S">
                              <w:r>
                                <w:rPr>
                                  <w:rStyle w:val="InternetLink"/>
                                  <w:spacing w:val="4"/>
                                </w:rPr>
                                <w:t>4.2</w:t>
                              </w:r>
                            </w:hyperlink>
                            <w:hyperlink w:anchor="t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S">
              <w:r>
                <w:rPr>
                  <w:rStyle w:val="InternetLink"/>
                  <w:spacing w:val="4"/>
                </w:rPr>
                <w:t>A-30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3C">
              <w:r>
                <w:rPr>
                  <w:rStyle w:val="InternetLink"/>
                  <w:spacing w:val="4"/>
                </w:rPr>
                <w:t xml:space="preserve">Capitalization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342900" cy="350520"/>
                      <wp:effectExtent l="0" t="0" r="0" b="0"/>
                      <wp:wrapSquare wrapText="right"/>
                      <wp:docPr id="683" name="Frame67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3C">
                                    <w:r>
                                      <w:rPr>
                                        <w:rStyle w:val="InternetLink"/>
                                        <w:spacing w:val="4"/>
                                      </w:rPr>
                                      <w:t>4.3</w:t>
                                    </w:r>
                                  </w:hyperlink>
                                  <w:hyperlink w:anchor="t4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3C">
                              <w:r>
                                <w:rPr>
                                  <w:rStyle w:val="InternetLink"/>
                                  <w:spacing w:val="4"/>
                                </w:rPr>
                                <w:t>4.3</w:t>
                              </w:r>
                            </w:hyperlink>
                            <w:hyperlink w:anchor="t4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3C">
              <w:r>
                <w:rPr>
                  <w:rStyle w:val="InternetLink"/>
                  <w:spacing w:val="4"/>
                </w:rPr>
                <w:t>A-31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BNO">
              <w:r>
                <w:rPr>
                  <w:rStyle w:val="InternetLink"/>
                  <w:spacing w:val="4"/>
                </w:rPr>
                <w:t xml:space="preserve">Authority; Binding Nature of Agreement; Required Vote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342900" cy="350520"/>
                      <wp:effectExtent l="0" t="0" r="0" b="0"/>
                      <wp:wrapSquare wrapText="right"/>
                      <wp:docPr id="684" name="Frame67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NO">
                                    <w:r>
                                      <w:rPr>
                                        <w:rStyle w:val="InternetLink"/>
                                        <w:spacing w:val="4"/>
                                      </w:rPr>
                                      <w:t>4.4</w:t>
                                    </w:r>
                                  </w:hyperlink>
                                  <w:hyperlink w:anchor="t4B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NO">
                              <w:r>
                                <w:rPr>
                                  <w:rStyle w:val="InternetLink"/>
                                  <w:spacing w:val="4"/>
                                </w:rPr>
                                <w:t>4.4</w:t>
                              </w:r>
                            </w:hyperlink>
                            <w:hyperlink w:anchor="t4B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BNO">
              <w:r>
                <w:rPr>
                  <w:rStyle w:val="InternetLink"/>
                  <w:spacing w:val="4"/>
                </w:rPr>
                <w:t>A-32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5CO">
              <w:r>
                <w:rPr>
                  <w:rStyle w:val="InternetLink"/>
                  <w:spacing w:val="4"/>
                </w:rPr>
                <w:t xml:space="preserve">Non-Contravention; Consents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342900" cy="350520"/>
                      <wp:effectExtent l="0" t="0" r="0" b="0"/>
                      <wp:wrapSquare wrapText="right"/>
                      <wp:docPr id="685" name="Frame67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5CO">
                                    <w:r>
                                      <w:rPr>
                                        <w:rStyle w:val="InternetLink"/>
                                        <w:spacing w:val="4"/>
                                      </w:rPr>
                                      <w:t>4.5</w:t>
                                    </w:r>
                                  </w:hyperlink>
                                  <w:hyperlink w:anchor="t4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5CO">
                              <w:r>
                                <w:rPr>
                                  <w:rStyle w:val="InternetLink"/>
                                  <w:spacing w:val="4"/>
                                </w:rPr>
                                <w:t>4.5</w:t>
                              </w:r>
                            </w:hyperlink>
                            <w:hyperlink w:anchor="t4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5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5CO">
              <w:r>
                <w:rPr>
                  <w:rStyle w:val="InternetLink"/>
                  <w:spacing w:val="4"/>
                </w:rPr>
                <w:t>A-33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DFS">
              <w:r>
                <w:rPr>
                  <w:rStyle w:val="InternetLink"/>
                  <w:spacing w:val="4"/>
                </w:rPr>
                <w:t xml:space="preserve">SEC Documents; Financial Statements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342900" cy="350520"/>
                      <wp:effectExtent l="0" t="0" r="0" b="0"/>
                      <wp:wrapSquare wrapText="right"/>
                      <wp:docPr id="686" name="Frame67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DFS">
                                    <w:r>
                                      <w:rPr>
                                        <w:rStyle w:val="InternetLink"/>
                                        <w:spacing w:val="4"/>
                                      </w:rPr>
                                      <w:t>4.6</w:t>
                                    </w:r>
                                  </w:hyperlink>
                                  <w:hyperlink w:anchor="t4D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FS">
                              <w:r>
                                <w:rPr>
                                  <w:rStyle w:val="InternetLink"/>
                                  <w:spacing w:val="4"/>
                                </w:rPr>
                                <w:t>4.6</w:t>
                              </w:r>
                            </w:hyperlink>
                            <w:hyperlink w:anchor="t4D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DFS">
              <w:r>
                <w:rPr>
                  <w:rStyle w:val="InternetLink"/>
                  <w:spacing w:val="4"/>
                </w:rPr>
                <w:t>A-34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OCE">
              <w:r>
                <w:rPr>
                  <w:rStyle w:val="InternetLink"/>
                  <w:spacing w:val="4"/>
                </w:rPr>
                <w:t xml:space="preserve">Absence of Changes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342900" cy="350520"/>
                      <wp:effectExtent l="0" t="0" r="0" b="0"/>
                      <wp:wrapSquare wrapText="right"/>
                      <wp:docPr id="687" name="Frame67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CE">
                                    <w:r>
                                      <w:rPr>
                                        <w:rStyle w:val="InternetLink"/>
                                        <w:spacing w:val="4"/>
                                      </w:rPr>
                                      <w:t>4.7</w:t>
                                    </w:r>
                                  </w:hyperlink>
                                  <w:hyperlink w:anchor="t4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CE">
                              <w:r>
                                <w:rPr>
                                  <w:rStyle w:val="InternetLink"/>
                                  <w:spacing w:val="4"/>
                                </w:rPr>
                                <w:t>4.7</w:t>
                              </w:r>
                            </w:hyperlink>
                            <w:hyperlink w:anchor="t4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OCE">
              <w:r>
                <w:rPr>
                  <w:rStyle w:val="InternetLink"/>
                  <w:spacing w:val="4"/>
                </w:rPr>
                <w:t>A-35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UL">
              <w:r>
                <w:rPr>
                  <w:rStyle w:val="InternetLink"/>
                  <w:spacing w:val="4"/>
                </w:rPr>
                <w:t xml:space="preserve">Absence of Undisclosed Liabilities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342900" cy="350520"/>
                      <wp:effectExtent l="0" t="0" r="0" b="0"/>
                      <wp:wrapSquare wrapText="right"/>
                      <wp:docPr id="688" name="Frame67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UL">
                                    <w:r>
                                      <w:rPr>
                                        <w:rStyle w:val="InternetLink"/>
                                        <w:spacing w:val="4"/>
                                      </w:rPr>
                                      <w:t>4.8</w:t>
                                    </w:r>
                                  </w:hyperlink>
                                  <w:hyperlink w:anchor="t4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UL">
                              <w:r>
                                <w:rPr>
                                  <w:rStyle w:val="InternetLink"/>
                                  <w:spacing w:val="4"/>
                                </w:rPr>
                                <w:t>4.8</w:t>
                              </w:r>
                            </w:hyperlink>
                            <w:hyperlink w:anchor="t4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U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UL">
              <w:r>
                <w:rPr>
                  <w:rStyle w:val="InternetLink"/>
                  <w:spacing w:val="4"/>
                </w:rPr>
                <w:t>A-36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TAP">
              <w:r>
                <w:rPr>
                  <w:rStyle w:val="InternetLink"/>
                  <w:spacing w:val="4"/>
                </w:rPr>
                <w:t xml:space="preserve">Title to Assets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342900" cy="350520"/>
                      <wp:effectExtent l="0" t="0" r="0" b="0"/>
                      <wp:wrapSquare wrapText="right"/>
                      <wp:docPr id="689" name="Frame67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TAP">
                                    <w:r>
                                      <w:rPr>
                                        <w:rStyle w:val="InternetLink"/>
                                        <w:spacing w:val="4"/>
                                      </w:rPr>
                                      <w:t>4.9</w:t>
                                    </w:r>
                                  </w:hyperlink>
                                  <w:hyperlink w:anchor="t4T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AP">
                              <w:r>
                                <w:rPr>
                                  <w:rStyle w:val="InternetLink"/>
                                  <w:spacing w:val="4"/>
                                </w:rPr>
                                <w:t>4.9</w:t>
                              </w:r>
                            </w:hyperlink>
                            <w:hyperlink w:anchor="t4T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A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TAP">
              <w:r>
                <w:rPr>
                  <w:rStyle w:val="InternetLink"/>
                  <w:spacing w:val="4"/>
                </w:rPr>
                <w:t>A-36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PO">
              <w:r>
                <w:rPr>
                  <w:rStyle w:val="InternetLink"/>
                  <w:spacing w:val="4"/>
                </w:rPr>
                <w:t xml:space="preserve">Legal Proceedings; Orders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342900" cy="350520"/>
                      <wp:effectExtent l="0" t="0" r="0" b="0"/>
                      <wp:wrapSquare wrapText="right"/>
                      <wp:docPr id="690" name="Frame68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O">
                                    <w:r>
                                      <w:rPr>
                                        <w:rStyle w:val="InternetLink"/>
                                        <w:spacing w:val="4"/>
                                      </w:rPr>
                                      <w:t>4.10</w:t>
                                    </w:r>
                                  </w:hyperlink>
                                  <w:hyperlink w:anchor="t4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O">
                              <w:r>
                                <w:rPr>
                                  <w:rStyle w:val="InternetLink"/>
                                  <w:spacing w:val="4"/>
                                </w:rPr>
                                <w:t>4.10</w:t>
                              </w:r>
                            </w:hyperlink>
                            <w:hyperlink w:anchor="t4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PO">
              <w:r>
                <w:rPr>
                  <w:rStyle w:val="InternetLink"/>
                  <w:spacing w:val="4"/>
                </w:rPr>
                <w:t>A-36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S">
              <w:r>
                <w:rPr>
                  <w:rStyle w:val="InternetLink"/>
                  <w:spacing w:val="4"/>
                </w:rPr>
                <w:t xml:space="preserve">Customers and Suppliers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342900" cy="350520"/>
                      <wp:effectExtent l="0" t="0" r="0" b="0"/>
                      <wp:wrapSquare wrapText="right"/>
                      <wp:docPr id="691" name="Frame68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S">
                                    <w:r>
                                      <w:rPr>
                                        <w:rStyle w:val="InternetLink"/>
                                        <w:spacing w:val="4"/>
                                      </w:rPr>
                                      <w:t>4.11</w:t>
                                    </w:r>
                                  </w:hyperlink>
                                  <w:hyperlink w:anchor="t4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S">
                              <w:r>
                                <w:rPr>
                                  <w:rStyle w:val="InternetLink"/>
                                  <w:spacing w:val="4"/>
                                </w:rPr>
                                <w:t>4.11</w:t>
                              </w:r>
                            </w:hyperlink>
                            <w:hyperlink w:anchor="t4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S">
              <w:r>
                <w:rPr>
                  <w:rStyle w:val="InternetLink"/>
                  <w:spacing w:val="4"/>
                </w:rPr>
                <w:t>A-36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2">
              <w:r>
                <w:rPr>
                  <w:rStyle w:val="InternetLink"/>
                  <w:spacing w:val="4"/>
                </w:rPr>
                <w:t xml:space="preserve">Contracts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342900" cy="350520"/>
                      <wp:effectExtent l="0" t="0" r="0" b="0"/>
                      <wp:wrapSquare wrapText="right"/>
                      <wp:docPr id="692" name="Frame68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2">
                                    <w:r>
                                      <w:rPr>
                                        <w:rStyle w:val="InternetLink"/>
                                        <w:spacing w:val="4"/>
                                      </w:rPr>
                                      <w:t>4.12</w:t>
                                    </w:r>
                                  </w:hyperlink>
                                  <w:hyperlink w:anchor="t4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2">
                              <w:r>
                                <w:rPr>
                                  <w:rStyle w:val="InternetLink"/>
                                  <w:spacing w:val="4"/>
                                </w:rPr>
                                <w:t>4.12</w:t>
                              </w:r>
                            </w:hyperlink>
                            <w:hyperlink w:anchor="t4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12">
              <w:r>
                <w:rPr>
                  <w:rStyle w:val="InternetLink"/>
                  <w:spacing w:val="4"/>
                </w:rPr>
                <w:t>A-37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LM">
              <w:r>
                <w:rPr>
                  <w:rStyle w:val="InternetLink"/>
                  <w:spacing w:val="4"/>
                </w:rPr>
                <w:t xml:space="preserve">Employee and Labor Matters; Benefits Plans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342900" cy="350520"/>
                      <wp:effectExtent l="0" t="0" r="0" b="0"/>
                      <wp:wrapSquare wrapText="right"/>
                      <wp:docPr id="693" name="Frame68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LM">
                                    <w:r>
                                      <w:rPr>
                                        <w:rStyle w:val="InternetLink"/>
                                        <w:spacing w:val="4"/>
                                      </w:rPr>
                                      <w:t>4.13</w:t>
                                    </w:r>
                                  </w:hyperlink>
                                  <w:hyperlink w:anchor="t4A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LM">
                              <w:r>
                                <w:rPr>
                                  <w:rStyle w:val="InternetLink"/>
                                  <w:spacing w:val="4"/>
                                </w:rPr>
                                <w:t>4.13</w:t>
                              </w:r>
                            </w:hyperlink>
                            <w:hyperlink w:anchor="t4A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L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LM">
              <w:r>
                <w:rPr>
                  <w:rStyle w:val="InternetLink"/>
                  <w:spacing w:val="4"/>
                </w:rPr>
                <w:t>A-38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MP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342900" cy="350520"/>
                      <wp:effectExtent l="0" t="0" r="0" b="0"/>
                      <wp:wrapSquare wrapText="right"/>
                      <wp:docPr id="694" name="Frame68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PA">
                                    <w:r>
                                      <w:rPr>
                                        <w:rStyle w:val="InternetLink"/>
                                        <w:spacing w:val="4"/>
                                      </w:rPr>
                                      <w:t>4.14</w:t>
                                    </w:r>
                                  </w:hyperlink>
                                  <w:hyperlink w:anchor="t4M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PA">
                              <w:r>
                                <w:rPr>
                                  <w:rStyle w:val="InternetLink"/>
                                  <w:spacing w:val="4"/>
                                </w:rPr>
                                <w:t>4.14</w:t>
                              </w:r>
                            </w:hyperlink>
                            <w:hyperlink w:anchor="t4M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MPA">
              <w:r>
                <w:rPr>
                  <w:rStyle w:val="InternetLink"/>
                  <w:spacing w:val="4"/>
                </w:rPr>
                <w:t>A-43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15">
              <w:r>
                <w:rPr>
                  <w:rStyle w:val="InternetLink"/>
                  <w:spacing w:val="4"/>
                </w:rPr>
                <w:t xml:space="preserve">Taxes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342900" cy="350520"/>
                      <wp:effectExtent l="0" t="0" r="0" b="0"/>
                      <wp:wrapSquare wrapText="right"/>
                      <wp:docPr id="695" name="Frame6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5">
                                    <w:r>
                                      <w:rPr>
                                        <w:rStyle w:val="InternetLink"/>
                                        <w:spacing w:val="4"/>
                                      </w:rPr>
                                      <w:t>4.15</w:t>
                                    </w:r>
                                  </w:hyperlink>
                                  <w:hyperlink w:anchor="t4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5">
                              <w:r>
                                <w:rPr>
                                  <w:rStyle w:val="InternetLink"/>
                                  <w:spacing w:val="4"/>
                                </w:rPr>
                                <w:t>4.15</w:t>
                              </w:r>
                            </w:hyperlink>
                            <w:hyperlink w:anchor="t4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5">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15">
              <w:r>
                <w:rPr>
                  <w:rStyle w:val="InternetLink"/>
                  <w:spacing w:val="4"/>
                </w:rPr>
                <w:t>A-43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PR">
              <w:r>
                <w:rPr>
                  <w:rStyle w:val="InternetLink"/>
                  <w:spacing w:val="4"/>
                </w:rPr>
                <w:t xml:space="preserve">Intellectual Property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342900" cy="350520"/>
                      <wp:effectExtent l="0" t="0" r="0" b="0"/>
                      <wp:wrapSquare wrapText="right"/>
                      <wp:docPr id="696" name="Frame6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PR">
                                    <w:r>
                                      <w:rPr>
                                        <w:rStyle w:val="InternetLink"/>
                                        <w:spacing w:val="4"/>
                                      </w:rPr>
                                      <w:t>4.16</w:t>
                                    </w:r>
                                  </w:hyperlink>
                                  <w:hyperlink w:anchor="t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PR">
                              <w:r>
                                <w:rPr>
                                  <w:rStyle w:val="InternetLink"/>
                                  <w:spacing w:val="4"/>
                                </w:rPr>
                                <w:t>4.16</w:t>
                              </w:r>
                            </w:hyperlink>
                            <w:hyperlink w:anchor="t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1PR">
              <w:r>
                <w:rPr>
                  <w:rStyle w:val="InternetLink"/>
                  <w:spacing w:val="4"/>
                </w:rPr>
                <w:t>A-44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DS">
              <w:r>
                <w:rPr>
                  <w:rStyle w:val="InternetLink"/>
                  <w:spacing w:val="4"/>
                </w:rPr>
                <w:t xml:space="preserve">Privacy and Data Security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342900" cy="350520"/>
                      <wp:effectExtent l="0" t="0" r="0" b="0"/>
                      <wp:wrapSquare wrapText="right"/>
                      <wp:docPr id="697" name="Frame6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DS">
                                    <w:r>
                                      <w:rPr>
                                        <w:rStyle w:val="InternetLink"/>
                                        <w:spacing w:val="4"/>
                                      </w:rPr>
                                      <w:t>4.17</w:t>
                                    </w:r>
                                  </w:hyperlink>
                                  <w:hyperlink w:anchor="t4A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DS">
                              <w:r>
                                <w:rPr>
                                  <w:rStyle w:val="InternetLink"/>
                                  <w:spacing w:val="4"/>
                                </w:rPr>
                                <w:t>4.17</w:t>
                              </w:r>
                            </w:hyperlink>
                            <w:hyperlink w:anchor="t4A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D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DS">
              <w:r>
                <w:rPr>
                  <w:rStyle w:val="InternetLink"/>
                  <w:spacing w:val="4"/>
                </w:rPr>
                <w:t>A-46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WLP">
              <w:r>
                <w:rPr>
                  <w:rStyle w:val="InternetLink"/>
                  <w:spacing w:val="4"/>
                </w:rPr>
                <w:t xml:space="preserve">Compliance with Laws; Permits; Regulatory Matters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342900" cy="350520"/>
                      <wp:effectExtent l="0" t="0" r="0" b="0"/>
                      <wp:wrapSquare wrapText="right"/>
                      <wp:docPr id="698" name="Frame6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LP">
                                    <w:r>
                                      <w:rPr>
                                        <w:rStyle w:val="InternetLink"/>
                                        <w:spacing w:val="4"/>
                                      </w:rPr>
                                      <w:t>4.18</w:t>
                                    </w:r>
                                  </w:hyperlink>
                                  <w:hyperlink w:anchor="t4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LP">
                              <w:r>
                                <w:rPr>
                                  <w:rStyle w:val="InternetLink"/>
                                  <w:spacing w:val="4"/>
                                </w:rPr>
                                <w:t>4.18</w:t>
                              </w:r>
                            </w:hyperlink>
                            <w:hyperlink w:anchor="t4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L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WLP">
              <w:r>
                <w:rPr>
                  <w:rStyle w:val="InternetLink"/>
                  <w:spacing w:val="4"/>
                </w:rPr>
                <w:t>A-48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PHM">
              <w:r>
                <w:rPr>
                  <w:rStyle w:val="InternetLink"/>
                  <w:spacing w:val="4"/>
                </w:rPr>
                <w:t xml:space="preserve">Insurance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342900" cy="350520"/>
                      <wp:effectExtent l="0" t="0" r="0" b="0"/>
                      <wp:wrapSquare wrapText="right"/>
                      <wp:docPr id="699" name="Frame6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HM">
                                    <w:r>
                                      <w:rPr>
                                        <w:rStyle w:val="InternetLink"/>
                                        <w:spacing w:val="4"/>
                                      </w:rPr>
                                      <w:t>4.19</w:t>
                                    </w:r>
                                  </w:hyperlink>
                                  <w:hyperlink w:anchor="t4PH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HM">
                              <w:r>
                                <w:rPr>
                                  <w:rStyle w:val="InternetLink"/>
                                  <w:spacing w:val="4"/>
                                </w:rPr>
                                <w:t>4.19</w:t>
                              </w:r>
                            </w:hyperlink>
                            <w:hyperlink w:anchor="t4PH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H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PHM">
              <w:r>
                <w:rPr>
                  <w:rStyle w:val="InternetLink"/>
                  <w:spacing w:val="4"/>
                </w:rPr>
                <w:t>A-50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ENP">
              <w:r>
                <w:rPr>
                  <w:rStyle w:val="InternetLink"/>
                  <w:spacing w:val="4"/>
                </w:rPr>
                <w:t xml:space="preserve">Real Estate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342900" cy="350520"/>
                      <wp:effectExtent l="0" t="0" r="0" b="0"/>
                      <wp:wrapSquare wrapText="right"/>
                      <wp:docPr id="700" name="Frame6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ENP">
                                    <w:r>
                                      <w:rPr>
                                        <w:rStyle w:val="InternetLink"/>
                                        <w:spacing w:val="4"/>
                                      </w:rPr>
                                      <w:t>4.20</w:t>
                                    </w:r>
                                  </w:hyperlink>
                                  <w:hyperlink w:anchor="t4E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NP">
                              <w:r>
                                <w:rPr>
                                  <w:rStyle w:val="InternetLink"/>
                                  <w:spacing w:val="4"/>
                                </w:rPr>
                                <w:t>4.20</w:t>
                              </w:r>
                            </w:hyperlink>
                            <w:hyperlink w:anchor="t4E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ENP">
              <w:r>
                <w:rPr>
                  <w:rStyle w:val="InternetLink"/>
                  <w:spacing w:val="4"/>
                </w:rPr>
                <w:t>A-50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SAJ">
              <w:r>
                <w:rPr>
                  <w:rStyle w:val="InternetLink"/>
                  <w:spacing w:val="4"/>
                </w:rPr>
                <w:t xml:space="preserve">Registration Statement and Joint Proxy Statement/Prospectus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342900" cy="350520"/>
                      <wp:effectExtent l="0" t="0" r="0" b="0"/>
                      <wp:wrapSquare wrapText="right"/>
                      <wp:docPr id="701" name="Frame6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SAJ">
                                    <w:r>
                                      <w:rPr>
                                        <w:rStyle w:val="InternetLink"/>
                                        <w:spacing w:val="4"/>
                                      </w:rPr>
                                      <w:t>4.21</w:t>
                                    </w:r>
                                  </w:hyperlink>
                                  <w:hyperlink w:anchor="t4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AJ">
                              <w:r>
                                <w:rPr>
                                  <w:rStyle w:val="InternetLink"/>
                                  <w:spacing w:val="4"/>
                                </w:rPr>
                                <w:t>4.21</w:t>
                              </w:r>
                            </w:hyperlink>
                            <w:hyperlink w:anchor="t4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A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SAJ">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WAS">
              <w:r>
                <w:rPr>
                  <w:rStyle w:val="InternetLink"/>
                  <w:spacing w:val="4"/>
                </w:rPr>
                <w:t xml:space="preserve">Transactions with Affiliates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342900" cy="350520"/>
                      <wp:effectExtent l="0" t="0" r="0" b="0"/>
                      <wp:wrapSquare wrapText="right"/>
                      <wp:docPr id="702" name="Frame6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AS">
                                    <w:r>
                                      <w:rPr>
                                        <w:rStyle w:val="InternetLink"/>
                                        <w:spacing w:val="4"/>
                                      </w:rPr>
                                      <w:t>4.22</w:t>
                                    </w:r>
                                  </w:hyperlink>
                                  <w:hyperlink w:anchor="t4W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AS">
                              <w:r>
                                <w:rPr>
                                  <w:rStyle w:val="InternetLink"/>
                                  <w:spacing w:val="4"/>
                                </w:rPr>
                                <w:t>4.22</w:t>
                              </w:r>
                            </w:hyperlink>
                            <w:hyperlink w:anchor="t4W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WAS">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FE">
              <w:r>
                <w:rPr>
                  <w:rStyle w:val="InternetLink"/>
                  <w:spacing w:val="4"/>
                </w:rPr>
                <w:t xml:space="preserve">Brokers and Finders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342900" cy="350520"/>
                      <wp:effectExtent l="0" t="0" r="0" b="0"/>
                      <wp:wrapSquare wrapText="right"/>
                      <wp:docPr id="703" name="Frame6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FE">
                                    <w:r>
                                      <w:rPr>
                                        <w:rStyle w:val="InternetLink"/>
                                        <w:spacing w:val="4"/>
                                      </w:rPr>
                                      <w:t>4.23</w:t>
                                    </w:r>
                                  </w:hyperlink>
                                  <w:hyperlink w:anchor="t4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FE">
                              <w:r>
                                <w:rPr>
                                  <w:rStyle w:val="InternetLink"/>
                                  <w:spacing w:val="4"/>
                                </w:rPr>
                                <w:t>4.23</w:t>
                              </w:r>
                            </w:hyperlink>
                            <w:hyperlink w:anchor="t4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FE">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342900" cy="350520"/>
                      <wp:effectExtent l="0" t="0" r="0" b="0"/>
                      <wp:wrapSquare wrapText="right"/>
                      <wp:docPr id="704" name="Frame6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FA">
                                    <w:r>
                                      <w:rPr>
                                        <w:rStyle w:val="InternetLink"/>
                                        <w:spacing w:val="4"/>
                                      </w:rPr>
                                      <w:t>4.24</w:t>
                                    </w:r>
                                  </w:hyperlink>
                                  <w:hyperlink w:anchor="t4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FA">
                              <w:r>
                                <w:rPr>
                                  <w:rStyle w:val="InternetLink"/>
                                  <w:spacing w:val="4"/>
                                </w:rPr>
                                <w:t>4.24</w:t>
                              </w:r>
                            </w:hyperlink>
                            <w:hyperlink w:anchor="t4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FA">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BP">
              <w:r>
                <w:rPr>
                  <w:rStyle w:val="InternetLink"/>
                  <w:spacing w:val="4"/>
                </w:rPr>
                <w:t xml:space="preserve">Certain Business Practices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342900" cy="350520"/>
                      <wp:effectExtent l="0" t="0" r="0" b="0"/>
                      <wp:wrapSquare wrapText="right"/>
                      <wp:docPr id="705" name="Frame6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P">
                                    <w:r>
                                      <w:rPr>
                                        <w:rStyle w:val="InternetLink"/>
                                        <w:spacing w:val="4"/>
                                      </w:rPr>
                                      <w:t>4.25</w:t>
                                    </w:r>
                                  </w:hyperlink>
                                  <w:hyperlink w:anchor="t4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P">
                              <w:r>
                                <w:rPr>
                                  <w:rStyle w:val="InternetLink"/>
                                  <w:spacing w:val="4"/>
                                </w:rPr>
                                <w:t>4.25</w:t>
                              </w:r>
                            </w:hyperlink>
                            <w:hyperlink w:anchor="t4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BP">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AOO">
              <w:r>
                <w:rPr>
                  <w:rStyle w:val="InternetLink"/>
                  <w:spacing w:val="4"/>
                </w:rPr>
                <w:t xml:space="preserve">Ownership and Operations of Merger Sub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42900" cy="350520"/>
                      <wp:effectExtent l="0" t="0" r="0" b="0"/>
                      <wp:wrapSquare wrapText="right"/>
                      <wp:docPr id="706" name="Frame6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OO">
                                    <w:r>
                                      <w:rPr>
                                        <w:rStyle w:val="InternetLink"/>
                                        <w:spacing w:val="4"/>
                                      </w:rPr>
                                      <w:t>4.26</w:t>
                                    </w:r>
                                  </w:hyperlink>
                                  <w:hyperlink w:anchor="t4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OO">
                              <w:r>
                                <w:rPr>
                                  <w:rStyle w:val="InternetLink"/>
                                  <w:spacing w:val="4"/>
                                </w:rPr>
                                <w:t>4.26</w:t>
                              </w:r>
                            </w:hyperlink>
                            <w:hyperlink w:anchor="t4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AOO">
              <w:r>
                <w:rPr>
                  <w:rStyle w:val="InternetLink"/>
                  <w:spacing w:val="4"/>
                </w:rPr>
                <w:t>A-52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OTC">
              <w:r>
                <w:rPr>
                  <w:rStyle w:val="InternetLink"/>
                  <w:spacing w:val="4"/>
                </w:rPr>
                <w:t xml:space="preserve">Ownership of the Company Common Stock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42900" cy="350520"/>
                      <wp:effectExtent l="0" t="0" r="0" b="0"/>
                      <wp:wrapSquare wrapText="right"/>
                      <wp:docPr id="707" name="Frame6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TC">
                                    <w:r>
                                      <w:rPr>
                                        <w:rStyle w:val="InternetLink"/>
                                        <w:spacing w:val="4"/>
                                      </w:rPr>
                                      <w:t>4.27</w:t>
                                    </w:r>
                                  </w:hyperlink>
                                  <w:hyperlink w:anchor="t4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TC">
                              <w:r>
                                <w:rPr>
                                  <w:rStyle w:val="InternetLink"/>
                                  <w:spacing w:val="4"/>
                                </w:rPr>
                                <w:t>4.27</w:t>
                              </w:r>
                            </w:hyperlink>
                            <w:hyperlink w:anchor="t4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OTC">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before="0" w:after="0"/>
              <w:jc w:val="left"/>
              <w:rPr/>
            </w:pPr>
            <w:hyperlink w:anchor="tARVC">
              <w:r>
                <w:rPr>
                  <w:rStyle w:val="InternetLink"/>
                  <w:spacing w:val="4"/>
                </w:rPr>
                <w:t xml:space="preserve">ARTICLE V   COVENANTS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ARVC">
              <w:r>
                <w:rPr>
                  <w:rStyle w:val="InternetLink"/>
                  <w:spacing w:val="4"/>
                </w:rPr>
                <w:t>A-52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1OP">
              <w:r>
                <w:rPr>
                  <w:rStyle w:val="InternetLink"/>
                  <w:spacing w:val="4"/>
                </w:rPr>
                <w:t xml:space="preserve">Interim Operations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42900" cy="350520"/>
                      <wp:effectExtent l="0" t="0" r="0" b="0"/>
                      <wp:wrapSquare wrapText="right"/>
                      <wp:docPr id="708" name="Frame6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OP">
                                    <w:r>
                                      <w:rPr>
                                        <w:rStyle w:val="InternetLink"/>
                                        <w:spacing w:val="4"/>
                                      </w:rPr>
                                      <w:t>5.1</w:t>
                                    </w:r>
                                  </w:hyperlink>
                                  <w:hyperlink w:anchor="t51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OP">
                              <w:r>
                                <w:rPr>
                                  <w:rStyle w:val="InternetLink"/>
                                  <w:spacing w:val="4"/>
                                </w:rPr>
                                <w:t>5.1</w:t>
                              </w:r>
                            </w:hyperlink>
                            <w:hyperlink w:anchor="t51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O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1OP">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PC">
              <w:r>
                <w:rPr>
                  <w:rStyle w:val="InternetLink"/>
                  <w:spacing w:val="4"/>
                </w:rPr>
                <w:t xml:space="preserve">Company Acquisition Proposals; Company Change in Recommendation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42900" cy="350520"/>
                      <wp:effectExtent l="0" t="0" r="0" b="0"/>
                      <wp:wrapSquare wrapText="right"/>
                      <wp:docPr id="709" name="Frame6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PC">
                                    <w:r>
                                      <w:rPr>
                                        <w:rStyle w:val="InternetLink"/>
                                        <w:spacing w:val="4"/>
                                      </w:rPr>
                                      <w:t>5.2</w:t>
                                    </w:r>
                                  </w:hyperlink>
                                  <w:hyperlink w:anchor="t5A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PC">
                              <w:r>
                                <w:rPr>
                                  <w:rStyle w:val="InternetLink"/>
                                  <w:spacing w:val="4"/>
                                </w:rPr>
                                <w:t>5.2</w:t>
                              </w:r>
                            </w:hyperlink>
                            <w:hyperlink w:anchor="t5A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P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PC">
              <w:r>
                <w:rPr>
                  <w:rStyle w:val="InternetLink"/>
                  <w:spacing w:val="4"/>
                </w:rPr>
                <w:t>A-58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APP">
              <w:r>
                <w:rPr>
                  <w:rStyle w:val="InternetLink"/>
                  <w:spacing w:val="4"/>
                </w:rPr>
                <w:t xml:space="preserve">Parent Acquisition Proposals; Parent Change in Recommendation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42900" cy="350520"/>
                      <wp:effectExtent l="0" t="0" r="0" b="0"/>
                      <wp:wrapSquare wrapText="right"/>
                      <wp:docPr id="710" name="Frame7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PP">
                                    <w:r>
                                      <w:rPr>
                                        <w:rStyle w:val="InternetLink"/>
                                        <w:spacing w:val="4"/>
                                      </w:rPr>
                                      <w:t>5.3</w:t>
                                    </w:r>
                                  </w:hyperlink>
                                  <w:hyperlink w:anchor="t5A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PP">
                              <w:r>
                                <w:rPr>
                                  <w:rStyle w:val="InternetLink"/>
                                  <w:spacing w:val="4"/>
                                </w:rPr>
                                <w:t>5.3</w:t>
                              </w:r>
                            </w:hyperlink>
                            <w:hyperlink w:anchor="t5A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P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APP">
              <w:r>
                <w:rPr>
                  <w:rStyle w:val="InternetLink"/>
                  <w:spacing w:val="4"/>
                </w:rPr>
                <w:t>A-63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PSI">
              <w:r>
                <w:rPr>
                  <w:rStyle w:val="InternetLink"/>
                  <w:spacing w:val="4"/>
                </w:rPr>
                <w:t xml:space="preserve">Joint Proxy Statement/Prospectus; Information Supplied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342900" cy="350520"/>
                      <wp:effectExtent l="0" t="0" r="0" b="0"/>
                      <wp:wrapSquare wrapText="right"/>
                      <wp:docPr id="711" name="Frame7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PSI">
                                    <w:r>
                                      <w:rPr>
                                        <w:rStyle w:val="InternetLink"/>
                                        <w:spacing w:val="4"/>
                                      </w:rPr>
                                      <w:t>5.4</w:t>
                                    </w:r>
                                  </w:hyperlink>
                                  <w:hyperlink w:anchor="t5P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SI">
                              <w:r>
                                <w:rPr>
                                  <w:rStyle w:val="InternetLink"/>
                                  <w:spacing w:val="4"/>
                                </w:rPr>
                                <w:t>5.4</w:t>
                              </w:r>
                            </w:hyperlink>
                            <w:hyperlink w:anchor="t5P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S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PSI">
              <w:r>
                <w:rPr>
                  <w:rStyle w:val="InternetLink"/>
                  <w:spacing w:val="4"/>
                </w:rPr>
                <w:t>A-69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5ME">
              <w:r>
                <w:rPr>
                  <w:rStyle w:val="InternetLink"/>
                  <w:spacing w:val="4"/>
                </w:rPr>
                <w:t xml:space="preserve">Stockholder Meetings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342900" cy="350520"/>
                      <wp:effectExtent l="0" t="0" r="0" b="0"/>
                      <wp:wrapSquare wrapText="right"/>
                      <wp:docPr id="712" name="Frame7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5ME">
                                    <w:r>
                                      <w:rPr>
                                        <w:rStyle w:val="InternetLink"/>
                                        <w:spacing w:val="4"/>
                                      </w:rPr>
                                      <w:t>5.5</w:t>
                                    </w:r>
                                  </w:hyperlink>
                                  <w:hyperlink w:anchor="t55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5ME">
                              <w:r>
                                <w:rPr>
                                  <w:rStyle w:val="InternetLink"/>
                                  <w:spacing w:val="4"/>
                                </w:rPr>
                                <w:t>5.5</w:t>
                              </w:r>
                            </w:hyperlink>
                            <w:hyperlink w:anchor="t55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5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5ME">
              <w:r>
                <w:rPr>
                  <w:rStyle w:val="InternetLink"/>
                  <w:spacing w:val="4"/>
                </w:rPr>
                <w:t>A-70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RB">
              <w:r>
                <w:rPr>
                  <w:rStyle w:val="InternetLink"/>
                  <w:spacing w:val="4"/>
                </w:rPr>
                <w:t xml:space="preserve">Regulatory Approvals; Reasonable Best Efforts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342900" cy="350520"/>
                      <wp:effectExtent l="0" t="0" r="0" b="0"/>
                      <wp:wrapSquare wrapText="right"/>
                      <wp:docPr id="713" name="Frame7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RB">
                                    <w:r>
                                      <w:rPr>
                                        <w:rStyle w:val="InternetLink"/>
                                        <w:spacing w:val="4"/>
                                      </w:rPr>
                                      <w:t>5.6</w:t>
                                    </w:r>
                                  </w:hyperlink>
                                  <w:hyperlink w:anchor="t5AR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RB">
                              <w:r>
                                <w:rPr>
                                  <w:rStyle w:val="InternetLink"/>
                                  <w:spacing w:val="4"/>
                                </w:rPr>
                                <w:t>5.6</w:t>
                              </w:r>
                            </w:hyperlink>
                            <w:hyperlink w:anchor="t5AR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R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RB">
              <w:r>
                <w:rPr>
                  <w:rStyle w:val="InternetLink"/>
                  <w:spacing w:val="4"/>
                </w:rPr>
                <w:t>A-71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CUR">
              <w:r>
                <w:rPr>
                  <w:rStyle w:val="InternetLink"/>
                  <w:spacing w:val="4"/>
                </w:rPr>
                <w:t xml:space="preserve">Access; Consultation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342900" cy="350520"/>
                      <wp:effectExtent l="0" t="0" r="0" b="0"/>
                      <wp:wrapSquare wrapText="right"/>
                      <wp:docPr id="714" name="Frame7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CUR">
                                    <w:r>
                                      <w:rPr>
                                        <w:rStyle w:val="InternetLink"/>
                                        <w:spacing w:val="4"/>
                                      </w:rPr>
                                      <w:t>5.7</w:t>
                                    </w:r>
                                  </w:hyperlink>
                                  <w:hyperlink w:anchor="t5CU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UR">
                              <w:r>
                                <w:rPr>
                                  <w:rStyle w:val="InternetLink"/>
                                  <w:spacing w:val="4"/>
                                </w:rPr>
                                <w:t>5.7</w:t>
                              </w:r>
                            </w:hyperlink>
                            <w:hyperlink w:anchor="t5CU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U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CUR">
              <w:r>
                <w:rPr>
                  <w:rStyle w:val="InternetLink"/>
                  <w:spacing w:val="4"/>
                </w:rPr>
                <w:t>A-72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ELD">
              <w:r>
                <w:rPr>
                  <w:rStyle w:val="InternetLink"/>
                  <w:spacing w:val="4"/>
                </w:rPr>
                <w:t xml:space="preserve">Stock Exchange Listing, De-listing and De-registration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342900" cy="350520"/>
                      <wp:effectExtent l="0" t="0" r="0" b="0"/>
                      <wp:wrapSquare wrapText="right"/>
                      <wp:docPr id="715" name="Frame7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ELD">
                                    <w:r>
                                      <w:rPr>
                                        <w:rStyle w:val="InternetLink"/>
                                        <w:spacing w:val="4"/>
                                      </w:rPr>
                                      <w:t>5.8</w:t>
                                    </w:r>
                                  </w:hyperlink>
                                  <w:hyperlink w:anchor="t5EL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LD">
                              <w:r>
                                <w:rPr>
                                  <w:rStyle w:val="InternetLink"/>
                                  <w:spacing w:val="4"/>
                                </w:rPr>
                                <w:t>5.8</w:t>
                              </w:r>
                            </w:hyperlink>
                            <w:hyperlink w:anchor="t5EL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L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ELD">
              <w:r>
                <w:rPr>
                  <w:rStyle w:val="InternetLink"/>
                  <w:spacing w:val="4"/>
                </w:rPr>
                <w:t>A-73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TIP">
              <w:r>
                <w:rPr>
                  <w:rStyle w:val="InternetLink"/>
                  <w:spacing w:val="4"/>
                </w:rPr>
                <w:t xml:space="preserve">Publicity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342900" cy="350520"/>
                      <wp:effectExtent l="0" t="0" r="0" b="0"/>
                      <wp:wrapSquare wrapText="right"/>
                      <wp:docPr id="716" name="Frame7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TIP">
                                    <w:r>
                                      <w:rPr>
                                        <w:rStyle w:val="InternetLink"/>
                                        <w:spacing w:val="4"/>
                                      </w:rPr>
                                      <w:t>5.9</w:t>
                                    </w:r>
                                  </w:hyperlink>
                                  <w:hyperlink w:anchor="t5T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TIP">
                              <w:r>
                                <w:rPr>
                                  <w:rStyle w:val="InternetLink"/>
                                  <w:spacing w:val="4"/>
                                </w:rPr>
                                <w:t>5.9</w:t>
                              </w:r>
                            </w:hyperlink>
                            <w:hyperlink w:anchor="t5T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T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TIP">
              <w:r>
                <w:rPr>
                  <w:rStyle w:val="InternetLink"/>
                  <w:spacing w:val="4"/>
                </w:rPr>
                <w:t>A-73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EAO">
              <w:r>
                <w:rPr>
                  <w:rStyle w:val="InternetLink"/>
                  <w:spacing w:val="4"/>
                </w:rPr>
                <w:t xml:space="preserve">Expenses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342900" cy="350520"/>
                      <wp:effectExtent l="0" t="0" r="0" b="0"/>
                      <wp:wrapSquare wrapText="right"/>
                      <wp:docPr id="717" name="Frame7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EAO">
                                    <w:r>
                                      <w:rPr>
                                        <w:rStyle w:val="InternetLink"/>
                                        <w:spacing w:val="4"/>
                                      </w:rPr>
                                      <w:t>5.10</w:t>
                                    </w:r>
                                  </w:hyperlink>
                                  <w:hyperlink w:anchor="t5E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AO">
                              <w:r>
                                <w:rPr>
                                  <w:rStyle w:val="InternetLink"/>
                                  <w:spacing w:val="4"/>
                                </w:rPr>
                                <w:t>5.10</w:t>
                              </w:r>
                            </w:hyperlink>
                            <w:hyperlink w:anchor="t5E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EAO">
              <w:r>
                <w:rPr>
                  <w:rStyle w:val="InternetLink"/>
                  <w:spacing w:val="4"/>
                </w:rPr>
                <w:t>A-73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DAO">
              <w:r>
                <w:rPr>
                  <w:rStyle w:val="InternetLink"/>
                  <w:spacing w:val="4"/>
                </w:rPr>
                <w:t xml:space="preserve">Indemnification; Directors’ and Officers’ Insurance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342900" cy="350520"/>
                      <wp:effectExtent l="0" t="0" r="0" b="0"/>
                      <wp:wrapSquare wrapText="right"/>
                      <wp:docPr id="718" name="Frame70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DAO">
                                    <w:r>
                                      <w:rPr>
                                        <w:rStyle w:val="InternetLink"/>
                                        <w:spacing w:val="4"/>
                                      </w:rPr>
                                      <w:t>5.11</w:t>
                                    </w:r>
                                  </w:hyperlink>
                                  <w:hyperlink w:anchor="t5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DAO">
                              <w:r>
                                <w:rPr>
                                  <w:rStyle w:val="InternetLink"/>
                                  <w:spacing w:val="4"/>
                                </w:rPr>
                                <w:t>5.11</w:t>
                              </w:r>
                            </w:hyperlink>
                            <w:hyperlink w:anchor="t5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DAO">
              <w:r>
                <w:rPr>
                  <w:rStyle w:val="InternetLink"/>
                  <w:spacing w:val="4"/>
                </w:rPr>
                <w:t>A-73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STC">
              <w:r>
                <w:rPr>
                  <w:rStyle w:val="InternetLink"/>
                  <w:spacing w:val="4"/>
                </w:rPr>
                <w:t xml:space="preserve">Takeover Statute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342900" cy="350520"/>
                      <wp:effectExtent l="0" t="0" r="0" b="0"/>
                      <wp:wrapSquare wrapText="right"/>
                      <wp:docPr id="719" name="Frame70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STC">
                                    <w:r>
                                      <w:rPr>
                                        <w:rStyle w:val="InternetLink"/>
                                        <w:spacing w:val="4"/>
                                      </w:rPr>
                                      <w:t>5.12</w:t>
                                    </w:r>
                                  </w:hyperlink>
                                  <w:hyperlink w:anchor="t5S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TC">
                              <w:r>
                                <w:rPr>
                                  <w:rStyle w:val="InternetLink"/>
                                  <w:spacing w:val="4"/>
                                </w:rPr>
                                <w:t>5.12</w:t>
                              </w:r>
                            </w:hyperlink>
                            <w:hyperlink w:anchor="t5S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STC">
              <w:r>
                <w:rPr>
                  <w:rStyle w:val="InternetLink"/>
                  <w:spacing w:val="4"/>
                </w:rPr>
                <w:t>A-74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OCO">
              <w:r>
                <w:rPr>
                  <w:rStyle w:val="InternetLink"/>
                  <w:spacing w:val="4"/>
                </w:rPr>
                <w:t xml:space="preserve">Control of Company’s or Parent’s Operations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342900" cy="350520"/>
                      <wp:effectExtent l="0" t="0" r="0" b="0"/>
                      <wp:wrapSquare wrapText="right"/>
                      <wp:docPr id="720" name="Frame71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CO">
                                    <w:r>
                                      <w:rPr>
                                        <w:rStyle w:val="InternetLink"/>
                                        <w:spacing w:val="4"/>
                                      </w:rPr>
                                      <w:t>5.13</w:t>
                                    </w:r>
                                  </w:hyperlink>
                                  <w:hyperlink w:anchor="t5O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CO">
                              <w:r>
                                <w:rPr>
                                  <w:rStyle w:val="InternetLink"/>
                                  <w:spacing w:val="4"/>
                                </w:rPr>
                                <w:t>5.13</w:t>
                              </w:r>
                            </w:hyperlink>
                            <w:hyperlink w:anchor="t5O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OCO">
              <w:r>
                <w:rPr>
                  <w:rStyle w:val="InternetLink"/>
                  <w:spacing w:val="4"/>
                </w:rPr>
                <w:t>A-74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OT">
              <w:r>
                <w:rPr>
                  <w:rStyle w:val="InternetLink"/>
                  <w:spacing w:val="4"/>
                </w:rPr>
                <w:t xml:space="preserve">Directors and Officers; Post-Closing Company Headquarters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342900" cy="350520"/>
                      <wp:effectExtent l="0" t="0" r="0" b="0"/>
                      <wp:wrapSquare wrapText="right"/>
                      <wp:docPr id="721" name="Frame71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OT">
                                    <w:r>
                                      <w:rPr>
                                        <w:rStyle w:val="InternetLink"/>
                                        <w:spacing w:val="4"/>
                                      </w:rPr>
                                      <w:t>5.14</w:t>
                                    </w:r>
                                  </w:hyperlink>
                                  <w:hyperlink w:anchor="t5A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OT">
                              <w:r>
                                <w:rPr>
                                  <w:rStyle w:val="InternetLink"/>
                                  <w:spacing w:val="4"/>
                                </w:rPr>
                                <w:t>5.14</w:t>
                              </w:r>
                            </w:hyperlink>
                            <w:hyperlink w:anchor="t5A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OT">
              <w:r>
                <w:rPr>
                  <w:rStyle w:val="InternetLink"/>
                  <w:spacing w:val="4"/>
                </w:rPr>
                <w:t>A-75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1TC">
              <w:r>
                <w:rPr>
                  <w:rStyle w:val="InternetLink"/>
                  <w:spacing w:val="4"/>
                </w:rPr>
                <w:t xml:space="preserve">Section 16(b) </w:t>
              </w:r>
            </w:hyperlink>
            <w:r>
              <mc:AlternateContent>
                <mc:Choice Requires="wps">
                  <w:drawing>
                    <wp:anchor behindDoc="0" distT="0" distB="0" distL="127000" distR="0" simplePos="0" locked="0" layoutInCell="1" allowOverlap="1" relativeHeight="725">
                      <wp:simplePos x="0" y="0"/>
                      <wp:positionH relativeFrom="column">
                        <wp:align>left</wp:align>
                      </wp:positionH>
                      <wp:positionV relativeFrom="line">
                        <wp:posOffset>635</wp:posOffset>
                      </wp:positionV>
                      <wp:extent cx="342900" cy="350520"/>
                      <wp:effectExtent l="0" t="0" r="0" b="0"/>
                      <wp:wrapSquare wrapText="right"/>
                      <wp:docPr id="722" name="Frame71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TC">
                                    <w:r>
                                      <w:rPr>
                                        <w:rStyle w:val="InternetLink"/>
                                        <w:spacing w:val="4"/>
                                      </w:rPr>
                                      <w:t>5.15</w:t>
                                    </w:r>
                                  </w:hyperlink>
                                  <w:hyperlink w:anchor="t51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TC">
                              <w:r>
                                <w:rPr>
                                  <w:rStyle w:val="InternetLink"/>
                                  <w:spacing w:val="4"/>
                                </w:rPr>
                                <w:t>5.15</w:t>
                              </w:r>
                            </w:hyperlink>
                            <w:hyperlink w:anchor="t51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1TC">
              <w:r>
                <w:rPr>
                  <w:rStyle w:val="InternetLink"/>
                  <w:spacing w:val="4"/>
                </w:rPr>
                <w:t>A-75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OC7"/>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6"/>
        <w:gridCol w:w="109"/>
        <w:gridCol w:w="109"/>
        <w:gridCol w:w="109"/>
        <w:gridCol w:w="109"/>
        <w:gridCol w:w="636"/>
        <w:gridCol w:w="109"/>
        <w:gridCol w:w="155"/>
      </w:tblGrid>
      <w:tr>
        <w:trPr/>
        <w:tc>
          <w:tcPr>
            <w:tcW w:w="7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BSS">
              <w:r>
                <w:rPr>
                  <w:rStyle w:val="InternetLink"/>
                  <w:spacing w:val="4"/>
                </w:rPr>
                <w:t xml:space="preserve">Approval by Sole Stockholder of Merger Sub </w:t>
              </w:r>
            </w:hyperlink>
            <w:r>
              <mc:AlternateContent>
                <mc:Choice Requires="wps">
                  <w:drawing>
                    <wp:anchor behindDoc="0" distT="0" distB="0" distL="127000" distR="0" simplePos="0" locked="0" layoutInCell="1" allowOverlap="1" relativeHeight="726">
                      <wp:simplePos x="0" y="0"/>
                      <wp:positionH relativeFrom="column">
                        <wp:align>left</wp:align>
                      </wp:positionH>
                      <wp:positionV relativeFrom="line">
                        <wp:posOffset>635</wp:posOffset>
                      </wp:positionV>
                      <wp:extent cx="342900" cy="350520"/>
                      <wp:effectExtent l="0" t="0" r="0" b="0"/>
                      <wp:wrapSquare wrapText="right"/>
                      <wp:docPr id="723" name="Frame71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BSS">
                                    <w:r>
                                      <w:rPr>
                                        <w:rStyle w:val="InternetLink"/>
                                        <w:spacing w:val="4"/>
                                      </w:rPr>
                                      <w:t>5.16</w:t>
                                    </w:r>
                                  </w:hyperlink>
                                  <w:hyperlink w:anchor="t5B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BSS">
                              <w:r>
                                <w:rPr>
                                  <w:rStyle w:val="InternetLink"/>
                                  <w:spacing w:val="4"/>
                                </w:rPr>
                                <w:t>5.16</w:t>
                              </w:r>
                            </w:hyperlink>
                            <w:hyperlink w:anchor="t5B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B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BSS">
              <w:r>
                <w:rPr>
                  <w:rStyle w:val="InternetLink"/>
                  <w:spacing w:val="4"/>
                </w:rPr>
                <w:t>A-75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LEP">
              <w:r>
                <w:rPr>
                  <w:rStyle w:val="InternetLink"/>
                  <w:spacing w:val="4"/>
                </w:rPr>
                <w:t xml:space="preserve">Stockholder Litigation </w:t>
              </w:r>
            </w:hyperlink>
            <w:r>
              <mc:AlternateContent>
                <mc:Choice Requires="wps">
                  <w:drawing>
                    <wp:anchor behindDoc="0" distT="0" distB="0" distL="127000" distR="0" simplePos="0" locked="0" layoutInCell="1" allowOverlap="1" relativeHeight="727">
                      <wp:simplePos x="0" y="0"/>
                      <wp:positionH relativeFrom="column">
                        <wp:align>left</wp:align>
                      </wp:positionH>
                      <wp:positionV relativeFrom="line">
                        <wp:posOffset>635</wp:posOffset>
                      </wp:positionV>
                      <wp:extent cx="342900" cy="350520"/>
                      <wp:effectExtent l="0" t="0" r="0" b="0"/>
                      <wp:wrapSquare wrapText="right"/>
                      <wp:docPr id="724" name="Frame71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LEP">
                                    <w:r>
                                      <w:rPr>
                                        <w:rStyle w:val="InternetLink"/>
                                        <w:spacing w:val="4"/>
                                      </w:rPr>
                                      <w:t>5.17</w:t>
                                    </w:r>
                                  </w:hyperlink>
                                  <w:hyperlink w:anchor="t5L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LEP">
                              <w:r>
                                <w:rPr>
                                  <w:rStyle w:val="InternetLink"/>
                                  <w:spacing w:val="4"/>
                                </w:rPr>
                                <w:t>5.17</w:t>
                              </w:r>
                            </w:hyperlink>
                            <w:hyperlink w:anchor="t5L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L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LEP">
              <w:r>
                <w:rPr>
                  <w:rStyle w:val="InternetLink"/>
                  <w:spacing w:val="4"/>
                </w:rPr>
                <w:t>A-75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1TR">
              <w:r>
                <w:rPr>
                  <w:rStyle w:val="InternetLink"/>
                  <w:spacing w:val="4"/>
                </w:rPr>
                <w:t xml:space="preserve">Tax Treatment </w:t>
              </w:r>
            </w:hyperlink>
            <w:r>
              <mc:AlternateContent>
                <mc:Choice Requires="wps">
                  <w:drawing>
                    <wp:anchor behindDoc="0" distT="0" distB="0" distL="127000" distR="0" simplePos="0" locked="0" layoutInCell="1" allowOverlap="1" relativeHeight="728">
                      <wp:simplePos x="0" y="0"/>
                      <wp:positionH relativeFrom="column">
                        <wp:align>left</wp:align>
                      </wp:positionH>
                      <wp:positionV relativeFrom="line">
                        <wp:posOffset>635</wp:posOffset>
                      </wp:positionV>
                      <wp:extent cx="342900" cy="350520"/>
                      <wp:effectExtent l="0" t="0" r="0" b="0"/>
                      <wp:wrapSquare wrapText="right"/>
                      <wp:docPr id="725" name="Frame71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TR">
                                    <w:r>
                                      <w:rPr>
                                        <w:rStyle w:val="InternetLink"/>
                                        <w:spacing w:val="4"/>
                                      </w:rPr>
                                      <w:t>5.18</w:t>
                                    </w:r>
                                  </w:hyperlink>
                                  <w:hyperlink w:anchor="t51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TR">
                              <w:r>
                                <w:rPr>
                                  <w:rStyle w:val="InternetLink"/>
                                  <w:spacing w:val="4"/>
                                </w:rPr>
                                <w:t>5.18</w:t>
                              </w:r>
                            </w:hyperlink>
                            <w:hyperlink w:anchor="t51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1TR">
              <w:r>
                <w:rPr>
                  <w:rStyle w:val="InternetLink"/>
                  <w:spacing w:val="4"/>
                </w:rPr>
                <w:t>A-76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OTC">
              <w:r>
                <w:rPr>
                  <w:rStyle w:val="InternetLink"/>
                  <w:spacing w:val="4"/>
                </w:rPr>
                <w:t xml:space="preserve">Termination of the Company’s 401(k) Plan </w:t>
              </w:r>
            </w:hyperlink>
            <w:r>
              <mc:AlternateContent>
                <mc:Choice Requires="wps">
                  <w:drawing>
                    <wp:anchor behindDoc="0" distT="0" distB="0" distL="127000" distR="0" simplePos="0" locked="0" layoutInCell="1" allowOverlap="1" relativeHeight="729">
                      <wp:simplePos x="0" y="0"/>
                      <wp:positionH relativeFrom="column">
                        <wp:align>left</wp:align>
                      </wp:positionH>
                      <wp:positionV relativeFrom="line">
                        <wp:posOffset>635</wp:posOffset>
                      </wp:positionV>
                      <wp:extent cx="342900" cy="350520"/>
                      <wp:effectExtent l="0" t="0" r="0" b="0"/>
                      <wp:wrapSquare wrapText="right"/>
                      <wp:docPr id="726" name="Frame71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TC">
                                    <w:r>
                                      <w:rPr>
                                        <w:rStyle w:val="InternetLink"/>
                                        <w:spacing w:val="4"/>
                                      </w:rPr>
                                      <w:t>5.19</w:t>
                                    </w:r>
                                  </w:hyperlink>
                                  <w:hyperlink w:anchor="t5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TC">
                              <w:r>
                                <w:rPr>
                                  <w:rStyle w:val="InternetLink"/>
                                  <w:spacing w:val="4"/>
                                </w:rPr>
                                <w:t>5.19</w:t>
                              </w:r>
                            </w:hyperlink>
                            <w:hyperlink w:anchor="t5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TC">
              <w:r>
                <w:rPr>
                  <w:rStyle w:val="InternetLink"/>
                  <w:spacing w:val="4"/>
                </w:rPr>
                <w:t>A-76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RTC">
              <w:r>
                <w:rPr>
                  <w:rStyle w:val="InternetLink"/>
                  <w:spacing w:val="4"/>
                </w:rPr>
                <w:t xml:space="preserve">Company Resignations </w:t>
              </w:r>
            </w:hyperlink>
            <w:r>
              <mc:AlternateContent>
                <mc:Choice Requires="wps">
                  <w:drawing>
                    <wp:anchor behindDoc="0" distT="0" distB="0" distL="127000" distR="0" simplePos="0" locked="0" layoutInCell="1" allowOverlap="1" relativeHeight="730">
                      <wp:simplePos x="0" y="0"/>
                      <wp:positionH relativeFrom="column">
                        <wp:align>left</wp:align>
                      </wp:positionH>
                      <wp:positionV relativeFrom="line">
                        <wp:posOffset>635</wp:posOffset>
                      </wp:positionV>
                      <wp:extent cx="342900" cy="350520"/>
                      <wp:effectExtent l="0" t="0" r="0" b="0"/>
                      <wp:wrapSquare wrapText="right"/>
                      <wp:docPr id="727" name="Frame71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RTC">
                                    <w:r>
                                      <w:rPr>
                                        <w:rStyle w:val="InternetLink"/>
                                        <w:spacing w:val="4"/>
                                      </w:rPr>
                                      <w:t>5.20</w:t>
                                    </w:r>
                                  </w:hyperlink>
                                  <w:hyperlink w:anchor="t5R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RTC">
                              <w:r>
                                <w:rPr>
                                  <w:rStyle w:val="InternetLink"/>
                                  <w:spacing w:val="4"/>
                                </w:rPr>
                                <w:t>5.20</w:t>
                              </w:r>
                            </w:hyperlink>
                            <w:hyperlink w:anchor="t5R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RTC">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OMS">
              <w:r>
                <w:rPr>
                  <w:rStyle w:val="InternetLink"/>
                  <w:spacing w:val="4"/>
                </w:rPr>
                <w:t xml:space="preserve">Obligations of Merger Sub and Surviving Company </w:t>
              </w:r>
            </w:hyperlink>
            <w:r>
              <mc:AlternateContent>
                <mc:Choice Requires="wps">
                  <w:drawing>
                    <wp:anchor behindDoc="0" distT="0" distB="0" distL="127000" distR="0" simplePos="0" locked="0" layoutInCell="1" allowOverlap="1" relativeHeight="731">
                      <wp:simplePos x="0" y="0"/>
                      <wp:positionH relativeFrom="column">
                        <wp:align>left</wp:align>
                      </wp:positionH>
                      <wp:positionV relativeFrom="line">
                        <wp:posOffset>635</wp:posOffset>
                      </wp:positionV>
                      <wp:extent cx="342900" cy="350520"/>
                      <wp:effectExtent l="0" t="0" r="0" b="0"/>
                      <wp:wrapSquare wrapText="right"/>
                      <wp:docPr id="728" name="Frame71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MS">
                                    <w:r>
                                      <w:rPr>
                                        <w:rStyle w:val="InternetLink"/>
                                        <w:spacing w:val="4"/>
                                      </w:rPr>
                                      <w:t>5.21</w:t>
                                    </w:r>
                                  </w:hyperlink>
                                  <w:hyperlink w:anchor="t5O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MS">
                              <w:r>
                                <w:rPr>
                                  <w:rStyle w:val="InternetLink"/>
                                  <w:spacing w:val="4"/>
                                </w:rPr>
                                <w:t>5.21</w:t>
                              </w:r>
                            </w:hyperlink>
                            <w:hyperlink w:anchor="t5O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M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MS">
              <w:r>
                <w:rPr>
                  <w:rStyle w:val="InternetLink"/>
                  <w:spacing w:val="4"/>
                </w:rPr>
                <w:t>A-77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2MA">
              <w:r>
                <w:rPr>
                  <w:rStyle w:val="InternetLink"/>
                  <w:spacing w:val="4"/>
                </w:rPr>
                <w:t xml:space="preserve">Employee Matters </w:t>
              </w:r>
            </w:hyperlink>
            <w:r>
              <mc:AlternateContent>
                <mc:Choice Requires="wps">
                  <w:drawing>
                    <wp:anchor behindDoc="0" distT="0" distB="0" distL="127000" distR="0" simplePos="0" locked="0" layoutInCell="1" allowOverlap="1" relativeHeight="732">
                      <wp:simplePos x="0" y="0"/>
                      <wp:positionH relativeFrom="column">
                        <wp:align>left</wp:align>
                      </wp:positionH>
                      <wp:positionV relativeFrom="line">
                        <wp:posOffset>635</wp:posOffset>
                      </wp:positionV>
                      <wp:extent cx="342900" cy="350520"/>
                      <wp:effectExtent l="0" t="0" r="0" b="0"/>
                      <wp:wrapSquare wrapText="right"/>
                      <wp:docPr id="729" name="Frame71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2MA">
                                    <w:r>
                                      <w:rPr>
                                        <w:rStyle w:val="InternetLink"/>
                                        <w:spacing w:val="4"/>
                                      </w:rPr>
                                      <w:t>5.22</w:t>
                                    </w:r>
                                  </w:hyperlink>
                                  <w:hyperlink w:anchor="t5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2MA">
                              <w:r>
                                <w:rPr>
                                  <w:rStyle w:val="InternetLink"/>
                                  <w:spacing w:val="4"/>
                                </w:rPr>
                                <w:t>5.22</w:t>
                              </w:r>
                            </w:hyperlink>
                            <w:hyperlink w:anchor="t5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2MA">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ARVI">
              <w:r>
                <w:rPr>
                  <w:rStyle w:val="InternetLink"/>
                  <w:spacing w:val="4"/>
                </w:rPr>
                <w:t>A-77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TEP">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733">
                      <wp:simplePos x="0" y="0"/>
                      <wp:positionH relativeFrom="column">
                        <wp:align>left</wp:align>
                      </wp:positionH>
                      <wp:positionV relativeFrom="line">
                        <wp:posOffset>635</wp:posOffset>
                      </wp:positionV>
                      <wp:extent cx="342900" cy="350520"/>
                      <wp:effectExtent l="0" t="0" r="0" b="0"/>
                      <wp:wrapSquare wrapText="right"/>
                      <wp:docPr id="730" name="Frame72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EP">
                                    <w:r>
                                      <w:rPr>
                                        <w:rStyle w:val="InternetLink"/>
                                        <w:spacing w:val="4"/>
                                      </w:rPr>
                                      <w:t>6.1</w:t>
                                    </w:r>
                                  </w:hyperlink>
                                  <w:hyperlink w:anchor="t6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EP">
                              <w:r>
                                <w:rPr>
                                  <w:rStyle w:val="InternetLink"/>
                                  <w:spacing w:val="4"/>
                                </w:rPr>
                                <w:t>6.1</w:t>
                              </w:r>
                            </w:hyperlink>
                            <w:hyperlink w:anchor="t6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EP">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6TOO">
              <w:r>
                <w:rPr>
                  <w:rStyle w:val="InternetLink"/>
                  <w:spacing w:val="4"/>
                </w:rPr>
                <w:t xml:space="preserve">Conditions to Obligations of Parent and Merger Sub </w:t>
              </w:r>
            </w:hyperlink>
            <w:r>
              <mc:AlternateContent>
                <mc:Choice Requires="wps">
                  <w:drawing>
                    <wp:anchor behindDoc="0" distT="0" distB="0" distL="127000" distR="0" simplePos="0" locked="0" layoutInCell="1" allowOverlap="1" relativeHeight="734">
                      <wp:simplePos x="0" y="0"/>
                      <wp:positionH relativeFrom="column">
                        <wp:align>left</wp:align>
                      </wp:positionH>
                      <wp:positionV relativeFrom="line">
                        <wp:posOffset>635</wp:posOffset>
                      </wp:positionV>
                      <wp:extent cx="342900" cy="350520"/>
                      <wp:effectExtent l="0" t="0" r="0" b="0"/>
                      <wp:wrapSquare wrapText="right"/>
                      <wp:docPr id="731" name="Frame72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OO">
                                    <w:r>
                                      <w:rPr>
                                        <w:rStyle w:val="InternetLink"/>
                                        <w:spacing w:val="4"/>
                                      </w:rPr>
                                      <w:t>6.2</w:t>
                                    </w:r>
                                  </w:hyperlink>
                                  <w:hyperlink w:anchor="t6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O">
                              <w:r>
                                <w:rPr>
                                  <w:rStyle w:val="InternetLink"/>
                                  <w:spacing w:val="4"/>
                                </w:rPr>
                                <w:t>6.2</w:t>
                              </w:r>
                            </w:hyperlink>
                            <w:hyperlink w:anchor="t6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OO">
              <w:r>
                <w:rPr>
                  <w:rStyle w:val="InternetLink"/>
                  <w:spacing w:val="4"/>
                </w:rPr>
                <w:t>A-78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TOO1">
              <w:r>
                <w:rPr>
                  <w:rStyle w:val="InternetLink"/>
                  <w:spacing w:val="4"/>
                </w:rPr>
                <w:t xml:space="preserve">Conditions to Obligation of Company </w:t>
              </w:r>
            </w:hyperlink>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342900" cy="350520"/>
                      <wp:effectExtent l="0" t="0" r="0" b="0"/>
                      <wp:wrapSquare wrapText="right"/>
                      <wp:docPr id="732" name="Frame72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OO1">
                                    <w:r>
                                      <w:rPr>
                                        <w:rStyle w:val="InternetLink"/>
                                        <w:spacing w:val="4"/>
                                      </w:rPr>
                                      <w:t>6.3</w:t>
                                    </w:r>
                                  </w:hyperlink>
                                  <w:hyperlink w:anchor="t6T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O1">
                              <w:r>
                                <w:rPr>
                                  <w:rStyle w:val="InternetLink"/>
                                  <w:spacing w:val="4"/>
                                </w:rPr>
                                <w:t>6.3</w:t>
                              </w:r>
                            </w:hyperlink>
                            <w:hyperlink w:anchor="t6T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OO1">
              <w:r>
                <w:rPr>
                  <w:rStyle w:val="InternetLink"/>
                  <w:spacing w:val="4"/>
                </w:rPr>
                <w:t>A-78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6OCN">
              <w:r>
                <w:rPr>
                  <w:rStyle w:val="InternetLink"/>
                  <w:spacing w:val="4"/>
                </w:rPr>
                <w:t xml:space="preserve">Frustration of Conditions </w:t>
              </w:r>
            </w:hyperlink>
            <w:r>
              <mc:AlternateContent>
                <mc:Choice Requires="wps">
                  <w:drawing>
                    <wp:anchor behindDoc="0" distT="0" distB="0" distL="127000" distR="0" simplePos="0" locked="0" layoutInCell="1" allowOverlap="1" relativeHeight="736">
                      <wp:simplePos x="0" y="0"/>
                      <wp:positionH relativeFrom="column">
                        <wp:align>left</wp:align>
                      </wp:positionH>
                      <wp:positionV relativeFrom="line">
                        <wp:posOffset>635</wp:posOffset>
                      </wp:positionV>
                      <wp:extent cx="342900" cy="350520"/>
                      <wp:effectExtent l="0" t="0" r="0" b="0"/>
                      <wp:wrapSquare wrapText="right"/>
                      <wp:docPr id="733" name="Frame72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N">
                                    <w:r>
                                      <w:rPr>
                                        <w:rStyle w:val="InternetLink"/>
                                        <w:spacing w:val="4"/>
                                      </w:rPr>
                                      <w:t>6.4</w:t>
                                    </w:r>
                                  </w:hyperlink>
                                  <w:hyperlink w:anchor="t6OC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N">
                              <w:r>
                                <w:rPr>
                                  <w:rStyle w:val="InternetLink"/>
                                  <w:spacing w:val="4"/>
                                </w:rPr>
                                <w:t>6.4</w:t>
                              </w:r>
                            </w:hyperlink>
                            <w:hyperlink w:anchor="t6OC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OCN">
              <w:r>
                <w:rPr>
                  <w:rStyle w:val="InternetLink"/>
                  <w:spacing w:val="4"/>
                </w:rPr>
                <w:t>A-79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BMC">
              <w:r>
                <w:rPr>
                  <w:rStyle w:val="InternetLink"/>
                  <w:spacing w:val="4"/>
                </w:rPr>
                <w:t xml:space="preserve">Termination by Mutual Consent </w:t>
              </w:r>
            </w:hyperlink>
            <w:r>
              <mc:AlternateContent>
                <mc:Choice Requires="wps">
                  <w:drawing>
                    <wp:anchor behindDoc="0" distT="0" distB="0" distL="127000" distR="0" simplePos="0" locked="0" layoutInCell="1" allowOverlap="1" relativeHeight="737">
                      <wp:simplePos x="0" y="0"/>
                      <wp:positionH relativeFrom="column">
                        <wp:align>left</wp:align>
                      </wp:positionH>
                      <wp:positionV relativeFrom="line">
                        <wp:posOffset>635</wp:posOffset>
                      </wp:positionV>
                      <wp:extent cx="342900" cy="350520"/>
                      <wp:effectExtent l="0" t="0" r="0" b="0"/>
                      <wp:wrapSquare wrapText="right"/>
                      <wp:docPr id="734" name="Frame72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MC">
                                    <w:r>
                                      <w:rPr>
                                        <w:rStyle w:val="InternetLink"/>
                                        <w:spacing w:val="4"/>
                                      </w:rPr>
                                      <w:t>7.1</w:t>
                                    </w:r>
                                  </w:hyperlink>
                                  <w:hyperlink w:anchor="t7B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MC">
                              <w:r>
                                <w:rPr>
                                  <w:rStyle w:val="InternetLink"/>
                                  <w:spacing w:val="4"/>
                                </w:rPr>
                                <w:t>7.1</w:t>
                              </w:r>
                            </w:hyperlink>
                            <w:hyperlink w:anchor="t7B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M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BMC">
              <w:r>
                <w:rPr>
                  <w:rStyle w:val="InternetLink"/>
                  <w:spacing w:val="4"/>
                </w:rPr>
                <w:t>A-79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BEP">
              <w:r>
                <w:rPr>
                  <w:rStyle w:val="InternetLink"/>
                  <w:spacing w:val="4"/>
                </w:rPr>
                <w:t xml:space="preserve">Termination by Either Parent or Company </w:t>
              </w:r>
            </w:hyperlink>
            <w:r>
              <mc:AlternateContent>
                <mc:Choice Requires="wps">
                  <w:drawing>
                    <wp:anchor behindDoc="0" distT="0" distB="0" distL="127000" distR="0" simplePos="0" locked="0" layoutInCell="1" allowOverlap="1" relativeHeight="738">
                      <wp:simplePos x="0" y="0"/>
                      <wp:positionH relativeFrom="column">
                        <wp:align>left</wp:align>
                      </wp:positionH>
                      <wp:positionV relativeFrom="line">
                        <wp:posOffset>635</wp:posOffset>
                      </wp:positionV>
                      <wp:extent cx="342900" cy="350520"/>
                      <wp:effectExtent l="0" t="0" r="0" b="0"/>
                      <wp:wrapSquare wrapText="right"/>
                      <wp:docPr id="735" name="Frame72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EP">
                                    <w:r>
                                      <w:rPr>
                                        <w:rStyle w:val="InternetLink"/>
                                        <w:spacing w:val="4"/>
                                      </w:rPr>
                                      <w:t>7.2</w:t>
                                    </w:r>
                                  </w:hyperlink>
                                  <w:hyperlink w:anchor="t7B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EP">
                              <w:r>
                                <w:rPr>
                                  <w:rStyle w:val="InternetLink"/>
                                  <w:spacing w:val="4"/>
                                </w:rPr>
                                <w:t>7.2</w:t>
                              </w:r>
                            </w:hyperlink>
                            <w:hyperlink w:anchor="t7B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BEP">
              <w:r>
                <w:rPr>
                  <w:rStyle w:val="InternetLink"/>
                  <w:spacing w:val="4"/>
                </w:rPr>
                <w:t>A-79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BCT">
              <w:r>
                <w:rPr>
                  <w:rStyle w:val="InternetLink"/>
                  <w:spacing w:val="4"/>
                </w:rPr>
                <w:t xml:space="preserve">Termination by Company </w:t>
              </w:r>
            </w:hyperlink>
            <w:r>
              <mc:AlternateContent>
                <mc:Choice Requires="wps">
                  <w:drawing>
                    <wp:anchor behindDoc="0" distT="0" distB="0" distL="127000" distR="0" simplePos="0" locked="0" layoutInCell="1" allowOverlap="1" relativeHeight="739">
                      <wp:simplePos x="0" y="0"/>
                      <wp:positionH relativeFrom="column">
                        <wp:align>left</wp:align>
                      </wp:positionH>
                      <wp:positionV relativeFrom="line">
                        <wp:posOffset>635</wp:posOffset>
                      </wp:positionV>
                      <wp:extent cx="342900" cy="350520"/>
                      <wp:effectExtent l="0" t="0" r="0" b="0"/>
                      <wp:wrapSquare wrapText="right"/>
                      <wp:docPr id="736" name="Frame72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CT">
                                    <w:r>
                                      <w:rPr>
                                        <w:rStyle w:val="InternetLink"/>
                                        <w:spacing w:val="4"/>
                                      </w:rPr>
                                      <w:t>7.3</w:t>
                                    </w:r>
                                  </w:hyperlink>
                                  <w:hyperlink w:anchor="t7B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CT">
                              <w:r>
                                <w:rPr>
                                  <w:rStyle w:val="InternetLink"/>
                                  <w:spacing w:val="4"/>
                                </w:rPr>
                                <w:t>7.3</w:t>
                              </w:r>
                            </w:hyperlink>
                            <w:hyperlink w:anchor="t7B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BCT">
              <w:r>
                <w:rPr>
                  <w:rStyle w:val="InternetLink"/>
                  <w:spacing w:val="4"/>
                </w:rPr>
                <w:t>A-80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BPT">
              <w:r>
                <w:rPr>
                  <w:rStyle w:val="InternetLink"/>
                  <w:spacing w:val="4"/>
                </w:rPr>
                <w:t xml:space="preserve">Termination by Parent </w:t>
              </w:r>
            </w:hyperlink>
            <w:r>
              <mc:AlternateContent>
                <mc:Choice Requires="wps">
                  <w:drawing>
                    <wp:anchor behindDoc="0" distT="0" distB="0" distL="127000" distR="0" simplePos="0" locked="0" layoutInCell="1" allowOverlap="1" relativeHeight="740">
                      <wp:simplePos x="0" y="0"/>
                      <wp:positionH relativeFrom="column">
                        <wp:align>left</wp:align>
                      </wp:positionH>
                      <wp:positionV relativeFrom="line">
                        <wp:posOffset>635</wp:posOffset>
                      </wp:positionV>
                      <wp:extent cx="342900" cy="350520"/>
                      <wp:effectExtent l="0" t="0" r="0" b="0"/>
                      <wp:wrapSquare wrapText="right"/>
                      <wp:docPr id="737" name="Frame72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PT">
                                    <w:r>
                                      <w:rPr>
                                        <w:rStyle w:val="InternetLink"/>
                                        <w:spacing w:val="4"/>
                                      </w:rPr>
                                      <w:t>7.4</w:t>
                                    </w:r>
                                  </w:hyperlink>
                                  <w:hyperlink w:anchor="t7B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PT">
                              <w:r>
                                <w:rPr>
                                  <w:rStyle w:val="InternetLink"/>
                                  <w:spacing w:val="4"/>
                                </w:rPr>
                                <w:t>7.4</w:t>
                              </w:r>
                            </w:hyperlink>
                            <w:hyperlink w:anchor="t7B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BPT">
              <w:r>
                <w:rPr>
                  <w:rStyle w:val="InternetLink"/>
                  <w:spacing w:val="4"/>
                </w:rPr>
                <w:t>A-81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TFA">
              <w:r>
                <w:rPr>
                  <w:rStyle w:val="InternetLink"/>
                  <w:spacing w:val="4"/>
                </w:rPr>
                <w:t xml:space="preserve">Company Termination Fee and Expense Reimbursement </w:t>
              </w:r>
            </w:hyperlink>
            <w:r>
              <mc:AlternateContent>
                <mc:Choice Requires="wps">
                  <w:drawing>
                    <wp:anchor behindDoc="0" distT="0" distB="0" distL="127000" distR="0" simplePos="0" locked="0" layoutInCell="1" allowOverlap="1" relativeHeight="741">
                      <wp:simplePos x="0" y="0"/>
                      <wp:positionH relativeFrom="column">
                        <wp:align>left</wp:align>
                      </wp:positionH>
                      <wp:positionV relativeFrom="line">
                        <wp:posOffset>635</wp:posOffset>
                      </wp:positionV>
                      <wp:extent cx="342900" cy="350520"/>
                      <wp:effectExtent l="0" t="0" r="0" b="0"/>
                      <wp:wrapSquare wrapText="right"/>
                      <wp:docPr id="738" name="Frame72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TFA">
                                    <w:r>
                                      <w:rPr>
                                        <w:rStyle w:val="InternetLink"/>
                                        <w:spacing w:val="4"/>
                                      </w:rPr>
                                      <w:t>7.5</w:t>
                                    </w:r>
                                  </w:hyperlink>
                                  <w:hyperlink w:anchor="t7T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A">
                              <w:r>
                                <w:rPr>
                                  <w:rStyle w:val="InternetLink"/>
                                  <w:spacing w:val="4"/>
                                </w:rPr>
                                <w:t>7.5</w:t>
                              </w:r>
                            </w:hyperlink>
                            <w:hyperlink w:anchor="t7T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TFA">
              <w:r>
                <w:rPr>
                  <w:rStyle w:val="InternetLink"/>
                  <w:spacing w:val="4"/>
                </w:rPr>
                <w:t>A-81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TFA1">
              <w:r>
                <w:rPr>
                  <w:rStyle w:val="InternetLink"/>
                  <w:spacing w:val="4"/>
                </w:rPr>
                <w:t xml:space="preserve">Parent Termination Fee and Expense Reimbursement </w:t>
              </w:r>
            </w:hyperlink>
            <w:r>
              <mc:AlternateContent>
                <mc:Choice Requires="wps">
                  <w:drawing>
                    <wp:anchor behindDoc="0" distT="0" distB="0" distL="127000" distR="0" simplePos="0" locked="0" layoutInCell="1" allowOverlap="1" relativeHeight="742">
                      <wp:simplePos x="0" y="0"/>
                      <wp:positionH relativeFrom="column">
                        <wp:align>left</wp:align>
                      </wp:positionH>
                      <wp:positionV relativeFrom="line">
                        <wp:posOffset>635</wp:posOffset>
                      </wp:positionV>
                      <wp:extent cx="342900" cy="350520"/>
                      <wp:effectExtent l="0" t="0" r="0" b="0"/>
                      <wp:wrapSquare wrapText="right"/>
                      <wp:docPr id="739" name="Frame7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TFA1">
                                    <w:r>
                                      <w:rPr>
                                        <w:rStyle w:val="InternetLink"/>
                                        <w:spacing w:val="4"/>
                                      </w:rPr>
                                      <w:t>7.6</w:t>
                                    </w:r>
                                  </w:hyperlink>
                                  <w:hyperlink w:anchor="t7TF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A1">
                              <w:r>
                                <w:rPr>
                                  <w:rStyle w:val="InternetLink"/>
                                  <w:spacing w:val="4"/>
                                </w:rPr>
                                <w:t>7.6</w:t>
                              </w:r>
                            </w:hyperlink>
                            <w:hyperlink w:anchor="t7TF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A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TFA1">
              <w:r>
                <w:rPr>
                  <w:rStyle w:val="InternetLink"/>
                  <w:spacing w:val="4"/>
                </w:rPr>
                <w:t>A-82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OTT">
              <w:r>
                <w:rPr>
                  <w:rStyle w:val="InternetLink"/>
                  <w:spacing w:val="4"/>
                </w:rPr>
                <w:t xml:space="preserve">Notice of Termination </w:t>
              </w:r>
            </w:hyperlink>
            <w:r>
              <mc:AlternateContent>
                <mc:Choice Requires="wps">
                  <w:drawing>
                    <wp:anchor behindDoc="0" distT="0" distB="0" distL="127000" distR="0" simplePos="0" locked="0" layoutInCell="1" allowOverlap="1" relativeHeight="743">
                      <wp:simplePos x="0" y="0"/>
                      <wp:positionH relativeFrom="column">
                        <wp:align>left</wp:align>
                      </wp:positionH>
                      <wp:positionV relativeFrom="line">
                        <wp:posOffset>635</wp:posOffset>
                      </wp:positionV>
                      <wp:extent cx="342900" cy="350520"/>
                      <wp:effectExtent l="0" t="0" r="0" b="0"/>
                      <wp:wrapSquare wrapText="right"/>
                      <wp:docPr id="740" name="Frame7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OTT">
                                    <w:r>
                                      <w:rPr>
                                        <w:rStyle w:val="InternetLink"/>
                                        <w:spacing w:val="4"/>
                                      </w:rPr>
                                      <w:t>7.7</w:t>
                                    </w:r>
                                  </w:hyperlink>
                                  <w:hyperlink w:anchor="t7O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T">
                              <w:r>
                                <w:rPr>
                                  <w:rStyle w:val="InternetLink"/>
                                  <w:spacing w:val="4"/>
                                </w:rPr>
                                <w:t>7.7</w:t>
                              </w:r>
                            </w:hyperlink>
                            <w:hyperlink w:anchor="t7O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OTT">
              <w:r>
                <w:rPr>
                  <w:rStyle w:val="InternetLink"/>
                  <w:spacing w:val="4"/>
                </w:rPr>
                <w:t>A-82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OTA">
              <w:r>
                <w:rPr>
                  <w:rStyle w:val="InternetLink"/>
                  <w:spacing w:val="4"/>
                </w:rPr>
                <w:t xml:space="preserve">Effect of Termination and Abandonment </w:t>
              </w:r>
            </w:hyperlink>
            <w:r>
              <mc:AlternateContent>
                <mc:Choice Requires="wps">
                  <w:drawing>
                    <wp:anchor behindDoc="0" distT="0" distB="0" distL="127000" distR="0" simplePos="0" locked="0" layoutInCell="1" allowOverlap="1" relativeHeight="744">
                      <wp:simplePos x="0" y="0"/>
                      <wp:positionH relativeFrom="column">
                        <wp:align>left</wp:align>
                      </wp:positionH>
                      <wp:positionV relativeFrom="line">
                        <wp:posOffset>635</wp:posOffset>
                      </wp:positionV>
                      <wp:extent cx="342900" cy="350520"/>
                      <wp:effectExtent l="0" t="0" r="0" b="0"/>
                      <wp:wrapSquare wrapText="right"/>
                      <wp:docPr id="741" name="Frame7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OTA">
                                    <w:r>
                                      <w:rPr>
                                        <w:rStyle w:val="InternetLink"/>
                                        <w:spacing w:val="4"/>
                                      </w:rPr>
                                      <w:t>7.8</w:t>
                                    </w:r>
                                  </w:hyperlink>
                                  <w:hyperlink w:anchor="t7O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A">
                              <w:r>
                                <w:rPr>
                                  <w:rStyle w:val="InternetLink"/>
                                  <w:spacing w:val="4"/>
                                </w:rPr>
                                <w:t>7.8</w:t>
                              </w:r>
                            </w:hyperlink>
                            <w:hyperlink w:anchor="t7O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OTA">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9R">
              <w:r>
                <w:rPr>
                  <w:rStyle w:val="InternetLink"/>
                  <w:spacing w:val="4"/>
                </w:rPr>
                <w:t xml:space="preserve">Remedies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342900" cy="350520"/>
                      <wp:effectExtent l="0" t="0" r="0" b="0"/>
                      <wp:wrapSquare wrapText="right"/>
                      <wp:docPr id="742" name="Frame7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9R">
                                    <w:r>
                                      <w:rPr>
                                        <w:rStyle w:val="InternetLink"/>
                                        <w:spacing w:val="4"/>
                                      </w:rPr>
                                      <w:t>7.9</w:t>
                                    </w:r>
                                  </w:hyperlink>
                                  <w:hyperlink w:anchor="t79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9R">
                              <w:r>
                                <w:rPr>
                                  <w:rStyle w:val="InternetLink"/>
                                  <w:spacing w:val="4"/>
                                </w:rPr>
                                <w:t>7.9</w:t>
                              </w:r>
                            </w:hyperlink>
                            <w:hyperlink w:anchor="t79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9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9R">
              <w:r>
                <w:rPr>
                  <w:rStyle w:val="InternetLink"/>
                  <w:spacing w:val="4"/>
                </w:rPr>
                <w:t>A-83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VAG">
              <w:r>
                <w:rPr>
                  <w:rStyle w:val="InternetLink"/>
                  <w:spacing w:val="4"/>
                </w:rPr>
                <w:t xml:space="preserve">ARTICLE VIII   MISCELLANEOUS AND 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VAG">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TAV">
              <w:r>
                <w:rPr>
                  <w:rStyle w:val="InternetLink"/>
                  <w:spacing w:val="4"/>
                </w:rPr>
                <w:t xml:space="preserve">Survival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342900" cy="350520"/>
                      <wp:effectExtent l="0" t="0" r="0" b="0"/>
                      <wp:wrapSquare wrapText="right"/>
                      <wp:docPr id="743" name="Frame7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V">
                                    <w:r>
                                      <w:rPr>
                                        <w:rStyle w:val="InternetLink"/>
                                        <w:spacing w:val="4"/>
                                      </w:rPr>
                                      <w:t>8.1</w:t>
                                    </w:r>
                                  </w:hyperlink>
                                  <w:hyperlink w:anchor="t8T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V">
                              <w:r>
                                <w:rPr>
                                  <w:rStyle w:val="InternetLink"/>
                                  <w:spacing w:val="4"/>
                                </w:rPr>
                                <w:t>8.1</w:t>
                              </w:r>
                            </w:hyperlink>
                            <w:hyperlink w:anchor="t8T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AV">
              <w:r>
                <w:rPr>
                  <w:rStyle w:val="InternetLink"/>
                  <w:spacing w:val="4"/>
                </w:rPr>
                <w:t>A-83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TAM">
              <w:r>
                <w:rPr>
                  <w:rStyle w:val="InternetLink"/>
                  <w:spacing w:val="4"/>
                </w:rPr>
                <w:t xml:space="preserve">Amendment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342900" cy="350520"/>
                      <wp:effectExtent l="0" t="0" r="0" b="0"/>
                      <wp:wrapSquare wrapText="right"/>
                      <wp:docPr id="744" name="Frame7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8.2</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8.2</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TAM">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TAS">
              <w:r>
                <w:rPr>
                  <w:rStyle w:val="InternetLink"/>
                  <w:spacing w:val="4"/>
                </w:rPr>
                <w:t xml:space="preserve">Assignability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342900" cy="350520"/>
                      <wp:effectExtent l="0" t="0" r="0" b="0"/>
                      <wp:wrapSquare wrapText="right"/>
                      <wp:docPr id="745" name="Frame7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S">
                                    <w:r>
                                      <w:rPr>
                                        <w:rStyle w:val="InternetLink"/>
                                        <w:spacing w:val="4"/>
                                      </w:rPr>
                                      <w:t>8.3</w:t>
                                    </w:r>
                                  </w:hyperlink>
                                  <w:hyperlink w:anchor="t8T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S">
                              <w:r>
                                <w:rPr>
                                  <w:rStyle w:val="InternetLink"/>
                                  <w:spacing w:val="4"/>
                                </w:rPr>
                                <w:t>8.3</w:t>
                              </w:r>
                            </w:hyperlink>
                            <w:hyperlink w:anchor="t8T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AS">
              <w:r>
                <w:rPr>
                  <w:rStyle w:val="InternetLink"/>
                  <w:spacing w:val="4"/>
                </w:rPr>
                <w:t>A-84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4W">
              <w:r>
                <w:rPr>
                  <w:rStyle w:val="InternetLink"/>
                  <w:spacing w:val="4"/>
                </w:rPr>
                <w:t xml:space="preserve">Waiver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342900" cy="350520"/>
                      <wp:effectExtent l="0" t="0" r="0" b="0"/>
                      <wp:wrapSquare wrapText="right"/>
                      <wp:docPr id="746" name="Frame7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4W">
                                    <w:r>
                                      <w:rPr>
                                        <w:rStyle w:val="InternetLink"/>
                                        <w:spacing w:val="4"/>
                                      </w:rPr>
                                      <w:t>8.4</w:t>
                                    </w:r>
                                  </w:hyperlink>
                                  <w:hyperlink w:anchor="t84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4W">
                              <w:r>
                                <w:rPr>
                                  <w:rStyle w:val="InternetLink"/>
                                  <w:spacing w:val="4"/>
                                </w:rPr>
                                <w:t>8.4</w:t>
                              </w:r>
                            </w:hyperlink>
                            <w:hyperlink w:anchor="t84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4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4W">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CE">
              <w:r>
                <w:rPr>
                  <w:rStyle w:val="InternetLink"/>
                  <w:spacing w:val="4"/>
                </w:rPr>
                <w:t xml:space="preserve">Entire Agreement; Counterparts; Exchanges by Electronic Transmission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342900" cy="350520"/>
                      <wp:effectExtent l="0" t="0" r="0" b="0"/>
                      <wp:wrapSquare wrapText="right"/>
                      <wp:docPr id="747" name="Frame7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CE">
                                    <w:r>
                                      <w:rPr>
                                        <w:rStyle w:val="InternetLink"/>
                                        <w:spacing w:val="4"/>
                                      </w:rPr>
                                      <w:t>8.5</w:t>
                                    </w:r>
                                  </w:hyperlink>
                                  <w:hyperlink w:anchor="t8A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CE">
                              <w:r>
                                <w:rPr>
                                  <w:rStyle w:val="InternetLink"/>
                                  <w:spacing w:val="4"/>
                                </w:rPr>
                                <w:t>8.5</w:t>
                              </w:r>
                            </w:hyperlink>
                            <w:hyperlink w:anchor="t8A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CE">
              <w:r>
                <w:rPr>
                  <w:rStyle w:val="InternetLink"/>
                  <w:spacing w:val="4"/>
                </w:rPr>
                <w:t>A-84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LAV">
              <w:r>
                <w:rPr>
                  <w:rStyle w:val="InternetLink"/>
                  <w:spacing w:val="4"/>
                </w:rPr>
                <w:t xml:space="preserve">Governing Law and Venue; Waiver of Jury Trial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342900" cy="350520"/>
                      <wp:effectExtent l="0" t="0" r="0" b="0"/>
                      <wp:wrapSquare wrapText="right"/>
                      <wp:docPr id="748" name="Frame7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LAV">
                                    <w:r>
                                      <w:rPr>
                                        <w:rStyle w:val="InternetLink"/>
                                        <w:spacing w:val="4"/>
                                      </w:rPr>
                                      <w:t>8.6</w:t>
                                    </w:r>
                                  </w:hyperlink>
                                  <w:hyperlink w:anchor="t8L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LAV">
                              <w:r>
                                <w:rPr>
                                  <w:rStyle w:val="InternetLink"/>
                                  <w:spacing w:val="4"/>
                                </w:rPr>
                                <w:t>8.6</w:t>
                              </w:r>
                            </w:hyperlink>
                            <w:hyperlink w:anchor="t8L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L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LAV">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NA">
              <w:r>
                <w:rPr>
                  <w:rStyle w:val="InternetLink"/>
                  <w:spacing w:val="4"/>
                </w:rPr>
                <w:t xml:space="preserve">Notices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342900" cy="350520"/>
                      <wp:effectExtent l="0" t="0" r="0" b="0"/>
                      <wp:wrapSquare wrapText="right"/>
                      <wp:docPr id="749" name="Frame7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NA">
                                    <w:r>
                                      <w:rPr>
                                        <w:rStyle w:val="InternetLink"/>
                                        <w:spacing w:val="4"/>
                                      </w:rPr>
                                      <w:t>8.7</w:t>
                                    </w:r>
                                  </w:hyperlink>
                                  <w:hyperlink w:anchor="t8A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NA">
                              <w:r>
                                <w:rPr>
                                  <w:rStyle w:val="InternetLink"/>
                                  <w:spacing w:val="4"/>
                                </w:rPr>
                                <w:t>8.7</w:t>
                              </w:r>
                            </w:hyperlink>
                            <w:hyperlink w:anchor="t8A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N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NA">
              <w:r>
                <w:rPr>
                  <w:rStyle w:val="InternetLink"/>
                  <w:spacing w:val="4"/>
                </w:rPr>
                <w:t>A-85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TPB">
              <w:r>
                <w:rPr>
                  <w:rStyle w:val="InternetLink"/>
                  <w:spacing w:val="4"/>
                </w:rPr>
                <w:t xml:space="preserve">No Third Party Beneficiaries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342900" cy="350520"/>
                      <wp:effectExtent l="0" t="0" r="0" b="0"/>
                      <wp:wrapSquare wrapText="right"/>
                      <wp:docPr id="750" name="Frame7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PB">
                                    <w:r>
                                      <w:rPr>
                                        <w:rStyle w:val="InternetLink"/>
                                        <w:spacing w:val="4"/>
                                      </w:rPr>
                                      <w:t>8.8</w:t>
                                    </w:r>
                                  </w:hyperlink>
                                  <w:hyperlink w:anchor="t8T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PB">
                              <w:r>
                                <w:rPr>
                                  <w:rStyle w:val="InternetLink"/>
                                  <w:spacing w:val="4"/>
                                </w:rPr>
                                <w:t>8.8</w:t>
                              </w:r>
                            </w:hyperlink>
                            <w:hyperlink w:anchor="t8T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P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TPB">
              <w:r>
                <w:rPr>
                  <w:rStyle w:val="InternetLink"/>
                  <w:spacing w:val="4"/>
                </w:rPr>
                <w:t>A-85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TO">
              <w:r>
                <w:rPr>
                  <w:rStyle w:val="InternetLink"/>
                  <w:spacing w:val="4"/>
                </w:rPr>
                <w:t xml:space="preserve">Severability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342900" cy="350520"/>
                      <wp:effectExtent l="0" t="0" r="0" b="0"/>
                      <wp:wrapSquare wrapText="right"/>
                      <wp:docPr id="751" name="Frame7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TO">
                                    <w:r>
                                      <w:rPr>
                                        <w:rStyle w:val="InternetLink"/>
                                        <w:spacing w:val="4"/>
                                      </w:rPr>
                                      <w:t>8.9</w:t>
                                    </w:r>
                                  </w:hyperlink>
                                  <w:hyperlink w:anchor="t8A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TO">
                              <w:r>
                                <w:rPr>
                                  <w:rStyle w:val="InternetLink"/>
                                  <w:spacing w:val="4"/>
                                </w:rPr>
                                <w:t>8.9</w:t>
                              </w:r>
                            </w:hyperlink>
                            <w:hyperlink w:anchor="t8A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TO">
              <w:r>
                <w:rPr>
                  <w:rStyle w:val="InternetLink"/>
                  <w:spacing w:val="4"/>
                </w:rPr>
                <w:t>A-85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ORA">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342900" cy="350520"/>
                      <wp:effectExtent l="0" t="0" r="0" b="0"/>
                      <wp:wrapSquare wrapText="right"/>
                      <wp:docPr id="752" name="Frame7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ORA">
                                    <w:r>
                                      <w:rPr>
                                        <w:rStyle w:val="InternetLink"/>
                                        <w:spacing w:val="4"/>
                                      </w:rPr>
                                      <w:t>8.10</w:t>
                                    </w:r>
                                  </w:hyperlink>
                                  <w:hyperlink w:anchor="t8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ORA">
                              <w:r>
                                <w:rPr>
                                  <w:rStyle w:val="InternetLink"/>
                                  <w:spacing w:val="4"/>
                                </w:rPr>
                                <w:t>8.10</w:t>
                              </w:r>
                            </w:hyperlink>
                            <w:hyperlink w:anchor="t8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ORA">
              <w:r>
                <w:rPr>
                  <w:rStyle w:val="InternetLink"/>
                  <w:spacing w:val="4"/>
                </w:rPr>
                <w:t>A-86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11">
              <w:r>
                <w:rPr>
                  <w:rStyle w:val="InternetLink"/>
                  <w:spacing w:val="4"/>
                </w:rPr>
                <w:t xml:space="preserve">Construction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342900" cy="350520"/>
                      <wp:effectExtent l="0" t="0" r="0" b="0"/>
                      <wp:wrapSquare wrapText="right"/>
                      <wp:docPr id="753" name="Frame7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11">
                                    <w:r>
                                      <w:rPr>
                                        <w:rStyle w:val="InternetLink"/>
                                        <w:spacing w:val="4"/>
                                      </w:rPr>
                                      <w:t>8.11</w:t>
                                    </w:r>
                                  </w:hyperlink>
                                  <w:hyperlink w:anchor="t8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11">
                              <w:r>
                                <w:rPr>
                                  <w:rStyle w:val="InternetLink"/>
                                  <w:spacing w:val="4"/>
                                </w:rPr>
                                <w:t>8.11</w:t>
                              </w:r>
                            </w:hyperlink>
                            <w:hyperlink w:anchor="t8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11">
              <w:r>
                <w:rPr>
                  <w:rStyle w:val="InternetLink"/>
                  <w:spacing w:val="4"/>
                </w:rPr>
                <w:t>A-86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DFT">
              <w:r>
                <w:rPr>
                  <w:rStyle w:val="InternetLink"/>
                  <w:spacing w:val="4"/>
                </w:rPr>
                <w:t xml:space="preserve">Certain Definitions: For the purposes of this Agreement: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342900" cy="350520"/>
                      <wp:effectExtent l="0" t="0" r="0" b="0"/>
                      <wp:wrapSquare wrapText="right"/>
                      <wp:docPr id="754" name="Frame7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DFT">
                                    <w:r>
                                      <w:rPr>
                                        <w:rStyle w:val="InternetLink"/>
                                        <w:spacing w:val="4"/>
                                      </w:rPr>
                                      <w:t>8.12</w:t>
                                    </w:r>
                                  </w:hyperlink>
                                  <w:hyperlink w:anchor="t8DF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DFT">
                              <w:r>
                                <w:rPr>
                                  <w:rStyle w:val="InternetLink"/>
                                  <w:spacing w:val="4"/>
                                </w:rPr>
                                <w:t>8.12</w:t>
                              </w:r>
                            </w:hyperlink>
                            <w:hyperlink w:anchor="t8DF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DF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DFT">
              <w:r>
                <w:rPr>
                  <w:rStyle w:val="InternetLink"/>
                  <w:spacing w:val="4"/>
                </w:rPr>
                <w:t>A-87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PTP">
              <w:r>
                <w:rPr>
                  <w:rStyle w:val="InternetLink"/>
                  <w:spacing w:val="4"/>
                </w:rPr>
                <w:t xml:space="preserve">Specific Performance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342900" cy="350520"/>
                      <wp:effectExtent l="0" t="0" r="0" b="0"/>
                      <wp:wrapSquare wrapText="right"/>
                      <wp:docPr id="755" name="Frame7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PTP">
                                    <w:r>
                                      <w:rPr>
                                        <w:rStyle w:val="InternetLink"/>
                                        <w:spacing w:val="4"/>
                                      </w:rPr>
                                      <w:t>8.13</w:t>
                                    </w:r>
                                  </w:hyperlink>
                                  <w:hyperlink w:anchor="t8P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PTP">
                              <w:r>
                                <w:rPr>
                                  <w:rStyle w:val="InternetLink"/>
                                  <w:spacing w:val="4"/>
                                </w:rPr>
                                <w:t>8.13</w:t>
                              </w:r>
                            </w:hyperlink>
                            <w:hyperlink w:anchor="t8P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P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PTP">
              <w:r>
                <w:rPr>
                  <w:rStyle w:val="InternetLink"/>
                  <w:spacing w:val="4"/>
                </w:rPr>
                <w:t>A-97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Exhibits</w:t>
      </w:r>
      <w:r>
        <w:rPr>
          <w:rFonts w:ascii="Times New Roman;Times;serif" w:hAnsi="Times New Roman;Times;serif"/>
          <w:b w:val="false"/>
          <w:i w:val="false"/>
          <w:caps w:val="false"/>
          <w:smallCaps w:val="false"/>
          <w:color w:val="000000"/>
          <w:spacing w:val="4"/>
          <w:sz w:val="20"/>
        </w:rPr>
        <w:t xml:space="preserve"> </w:t>
      </w:r>
    </w:p>
    <w:tbl>
      <w:tblPr>
        <w:tblW w:w="5429" w:type="dxa"/>
        <w:jc w:val="left"/>
        <w:tblInd w:w="1393" w:type="dxa"/>
        <w:tblLayout w:type="fixed"/>
        <w:tblCellMar>
          <w:top w:w="0" w:type="dxa"/>
          <w:left w:w="0" w:type="dxa"/>
          <w:bottom w:w="0" w:type="dxa"/>
          <w:right w:w="0" w:type="dxa"/>
        </w:tblCellMar>
      </w:tblPr>
      <w:tblGrid>
        <w:gridCol w:w="124"/>
        <w:gridCol w:w="4824"/>
        <w:gridCol w:w="109"/>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824"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Form of Certificate of Merger </w:t>
            </w:r>
            <w:r>
              <mc:AlternateContent>
                <mc:Choice Requires="wps">
                  <w:drawing>
                    <wp:anchor behindDoc="0" distT="0" distB="0" distL="0" distR="0" simplePos="0" locked="0" layoutInCell="1" allowOverlap="1" relativeHeight="759">
                      <wp:simplePos x="0" y="0"/>
                      <wp:positionH relativeFrom="column">
                        <wp:align>left</wp:align>
                      </wp:positionH>
                      <wp:positionV relativeFrom="line">
                        <wp:posOffset>635</wp:posOffset>
                      </wp:positionV>
                      <wp:extent cx="736600" cy="350520"/>
                      <wp:effectExtent l="0" t="0" r="0" b="0"/>
                      <wp:wrapSquare wrapText="right"/>
                      <wp:docPr id="756" name="Frame746"/>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A</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24" w:type="dxa"/>
            <w:tcBorders/>
            <w:vAlign w:val="center"/>
          </w:tcPr>
          <w:p>
            <w:pPr>
              <w:pStyle w:val="TableContents"/>
              <w:bidi w:val="0"/>
              <w:spacing w:lineRule="atLeast" w:line="200" w:before="0" w:after="0"/>
              <w:ind w:left="1160" w:right="0" w:hanging="0"/>
              <w:jc w:val="left"/>
              <w:rPr>
                <w:spacing w:val="4"/>
              </w:rPr>
            </w:pPr>
            <w:r>
              <w:rPr>
                <w:spacing w:val="4"/>
              </w:rPr>
              <w:t xml:space="preserve">Form of Certificate of Incorporation </w:t>
            </w:r>
            <w:r>
              <mc:AlternateContent>
                <mc:Choice Requires="wps">
                  <w:drawing>
                    <wp:anchor behindDoc="0" distT="0" distB="0" distL="0" distR="0" simplePos="0" locked="0" layoutInCell="1" allowOverlap="1" relativeHeight="760">
                      <wp:simplePos x="0" y="0"/>
                      <wp:positionH relativeFrom="column">
                        <wp:align>left</wp:align>
                      </wp:positionH>
                      <wp:positionV relativeFrom="line">
                        <wp:posOffset>635</wp:posOffset>
                      </wp:positionV>
                      <wp:extent cx="736600" cy="350520"/>
                      <wp:effectExtent l="0" t="0" r="0" b="0"/>
                      <wp:wrapSquare wrapText="right"/>
                      <wp:docPr id="757" name="Frame747"/>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B</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24"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Form of Bylaws </w:t>
            </w:r>
            <w:r>
              <mc:AlternateContent>
                <mc:Choice Requires="wps">
                  <w:drawing>
                    <wp:anchor behindDoc="0" distT="0" distB="0" distL="0" distR="0" simplePos="0" locked="0" layoutInCell="1" allowOverlap="1" relativeHeight="761">
                      <wp:simplePos x="0" y="0"/>
                      <wp:positionH relativeFrom="column">
                        <wp:align>left</wp:align>
                      </wp:positionH>
                      <wp:positionV relativeFrom="line">
                        <wp:posOffset>635</wp:posOffset>
                      </wp:positionV>
                      <wp:extent cx="736600" cy="350520"/>
                      <wp:effectExtent l="0" t="0" r="0" b="0"/>
                      <wp:wrapSquare wrapText="right"/>
                      <wp:docPr id="758" name="Frame748"/>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C</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24" w:type="dxa"/>
            <w:tcBorders/>
            <w:vAlign w:val="center"/>
          </w:tcPr>
          <w:p>
            <w:pPr>
              <w:pStyle w:val="TableContents"/>
              <w:bidi w:val="0"/>
              <w:spacing w:lineRule="atLeast" w:line="200" w:before="0" w:after="0"/>
              <w:ind w:left="1160" w:right="0" w:hanging="0"/>
              <w:jc w:val="left"/>
              <w:rPr>
                <w:spacing w:val="4"/>
              </w:rPr>
            </w:pPr>
            <w:r>
              <w:rPr>
                <w:spacing w:val="4"/>
              </w:rPr>
              <w:t xml:space="preserve">Directors and Officers of Parent </w:t>
            </w:r>
            <w:r>
              <mc:AlternateContent>
                <mc:Choice Requires="wps">
                  <w:drawing>
                    <wp:anchor behindDoc="0" distT="0" distB="0" distL="0" distR="0" simplePos="0" locked="0" layoutInCell="1" allowOverlap="1" relativeHeight="762">
                      <wp:simplePos x="0" y="0"/>
                      <wp:positionH relativeFrom="column">
                        <wp:align>left</wp:align>
                      </wp:positionH>
                      <wp:positionV relativeFrom="line">
                        <wp:posOffset>635</wp:posOffset>
                      </wp:positionV>
                      <wp:extent cx="736600" cy="350520"/>
                      <wp:effectExtent l="0" t="0" r="0" b="0"/>
                      <wp:wrapSquare wrapText="right"/>
                      <wp:docPr id="759" name="Frame749"/>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D</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56" w:type="dxa"/>
        <w:jc w:val="left"/>
        <w:tblInd w:w="1393" w:type="dxa"/>
        <w:tblLayout w:type="fixed"/>
        <w:tblCellMar>
          <w:top w:w="0" w:type="dxa"/>
          <w:left w:w="0" w:type="dxa"/>
          <w:bottom w:w="50" w:type="dxa"/>
          <w:right w:w="0" w:type="dxa"/>
        </w:tblCellMar>
      </w:tblPr>
      <w:tblGrid>
        <w:gridCol w:w="4964"/>
        <w:gridCol w:w="109"/>
        <w:gridCol w:w="109"/>
        <w:gridCol w:w="1920"/>
        <w:gridCol w:w="154"/>
      </w:tblGrid>
      <w:tr>
        <w:trPr/>
        <w:tc>
          <w:tcPr>
            <w:tcW w:w="4964"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20"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Acceptable Company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Acceptable Parent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8.12(pp)</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2009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2017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2021 Omnibus Stock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401(k)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Balance Sheet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Budget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5.1(a)(vii)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Certifications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Change in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Article 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2.3(c)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Fee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7.6(b)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In-Licensed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Medical Device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3.18(i)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Out-bound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Real Estate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3.6(a)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99" w:type="dxa"/>
        <w:jc w:val="left"/>
        <w:tblInd w:w="1393" w:type="dxa"/>
        <w:tblLayout w:type="fixed"/>
        <w:tblCellMar>
          <w:top w:w="0" w:type="dxa"/>
          <w:left w:w="0" w:type="dxa"/>
          <w:bottom w:w="50" w:type="dxa"/>
          <w:right w:w="0" w:type="dxa"/>
        </w:tblCellMar>
      </w:tblPr>
      <w:tblGrid>
        <w:gridCol w:w="4288"/>
        <w:gridCol w:w="109"/>
        <w:gridCol w:w="109"/>
        <w:gridCol w:w="1939"/>
        <w:gridCol w:w="154"/>
      </w:tblGrid>
      <w:tr>
        <w:trPr/>
        <w:tc>
          <w:tcPr>
            <w:tcW w:w="4288"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9"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Sensitive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Specified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7.3(b)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5.5(a)(i)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D&amp;O Tail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Excluded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Existing D&amp;O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HIPAA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8.12(ss)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Indemnified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Indemnified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8.12(pp)</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Joint Proxy Statement/Prospectus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Maximum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2009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2010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2011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2017 Inducement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2022 Inducement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Balance Sheet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Budget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both"/>
              <w:rPr>
                <w:spacing w:val="4"/>
              </w:rPr>
            </w:pPr>
            <w:r>
              <w:rPr>
                <w:spacing w:val="4"/>
              </w:rPr>
              <w:t xml:space="preserve">Section 5.1(b)(vii)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Certifications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Change in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Charter Amendment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4.4(a)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182" w:type="dxa"/>
        <w:jc w:val="left"/>
        <w:tblInd w:w="1393" w:type="dxa"/>
        <w:tblLayout w:type="fixed"/>
        <w:tblCellMar>
          <w:top w:w="0" w:type="dxa"/>
          <w:left w:w="0" w:type="dxa"/>
          <w:bottom w:w="50" w:type="dxa"/>
          <w:right w:w="0" w:type="dxa"/>
        </w:tblCellMar>
      </w:tblPr>
      <w:tblGrid>
        <w:gridCol w:w="3029"/>
        <w:gridCol w:w="109"/>
        <w:gridCol w:w="109"/>
        <w:gridCol w:w="1781"/>
        <w:gridCol w:w="154"/>
      </w:tblGrid>
      <w:tr>
        <w:trPr/>
        <w:tc>
          <w:tcPr>
            <w:tcW w:w="3029"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1"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Article IV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Fee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In-Licensed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Medical Device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4.18(i)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Out-bound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Real Estate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Sensitive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Share Issuance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5.5(b)(i)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Patents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Payor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PPACA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3.13(i)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Pre-Closing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Recall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3.18(e)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Recipient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Registration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Second Request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2.3(f)</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5.18(d)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Termination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Trade Control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3.25(b)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10" w:type="dxa"/>
        <w:jc w:val="left"/>
        <w:tblInd w:w="1393" w:type="dxa"/>
        <w:tblLayout w:type="fixed"/>
        <w:tblCellMar>
          <w:top w:w="0" w:type="dxa"/>
          <w:left w:w="0" w:type="dxa"/>
          <w:bottom w:w="50" w:type="dxa"/>
          <w:right w:w="0" w:type="dxa"/>
        </w:tblCellMar>
      </w:tblPr>
      <w:tblGrid>
        <w:gridCol w:w="2342"/>
        <w:gridCol w:w="109"/>
        <w:gridCol w:w="109"/>
        <w:gridCol w:w="1796"/>
        <w:gridCol w:w="154"/>
      </w:tblGrid>
      <w:tr>
        <w:trPr/>
        <w:tc>
          <w:tcPr>
            <w:tcW w:w="2342"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Trademarks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Transaction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5.17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Uncertificated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3.13(t)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Willful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7.8</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xml:space="preserve"> (hereinafter referred to as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October 4, 2023, among SomaLogic,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Standard BioTools Inc., a Delaware corporation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Martis Merger Sub, Inc., a Delaware corporation and a wholly owned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Parent, Merger Sub and the Company are each sometimes referred to herein as a “</w:t>
      </w:r>
      <w:r>
        <w:rPr>
          <w:rFonts w:ascii="Times New Roman;Times;serif" w:hAnsi="Times New Roman;Times;serif"/>
          <w:b/>
          <w:i w:val="false"/>
          <w:caps w:val="false"/>
          <w:smallCaps w:val="false"/>
          <w:color w:val="000000"/>
          <w:spacing w:val="-4"/>
          <w:sz w:val="20"/>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i w:val="false"/>
          <w:caps w:val="false"/>
          <w:smallCaps w:val="false"/>
          <w:color w:val="000000"/>
          <w:spacing w:val="-4"/>
          <w:sz w:val="20"/>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wish to effect a business combination through the merger of Merger Sub with and into the Company, with the Company being the surviving corporation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63">
                <wp:simplePos x="0" y="0"/>
                <wp:positionH relativeFrom="column">
                  <wp:align>left</wp:align>
                </wp:positionH>
                <wp:positionV relativeFrom="line">
                  <wp:align>top</wp:align>
                </wp:positionV>
                <wp:extent cx="254000" cy="350520"/>
                <wp:effectExtent l="0" t="0" r="0" b="0"/>
                <wp:wrapSquare wrapText="right"/>
                <wp:docPr id="760" name="Frame7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each outstanding share of the Company Capital Stock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issued and outstanding immediately prior to the Effective Time shall be cancelled and each holder of Shares shall have the right to receive the Merger Consideration upon the terms and subject to the conditions set forth in this Agreement and in accordance with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(other than Shares to be cancelled in accordance with </w:t>
      </w:r>
      <w:r>
        <w:rPr>
          <w:rFonts w:ascii="Times New Roman;Times;serif" w:hAnsi="Times New Roman;Times;serif"/>
          <w:b w:val="false"/>
          <w:i w:val="false"/>
          <w:caps w:val="false"/>
          <w:smallCaps w:val="false"/>
          <w:color w:val="000000"/>
          <w:spacing w:val="4"/>
          <w:sz w:val="20"/>
          <w:u w:val="single"/>
        </w:rPr>
        <w:t>Section 2.1(a)(iii)</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64">
                <wp:simplePos x="0" y="0"/>
                <wp:positionH relativeFrom="column">
                  <wp:align>left</wp:align>
                </wp:positionH>
                <wp:positionV relativeFrom="line">
                  <wp:align>top</wp:align>
                </wp:positionV>
                <wp:extent cx="254000" cy="350520"/>
                <wp:effectExtent l="0" t="0" r="0" b="0"/>
                <wp:wrapSquare wrapText="right"/>
                <wp:docPr id="761" name="Frame7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the Company (the “</w:t>
      </w:r>
      <w:r>
        <w:rPr>
          <w:rFonts w:ascii="Times New Roman;Times;serif" w:hAnsi="Times New Roman;Times;serif"/>
          <w:b/>
          <w:i w:val="false"/>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has (i) determined that the Contemplated Transactions, including the Merger, are advisable and in the best interests of the Company and its stockholders, (ii) approved and declared advisable this Agreement and the Contemplated Transactions and (iii) resolved to recommend the adoption of this Agreement by the Company’s stockholders (such recommendation, the “</w:t>
      </w:r>
      <w:r>
        <w:rPr>
          <w:rFonts w:ascii="Times New Roman;Times;serif" w:hAnsi="Times New Roman;Times;serif"/>
          <w:b/>
          <w:i w:val="false"/>
          <w:caps w:val="false"/>
          <w:smallCaps w:val="false"/>
          <w:color w:val="000000"/>
          <w:spacing w:val="-4"/>
          <w:sz w:val="20"/>
        </w:rPr>
        <w:t>Company Board Recommendation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65">
                <wp:simplePos x="0" y="0"/>
                <wp:positionH relativeFrom="column">
                  <wp:align>left</wp:align>
                </wp:positionH>
                <wp:positionV relativeFrom="line">
                  <wp:align>top</wp:align>
                </wp:positionV>
                <wp:extent cx="254000" cy="350520"/>
                <wp:effectExtent l="0" t="0" r="0" b="0"/>
                <wp:wrapSquare wrapText="right"/>
                <wp:docPr id="762" name="Frame7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Parent (the “</w:t>
      </w:r>
      <w:r>
        <w:rPr>
          <w:rFonts w:ascii="Times New Roman;Times;serif" w:hAnsi="Times New Roman;Times;serif"/>
          <w:b/>
          <w:i w:val="false"/>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has (i) determined that the Contemplated Transactions, including the Merger, the Parent Share Issuance and the Parent Charter Amendment, are advisable and in the best interests of Parent and its stockholders, (ii) approved and declared advisable this Agreement, the Contemplated Transactions and the Parent Charter Amendment, and (iii) resolved to recommend the approval of the Parent Share Issuance and the Parent Charter Amendment by Parent’s stockholders (such recommendation, the “</w:t>
      </w:r>
      <w:r>
        <w:rPr>
          <w:rFonts w:ascii="Times New Roman;Times;serif" w:hAnsi="Times New Roman;Times;serif"/>
          <w:b/>
          <w:i w:val="false"/>
          <w:caps w:val="false"/>
          <w:smallCaps w:val="false"/>
          <w:color w:val="000000"/>
          <w:spacing w:val="-4"/>
          <w:sz w:val="20"/>
        </w:rPr>
        <w:t>Parent Board Recommendation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66">
                <wp:simplePos x="0" y="0"/>
                <wp:positionH relativeFrom="column">
                  <wp:align>left</wp:align>
                </wp:positionH>
                <wp:positionV relativeFrom="line">
                  <wp:align>top</wp:align>
                </wp:positionV>
                <wp:extent cx="254000" cy="350520"/>
                <wp:effectExtent l="0" t="0" r="0" b="0"/>
                <wp:wrapSquare wrapText="right"/>
                <wp:docPr id="763" name="Frame7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Merger Sub, by resolutions duly adopted, has (i) determined that the Contemplated Transactions, including the Merger, are advisable and in the best interests of Merger Sub and its sole stockholder, (ii) approved and declared advisable this Agreement and the Contemplated Transactions and (iii) resolved to recommend the adoption of this Agreement by Parent as its sole stockholder. </w:t>
      </w:r>
      <w:r>
        <mc:AlternateContent>
          <mc:Choice Requires="wps">
            <w:drawing>
              <wp:anchor behindDoc="0" distT="104140" distB="0" distL="0" distR="0" simplePos="0" locked="0" layoutInCell="1" allowOverlap="1" relativeHeight="767">
                <wp:simplePos x="0" y="0"/>
                <wp:positionH relativeFrom="column">
                  <wp:align>left</wp:align>
                </wp:positionH>
                <wp:positionV relativeFrom="line">
                  <wp:align>top</wp:align>
                </wp:positionV>
                <wp:extent cx="254000" cy="350520"/>
                <wp:effectExtent l="0" t="0" r="0" b="0"/>
                <wp:wrapSquare wrapText="right"/>
                <wp:docPr id="764" name="Frame7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and delivery of this Agreement, and as a condition and inducement to Parent’s willingness to enter into this Agreement, certain stockholders of the Company have entered into an agreement with Parent (the “</w:t>
      </w:r>
      <w:r>
        <w:rPr>
          <w:rFonts w:ascii="Times New Roman;Times;serif" w:hAnsi="Times New Roman;Times;serif"/>
          <w:b/>
          <w:i w:val="false"/>
          <w:caps w:val="false"/>
          <w:smallCaps w:val="false"/>
          <w:color w:val="000000"/>
          <w:spacing w:val="-4"/>
          <w:sz w:val="20"/>
        </w:rPr>
        <w:t>Company Voting Agreement</w:t>
      </w:r>
      <w:r>
        <w:rPr>
          <w:rFonts w:ascii="Times New Roman;Times;serif" w:hAnsi="Times New Roman;Times;serif"/>
          <w:b w:val="false"/>
          <w:i w:val="false"/>
          <w:caps w:val="false"/>
          <w:smallCaps w:val="false"/>
          <w:color w:val="000000"/>
          <w:spacing w:val="4"/>
          <w:sz w:val="20"/>
        </w:rPr>
        <w:t xml:space="preserve">”) pursuant to which each such stockholder has agreed, among other things, to vote the Shares held by such stockholder in favor of this Agreement, the Merger and the other Contemplated Transactions. </w:t>
      </w:r>
      <w:r>
        <mc:AlternateContent>
          <mc:Choice Requires="wps">
            <w:drawing>
              <wp:anchor behindDoc="0" distT="104140" distB="0" distL="0" distR="0" simplePos="0" locked="0" layoutInCell="1" allowOverlap="1" relativeHeight="768">
                <wp:simplePos x="0" y="0"/>
                <wp:positionH relativeFrom="column">
                  <wp:align>left</wp:align>
                </wp:positionH>
                <wp:positionV relativeFrom="line">
                  <wp:align>top</wp:align>
                </wp:positionV>
                <wp:extent cx="254000" cy="350520"/>
                <wp:effectExtent l="0" t="0" r="0" b="0"/>
                <wp:wrapSquare wrapText="right"/>
                <wp:docPr id="765" name="Frame7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and delivery of this Agreement, and as a condition and inducement to the Company’s willingness to enter into this Agreement, certain stockholders of Parent have entered into an agreement with the Company (the “</w:t>
      </w:r>
      <w:r>
        <w:rPr>
          <w:rFonts w:ascii="Times New Roman;Times;serif" w:hAnsi="Times New Roman;Times;serif"/>
          <w:b/>
          <w:i w:val="false"/>
          <w:caps w:val="false"/>
          <w:smallCaps w:val="false"/>
          <w:color w:val="000000"/>
          <w:spacing w:val="-4"/>
          <w:sz w:val="20"/>
        </w:rPr>
        <w:t>Parent Voting Agreement</w:t>
      </w:r>
      <w:r>
        <w:rPr>
          <w:rFonts w:ascii="Times New Roman;Times;serif" w:hAnsi="Times New Roman;Times;serif"/>
          <w:b w:val="false"/>
          <w:i w:val="false"/>
          <w:caps w:val="false"/>
          <w:smallCaps w:val="false"/>
          <w:color w:val="000000"/>
          <w:spacing w:val="4"/>
          <w:sz w:val="20"/>
        </w:rPr>
        <w:t xml:space="preserve">”) pursuant to which each such stockholder has agreed, among other things, to vote the shares of capital stock of Parent held by such stockholder in favor of the Parent Share Issuance and the Parent Charter Amendment. </w:t>
      </w:r>
      <w:r>
        <mc:AlternateContent>
          <mc:Choice Requires="wps">
            <w:drawing>
              <wp:anchor behindDoc="0" distT="104140" distB="0" distL="0" distR="0" simplePos="0" locked="0" layoutInCell="1" allowOverlap="1" relativeHeight="769">
                <wp:simplePos x="0" y="0"/>
                <wp:positionH relativeFrom="column">
                  <wp:align>left</wp:align>
                </wp:positionH>
                <wp:positionV relativeFrom="line">
                  <wp:align>top</wp:align>
                </wp:positionV>
                <wp:extent cx="254000" cy="350520"/>
                <wp:effectExtent l="0" t="0" r="0" b="0"/>
                <wp:wrapSquare wrapText="right"/>
                <wp:docPr id="766" name="Frame7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U.S. federal income Tax purposes, it is intended that (i) the Merger will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(such treatment, the “</w:t>
      </w:r>
      <w:r>
        <w:rPr>
          <w:rFonts w:ascii="Times New Roman;Times;serif" w:hAnsi="Times New Roman;Times;serif"/>
          <w:b/>
          <w:i w:val="false"/>
          <w:caps w:val="false"/>
          <w:smallCaps w:val="false"/>
          <w:color w:val="000000"/>
          <w:spacing w:val="-4"/>
          <w:sz w:val="20"/>
        </w:rPr>
        <w:t>Intended Tax Treatment</w:t>
      </w:r>
      <w:r>
        <w:rPr>
          <w:rFonts w:ascii="Times New Roman;Times;serif" w:hAnsi="Times New Roman;Times;serif"/>
          <w:b w:val="false"/>
          <w:i w:val="false"/>
          <w:caps w:val="false"/>
          <w:smallCaps w:val="false"/>
          <w:color w:val="000000"/>
          <w:spacing w:val="4"/>
          <w:sz w:val="20"/>
        </w:rPr>
        <w:t xml:space="preserve">”) and (ii) this Agreement be, and it is hereby adopted as a “plan of reorganization” within the meaning of Treasury Regulations Sections 1.368-2(g) and 1.368-3(a). </w:t>
      </w:r>
      <w:r>
        <mc:AlternateContent>
          <mc:Choice Requires="wps">
            <w:drawing>
              <wp:anchor behindDoc="0" distT="105410" distB="0" distL="0" distR="0" simplePos="0" locked="0" layoutInCell="1" allowOverlap="1" relativeHeight="770">
                <wp:simplePos x="0" y="0"/>
                <wp:positionH relativeFrom="column">
                  <wp:align>left</wp:align>
                </wp:positionH>
                <wp:positionV relativeFrom="line">
                  <wp:align>top</wp:align>
                </wp:positionV>
                <wp:extent cx="254000" cy="350520"/>
                <wp:effectExtent l="0" t="0" r="0" b="0"/>
                <wp:wrapSquare wrapText="right"/>
                <wp:docPr id="767" name="Frame7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premises, and of the representations, warranties, covenants and agreements contained herein, the Parties hereby agree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AIMC"/>
      <w:bookmarkEnd w:id="170"/>
      <w:r>
        <w:rPr>
          <w:rFonts w:ascii="calibri;arial;sans-serif" w:hAnsi="calibri;arial;sans-serif"/>
          <w:b w:val="false"/>
          <w:i w:val="false"/>
          <w:caps w:val="false"/>
          <w:smallCaps w:val="false"/>
          <w:color w:val="000000"/>
          <w:sz w:val="16"/>
        </w:rPr>
        <w:t>​</w:t>
      </w:r>
      <w:bookmarkStart w:id="171" w:name="t1MUT"/>
      <w:bookmarkEnd w:id="171"/>
      <w:r>
        <w:rPr>
          <w:rFonts w:ascii="calibri;arial;sans-serif" w:hAnsi="calibri;arial;sans-serif"/>
          <w:b w:val="false"/>
          <w:i w:val="false"/>
          <w:caps w:val="false"/>
          <w:smallCaps w:val="false"/>
          <w:color w:val="000000"/>
          <w:sz w:val="16"/>
        </w:rPr>
        <w:t>​</w:t>
      </w:r>
      <w:bookmarkStart w:id="172" w:name="t1TCO"/>
      <w:bookmarkEnd w:id="172"/>
      <w:r>
        <w:rPr>
          <w:rFonts w:ascii="calibri;arial;sans-serif" w:hAnsi="calibri;arial;sans-serif"/>
          <w:b w:val="false"/>
          <w:i w:val="false"/>
          <w:caps w:val="false"/>
          <w:smallCaps w:val="false"/>
          <w:color w:val="000000"/>
          <w:sz w:val="16"/>
        </w:rPr>
        <w:t>​</w:t>
      </w:r>
      <w:bookmarkStart w:id="173" w:name="t1TUT"/>
      <w:bookmarkEnd w:id="173"/>
      <w:r>
        <w:rPr>
          <w:rFonts w:ascii="calibri;arial;sans-serif" w:hAnsi="calibri;arial;sans-serif"/>
          <w:b w:val="false"/>
          <w:i w:val="false"/>
          <w:caps w:val="false"/>
          <w:smallCaps w:val="false"/>
          <w:color w:val="000000"/>
          <w:sz w:val="16"/>
        </w:rPr>
        <w:t>​</w:t>
      </w:r>
      <w:bookmarkStart w:id="174" w:name="t1COI"/>
      <w:bookmarkEnd w:id="174"/>
      <w:r>
        <w:rPr>
          <w:rFonts w:ascii="calibri;arial;sans-serif" w:hAnsi="calibri;arial;sans-serif"/>
          <w:b w:val="false"/>
          <w:i w:val="false"/>
          <w:caps w:val="false"/>
          <w:smallCaps w:val="false"/>
          <w:color w:val="000000"/>
          <w:sz w:val="16"/>
        </w:rPr>
        <w:t>​</w:t>
      </w:r>
      <w:bookmarkStart w:id="175" w:name="t1BAT"/>
      <w:bookmarkEnd w:id="175"/>
      <w:r>
        <w:rPr>
          <w:rFonts w:ascii="calibri;arial;sans-serif" w:hAnsi="calibri;arial;sans-serif"/>
          <w:b w:val="false"/>
          <w:i w:val="false"/>
          <w:caps w:val="false"/>
          <w:smallCaps w:val="false"/>
          <w:color w:val="000000"/>
          <w:sz w:val="16"/>
        </w:rPr>
        <w:t>​</w:t>
      </w:r>
      <w:bookmarkStart w:id="176" w:name="t1AOO"/>
      <w:bookmarkEnd w:id="176"/>
      <w:r>
        <w:rPr>
          <w:rFonts w:ascii="calibri;arial;sans-serif" w:hAnsi="calibri;arial;sans-serif"/>
          <w:b w:val="false"/>
          <w:i w:val="false"/>
          <w:caps w:val="false"/>
          <w:smallCaps w:val="false"/>
          <w:color w:val="000000"/>
          <w:sz w:val="16"/>
        </w:rPr>
        <w:t>​</w:t>
      </w:r>
      <w:bookmarkStart w:id="177" w:name="t1AOO1"/>
      <w:bookmarkEnd w:id="177"/>
      <w:r>
        <w:rPr>
          <w:rFonts w:ascii="calibri;arial;sans-serif" w:hAnsi="calibri;arial;sans-serif"/>
          <w:b w:val="false"/>
          <w:i w:val="false"/>
          <w:caps w:val="false"/>
          <w:smallCaps w:val="false"/>
          <w:color w:val="000000"/>
          <w:sz w:val="16"/>
        </w:rPr>
        <w:t>​</w:t>
      </w:r>
      <w:bookmarkStart w:id="178" w:name="tAIOT"/>
      <w:bookmarkEnd w:id="178"/>
      <w:r>
        <w:rPr>
          <w:rFonts w:ascii="calibri;arial;sans-serif" w:hAnsi="calibri;arial;sans-serif"/>
          <w:b w:val="false"/>
          <w:i w:val="false"/>
          <w:caps w:val="false"/>
          <w:smallCaps w:val="false"/>
          <w:color w:val="000000"/>
          <w:sz w:val="16"/>
        </w:rPr>
        <w:t>​</w:t>
      </w:r>
      <w:bookmarkStart w:id="179" w:name="t2OCS"/>
      <w:bookmarkEnd w:id="1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 CLOSING;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Times;serif" w:hAnsi="Times New Roman;Times;serif"/>
          <w:b/>
          <w:i w:val="false"/>
          <w:caps w:val="false"/>
          <w:smallCaps w:val="false"/>
          <w:color w:val="000000"/>
          <w:spacing w:val="-4"/>
          <w:sz w:val="20"/>
        </w:rPr>
        <w:t>Surviving Company</w:t>
      </w:r>
      <w:r>
        <w:rPr>
          <w:rFonts w:ascii="Times New Roman;Times;serif" w:hAnsi="Times New Roman;Times;serif"/>
          <w:b w:val="false"/>
          <w:i w:val="false"/>
          <w:caps w:val="false"/>
          <w:smallCaps w:val="false"/>
          <w:color w:val="000000"/>
          <w:spacing w:val="4"/>
          <w:sz w:val="20"/>
        </w:rPr>
        <w:t xml:space="preserve">”), and the separate corporate existence of the Company with all its rights, privileges, immunities, powers and franchises shall continue unaffected by the Merger, except as set forth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Merger shall have the effects specified in this Agreement and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take place (a) via electronic exchange of the required Closing documentation set forth in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as soon as reasonably practicable, and in no event later than three Business Days following the day on which the last to be satisfied or waived of each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Upon the Closing, the Company and Parent will cause the certificate of merger with respect to the Merger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The Certificate of Incorporation</w:t>
      </w:r>
      <w:r>
        <w:rPr>
          <w:rFonts w:ascii="Times New Roman;Times;serif" w:hAnsi="Times New Roman;Times;serif"/>
          <w:b w:val="false"/>
          <w:i w:val="false"/>
          <w:caps w:val="false"/>
          <w:smallCaps w:val="false"/>
          <w:color w:val="000000"/>
          <w:spacing w:val="4"/>
          <w:sz w:val="20"/>
        </w:rPr>
        <w:t xml:space="preserve">.   At the Effective Time, the certificate of incorporation of the Company shall be amended and restated in its entirety to read as set forth in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hereto and as so amended and restated shall be the certificate of incorporation of the Surviving Company (the “</w:t>
      </w:r>
      <w:r>
        <w:rPr>
          <w:rFonts w:ascii="Times New Roman;Times;serif" w:hAnsi="Times New Roman;Times;serif"/>
          <w:b/>
          <w:i w:val="false"/>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xml:space="preserve">”), until thereafter amended as provided therein or by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The Bylaws</w:t>
      </w:r>
      <w:r>
        <w:rPr>
          <w:rFonts w:ascii="Times New Roman;Times;serif" w:hAnsi="Times New Roman;Times;serif"/>
          <w:b w:val="false"/>
          <w:i w:val="false"/>
          <w:caps w:val="false"/>
          <w:smallCaps w:val="false"/>
          <w:color w:val="000000"/>
          <w:spacing w:val="4"/>
          <w:sz w:val="20"/>
        </w:rPr>
        <w:t xml:space="preserve">.   At the Effective Time, the bylaws of the Company shall be amended and restated in their entirety to read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and restated shall be the bylaws of the Surviving Company (the “</w:t>
      </w:r>
      <w:r>
        <w:rPr>
          <w:rFonts w:ascii="Times New Roman;Times;serif" w:hAnsi="Times New Roman;Times;serif"/>
          <w:b/>
          <w:i w:val="false"/>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until thereafter amended as provided therein, in the Certificate of Incorporation or by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Directors and Officers of Parent</w:t>
      </w:r>
      <w:r>
        <w:rPr>
          <w:rFonts w:ascii="Times New Roman;Times;serif" w:hAnsi="Times New Roman;Times;serif"/>
          <w:b w:val="false"/>
          <w:i w:val="false"/>
          <w:caps w:val="false"/>
          <w:smallCaps w:val="false"/>
          <w:color w:val="000000"/>
          <w:spacing w:val="4"/>
          <w:sz w:val="20"/>
        </w:rPr>
        <w:t xml:space="preserve">.   The Parties shall take all actions necessary so that the directors and officers of Parent immediately following the Effective Time, each to hold office in accordance with Parent’s Organizational Documents, shall be as set forth in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after giving effect to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Directors and Officers of the Surviving Company</w:t>
      </w:r>
      <w:r>
        <w:rPr>
          <w:rFonts w:ascii="Times New Roman;Times;serif" w:hAnsi="Times New Roman;Times;serif"/>
          <w:b w:val="false"/>
          <w:i w:val="false"/>
          <w:caps w:val="false"/>
          <w:smallCaps w:val="false"/>
          <w:color w:val="000000"/>
          <w:spacing w:val="4"/>
          <w:sz w:val="20"/>
        </w:rPr>
        <w:t xml:space="preserve">.   At the Effective Time, until their successors are duly elected or appointed and qualified in accordance with the Certificate of Incorporation, the Bylaws and applicable Law, (a) the directors of Merger Sub as of immediately prior to the Effective Time shall be the directors of the Surviving Company and (b) the officers of Merger Sub as of immediately prior to the Effective Time shall be the officers of the Surviving Company.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EFFECT OF THE MERGER ON SECURITIES;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Effect on 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as a result of the Merger and without any action on the part of the holder of any capital stock of the Company, Parent or Merger Sub: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0" w:name="t2OC"/>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Each Share issued and outstanding immediately prior to the Effective Time (other than Shares held in treasury and Shares that are owned by Parent or Merger Sub or held by any subsidiary of either the Company or Parent (other than Merger Sub) immediately prior to the Effective Time and Earn-Out Shares (as defined in that certain Agreement and Plan of Merger, dated March 28, 2021, by and among CM Life Sciences II, Inc., S-Craft Merger Sub, Inc., and SomaLogic, Inc.), if any (each such Share, an “</w:t>
      </w:r>
      <w:r>
        <w:rPr>
          <w:rFonts w:ascii="Times New Roman;Times;serif" w:hAnsi="Times New Roman;Times;serif"/>
          <w:b/>
          <w:i w:val="false"/>
          <w:caps w:val="false"/>
          <w:smallCaps w:val="false"/>
          <w:color w:val="000000"/>
          <w:spacing w:val="-4"/>
          <w:sz w:val="20"/>
        </w:rPr>
        <w:t>Excluded Share</w:t>
      </w:r>
      <w:r>
        <w:rPr>
          <w:rFonts w:ascii="Times New Roman;Times;serif" w:hAnsi="Times New Roman;Times;serif"/>
          <w:b w:val="false"/>
          <w:i w:val="false"/>
          <w:caps w:val="false"/>
          <w:smallCaps w:val="false"/>
          <w:color w:val="000000"/>
          <w:spacing w:val="4"/>
          <w:sz w:val="20"/>
        </w:rPr>
        <w:t>” and, collectively,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be automatically converted into the right to receive a number of shares of Parent Common Stock equal to the Exchange Ratio (the aggregate shares of Parent Common Stock issued by applying the Exchange Ratio in accordance with this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and cash in lieu of fractional shares of Parent Common Stock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if any,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At the Effective Time, all of the Shares (other than Excluded Shares) shall cease to be outstanding, shall be cancelled and shall cease to exist, and (A) each certificate (a “</w:t>
      </w:r>
      <w:r>
        <w:rPr>
          <w:rFonts w:ascii="Times New Roman;Times;serif" w:hAnsi="Times New Roman;Times;serif"/>
          <w:b/>
          <w:i w:val="false"/>
          <w:caps w:val="false"/>
          <w:smallCaps w:val="false"/>
          <w:color w:val="000000"/>
          <w:spacing w:val="-4"/>
          <w:sz w:val="20"/>
        </w:rPr>
        <w:t>Certificate</w:t>
      </w:r>
      <w:r>
        <w:rPr>
          <w:rFonts w:ascii="Times New Roman;Times;serif" w:hAnsi="Times New Roman;Times;serif"/>
          <w:b w:val="false"/>
          <w:i w:val="false"/>
          <w:caps w:val="false"/>
          <w:smallCaps w:val="false"/>
          <w:color w:val="000000"/>
          <w:spacing w:val="4"/>
          <w:sz w:val="20"/>
        </w:rPr>
        <w:t>”) formerly representing any of the Shares (other than Excluded Shares) and (B) each book-entry account formerly representing any uncertificated Shares (“</w:t>
      </w:r>
      <w:r>
        <w:rPr>
          <w:rFonts w:ascii="Times New Roman;Times;serif" w:hAnsi="Times New Roman;Times;serif"/>
          <w:b/>
          <w:i w:val="false"/>
          <w:caps w:val="false"/>
          <w:smallCaps w:val="false"/>
          <w:color w:val="000000"/>
          <w:spacing w:val="-4"/>
          <w:sz w:val="20"/>
        </w:rPr>
        <w:t>Uncertificated Shares</w:t>
      </w:r>
      <w:r>
        <w:rPr>
          <w:rFonts w:ascii="Times New Roman;Times;serif" w:hAnsi="Times New Roman;Times;serif"/>
          <w:b w:val="false"/>
          <w:i w:val="false"/>
          <w:caps w:val="false"/>
          <w:smallCaps w:val="false"/>
          <w:color w:val="000000"/>
          <w:spacing w:val="4"/>
          <w:sz w:val="20"/>
        </w:rPr>
        <w:t xml:space="preserve">”) (other than Excluded Shares) shall thereafter represent only the right to receive the Merger Consideration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without interest, in each case to be issued or paid in consideration therefor upon surrender of such Certificate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in the case of certificated Shares, and upon receipt by the Exchange Agent of an “agent’s message” in customary form in accordance with </w:t>
      </w:r>
      <w:r>
        <w:rPr>
          <w:rFonts w:ascii="Times New Roman;Times;serif" w:hAnsi="Times New Roman;Times;serif"/>
          <w:b w:val="false"/>
          <w:i w:val="false"/>
          <w:caps w:val="false"/>
          <w:smallCaps w:val="false"/>
          <w:color w:val="000000"/>
          <w:spacing w:val="4"/>
          <w:sz w:val="20"/>
          <w:u w:val="single"/>
        </w:rPr>
        <w:t>Section 2.2(h)</w:t>
      </w:r>
      <w:r>
        <w:rPr>
          <w:rFonts w:ascii="Times New Roman;Times;serif" w:hAnsi="Times New Roman;Times;serif"/>
          <w:b w:val="false"/>
          <w:i w:val="false"/>
          <w:caps w:val="false"/>
          <w:smallCaps w:val="false"/>
          <w:color w:val="000000"/>
          <w:spacing w:val="4"/>
          <w:sz w:val="20"/>
        </w:rPr>
        <w:t xml:space="preserve"> in the case of Uncertificated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Cancellation of Excluded Shares</w:t>
      </w:r>
      <w:r>
        <w:rPr>
          <w:rFonts w:ascii="Times New Roman;Times;serif" w:hAnsi="Times New Roman;Times;serif"/>
          <w:b w:val="false"/>
          <w:i w:val="false"/>
          <w:caps w:val="false"/>
          <w:smallCaps w:val="false"/>
          <w:color w:val="000000"/>
          <w:spacing w:val="4"/>
          <w:sz w:val="20"/>
        </w:rPr>
        <w:t xml:space="preserve">.   Each Excluded Share shall, by virtue of the Merger and without any action on the part of the Company, Parent, Merger Sub or any other Person, cease to be outstanding, shall be cancelled without payment of any consideration therefor and shall cease to exist.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Each share of common stock, par value $0.001 per share, of Merger Sub issued and outstanding immediately prior to the Effective Time shall be converted into and become one validly issued, fully paid and nonassessable share of common stock, $0.001 par value per share, of the Surviving Company, and such converted shares shall constitute the only outstanding shares of capital stock of the Surviving Company immediately following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Adjustments to Exchange Ratio</w:t>
      </w:r>
      <w:r>
        <w:rPr>
          <w:rFonts w:ascii="Times New Roman;Times;serif" w:hAnsi="Times New Roman;Times;serif"/>
          <w:b w:val="false"/>
          <w:i w:val="false"/>
          <w:caps w:val="false"/>
          <w:smallCaps w:val="false"/>
          <w:color w:val="000000"/>
          <w:spacing w:val="4"/>
          <w:sz w:val="20"/>
        </w:rPr>
        <w:t xml:space="preserve">.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the Exchange Ratio shall, to the extent necessary, be equitably adjusted to reflect such change to the extent necessary to provide the holders of Company Capital Stock with the same economic effect as contemplated by this Agreement prior to such stock dividend, subdivision, reclassification, recapitalization, split, reverse split, combination or exchange of shares or other like change;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herein will be construed to permit the Company or Parent to take any action with respect to Company Capital Stock or Parent Common Stock, respectively, that is prohibited or not expressly permitted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Exchange Agent and Exchange Fund</w:t>
      </w:r>
      <w:r>
        <w:rPr>
          <w:rFonts w:ascii="Times New Roman;Times;serif" w:hAnsi="Times New Roman;Times;serif"/>
          <w:b w:val="false"/>
          <w:i w:val="false"/>
          <w:caps w:val="false"/>
          <w:smallCaps w:val="false"/>
          <w:color w:val="000000"/>
          <w:spacing w:val="4"/>
          <w:sz w:val="20"/>
        </w:rPr>
        <w:t>.   Prior to the Effective Time, Parent shall designate Computershare Trust Company, N.A., its transfer agent, as the exchange agent in connection with the Merger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The Exchange Agent shall also act as the agent for the Company’s stockholders for the purpose of receiving their surrendered Certificates and Uncertificated Shares and shall obtain no rights or interests in the Shares represented thereby. At the Closing, Parent shall issue and cause to be deposited with the Exchange Agent evidence of book-entry shares representing non-certificated shares of Parent Common Stock issuable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The shares of Parent Common Stock so deposited, and cash in lieu of fractional shares deposited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with the Exchange Agent, together with any dividends or distributions received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Agent with respect to such shares of Parent Common Stock, are referred to collectively as the “</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Promptly after the Effective Time (and in any event within two Business Days thereafter), the Exchange Agent shall mail to each holder of record of Shares represented by a Certificate (other than holders of Excluded Shares) or Uncertificated Shares that were issued and outstanding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(including instructions for sending an “agent’s message” in customary form (or such other evidence, if any, as the Exchange Agent may reasonably request)) to the Exchange Agent. Upon surrender of a Certificate (or affidavit of loss in lieu of the Certificate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to the Exchange Agent in accordance with the terms of such letter of transmittal or with respect to Uncertificated Shares receipt of an “agent’s message” in customary form (or such other evidence, if any, as the Exchange Agent may reasonably request) by the Exchange Agent, the holder of such surrendered Certificate or Uncertificated Share shall be entitled to receive in exchange therefor non-certificated shares of Parent Common Stock in book-entry form and cash in lieu of any fractional share of Parent Common Stock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and any dividends or other distributions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less in each case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The Certificate or Uncertificated Share so surrendered shall forthwith be cancelled. Until due surrender of the Certificates or Uncertificated Shares, each Certificate and Uncertificated Share that immediately prior to the Effective Time represented shares of Company Common Stock shall be deemed, from and after the Effective Time, to represent only the right to receive shares of Parent Common Stock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cash in lieu of any fractional share of Parent Common Stock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In the event of a transfer of ownership of Shares that is not registered in the transfer records of the Company, the applicable portion of Merger Consideration to be exchanged upon due surrender of the Certificate or Uncertificated Share, as applicable,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may be issued and paid to such transferee if (x) in the case of a Certificate, such Certificate formerly representing such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are registered, it shall be a condition of such exchange that the Person requesting such delivery shall pay any transfer or other similar Taxes required by reason of the transfer of shares of Parent Common Stock to a Person other than the registered holder of any Shares, or shall establish to the satisfaction of Parent and the Exchange Agent that such Tax has been paid or is not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Distributions with Respect to Unexchanged Shares</w:t>
      </w:r>
      <w:r>
        <w:rPr>
          <w:rFonts w:ascii="Times New Roman;Times;serif" w:hAnsi="Times New Roman;Times;serif"/>
          <w:b w:val="false"/>
          <w:i w:val="false"/>
          <w:caps w:val="false"/>
          <w:smallCaps w:val="false"/>
          <w:color w:val="000000"/>
          <w:spacing w:val="4"/>
          <w:sz w:val="20"/>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 is surrendered for exchange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Subject to the effect of applicable Laws, following surrender of any such Certificate (or affidavit of loss in lieu thereof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 there shall be issued and/or paid to the holder of the whole shares of Parent Common Stock issued in exchange therefor, without interest thereon, (a) at the time of such surrender, the dividends or other distributions with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Transfers</w:t>
      </w:r>
      <w:r>
        <w:rPr>
          <w:rFonts w:ascii="Times New Roman;Times;serif" w:hAnsi="Times New Roman;Times;serif"/>
          <w:b w:val="false"/>
          <w:i w:val="false"/>
          <w:caps w:val="false"/>
          <w:smallCaps w:val="false"/>
          <w:color w:val="000000"/>
          <w:spacing w:val="4"/>
          <w:sz w:val="20"/>
        </w:rPr>
        <w:t xml:space="preserve">.   From and after the Effective Time, there shall be no transfers on the stock transfer books of the Company of the Shares that were outstanding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Fractional Shares</w:t>
      </w:r>
      <w:r>
        <w:rPr>
          <w:rFonts w:ascii="Times New Roman;Times;serif" w:hAnsi="Times New Roman;Times;serif"/>
          <w:b w:val="false"/>
          <w:i w:val="false"/>
          <w:caps w:val="false"/>
          <w:smallCaps w:val="false"/>
          <w:color w:val="000000"/>
          <w:spacing w:val="4"/>
          <w:sz w:val="20"/>
        </w:rPr>
        <w:t xml:space="preserve">.   No certificate or scrip representing fractional shares of Parent Common Stock shall be issued upon the surrender for exchange of Certificates or Uncertificated Shares that were issued and outstanding immediately prior to the Effective Time, and such fractional share interests shall not entitle the owner thereof to vote or to any other rights of a stockholder of Parent. The Exchange Agent, acting as agent for the holders of Shares otherwise entitled to receive fractional shares of Parent Common Stock, will aggregate all fractional shares of Parent Common Stock that would otherwise have been required to be distributed and cause them to be sold in the open market for the accounts of such holders. Notwithstanding any other provision of this Agreement, each holder of Shares who would otherwise have been entitled to receive a fraction of a share of Parent Common Stock shall receive, in lieu thereof, cash, rounded to the nearest whole cent and without interest, in an amount equal to the proceeds from such sale by the Exchange Agent, if any, less any reasonable brokerage commissions or other fees, transfer Taxes or other out-of-pocket transaction costs, as well as any expenses of the Exchange Agent incurred from the sale of such fractional shares of Parent Common Stock in accordance with such holder’s fractional interest in the aggregate number of shares of Parent Common Stock sold. The Parties acknowledge that payment of the cash consideration in lieu of issuing fractional shares of Parent Common Stock was not separately bargained-for consideration but merely represents a mechanical rounding off for purposes of avoiding the expense and inconvenience to Parent that would otherwise be caused by the issuance of fractional shares of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Termination of Exchange Fund</w:t>
      </w:r>
      <w:r>
        <w:rPr>
          <w:rFonts w:ascii="Times New Roman;Times;serif" w:hAnsi="Times New Roman;Times;serif"/>
          <w:b w:val="false"/>
          <w:i w:val="false"/>
          <w:caps w:val="false"/>
          <w:smallCaps w:val="false"/>
          <w:color w:val="000000"/>
          <w:spacing w:val="4"/>
          <w:sz w:val="20"/>
        </w:rPr>
        <w:t xml:space="preserve">.   Any portion of the Exchange Fund (including the proceeds of any investments of the Exchange Fund) that remains unclaimed by the holders of Shares that were issued and outstanding immediately prior to the Effective Time for 180 days after the Effective Time shall be delivered, at Parent’s option, to Parent. Any former holder of Shares (other than Excluded Shares) who has not theretofore complied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shall thereafter look only to Parent for delivery of any shares of Parent Common Stock, payment of cash in lieu of fractional shares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and any dividends and other distributions in respect of the Parent Common Stock to be issued or paid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upon due surrender of its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that were issued and outstanding immediately prior to the Effective Time, without any interest thereon. Notwithstanding the foregoing, none of the Surviving Company, Parent, the Exchange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Lost, Stolen or Destroyed Certificates</w:t>
      </w:r>
      <w:r>
        <w:rPr>
          <w:rFonts w:ascii="Times New Roman;Times;serif" w:hAnsi="Times New Roman;Times;serif"/>
          <w:b w:val="false"/>
          <w:i w:val="false"/>
          <w:caps w:val="false"/>
          <w:smallCaps w:val="false"/>
          <w:color w:val="000000"/>
          <w:spacing w:val="4"/>
          <w:sz w:val="20"/>
        </w:rPr>
        <w:t xml:space="preserve">.   In the event any Certificate representing Shares (other than Excluded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payment of cash in lieu of fractional shares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shares of Parent Common Stock and any dividends and other distributions in respect of the Parent Common Stock that would have been issuable or payable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had such lost, stolen or destroyed Certificate been surrendered.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2OEA"/>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Uncertificated Shares</w:t>
      </w:r>
      <w:r>
        <w:rPr>
          <w:rFonts w:ascii="Times New Roman;Times;serif" w:hAnsi="Times New Roman;Times;serif"/>
          <w:b w:val="false"/>
          <w:i w:val="false"/>
          <w:caps w:val="false"/>
          <w:smallCaps w:val="false"/>
          <w:color w:val="000000"/>
          <w:spacing w:val="4"/>
          <w:sz w:val="20"/>
        </w:rPr>
        <w:t xml:space="preserve">.   Any holder of Uncertificated Shares that were issued and outstanding immediately prior to the Effective Time shall not be required to deliver a Certificate or an executed letter of transmittal to the Exchange Agent to receive the Merger Consideration and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that such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in respect of such Uncertificated Shares. In lieu thereof, each registered holder of one or more Uncertificated Shares whose Shares were converted into the right to receive the Merger Consideration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shall, upon receipt by the Exchange Agent of an “agent’s message” in customary form (or such other evidence, if any, as the Exchange Agent may reasonably request), be entitled to receive, and Parent and the Surviving Company shall cause the Exchange Agent to pay and deliver as soon as reasonably practicable after the Effective Time, the Merger Consideration and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such Uncertificated Shares of such holder shall forthwith be cancelled. No interest will be paid or accrued on any amount payable to a holder of Uncertificated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Treatment of Equity Awards, Warrants and Milestone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each Company Stock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each outstanding Company RSU without any action on the part of the holder thereof, will be assumed by Parent. Each such Company RSU so assumed by Parent under this Agreement shall continue to have, and be subject to, the same terms and conditions applicable to such Company RSU immediately prior to the Effective Time, including vesting terms and provisions, except that such Company RSU, will be with respect to a number of shares of Parent Common Stock equal to the number of shares of Company Common Stock subject to such Company RSU immediately prior to the Effective Time multiplied by the Exchange Ratio, rounded to the next nearest share of Parent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 The Company and the Company Board shall take such actions as may be necessary, including providing advance written notice to each holder of options thereunder (“</w:t>
      </w:r>
      <w:r>
        <w:rPr>
          <w:rFonts w:ascii="Times New Roman;Times;serif" w:hAnsi="Times New Roman;Times;serif"/>
          <w:b/>
          <w:i w:val="false"/>
          <w:caps w:val="false"/>
          <w:smallCaps w:val="false"/>
          <w:color w:val="000000"/>
          <w:spacing w:val="-4"/>
          <w:sz w:val="20"/>
        </w:rPr>
        <w:t>Company ESPP Options</w:t>
      </w:r>
      <w:r>
        <w:rPr>
          <w:rFonts w:ascii="Times New Roman;Times;serif" w:hAnsi="Times New Roman;Times;serif"/>
          <w:b w:val="false"/>
          <w:i w:val="false"/>
          <w:caps w:val="false"/>
          <w:smallCaps w:val="false"/>
          <w:color w:val="000000"/>
          <w:spacing w:val="4"/>
          <w:sz w:val="20"/>
        </w:rPr>
        <w:t xml:space="preserve">”), prior to the Effective Time to: (i) terminate the Option Periods (as defined in the Company ESPP) then in effect under the Company ESPP in accordance with the terms of the Company ESPP, (ii) exercise all outstanding Company ESPP Options to the extent of accumulated payroll deductions as of a date specified by the Company Board in such notice, which date shall not be less than 10 days preceding the Effective Time, (iii) prohibit any individual who is not participating in the Company ESPP as of the date of this Agreement from commencing participation in the Company ESPP following the date of this Agreement, (iv) prohibit participants in the Company ESPP from increasing their payroll deductions from those in effect as of the date of this Agreement and (v) terminate the Company ESPP effective immediately prior to the Effective Time. No Company ESPP Options shall be outstanding from and after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Prior to the Effective Time, the Company and the Company Board shall take all actions necessary or appropriate, including adopting any resolutions or amendments and providing any notices to participants (which resolutions, amendments and notices, if applicable, shall be reasonably satisfactory to Parent), which are necessary to effectuate the treatment of the Company Options and Company RSUs (collectively, the “</w:t>
      </w:r>
      <w:r>
        <w:rPr>
          <w:rFonts w:ascii="Times New Roman;Times;serif" w:hAnsi="Times New Roman;Times;serif"/>
          <w:b/>
          <w:i w:val="false"/>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and the Company ESPP and the Company ESPP Options thereunder, set forth in </w:t>
      </w:r>
      <w:r>
        <w:rPr>
          <w:rFonts w:ascii="Times New Roman;Times;serif" w:hAnsi="Times New Roman;Times;serif"/>
          <w:b w:val="false"/>
          <w:i w:val="false"/>
          <w:caps w:val="false"/>
          <w:smallCaps w:val="false"/>
          <w:color w:val="000000"/>
          <w:spacing w:val="4"/>
          <w:sz w:val="20"/>
          <w:u w:val="single"/>
        </w:rPr>
        <w:t>Sections 2.3(a)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prior to the Effective Time. At or prior to the Effective Time, the Company shall terminate the Company ESPP. At or prior to the Effective Time, Parent shall take all corporate action necessary to reserve for issuance a sufficient number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2REO"/>
      <w:bookmarkEnd w:id="182"/>
      <w:r>
        <w:rPr>
          <w:rFonts w:ascii="calibri;arial;sans-serif" w:hAnsi="calibri;arial;sans-serif"/>
          <w:b w:val="false"/>
          <w:i w:val="false"/>
          <w:caps w:val="false"/>
          <w:smallCaps w:val="false"/>
          <w:color w:val="000000"/>
          <w:sz w:val="16"/>
        </w:rPr>
        <w:t>​</w:t>
      </w:r>
      <w:bookmarkStart w:id="183" w:name="tAIAW"/>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of Parent Common Stock for delivery of options and restricted stock units assigned to and assumed by it in accordance with </w:t>
      </w:r>
      <w:r>
        <w:rPr>
          <w:rFonts w:ascii="Times New Roman;Times;serif" w:hAnsi="Times New Roman;Times;serif"/>
          <w:b w:val="false"/>
          <w:i w:val="false"/>
          <w:caps w:val="false"/>
          <w:smallCaps w:val="false"/>
          <w:color w:val="000000"/>
          <w:spacing w:val="4"/>
          <w:sz w:val="20"/>
          <w:u w:val="single"/>
        </w:rPr>
        <w:t>Sections 2.3(a)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2.3(b)</w:t>
      </w:r>
      <w:r>
        <w:rPr>
          <w:rFonts w:ascii="Times New Roman;Times;serif" w:hAnsi="Times New Roman;Times;serif"/>
          <w:b w:val="false"/>
          <w:i w:val="false"/>
          <w:caps w:val="false"/>
          <w:smallCaps w:val="false"/>
          <w:color w:val="000000"/>
          <w:spacing w:val="4"/>
          <w:sz w:val="20"/>
        </w:rPr>
        <w:t xml:space="preserve">.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each Company Stock Plan and award agreements for the Company Equity Awards that is not terminated at or prior to the Effective Time shall thereupon be deemed references to Parent and references to Shares therein shall be deemed references to Parent Common Stock with appropriate equitable adjustments in accordance with the terms of the Company Stock Plan to reflect the Contemplated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At the Effective Time, each Company Warrant shall be treated in accordance with its terms. As soon as reasonably possible following the date hereof, the Company shall provide, in accordance with the terms of such Company Warrant, any notices required to be provided to the holder of such Company Warrant, the form of which shall be given to Parent and its counsel for a reasonable opportunity to review and comment before such notice is provided to the holder of such Company Warrant, and take all such other actions that may be required in accordance with the terms of such Company Warrant in connection with the Contemplated Transactions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Following the Effective Time and upon the achievement of any Milestone (as defined in the Palamedrix Merger Agreement), each share of Acquiror Common Stock (as defined in the Palamedrix Merger Agreement) issuable in satisfaction of the applicable Milestone Consideration (as defined in the Palamedrix Merger Agreement) shall be satisfied with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As soon as practicable following the Closing Date (but in no event longer than 10 Business Days after the Closing Date), Parent will file an appropriate registration statement on Form S-8 or other appropriate form with respect to the offering of the shares of Parent Common Stock issuable upon vesting of the assumed Company Options and Company RSUs (the “</w:t>
      </w:r>
      <w:r>
        <w:rPr>
          <w:rFonts w:ascii="Times New Roman;Times;serif" w:hAnsi="Times New Roman;Times;serif"/>
          <w:b/>
          <w:i w:val="false"/>
          <w:caps w:val="false"/>
          <w:smallCaps w:val="false"/>
          <w:color w:val="000000"/>
          <w:spacing w:val="-4"/>
          <w:sz w:val="20"/>
        </w:rPr>
        <w:t>S-8 Registration Statement</w:t>
      </w:r>
      <w:r>
        <w:rPr>
          <w:rFonts w:ascii="Times New Roman;Times;serif" w:hAnsi="Times New Roman;Times;serif"/>
          <w:b w:val="false"/>
          <w:i w:val="false"/>
          <w:caps w:val="false"/>
          <w:smallCaps w:val="false"/>
          <w:color w:val="000000"/>
          <w:spacing w:val="4"/>
          <w:sz w:val="20"/>
        </w:rPr>
        <w:t xml:space="preserve">”) and will use reasonable best efforts to maintain the effectiveness of the S-8 Registration Statement thereafter for so long as any of such Company Options and Company RSUs remain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Each of Parent, Merger Sub, the Company,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represents and warrants to Parent as set forth in the statements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except as set forth (a) in the Company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the Company to Parent at or before the execution and delivery by the Company of this Agreement (the “</w:t>
      </w:r>
      <w:r>
        <w:rPr>
          <w:rFonts w:ascii="Times New Roman;Times;serif" w:hAnsi="Times New Roman;Times;serif"/>
          <w:b/>
          <w:i w:val="false"/>
          <w:caps w:val="false"/>
          <w:smallCaps w:val="false"/>
          <w:color w:val="000000"/>
          <w:spacing w:val="-4"/>
          <w:sz w:val="20"/>
        </w:rPr>
        <w:t>Company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clause (a) shall not apply to any representations or warranties set forth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w:t>
      </w:r>
      <w:r>
        <w:rPr>
          <w:rFonts w:ascii="Times New Roman;Times;serif" w:hAnsi="Times New Roman;Times;serif"/>
          <w:b w:val="false"/>
          <w:i w:val="false"/>
          <w:caps w:val="false"/>
          <w:smallCaps w:val="false"/>
          <w:color w:val="000000"/>
          <w:spacing w:val="4"/>
          <w:sz w:val="20"/>
        </w:rPr>
        <w:t xml:space="preserve"> (Organization;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(Opinion of Financial Advisor). The Company Disclosure Schedule shall be arranged in numbered and lettered sections corresponding to the numbered and lettered sections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the disclosure in any section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3DTC"/>
      <w:bookmarkEnd w:id="184"/>
      <w:r>
        <w:rPr>
          <w:rFonts w:ascii="calibri;arial;sans-serif" w:hAnsi="calibri;arial;sans-serif"/>
          <w:b w:val="false"/>
          <w:i w:val="false"/>
          <w:caps w:val="false"/>
          <w:smallCaps w:val="false"/>
          <w:color w:val="000000"/>
          <w:sz w:val="16"/>
        </w:rPr>
        <w:t>​</w:t>
      </w:r>
      <w:bookmarkStart w:id="185" w:name="t3OS"/>
      <w:bookmarkEnd w:id="185"/>
      <w:r>
        <w:rPr>
          <w:rFonts w:ascii="calibri;arial;sans-serif" w:hAnsi="calibri;arial;sans-serif"/>
          <w:b w:val="false"/>
          <w:i w:val="false"/>
          <w:caps w:val="false"/>
          <w:smallCaps w:val="false"/>
          <w:color w:val="000000"/>
          <w:sz w:val="16"/>
        </w:rPr>
        <w:t>​</w:t>
      </w:r>
      <w:bookmarkStart w:id="186" w:name="t33C"/>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Disclosure Schedule shall be deemed to qualify other sections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to the extent that it is reasonably apparent on the face of such disclosure that such disclosure also qualifies or applies to such other sections.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The Company has made available to Parent accurate and complete copies of the Organizational Documents of the Company and each of its Subsidiaries in effect as of the date of this Agreement. Neither the Company nor any of its Subsidiaries is in material breach or violation of its respective Organizational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Due Organization;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Company’s Subsidiaries is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and neither the Company nor any of the entities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outstanding shares of capital stock or equivalent equity interests of each Subsidiary of the Company are owned of record and beneficially, directly or indirectly, by the Company free and clear of all material liens, pledges, security interests or other encumbrances.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as of the date of this Agreement consists of (i) 600,000,000 shares of common stock, par value $0.0001 per share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of which 188,662,349 shares have been issued and are outstanding as of the close of business on the Reference Date, and (ii) 1,000,000 shares of preferred stock, par value $0.0001 per share (“</w:t>
      </w:r>
      <w:r>
        <w:rPr>
          <w:rFonts w:ascii="Times New Roman;Times;serif" w:hAnsi="Times New Roman;Times;serif"/>
          <w:b/>
          <w:i w:val="false"/>
          <w:caps w:val="false"/>
          <w:smallCaps w:val="false"/>
          <w:color w:val="000000"/>
          <w:spacing w:val="-4"/>
          <w:sz w:val="20"/>
        </w:rPr>
        <w:t>Company Preferred Stock</w:t>
      </w:r>
      <w:r>
        <w:rPr>
          <w:rFonts w:ascii="Times New Roman;Times;serif" w:hAnsi="Times New Roman;Times;serif"/>
          <w:b w:val="false"/>
          <w:i w:val="false"/>
          <w:caps w:val="false"/>
          <w:smallCaps w:val="false"/>
          <w:color w:val="000000"/>
          <w:spacing w:val="4"/>
          <w:sz w:val="20"/>
        </w:rPr>
        <w:t xml:space="preserve">”), of which no shares have been issued and are outstanding as of the close of business on the Reference Date. The Company does not hold any shares of its capital stock in its treasury. Except as set forth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there are no outstanding shares of capital stock, or other equity interest in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shares of Company Common Stock have been duly authorized and validly issued and are fully paid and nonassessable.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There is no Company Contract pursuant to which the Company or any of its Subsidiaries may become obligated to repurchase, redeem or otherwise acquire any outstanding shares of Company Common Stock or other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for the Company Non-Plan Grants, the 2021 Omnibus Incentive Plan (the “</w:t>
      </w:r>
      <w:r>
        <w:rPr>
          <w:rFonts w:ascii="Times New Roman;Times;serif" w:hAnsi="Times New Roman;Times;serif"/>
          <w:b/>
          <w:i w:val="false"/>
          <w:caps w:val="false"/>
          <w:smallCaps w:val="false"/>
          <w:color w:val="000000"/>
          <w:spacing w:val="-4"/>
          <w:sz w:val="20"/>
        </w:rPr>
        <w:t>Company 2021 Omnibus Stock Incentive Plan</w:t>
      </w:r>
      <w:r>
        <w:rPr>
          <w:rFonts w:ascii="Times New Roman;Times;serif" w:hAnsi="Times New Roman;Times;serif"/>
          <w:b w:val="false"/>
          <w:i w:val="false"/>
          <w:caps w:val="false"/>
          <w:smallCaps w:val="false"/>
          <w:color w:val="000000"/>
          <w:spacing w:val="4"/>
          <w:sz w:val="20"/>
        </w:rPr>
        <w:t>”), the 2009 Equity Incentive Plan (the “</w:t>
      </w:r>
      <w:r>
        <w:rPr>
          <w:rFonts w:ascii="Times New Roman;Times;serif" w:hAnsi="Times New Roman;Times;serif"/>
          <w:b/>
          <w:i w:val="false"/>
          <w:caps w:val="false"/>
          <w:smallCaps w:val="false"/>
          <w:color w:val="000000"/>
          <w:spacing w:val="-4"/>
          <w:sz w:val="20"/>
        </w:rPr>
        <w:t>Company 2009 Equity Incentive Plan</w:t>
      </w:r>
      <w:r>
        <w:rPr>
          <w:rFonts w:ascii="Times New Roman;Times;serif" w:hAnsi="Times New Roman;Times;serif"/>
          <w:b w:val="false"/>
          <w:i w:val="false"/>
          <w:caps w:val="false"/>
          <w:smallCaps w:val="false"/>
          <w:color w:val="000000"/>
          <w:spacing w:val="4"/>
          <w:sz w:val="20"/>
        </w:rPr>
        <w:t>”) and the 2017 Equity Incentive Plan (the “</w:t>
      </w:r>
      <w:r>
        <w:rPr>
          <w:rFonts w:ascii="Times New Roman;Times;serif" w:hAnsi="Times New Roman;Times;serif"/>
          <w:b/>
          <w:i w:val="false"/>
          <w:caps w:val="false"/>
          <w:smallCaps w:val="false"/>
          <w:color w:val="000000"/>
          <w:spacing w:val="-4"/>
          <w:sz w:val="20"/>
        </w:rPr>
        <w:t>Company 2017 Equity Incentive Plan</w:t>
      </w:r>
      <w:r>
        <w:rPr>
          <w:rFonts w:ascii="Times New Roman;Times;serif" w:hAnsi="Times New Roman;Times;serif"/>
          <w:b w:val="false"/>
          <w:i w:val="false"/>
          <w:caps w:val="false"/>
          <w:smallCaps w:val="false"/>
          <w:color w:val="000000"/>
          <w:spacing w:val="4"/>
          <w:sz w:val="20"/>
        </w:rPr>
        <w:t>”; together with the Company 2021 Omnibus Stock Incentive Plan, the Company 2009 Equity Incentive Plan, the Company Non-Plan Grants and the Company ESPP, the “</w:t>
      </w:r>
      <w:r>
        <w:rPr>
          <w:rFonts w:ascii="Times New Roman;Times;serif" w:hAnsi="Times New Roman;Times;serif"/>
          <w:b/>
          <w:i w:val="false"/>
          <w:caps w:val="false"/>
          <w:smallCaps w:val="false"/>
          <w:color w:val="000000"/>
          <w:spacing w:val="-4"/>
          <w:sz w:val="20"/>
        </w:rPr>
        <w:t>Company Stock Plans</w:t>
      </w:r>
      <w:r>
        <w:rPr>
          <w:rFonts w:ascii="Times New Roman;Times;serif" w:hAnsi="Times New Roman;Times;serif"/>
          <w:b w:val="false"/>
          <w:i w:val="false"/>
          <w:caps w:val="false"/>
          <w:smallCaps w:val="false"/>
          <w:color w:val="000000"/>
          <w:spacing w:val="4"/>
          <w:sz w:val="20"/>
        </w:rPr>
        <w:t xml:space="preserve">”) and the award agreements thereunder, the Company does not have any stock option plan or any other plan, program, agreement or arrangement providing for any equity-based compensation for any Person. As of the close of business on the Reference Date, the Company has authorized 49,776,977 shares of Company Common Stock for issuance under the Company Stock Plans, of which 28,404,696 shares are subject to equity awards previously granted and outstanding as of the Reference Date, and of which 25,675,798 shares of Company Common Stock are subject to issuance upon the exercise of the Company Options outstanding as of the Reference Date, at a weighted average exercise price of $5.33, 2,728,898 shares of Company Common Stock and are subject to issuance upon the settlement of the Company RSUs as of the Reference Date. As of the Reference Date, 10,533,324 shares of Company Common Stock are subject to issuance upon the exercise of the Company Warrants.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of the Company Disclosure Schedule sets forth a complete and accurate list, as of the Reference Date, with respect to each outstanding Company Equity Award, (i) the number of shares of Company Common Stock subject to such Company Equity Award, (ii) the Company Stock Plan under which such Company Equity Award was granted, (iii) the grant or issuance date of such Company Equity Award, (iv) any applicable vesting schedule with respect to such Company Equity Award (including any performance-based vesting) and (v) if such Company Equity Award is a Company Option, the exercise price and the expiration date of such Company Option and whether such Company Option is intended to be an “incentive stock option” as defined in Section 422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for the Company Options, the Company RSUs, the Company ESPP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outstanding shares of Company Common Stock, Company Options, Company RSUs, Company ESPP Options, Company Warrants and other securities of the Company have been issued and granted in material compliance with (i) all applicable securities Laws and other applicable Laws and (ii) all requirements set forth in applicable Contracts. No Company Options have an exercise price that has been or may be less than the fair market value of the underlying stock as of the date such Company Option was granted or has any feature for the deferral of compensation that could render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3BNO"/>
      <w:bookmarkEnd w:id="187"/>
      <w:r>
        <w:rPr>
          <w:rFonts w:ascii="calibri;arial;sans-serif" w:hAnsi="calibri;arial;sans-serif"/>
          <w:b w:val="false"/>
          <w:i w:val="false"/>
          <w:caps w:val="false"/>
          <w:smallCaps w:val="false"/>
          <w:color w:val="000000"/>
          <w:sz w:val="16"/>
        </w:rPr>
        <w:t>​</w:t>
      </w:r>
      <w:bookmarkStart w:id="188" w:name="t35CO"/>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subject to Section 409A of the Code. Each Company Option characterized by the Company as an “incentive stock option” within the meaning of Section 422 of the Code was granted in compliance with all of the applicable requirements of Section 422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Authority; Binding Nature of Agreement; Required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all requisite corporate power and authority to execute and deliver this Agreement, to perform its obligations hereunder and, subject to receipt of the Company Stockholder Approval, to consummate the Contemplated Transactions. The Company Board has, unanimously by the participating members of the Parent Board at a meeting duly called, (i) determined that the Contemplated Transactions, including the Merger, are advisable and in the best interests of the Company and its stockholders, (ii) approved and declared advisable this Agreement and the Contemplated Transactions, and (iii) subject to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Times;serif" w:hAnsi="Times New Roman;Times;serif"/>
          <w:b/>
          <w:i w:val="false"/>
          <w:caps w:val="false"/>
          <w:smallCaps w:val="false"/>
          <w:color w:val="000000"/>
          <w:spacing w:val="-4"/>
          <w:sz w:val="20"/>
        </w:rPr>
        <w:t>Bankruptcy and Equity Exception</w:t>
      </w:r>
      <w:r>
        <w:rPr>
          <w:rFonts w:ascii="Times New Roman;Times;serif" w:hAnsi="Times New Roman;Times;serif"/>
          <w:b w:val="false"/>
          <w:i w:val="false"/>
          <w:caps w:val="false"/>
          <w:smallCaps w:val="false"/>
          <w:color w:val="000000"/>
          <w:spacing w:val="4"/>
          <w:sz w:val="20"/>
        </w:rPr>
        <w:t xml:space="preserve">”). Prior to the execution of the Company Voting Agreement, the Company Board approved the Company Voting Agreement and the transactions contemplated thereby.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the adoption of this Agreement by the affirmative vote of the holders of a majority of the outstanding Shares entitled to vote thereon (such approval, the “</w:t>
      </w:r>
      <w:r>
        <w:rPr>
          <w:rFonts w:ascii="Times New Roman;Times;serif" w:hAnsi="Times New Roman;Times;serif"/>
          <w:b/>
          <w:i w:val="false"/>
          <w:caps w:val="false"/>
          <w:smallCaps w:val="false"/>
          <w:color w:val="000000"/>
          <w:spacing w:val="-4"/>
          <w:sz w:val="20"/>
        </w:rPr>
        <w:t>Company Stockholder Approval</w:t>
      </w:r>
      <w:r>
        <w:rPr>
          <w:rFonts w:ascii="Times New Roman;Times;serif" w:hAnsi="Times New Roman;Times;serif"/>
          <w:b w:val="false"/>
          <w:i w:val="false"/>
          <w:caps w:val="false"/>
          <w:smallCaps w:val="false"/>
          <w:color w:val="000000"/>
          <w:spacing w:val="4"/>
          <w:sz w:val="20"/>
        </w:rPr>
        <w:t xml:space="preserve">”), no other corporate proceedings on the part of the Company stockholders are necessary to authorize, adopt or approve, as applicable, this Agreement or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Non-Contravention;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(i) obtaining the Company Stockholder Approval, (ii) the filing of the Certificate of Merger required by the DGCL, (iii)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the Company, nor (y) the consummation by the Company of the Contemplated Transactions, will (with or without notice or lapse of time):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result in a violation or breach of any of the provisions of the Organizational Documents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result in a violation or breach of any of the terms or requirements of, or give any Governmental Entity the right to revoke, withdraw, suspend, cancel, terminate or modify, any Governmental Authorization that is held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result in a violation or breach of, or result in a default under, any provision of any Company Material Contract, or give any Person the right to: (A) declare a default or exercise any remedy under any Company Material Contract; (B) any material payment, rebate, chargeback,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3DFS"/>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or change in delivery schedule under any Company Material Contract; (C) accelerate the maturity or performance of any Company Material Contract; or (D) cancel, terminate or modify any term of any Company Material Contract;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result in the imposition or creation of any Lien upon or with respect to any asset owned or used by the Company or any of its Subsidiaries (except for Permitted Liens);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in the case of clauses (ii), (iii), (iv) and (v) of this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for any such violations, remedies, relief, revocations, withdrawals, suspensions, cancelations, termination, modifications, breaches, defaults, payments, rebates, chargebacks, penalties, changes, accelerations or Liens that would not have a Company Material Adverse Effect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effects resulting from or arising in connection with the matters set forth in clause (viii) of the definition of “Company Material Adverse Effect” shall not be excluded in determining whether a Company Material Adverse Effect has occurred) and would not prevent or materially impede, interfere with, hinder or delay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filing of the Certificate of Merger with the Secretary of State of the State of Delaware pursuant to the DGCL, (ii)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w:t>
      </w:r>
      <w:r>
        <w:rPr>
          <w:rFonts w:ascii="Times New Roman;Times;serif" w:hAnsi="Times New Roman;Times;serif"/>
          <w:b w:val="false"/>
          <w:i w:val="false"/>
          <w:caps w:val="false"/>
          <w:smallCaps w:val="false"/>
          <w:color w:val="000000"/>
          <w:spacing w:val="4"/>
          <w:sz w:val="20"/>
          <w:u w:val="single"/>
        </w:rPr>
        <w:t>Section 3.26</w:t>
      </w:r>
      <w:r>
        <w:rPr>
          <w:rFonts w:ascii="Times New Roman;Times;serif" w:hAnsi="Times New Roman;Times;serif"/>
          <w:b w:val="false"/>
          <w:i w:val="false"/>
          <w:caps w:val="false"/>
          <w:smallCaps w:val="false"/>
          <w:color w:val="000000"/>
          <w:spacing w:val="4"/>
          <w:sz w:val="20"/>
        </w:rPr>
        <w:t xml:space="preserve">, the Company Board has taken and will take all actions necessary to ensure that the restrictions applicable to business combinations contained in Section 203 of the DGCL are, and will be, inapplicable to the execution, delivery and performance of this Agreement,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SEC Documents;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such documents that can be obtained on the SEC’s website at www.sec.gov, the Company has made available to Parent accurate and complete copies of all registration statements, proxy statements, Company Certifications (as defined below) and other statements, reports, schedules, forms and other documents filed by the Company with the SEC since December 31, 2021 (the “</w:t>
      </w:r>
      <w:r>
        <w:rPr>
          <w:rFonts w:ascii="Times New Roman;Times;serif" w:hAnsi="Times New Roman;Times;serif"/>
          <w:b/>
          <w:i w:val="false"/>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Since December 31, 2021, all material statements, reports, schedules, forms and other documents required to have been filed by the Company with the SEC have been so filed on a timely basis.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as of the time they were filed, none of the Company SEC Documents contained any untrue statement of a material fact or omitted to state a material fact required to be stated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therein or necessary in order to make the statements therein, in light of the circumstances under which they were made, not misleading (or, in the case of a Company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no representation is made as to the accuracy of any financial projections or forward-looking statements or the completeness of any information furnished by the Company to the SEC solely for the purposes of complying with Regulation FD promulgated under the Exchange Act. The certifications and statements required by Rule 13a-14 under the Exchange Act and 18 U.S.C. §1350 (Section 906 of the Sarbanes-Oxley Act) relating to the Company SEC Documents (collectively, the “</w:t>
      </w:r>
      <w:r>
        <w:rPr>
          <w:rFonts w:ascii="Times New Roman;Times;serif" w:hAnsi="Times New Roman;Times;serif"/>
          <w:b/>
          <w:i w:val="false"/>
          <w:caps w:val="false"/>
          <w:smallCaps w:val="false"/>
          <w:color w:val="000000"/>
          <w:spacing w:val="-4"/>
          <w:sz w:val="20"/>
        </w:rPr>
        <w:t>Company Certifications</w:t>
      </w:r>
      <w:r>
        <w:rPr>
          <w:rFonts w:ascii="Times New Roman;Times;serif" w:hAnsi="Times New Roman;Times;serif"/>
          <w:b w:val="false"/>
          <w:i w:val="false"/>
          <w:caps w:val="false"/>
          <w:smallCaps w:val="false"/>
          <w:color w:val="000000"/>
          <w:spacing w:val="4"/>
          <w:sz w:val="20"/>
        </w:rPr>
        <w:t xml:space="preserve">”) are accurate and complete in all material respects and comply as to form and content in all material respects with all applicable Laws. As used in this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the term “file” and variations thereof shall be broadly construed to include any manner in which a document or information is furnished, supplied or otherwise made available to the SEC.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any related notes) contained or incorporated by reference in the Company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the Company and its consolidated Subsidiaries as of the respective dates thereof and the results of operations and cash flows of the Company and its consolidated Subsidiaries for the periods covered thereby. Other than as expressly disclosed in the Company SEC Documents filed between January 1, 2021 and the date hereof there has been no material change in the Company’s accounting methods or principles that would be required to be disclosed in the Company’s financial statements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the Company is in compliance in all material respects with the applicable current listing and governance rules and regulations of Nasdaq.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 The Company has evaluated the effectiveness of the Company’s system of internal control over financial reporting as of June 30, 2023,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based on its most recent evaluation of internal control over financial reporting, to the Company’s auditors and audit committee (and made available to Parent a summary of the significant aspects of such disclosure) (A) all significant deficiencies, if any, in the design or operation of internal control over financial reporting that are reasonably likely to adversely affect the Company’s ability to record, process, summarize and report financial information and (B) any known fraud that involves management or other employees who have a significant role in the Company’s internal control over financial reporting. The Company has not identified, based on its most recent evaluation of internal control over financial reporting, any material weaknesses in the design or operation of the Company’s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maintains “disclosure controls and procedures” ​(as defined in Rules 13a-15(e) and 15d-15(e) of the Exchange Act) that are reasonably designed to ensure that information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3OCE"/>
      <w:bookmarkEnd w:id="190"/>
      <w:r>
        <w:rPr>
          <w:rFonts w:ascii="calibri;arial;sans-serif" w:hAnsi="calibri;arial;sans-serif"/>
          <w:b w:val="false"/>
          <w:i w:val="false"/>
          <w:caps w:val="false"/>
          <w:smallCaps w:val="false"/>
          <w:color w:val="000000"/>
          <w:sz w:val="16"/>
        </w:rPr>
        <w:t>​</w:t>
      </w:r>
      <w:bookmarkStart w:id="191" w:name="t3OUL"/>
      <w:bookmarkEnd w:id="191"/>
      <w:r>
        <w:rPr>
          <w:rFonts w:ascii="calibri;arial;sans-serif" w:hAnsi="calibri;arial;sans-serif"/>
          <w:b w:val="false"/>
          <w:i w:val="false"/>
          <w:caps w:val="false"/>
          <w:smallCaps w:val="false"/>
          <w:color w:val="000000"/>
          <w:sz w:val="16"/>
        </w:rPr>
        <w:t>​</w:t>
      </w:r>
      <w:bookmarkStart w:id="192" w:name="t3TAT"/>
      <w:bookmarkEnd w:id="192"/>
      <w:r>
        <w:rPr>
          <w:rFonts w:ascii="calibri;arial;sans-serif" w:hAnsi="calibri;arial;sans-serif"/>
          <w:b w:val="false"/>
          <w:i w:val="false"/>
          <w:caps w:val="false"/>
          <w:smallCaps w:val="false"/>
          <w:color w:val="000000"/>
          <w:sz w:val="16"/>
        </w:rPr>
        <w:t>​</w:t>
      </w:r>
      <w:bookmarkStart w:id="193" w:name="t3PO"/>
      <w:bookmarkEnd w:id="1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disclosed by the Company in the periodic reports that it files or submits under the Exchange Act is recorded, processed, summarized and reported within the required time periods, and that all such information is accumulated and communicated to the Company’s management as appropriate to allow timely decisions regarding required disclosure and to make the Company Certifications.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Except as expressly contemplated or permitted by or in connection with the execution and delivery of this Agreement, between the date of the Company’s latest consolidated unaudited balance sheet (the “</w:t>
      </w:r>
      <w:r>
        <w:rPr>
          <w:rFonts w:ascii="Times New Roman;Times;serif" w:hAnsi="Times New Roman;Times;serif"/>
          <w:b/>
          <w:i w:val="false"/>
          <w:caps w:val="false"/>
          <w:smallCaps w:val="false"/>
          <w:color w:val="000000"/>
          <w:spacing w:val="-4"/>
          <w:sz w:val="20"/>
        </w:rPr>
        <w:t>Company Balance Sheet</w:t>
      </w:r>
      <w:r>
        <w:rPr>
          <w:rFonts w:ascii="Times New Roman;Times;serif" w:hAnsi="Times New Roman;Times;serif"/>
          <w:b w:val="false"/>
          <w:i w:val="false"/>
          <w:caps w:val="false"/>
          <w:smallCaps w:val="false"/>
          <w:color w:val="000000"/>
          <w:spacing w:val="4"/>
          <w:sz w:val="20"/>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(ii) there has not been any Company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clause (ii) of the definition thereof) and (iii) there has not occurred any action, event or occurrence that would have required the consent of Parent pursuant to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had such action, event or occurrence taken place after the execution and delivery of this Agreement (other than any such action, event or occurrence taken in the Ordinary Course of Business that would have required the consent of Parent pursuant to </w:t>
      </w:r>
      <w:r>
        <w:rPr>
          <w:rFonts w:ascii="Times New Roman;Times;serif" w:hAnsi="Times New Roman;Times;serif"/>
          <w:b w:val="false"/>
          <w:i w:val="false"/>
          <w:caps w:val="false"/>
          <w:smallCaps w:val="false"/>
          <w:color w:val="000000"/>
          <w:spacing w:val="4"/>
          <w:sz w:val="20"/>
          <w:u w:val="single"/>
        </w:rPr>
        <w:t>Sections 5.1(a)(ii)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5.1(a)(xxvi)</w:t>
      </w:r>
      <w:r>
        <w:rPr>
          <w:rFonts w:ascii="Times New Roman;Times;serif" w:hAnsi="Times New Roman;Times;serif"/>
          <w:b w:val="false"/>
          <w:i w:val="false"/>
          <w:caps w:val="false"/>
          <w:smallCaps w:val="false"/>
          <w:color w:val="000000"/>
          <w:spacing w:val="4"/>
          <w:sz w:val="20"/>
        </w:rPr>
        <w:t xml:space="preserve"> as it relates to </w:t>
      </w:r>
      <w:r>
        <w:rPr>
          <w:rFonts w:ascii="Times New Roman;Times;serif" w:hAnsi="Times New Roman;Times;serif"/>
          <w:b w:val="false"/>
          <w:i w:val="false"/>
          <w:caps w:val="false"/>
          <w:smallCaps w:val="false"/>
          <w:color w:val="000000"/>
          <w:spacing w:val="4"/>
          <w:sz w:val="20"/>
          <w:u w:val="single"/>
        </w:rPr>
        <w:t>Sections 5.1(a)(ii)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5.1(a)(xvi)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Absence of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SEC Documents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which have not resulted from a breach of Contract, breach of warranty, tort, infringement or violation of Law, (d) incurred in connection with the Contemplated Transactions or (e) that would not have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xml:space="preserve">.   The Company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Company Balance Sheet; and (b) all other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Legal 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of this Agreement, there is no material pending Legal Proceeding and no Person has threatened in writing to commence any material Legal Proceeding: (i) that involves (A) the Company, (B) any of its Subsidiaries, (C) any Company Associate (in his or her capacity as such) or (D) any of the material assets owned or used by the Company or any of its Subsidiaries; or (ii) that challenges, or that may have the effect of preventing, delaying, making illegal or otherwise interfering with, the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Between January 1, 2021 and the date hereof, no Legal Proceeding has been pending against the Company or any of its Subsidiaries that resulted in any liability that is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is no material order, writ, injunction, judgment or decree to which the Company or any of its Subsidiaries, or any of the material assets owned or used by the Company or any of its Subsidiaries, is subject. To the Company’s Knowledge, as of the date hereof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4" w:name="t3AS"/>
      <w:bookmarkEnd w:id="194"/>
      <w:r>
        <w:rPr>
          <w:rFonts w:ascii="calibri;arial;sans-serif" w:hAnsi="calibri;arial;sans-serif"/>
          <w:b w:val="false"/>
          <w:i w:val="false"/>
          <w:caps w:val="false"/>
          <w:smallCaps w:val="false"/>
          <w:color w:val="000000"/>
          <w:sz w:val="16"/>
        </w:rPr>
        <w:t>​</w:t>
      </w:r>
      <w:bookmarkStart w:id="195" w:name="t312"/>
      <w:bookmarkEnd w:id="1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Customers and Suppliers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Schedule sets forth a correct and complete list of the ten largest customers of the Company and its Subsidiaries based on the revenue accrued by the Company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Company Material Customers</w:t>
      </w:r>
      <w:r>
        <w:rPr>
          <w:rFonts w:ascii="Times New Roman;Times;serif" w:hAnsi="Times New Roman;Times;serif"/>
          <w:b w:val="false"/>
          <w:i w:val="false"/>
          <w:caps w:val="false"/>
          <w:smallCaps w:val="false"/>
          <w:color w:val="000000"/>
          <w:spacing w:val="4"/>
          <w:sz w:val="20"/>
        </w:rPr>
        <w:t xml:space="preserve">”). From January 1, 2022 through the date of this Agreement, the Company has not received written notice from any Company Material Customer that such Company Material Customer intends to, or has exercised any right to, terminate or materially and adversely modify the amounts, frequency or terms of the business such Company Material Customer conducts with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3.11(b)</w:t>
      </w:r>
      <w:r>
        <w:rPr>
          <w:rFonts w:ascii="Times New Roman;Times;serif" w:hAnsi="Times New Roman;Times;serif"/>
          <w:b w:val="false"/>
          <w:i w:val="false"/>
          <w:caps w:val="false"/>
          <w:smallCaps w:val="false"/>
          <w:color w:val="000000"/>
          <w:spacing w:val="4"/>
          <w:sz w:val="20"/>
        </w:rPr>
        <w:t xml:space="preserve"> of the Company Disclosure Schedule sets forth a correct and complete list of the ten largest suppliers of the Company and its Subsidiaries based on the expenses accrued by the Company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Company Material Suppliers</w:t>
      </w:r>
      <w:r>
        <w:rPr>
          <w:rFonts w:ascii="Times New Roman;Times;serif" w:hAnsi="Times New Roman;Times;serif"/>
          <w:b w:val="false"/>
          <w:i w:val="false"/>
          <w:caps w:val="false"/>
          <w:smallCaps w:val="false"/>
          <w:color w:val="000000"/>
          <w:spacing w:val="4"/>
          <w:sz w:val="20"/>
        </w:rPr>
        <w:t xml:space="preserve">”). From January 1, 2022 through the date of this Agreement, the Company has not received written notice from any Company Material Supplier that such Company Material Supplier intends to, or has exercised any right to, terminate or materially and adversely modify the amounts, frequency or terms of the business such Company Material Supplier conducts with the Company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of the Company Disclosure Schedule lists the following Company Contracts in effect as of the date of this Agreement (other than any Company Benefit Plan and any purchase order, work order or quality agreement that, for each of the foregoing, does not modify any material term or condition of, or contain any material term or condition that is not contemplated by or contained in, a Company Material Contract disclosed on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of the Company Disclosure Schedule) (each, a “</w:t>
      </w:r>
      <w:r>
        <w:rPr>
          <w:rFonts w:ascii="Times New Roman;Times;serif" w:hAnsi="Times New Roman;Times;serif"/>
          <w:b/>
          <w:i w:val="false"/>
          <w:caps w:val="false"/>
          <w:smallCaps w:val="false"/>
          <w:color w:val="000000"/>
          <w:spacing w:val="-4"/>
          <w:sz w:val="20"/>
        </w:rPr>
        <w:t>Company 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material contract as defined in Item 601(b)(10) of Regulation S-K as promulgated under the Securities Act;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Contract that is material to the business or operation of the Company and its Subsidiaries, taken as a whole, containing (A) any provision limiting the freedom of the Company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the Company or any of its Subsidiaries of material assets or any ownership interests in any entity (whether by merger, sale of stock, sale of assets or otherwise), which are not material to the business of or operations of the Company and its Subsidiaries, taken as a whole;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Contract that governs the formation, creation, governance, economics or control of any joint venture, legal partnership or other similar arrangement, other than with respect to any Contract solely between or among the Company and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relating to capital expenditures and requiring payments after the date of this Agreement in excess of $250,000 pursuant to its express terms and not cancelable without penalty;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relating to the disposition or acquisition of material assets or any ownership interest in any entity (whether by merger, sale of stock, sale of assets or otherwise);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each Contract providing for the creation of any mortgages, indentures, loans, notes or credit agreements, security agreements or other agreements or instruments providing for the creation of material Indebtedness of the Company or any of its Subsidiaries or creating 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other than Contracts creating Liens of the type, nature and scope contemplated by clauses (i)(B), (i)(C), (i)(D), (i)(E), (ii) or (iii) of the definition of Permitted Liens or Contracts required to be disclosed on </w:t>
      </w:r>
      <w:r>
        <w:rPr>
          <w:rFonts w:ascii="Times New Roman;Times;serif" w:hAnsi="Times New Roman;Times;serif"/>
          <w:b w:val="false"/>
          <w:i w:val="false"/>
          <w:caps w:val="false"/>
          <w:smallCaps w:val="false"/>
          <w:color w:val="000000"/>
          <w:spacing w:val="4"/>
          <w:sz w:val="20"/>
          <w:u w:val="single"/>
        </w:rPr>
        <w:t>Section 3.12(a)(ix)</w:t>
      </w:r>
      <w:r>
        <w:rPr>
          <w:rFonts w:ascii="Times New Roman;Times;serif" w:hAnsi="Times New Roman;Times;serif"/>
          <w:b w:val="false"/>
          <w:i w:val="false"/>
          <w:caps w:val="false"/>
          <w:smallCaps w:val="false"/>
          <w:color w:val="000000"/>
          <w:spacing w:val="4"/>
          <w:sz w:val="20"/>
        </w:rPr>
        <w:t xml:space="preserve"> of the Company Disclosure Schedule, with respect to any material assets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Company Real Estate Lease;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with any Governmental Entity or any university, college, research institute or other educational or academic institution that provides for research and development activities involving the creation of any material Intellectual Property Rights;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(A) Company Out-bound License, (B) Company In-bound License, (C) Contract pursuant to which any material research or development activities are conducted by the Company or any of its Subsidiaries for a third party or by a third party for the Company or any of its Subsidiaries or (D) settlement, co-existence or other similar Contract that grants a third party a license or right to use or restricts any Person from filing, registering, enforcing, disposing of or otherwise exploiting any Company Owned IP;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each Contract that is material to the business or operations of the Company and its Subsidiaries, taken as a whole, under which the Company or any of its Subsidiaries has continuing milestone, royalty or similar contingent payment obligations, including upon the achievement of regulatory or commercial milestones or obligation to pay any royalty, dividend or similar payment based on the revenues or profits of the Company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b w:val="false"/>
          <w:i w:val="false"/>
          <w:caps w:val="false"/>
          <w:smallCaps w:val="false"/>
          <w:color w:val="000000"/>
          <w:spacing w:val="4"/>
          <w:sz w:val="20"/>
          <w:u w:val="single"/>
        </w:rPr>
        <w:t>Section 3.12(a)(ix)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Contract that is not terminable at will with no more than 60 days’ prior notice (with no penalty or payment) by the Company or its Subsidiaries, as applicable, and which expressly provides for payment or receipt by the Company or any of its Subsidiaries after the date of this Agreement under any such Contract of more than $500,000 in the aggregate, or obligations after the date of this Agreement in excess of $500,000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collective bargaining agreement or other similar Contract with any labor organization, union, group or association covering employees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(A) for the employment or engagement of any employee, consultant or independent contractor providing such Person with target annual compensation or fees in excess of $350,000, (B) providing for the payment of any cash or other compensation or benefits upon the consummation of the Merger, (C) restricting the Company’s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Contract with a Company Material Customer;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 Company Material Supplier;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“single-source” supply Contract, pursuant to which material goods or services are supplied to the Company or any of its Subsidiaries from an exclusive source that cannot be replaced by one or more other sources on substantially similar terms and in a reasonably timely manner.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accurate and complete copies of all Company Material Contracts, including all material amendments thereto, in each case in effect on the date hereof but excluding any business associate agreements or data processing addenda issued under or pursuant to a Company Material Contract in the Ordinary Course of Business to the extent accessible to Parent on the website of the counterparty to such business associate agreement or data processing addenda, as applicable, as of the date hereof. There are no Company Material Contracts that are not in written form. None of the Company, any of its Subsidiaries or, to the Company’s Knowledge, any other party 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6" w:name="t3ALM"/>
      <w:bookmarkEnd w:id="1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Material Contract, has breached, violated or defaulted under, or received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Bankruptcy and Equity Exception. Between the date of the Company Balance Sheet and the date hereof, no counterparty to a Company Material Contract has notified the Company in writing (or, to the Company’s Knowledge, otherwise) that it intends to terminate or not renew a Company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Employee and Labor Matters; Benefits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of the Company Disclosure Schedule is a list of all Company Benefit Plans in effect on the date of this Agreement, including each such Company Benefit Plan that provides for retirement, change in control, stay or retention deferred compensation, incentive compensation, severance or retiree medical or life insurance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applicable with respect to each Company Benefit Plan, the Company has made available to Parent, true and complete copies of (i) each Company Benefit Plan, including all amendments thereto, and in the case of an unwritten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Form 5500 and all schedules thereto), (v) the most recent IRS determination, opinion or advisory letter from the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with respect to each Company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United States Department of Labor (“</w:t>
      </w:r>
      <w:r>
        <w:rPr>
          <w:rFonts w:ascii="Times New Roman;Times;serif" w:hAnsi="Times New Roman;Times;serif"/>
          <w:b/>
          <w:i w:val="false"/>
          <w:caps w:val="false"/>
          <w:smallCaps w:val="false"/>
          <w:color w:val="000000"/>
          <w:spacing w:val="-4"/>
          <w:sz w:val="20"/>
        </w:rPr>
        <w:t>DOL</w:t>
      </w:r>
      <w:r>
        <w:rPr>
          <w:rFonts w:ascii="Times New Roman;Times;serif" w:hAnsi="Times New Roman;Times;serif"/>
          <w:b w:val="false"/>
          <w:i w:val="false"/>
          <w:caps w:val="false"/>
          <w:smallCaps w:val="false"/>
          <w:color w:val="000000"/>
          <w:spacing w:val="4"/>
          <w:sz w:val="20"/>
        </w:rPr>
        <w:t xml:space="preserve">”),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Benefit Plan is maintained through a human resources or benefit outsourcing entity, professional employer organization or other similar provider.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To the Company’s Knowledge, there have been no “prohibited transactions” ​(as that term shall have the meaning specified in Section 406 of ERISA or Section 4975 of the Code) involving any Company Benefit Plan, any fiduciary thereof or service provider thereto. Since January 1, 2021,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 Company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Times New Roman;Times;serif" w:hAnsi="Times New Roman;Times;serif"/>
          <w:b w:val="false"/>
          <w:i w:val="false"/>
          <w:caps w:val="false"/>
          <w:smallCaps w:val="false"/>
          <w:color w:val="000000"/>
          <w:spacing w:val="4"/>
          <w:sz w:val="20"/>
          <w:u w:val="single"/>
        </w:rPr>
        <w:t>Section 3.13(h)</w:t>
      </w:r>
      <w:r>
        <w:rPr>
          <w:rFonts w:ascii="Times New Roman;Times;serif" w:hAnsi="Times New Roman;Times;serif"/>
          <w:b w:val="false"/>
          <w:i w:val="false"/>
          <w:caps w:val="false"/>
          <w:smallCaps w:val="false"/>
          <w:color w:val="000000"/>
          <w:spacing w:val="4"/>
          <w:sz w:val="20"/>
        </w:rPr>
        <w:t xml:space="preserve">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Times;serif" w:hAnsi="Times New Roman;Times;serif"/>
          <w:b/>
          <w:i w:val="false"/>
          <w:caps w:val="false"/>
          <w:smallCaps w:val="false"/>
          <w:color w:val="000000"/>
          <w:spacing w:val="-4"/>
          <w:sz w:val="20"/>
        </w:rPr>
        <w:t>PPACA</w:t>
      </w:r>
      <w:r>
        <w:rPr>
          <w:rFonts w:ascii="Times New Roman;Times;serif" w:hAnsi="Times New Roman;Times;serif"/>
          <w:b w:val="false"/>
          <w:i w:val="false"/>
          <w:caps w:val="false"/>
          <w:smallCaps w:val="false"/>
          <w:color w:val="000000"/>
          <w:spacing w:val="4"/>
          <w:sz w:val="20"/>
        </w:rPr>
        <w:t xml:space="preserve">”),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otherwise contemplated under this Agreement or as set forth on </w:t>
      </w:r>
      <w:r>
        <w:rPr>
          <w:rFonts w:ascii="Times New Roman;Times;serif" w:hAnsi="Times New Roman;Times;serif"/>
          <w:b w:val="false"/>
          <w:i w:val="false"/>
          <w:caps w:val="false"/>
          <w:smallCaps w:val="false"/>
          <w:color w:val="000000"/>
          <w:spacing w:val="4"/>
          <w:sz w:val="20"/>
          <w:u w:val="single"/>
        </w:rPr>
        <w:t>Section 3.13(j)</w:t>
      </w:r>
      <w:r>
        <w:rPr>
          <w:rFonts w:ascii="Times New Roman;Times;serif" w:hAnsi="Times New Roman;Times;serif"/>
          <w:b w:val="false"/>
          <w:i w:val="false"/>
          <w:caps w:val="false"/>
          <w:smallCaps w:val="false"/>
          <w:color w:val="000000"/>
          <w:spacing w:val="4"/>
          <w:sz w:val="20"/>
        </w:rPr>
        <w:t xml:space="preserve">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the Company or any of its Subsidiaries, (ii) increase any amount of compensation or benefits otherwise payable to any current or former employee, director, officer, independent contractor or other service provider of the Company or any of its Subsidiaries, (iii) result in the acceleration of the time of payment, funding or vesting of any benefits under any Company Benefit Plan, (iv) require any contribution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to fund any obligation under any Company Benefit Plan or (v) limit the right to merge, amend or terminate any Company Benefit Plan (or result in adverse consequences for so doing).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No Person has any “gross up” agreements with the Company or any of its Subsidiaries or other assurance of reimbursement by the Company or any of its Subsidiaries for any Taxes imposed under Section 409A or Section 4999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Company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U.S.-based employees of the Company and its Subsidiaries are employed “at-will” and their employment can be terminated without advance notice or payment of severance.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Except as would not be reasonably likely to result in a liability that is material to the Company and its Subsidiaries, taken as a whole, with respect to each individual since January 1, 2021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the Company or any of its Subsidiaries are employed on a work visa or work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There is not and has not been since January 1, 2021, nor, to the Company’s Knowledge, is there or has there been since January 1, 2021,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the Patient Protection and Affordable Care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No Company Benefit Plan is or has been maintained outside the jurisdiction of the United States, or covers or covered any employee permanently residing or working outside the United States.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Since January 1, 2021, neither the Company nor its Subsidiaries has caused (i) a plant closing as defined in the Worker Adjustment and Retraining Notification Act (the “</w:t>
      </w:r>
      <w:r>
        <w:rPr>
          <w:rFonts w:ascii="Times New Roman;Times;serif" w:hAnsi="Times New Roman;Times;serif"/>
          <w:b/>
          <w:i w:val="false"/>
          <w:caps w:val="false"/>
          <w:smallCaps w:val="false"/>
          <w:color w:val="000000"/>
          <w:spacing w:val="-4"/>
          <w:sz w:val="20"/>
        </w:rPr>
        <w:t>WARN Act</w:t>
      </w:r>
      <w:r>
        <w:rPr>
          <w:rFonts w:ascii="Times New Roman;Times;serif" w:hAnsi="Times New Roman;Times;serif"/>
          <w:b w:val="false"/>
          <w:i w:val="false"/>
          <w:caps w:val="false"/>
          <w:smallCaps w:val="false"/>
          <w:color w:val="000000"/>
          <w:spacing w:val="4"/>
          <w:sz w:val="20"/>
        </w:rPr>
        <w:t xml:space="preserve">”)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 Since January 1, 2021, neither the Company nor its Subsidiaries has implemented any material workplace changes such as layoffs, furloughs, permanent office closures, or reductions in compensation, benefits or hours.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No Legal Proceedings are as of the date hereof open and pending (or between January 1, 2021 and the date hereof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2021 and the date hereof, a written complaint of discrimination, unlawful harassment, retaliation, or other similar wrongdoing or, to the Company’s Knowledge, between January 1, 2021 and the date hereof, an oral complaint. Between January 1, 2021 and the date hereof, neither the Company nor any of its Subsidiaries has received any requests for, or conducted, an internal investigation of any officer, manager, or supervisor of the Company or any of its Subsidiaries with respect to any claims with respect to discrimination, unlawful harassment, retaliation, or other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7" w:name="t3MTC"/>
      <w:bookmarkEnd w:id="197"/>
      <w:r>
        <w:rPr>
          <w:rFonts w:ascii="calibri;arial;sans-serif" w:hAnsi="calibri;arial;sans-serif"/>
          <w:b w:val="false"/>
          <w:i w:val="false"/>
          <w:caps w:val="false"/>
          <w:smallCaps w:val="false"/>
          <w:color w:val="000000"/>
          <w:sz w:val="16"/>
        </w:rPr>
        <w:t>​</w:t>
      </w:r>
      <w:bookmarkStart w:id="198" w:name="t315"/>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wrongdoing. Neither the Company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the Company or any of its Subsidiaries. The Company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No executive officer’s or other key employee’s employment with the Company has been terminated for any reason at any time during the past 12 months. No officer or key employee of the Company has notified the Company of his or her intention to resign or retire at any time within the 12-month period following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Section 3.13(w)</w:t>
      </w:r>
      <w:r>
        <w:rPr>
          <w:rFonts w:ascii="Times New Roman;Times;serif" w:hAnsi="Times New Roman;Times;serif"/>
          <w:b w:val="false"/>
          <w:i w:val="false"/>
          <w:caps w:val="false"/>
          <w:smallCaps w:val="false"/>
          <w:color w:val="000000"/>
          <w:spacing w:val="4"/>
          <w:sz w:val="20"/>
        </w:rPr>
        <w:t xml:space="preserve"> of the Company Disclosure Schedule lists all persons who are employees of the Company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Section 3.13(x)</w:t>
      </w:r>
      <w:r>
        <w:rPr>
          <w:rFonts w:ascii="Times New Roman;Times;serif" w:hAnsi="Times New Roman;Times;serif"/>
          <w:b w:val="false"/>
          <w:i w:val="false"/>
          <w:caps w:val="false"/>
          <w:smallCaps w:val="false"/>
          <w:color w:val="000000"/>
          <w:spacing w:val="4"/>
          <w:sz w:val="20"/>
        </w:rPr>
        <w:t xml:space="preserve"> of the Company Disclosure Schedule sets forth each Person retained by the Company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The Company and each of its Subsidiaries are and have been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not been release of or exposure to any Hazardous Materials at, on or under the Company Leased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the Company or any of its Subsidiaries does not file a particular Tax Return or pay a particular Tax that the Company or such Subsidiary is subject to taxation by that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income Taxes and any other material Taxes due and owing by the Company or any of its Subsidiaries on or before the date hereof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Liens for material Taxes (other than Taxes not yet due and payable) upon any of the assets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Company nor any of its Subsidiaries has been a United States real property holding corporation within the meaning of Section 897(c)(2) of the Code during the applicable period specified in Section 897(c)(1)(A)(ii)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31PR"/>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the Company nor any of its Subsidiaries has taken or agreed to take any action or knows of any fact that could reasonably be expected to prevent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of its Subsidiaries has availed itself of any Tax relief pursuant to any pandemic response laws (including the CARES Act) that could reasonably be expected to materially impact the Tax payment and/or Tax reporting obligations of the Company and its Affiliates (including Parent and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For purposes of this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each reference to the Company or any of its Subsidiaries shall be deemed to include any Person that was liquidated into, merged with, or is otherwise a predecessor to, the Company of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3.16(a)</w:t>
      </w:r>
      <w:r>
        <w:rPr>
          <w:rFonts w:ascii="Times New Roman;Times;serif" w:hAnsi="Times New Roman;Times;serif"/>
          <w:b w:val="false"/>
          <w:i w:val="false"/>
          <w:caps w:val="false"/>
          <w:smallCaps w:val="false"/>
          <w:color w:val="000000"/>
          <w:spacing w:val="4"/>
          <w:sz w:val="20"/>
        </w:rPr>
        <w:t xml:space="preserve"> of the Company Disclosure Schedule lists all of the following Company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IP is being contested or challenged and, to the Company’s Knowledge,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Licensed IP is being or has been contested or challenged. To the Company’s Knowledge, all Company IP is in effect, valid, subsisting and enforceable and has not been abandoned or dedicated to the public domain or adjudged invalid or unenforceable (other than such Company IP that is denoted by a Governmental Entity as expired, lapsed or abandoned). With respect to Company IP, the Company has taken reasonable steps to avoid revocation, cancellation, or unintentional lapse or otherwise materially adversely affecting its enforceability, use, or priority. With respect to Company IP, to the Company’s Knowledge, all duties of disclosure, candor and good faith have been complied with. With respect to Company IP, to the Company’s Knowledge, all other material procedural requirements have been complied with, or can be complied with, without materially and adversely affecting such Company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or its Subsidiaries solely and exclusively owns or has rights to all right, title and interest in and to all material Company Owned IP, free and clear of all Liens other than Permitted Liens, and, to the Company’s Knowledge, has the right, pursuant to valid and enforceable agreements to use all other Intellectual Property Rights necessary for, or used in or held for use by, the Company or its Subsidiaries in their businesses as currently conducted (“</w:t>
      </w:r>
      <w:r>
        <w:rPr>
          <w:rFonts w:ascii="Times New Roman;Times;serif" w:hAnsi="Times New Roman;Times;serif"/>
          <w:b/>
          <w:i w:val="false"/>
          <w:caps w:val="false"/>
          <w:smallCaps w:val="false"/>
          <w:color w:val="000000"/>
          <w:spacing w:val="-4"/>
          <w:sz w:val="20"/>
        </w:rPr>
        <w:t>Company In-Licensed IP</w:t>
      </w:r>
      <w:r>
        <w:rPr>
          <w:rFonts w:ascii="Times New Roman;Times;serif" w:hAnsi="Times New Roman;Times;serif"/>
          <w:b w:val="false"/>
          <w:i w:val="false"/>
          <w:caps w:val="false"/>
          <w:smallCaps w:val="false"/>
          <w:color w:val="000000"/>
          <w:spacing w:val="4"/>
          <w:sz w:val="20"/>
        </w:rPr>
        <w:t xml:space="preserve">”) and, to the Company’s Knowledge, the Company IP and Company In-Licensed IP constitutes all the Intellectual Property Rights necessary to research, develop, manufacture, have manufactured, supply, test, clinical trials, distribute, market, promote, license, offer for sale, sell, import, export, commercialize and otherwise exploit the Company Products as currently planned. Each Person involved in the creation or development of any material Company Owned IP has signed a valid, enforceable written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containing a present assignment of all such Company Associate’s rights in such material Company Owned IP to the Company or its Subsidiaries (without further payment being owed to any such Company Associate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steps to maintain the secrecy and confidentiality of all material Trade Secrets included in the Company Owned IP. The Company and its Subsidiaries have taken commercially reasonable measures to protect against unauthorized disclosure of any Trade Secret that is material to the business of the Company and its Subsidiaries, taken as a whole, as presently conducted.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funding, facilities or personnel of any Governmental Entity or any university, college, research institute or other educational or academic institution has been used, in whole or in part, to create any material Company Owned IP, except for any such funding or use of facilities or personnel that does not result in such Governmental Entity or institution obtaining ownership or other rights (including any “march in” rights or a right to direct the location of manufacturing of products) to such Company Owned IP, the right to receive royalties or other consideration for the practice of such Company Owned IP or co-ownership rights in any Company Owned IP or any claim or option or other contingent right to any of the foregoing (other than pursuant to any Company In-bound License).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3.16(d)</w:t>
      </w:r>
      <w:r>
        <w:rPr>
          <w:rFonts w:ascii="Times New Roman;Times;serif" w:hAnsi="Times New Roman;Times;serif"/>
          <w:b w:val="false"/>
          <w:i w:val="false"/>
          <w:caps w:val="false"/>
          <w:smallCaps w:val="false"/>
          <w:color w:val="000000"/>
          <w:spacing w:val="4"/>
          <w:sz w:val="20"/>
        </w:rPr>
        <w:t xml:space="preserve"> of the Company Disclosure Schedule sets forth each license agreement pursuant to which the Company or any of its Subsidiaries (i) is granted a license under any material Intellectual Property Right owned by any third party that is used by the Company or any of its Subsidiaries in its business as currently conducted (each a “</w:t>
      </w:r>
      <w:r>
        <w:rPr>
          <w:rFonts w:ascii="Times New Roman;Times;serif" w:hAnsi="Times New Roman;Times;serif"/>
          <w:b/>
          <w:i w:val="false"/>
          <w:caps w:val="false"/>
          <w:smallCaps w:val="false"/>
          <w:color w:val="000000"/>
          <w:spacing w:val="-4"/>
          <w:sz w:val="20"/>
        </w:rPr>
        <w:t>Company In-bound License</w:t>
      </w:r>
      <w:r>
        <w:rPr>
          <w:rFonts w:ascii="Times New Roman;Times;serif" w:hAnsi="Times New Roman;Times;serif"/>
          <w:b w:val="false"/>
          <w:i w:val="false"/>
          <w:caps w:val="false"/>
          <w:smallCaps w:val="false"/>
          <w:color w:val="000000"/>
          <w:spacing w:val="4"/>
          <w:sz w:val="20"/>
        </w:rPr>
        <w:t>”) or (ii) grants to any third party a license under any material Company IP or any material Intellectual Property Right licensed to the Company or any of its Subsidiaries under a Company In-bound License (each a “</w:t>
      </w:r>
      <w:r>
        <w:rPr>
          <w:rFonts w:ascii="Times New Roman;Times;serif" w:hAnsi="Times New Roman;Times;serif"/>
          <w:b/>
          <w:i w:val="false"/>
          <w:caps w:val="false"/>
          <w:smallCaps w:val="false"/>
          <w:color w:val="000000"/>
          <w:spacing w:val="-4"/>
          <w:sz w:val="20"/>
        </w:rPr>
        <w:t>Company Out-bound License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In-bound Licenses shall not include services agreements or material transfer agreements to the extent any of the foregoing Contracts contains a license to the Company or any of its Subsidiaries (x) for the purpose of performing services pursuant to such Contract, (y) for exploiting rights in deliverables or work product provided pursuant to such Contract or (z) for incidental rights (e.g., rights in trademarks 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Company Out-bound Licenses shall not include services agreements or material transfer agreements to the extent any of the foregoing Contracts contains a license (x) for the performance of services pursuant to such Contract for the benefit of the Company or any of its Subsidiaries, (y) to customers for the exploitation of rights in deliverables or work product of services provided by the Company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Company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Company’s Knowledge, since January 1, 2021, the Company Products and the operation of the businesses of the Company and its Subsidiaries have not (i) infringed any valid and enforceable Intellectual Property Rights of any other Person, that is not licensed to the Company or any of its Subsidiaries under a Company In-bound License, or (ii) misappropriated any other Intellectual Property Rights owned by any other Person, and, to the Company’s Knowledge, no other Person has infringed or misappropriated any Company IP. As of the date of this Agreement, no Legal Proceeding is pending (or is threatened in writing) (A) against the Company or any of its Subsidiaries alleging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3ADS"/>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 of the businesses of the Company or any of its Subsidiaries infringes or constitutes the misappropriation of any Intellectual Property Rights of another Person or (B) by the Company or any of its Subsidiaries alleging that another Person has infringed or misappropriated any of the Company IP. Since January 1, 2021, neither the Company nor any of its Subsidiaries has received any written notice or other written communication alleging that the operation of the businesses of the Company or any of its Subsidiaries infringes or constitutes the misappropriation of any Intellectual Property Rights of another Person nor has the Company or any of its Subsidiaries made any written notice or other written communication alleging a third party is infringing or misappropriating any Company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non-expired Company IP or, to the Company’s Knowledge, any non-expired Company In-Licensed IP is subject to any pending or outstanding injunction, directive, order, judgment or other disposition of dispute that adversely and materially restricts the use, transfer, registration or licensing by the Company or any of its Subsidiaries of any such Company IP or Company In-Licensed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non-expired Company IP.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Privacy and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operation of the Company’s and its Subsidiaries’ business are in compliance in all material respects with Data Protection Regulations, except to the extent that such noncompliance has not and would not have a Company Material Adverse Effect. Since January 1, 2021, there have been (i) no Security Incidents impacting Personal Data or any confidential information or Trade Secrets used in the business of the Company or its Subsidiaries (collectively, “</w:t>
      </w:r>
      <w:r>
        <w:rPr>
          <w:rFonts w:ascii="Times New Roman;Times;serif" w:hAnsi="Times New Roman;Times;serif"/>
          <w:b/>
          <w:i w:val="false"/>
          <w:caps w:val="false"/>
          <w:smallCaps w:val="false"/>
          <w:color w:val="000000"/>
          <w:spacing w:val="-4"/>
          <w:sz w:val="20"/>
        </w:rPr>
        <w:t>Company Sensitive Data</w:t>
      </w:r>
      <w:r>
        <w:rPr>
          <w:rFonts w:ascii="Times New Roman;Times;serif" w:hAnsi="Times New Roman;Times;serif"/>
          <w:b w:val="false"/>
          <w:i w:val="false"/>
          <w:caps w:val="false"/>
          <w:smallCaps w:val="false"/>
          <w:color w:val="000000"/>
          <w:spacing w:val="4"/>
          <w:sz w:val="20"/>
        </w:rPr>
        <w:t xml:space="preserve">”), (ii) no violations of any security policy of the Company or its Subsidiaries regarding any such Company Sensitive Data and (iii) no unintended or improper disclosure of any Company Sensitive Data in the possession, custody or control of the Company or its Subsidiaries or a contractor or agent acting on behalf of the Company or its Subsidiaries, in each case of (i) through (iii), except as would not have a Company Material Adverse Effect. Between January 1, 2021 and the date hereof, none of the Company or its Subsidiaries has received any written notice from a vendor or data processor that processes Company Sensitive Data on behalf of the Company or any of its Subsidiaries with respect to a Security Incident materially impacting Company Sensitive Data.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Company and its Subsidiaries has complied, and continues to comply, with applicable Data Protection Regulations, including with (i) binding principles relating to processing Personal Data, (ii) requirements to process Personal Data lawfully, (iii) contractual requirements applicable to the engagement of data processors processing Personal Data on behalf of the Company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Company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None of the Company or its Subsidiaries transfers Personal Data outside of a country of origin of the Personal Data unless the Company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Kingdom formerly relied upon the EU-US or Swiss-US Privacy Shield framework, the Company or such Subsidiary, as applicable, has ensured that the Personal Data transfers are lawful through an alternative mechanism or derogation in accordance with the GDPR; (iii) where required by applicable Data Protection Regulations, the Company or such Subsidiary, as applicable, has conducted a risk assessment regarding the transfer of Personal Data pursuant to standard contractual clauses or binding corporate rules or other requirements and has concluded that such transfers are adequately protected; and (iv) none of the Company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Each of the Company and its Subsidiaries has implemented and maintained commercially reasonable measures and policies to protect the integrity, continuous operation and security of the IT Systems of the Company and its Subsidiaries and the data stored thereon, including from Harmful Code; (ii) the IT Systems used in the business of the Company and its Subsidiaries operate and perform in all respects as required to permit the Company and its Subsidiaries to conduct their business as currently conducted; and (iii) the Company and its Subsidiaries have implemented commercially reasonable backup and disaster recovery technology and procedures consistent with standard practices applicable to entities similarly situated as the Company and its Subsidiaries for the industry in which the Company and its Subsidiaries operate in each applicable jurisdiction in which they conduct business and have acted in material compliance therewith, except, in each case of clauses (i), (ii) and (iii), as would not have a Company Material Adverse Effect. Since January 1, 2021, the IT Systems of the Company and its Subsidiaries have not malfunctioned or failed, or been subject to any Security Incident that has caused or, to the Company’s Knowledge, would reasonably be expected to cause (A) material disruption of or interruption in the conduct of the business of the Company and its Subsidiaries as presently conducted; (B) material loss, destruction, damage or harm of the Company and its Subsidiaries or any of the businesses of the Company and its Subsidiaries; or (C) material liability of any kind to the Company and its Subsidiaries or their business as currently conducted, except in each case of clauses (A), (B) and (C),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Between January 1, 2021 and the date hereof, none of the Company or its Subsidiaries has been notified in writing of, and, to the Company’s Knowledge, there has not been, (i) an actual or threatened Security Incident materially compromising, or threatening to materially compromise, the processing of Personal Data (whether by the Company or any of its Subsidiaries or, to the Company’s Knowledge, any data processor engaged to process Personal Data on behalf of the Company or its Subsidiaries) or (ii) any action or any circumstance requiring the Company or any of its Subsidiaries to notify a Governmental Entity or any individual to comply with applicable notification requirements of Data Protection Regulations as a direct result of a Security Incident or a violation of any Data Protection Regulations.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Between January 1, 2021 and the date hereof, none of the Company or its Subsidiaries has received a written notice or allegation of any actual or alleged or, to the Company’s Knowledge, threatened Security Incident compromising or revealing a material weakness in the security of Personal Data or IT Systems of the Company and its Subsidiaries, or any other material breach of the Data Protection Regulations relating to Personal Data while in its possession or under its control.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Between January 1, 2021 and the date hereof, none of the Company or its Subsidiaries has received a written claim, complaint, allegation or other notice of a dispute or violation (whether directly or indirectly) from or on behalf of an individual regarding the Company’s or any of its Subsidiaries’ Personal Data processing activities.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Between January 1, 2021 and the date hereof, none of the Company or its Subsidiaries has received a written notice from any supervisory authority or Governmental Entity of any investigation, inquiry, request for information or for co-operation regarding its Personal Data processing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3WLP"/>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Compliance with Laws; Permits;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since January 1, 2021 have been, in compliance in all material respects with all applicable Laws, including Health Care Laws. Since January 1, 2021, neither the Company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the Company’s Knowledge, no such adverse action is pending or threatened against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agreement, judgment, injunction, order or decree binding upon the Company or any of its Subsidiaries which (i) has or would reasonably be expected to have the effect of prohibiting or materially impairing any material business practice of the Company or any of its Subsidiaries, any acquisition of material property by the Company or any of its Subsidiaries or the conduct of any material portion of the business by the Company or any of its Subsidiaries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The Company is not a party to any corporate integrity agreements, monitoring agreements, consent decrees, deferred prosecution agreements, settlement orders, or similar agreements with or imposed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Company and its Subsidiaries have at all times since January 1, 2021 held and have operated in compliance in all material respects with all Governmental Authorizations that are necessary for the conduct of the business of the Company and its Subsidiaries as currently being conducted (the “</w:t>
      </w:r>
      <w:r>
        <w:rPr>
          <w:rFonts w:ascii="Times New Roman;Times;serif" w:hAnsi="Times New Roman;Times;serif"/>
          <w:b/>
          <w:i w:val="false"/>
          <w:caps w:val="false"/>
          <w:smallCaps w:val="false"/>
          <w:color w:val="000000"/>
          <w:spacing w:val="-4"/>
          <w:sz w:val="20"/>
        </w:rPr>
        <w:t>Company Permits</w:t>
      </w:r>
      <w:r>
        <w:rPr>
          <w:rFonts w:ascii="Times New Roman;Times;serif" w:hAnsi="Times New Roman;Times;serif"/>
          <w:b w:val="false"/>
          <w:i w:val="false"/>
          <w:caps w:val="false"/>
          <w:smallCaps w:val="false"/>
          <w:color w:val="000000"/>
          <w:spacing w:val="4"/>
          <w:sz w:val="20"/>
        </w:rPr>
        <w:t xml:space="preserve">”). All such Company Permits are valid and are in full force and effect, and, assuming the notices, filings or other Consents listed on </w:t>
      </w:r>
      <w:r>
        <w:rPr>
          <w:rFonts w:ascii="Times New Roman;Times;serif" w:hAnsi="Times New Roman;Times;serif"/>
          <w:b w:val="false"/>
          <w:i w:val="false"/>
          <w:caps w:val="false"/>
          <w:smallCaps w:val="false"/>
          <w:color w:val="000000"/>
          <w:spacing w:val="4"/>
          <w:sz w:val="20"/>
          <w:u w:val="single"/>
        </w:rPr>
        <w:t>Section 3.18(c)</w:t>
      </w:r>
      <w:r>
        <w:rPr>
          <w:rFonts w:ascii="Times New Roman;Times;serif" w:hAnsi="Times New Roman;Times;serif"/>
          <w:b w:val="false"/>
          <w:i w:val="false"/>
          <w:caps w:val="false"/>
          <w:smallCaps w:val="false"/>
          <w:color w:val="000000"/>
          <w:spacing w:val="4"/>
          <w:sz w:val="20"/>
        </w:rPr>
        <w:t xml:space="preserve"> of the Company Disclosure Schedule have been made or obtained, will continue to be so upon consummation of the Contemplated Transactions, except as would not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3.18(d)</w:t>
      </w:r>
      <w:r>
        <w:rPr>
          <w:rFonts w:ascii="Times New Roman;Times;serif" w:hAnsi="Times New Roman;Times;serif"/>
          <w:b w:val="false"/>
          <w:i w:val="false"/>
          <w:caps w:val="false"/>
          <w:smallCaps w:val="false"/>
          <w:color w:val="000000"/>
          <w:spacing w:val="4"/>
          <w:sz w:val="20"/>
        </w:rPr>
        <w:t xml:space="preserve"> of the Company Disclosure Schedule identifies each Company Permit as of the date hereof that is material to the Company or its Subsidiaries. The Company and its Subsidiaries hold all right, title and interest in and to all Company Permits free and clear of any Lien. All fees and charges with respect to such Company Permits, as of the date hereof, have been paid in full and all filing, reporting and maintenance obligations have been completely and timely satisfied, except as would not have a Company Material Adverse Effect. The Company and each of its Subsidiaries are in material compliance with the terms of the Company Permits. To the Company’s Knowledge, as of the date hereof, no Legal Proceeding is pending or threatened, which seeks to revoke, limit, suspend, or materially modify any Company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i w:val="false"/>
          <w:caps w:val="false"/>
          <w:smallCaps w:val="false"/>
          <w:color w:val="000000"/>
          <w:spacing w:val="-4"/>
          <w:sz w:val="20"/>
        </w:rPr>
        <w:t>Recall</w:t>
      </w:r>
      <w:r>
        <w:rPr>
          <w:rFonts w:ascii="Times New Roman;Times;serif" w:hAnsi="Times New Roman;Times;serif"/>
          <w:b w:val="false"/>
          <w:i w:val="false"/>
          <w:caps w:val="false"/>
          <w:smallCaps w:val="false"/>
          <w:color w:val="000000"/>
          <w:spacing w:val="4"/>
          <w:sz w:val="20"/>
        </w:rPr>
        <w:t xml:space="preserve">”). Neither the Company,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the Company or any of its Subsidiaries are, and have been, labeled, promoted and advertised in material compliance with applicable Health Care Laws. Except as would not have a material impact on the Company and its Subsidiaries, taken as a whole, since January 1, 2021, neither the Company nor any of its Subsidiaries has either voluntarily or involuntarily issued, or caused to be issued, any notice or communication related to an alleged lack of safety, efficacy or material noncompliance with any applicable Health Care Laws for any Company Product. To the Company’s Knowledge, as of the date hereof, there are no facts that would reasonably be expected to result in (x) such a notice or communication or (y) the termination or suspension of marketing of any Company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hereof, none of the Company, its Subsidiaries, or any of their respective officers, directors, employees, independent contractors or, to the Company’s Knowledge, agents have been or are currently: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subject to mandatory or permissive debarment or suspension pursuant to 21 U.S.C. § 335a;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excluded under 42 U.S.C. § 1320a-7 or any similar law, rule or regulation of any Governmental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excluded, debarred, suspended or deemed ineligible to participate in federal procurement and non-procurement programs, including those produced by the U.S. General Services Administration;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Law or, to the Company’s Knowledge, threatened with prosecution by a Governmental Entity, including the Centers for Medicare and Medicaid Services, the U.S. Department of Health and Human Services, state attorney general, or the U.S. Department of Justice, for any violation of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disqualified or deemed ineligible pursuant to 21 C.F.R. Parts 312, 511, or 812, or otherwise restricted, in whole or in part, or subject to an assurance;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had a pending Legal Proceeding, or otherwise received any written notice from any Governmental Entity or any Person threatening, investigating, or pursuing (i) – (v) above or, to the Company’s Knowledge, committed any violation of any Law, including any Health Care Law, that could reasonably be expected to serve as the basis for any such exclusion, suspension, debarment or other ineligibility.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Company Products.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hereof, the Company has not received written notice of any complaints, information, or adverse experience reports related to a Company Product that would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to each Company Product subject to the FDCA or similar Law in any foreign jurisdiction that is or has been developed, manufactured, tested, packaged, labeled, distributed, imported, exported, or marketed or sold by or on behalf of the Company or any of its Subsidiaries (each such Company Product, a “</w:t>
      </w:r>
      <w:r>
        <w:rPr>
          <w:rFonts w:ascii="Times New Roman;Times;serif" w:hAnsi="Times New Roman;Times;serif"/>
          <w:b/>
          <w:i w:val="false"/>
          <w:caps w:val="false"/>
          <w:smallCaps w:val="false"/>
          <w:color w:val="000000"/>
          <w:spacing w:val="-4"/>
          <w:sz w:val="20"/>
        </w:rPr>
        <w:t>Company Medical Device</w:t>
      </w:r>
      <w:r>
        <w:rPr>
          <w:rFonts w:ascii="Times New Roman;Times;serif" w:hAnsi="Times New Roman;Times;serif"/>
          <w:b w:val="false"/>
          <w:i w:val="false"/>
          <w:caps w:val="false"/>
          <w:smallCaps w:val="false"/>
          <w:color w:val="000000"/>
          <w:spacing w:val="4"/>
          <w:sz w:val="20"/>
        </w:rPr>
        <w:t xml:space="preserve">”), each such Company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the Company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Company Products or (ii) otherwise alleging any material violation of any Laws applicable to any Company Medical Device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To the Knowledge of the Company, there are no material Legal Proceedings or governmental, regulatory or administrative investigations, audits, inquiries or actions, or any facts, circumstances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3TCH"/>
      <w:bookmarkEnd w:id="202"/>
      <w:r>
        <w:rPr>
          <w:rFonts w:ascii="calibri;arial;sans-serif" w:hAnsi="calibri;arial;sans-serif"/>
          <w:b w:val="false"/>
          <w:i w:val="false"/>
          <w:caps w:val="false"/>
          <w:smallCaps w:val="false"/>
          <w:color w:val="000000"/>
          <w:sz w:val="16"/>
        </w:rPr>
        <w:t>​</w:t>
      </w:r>
      <w:bookmarkStart w:id="203" w:name="t3ENT"/>
      <w:bookmarkEnd w:id="2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that would reasonably be expected to form the basis for any material Legal Proceeding or governmental, regulatory or administrative investigation, audit, inquiry or action, against or affecting the Company or any of its Subsidiaries relating to or arising under any applicable Health Care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Each of the Company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has made available to Parent accurate and complete copies of all material insurance policies and all material self-insurance programs and arrangements relating to the business, assets, liabilities and operations of the Company and each of its Subsidiaries in effect on the date hereof.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2021 and the date hereof,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Real Estate</w:t>
      </w:r>
      <w:r>
        <w:rPr>
          <w:rFonts w:ascii="Times New Roman;Times;serif" w:hAnsi="Times New Roman;Times;serif"/>
          <w:b w:val="false"/>
          <w:i w:val="false"/>
          <w:caps w:val="false"/>
          <w:smallCaps w:val="false"/>
          <w:color w:val="000000"/>
          <w:spacing w:val="4"/>
          <w:sz w:val="20"/>
        </w:rPr>
        <w:t xml:space="preserve">.   Neither the Company nor any of its Subsidiaries owns, or has ever owned, any real property.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of the Company Disclosure Schedule sets forth a true, correct and complete list as of the date hereof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Times;serif" w:hAnsi="Times New Roman;Times;serif"/>
          <w:b/>
          <w:i w:val="false"/>
          <w:caps w:val="false"/>
          <w:smallCaps w:val="false"/>
          <w:color w:val="000000"/>
          <w:spacing w:val="-4"/>
          <w:sz w:val="20"/>
        </w:rPr>
        <w:t>Company Leased Real Property</w:t>
      </w:r>
      <w:r>
        <w:rPr>
          <w:rFonts w:ascii="Times New Roman;Times;serif" w:hAnsi="Times New Roman;Times;serif"/>
          <w:b w:val="false"/>
          <w:i w:val="false"/>
          <w:caps w:val="false"/>
          <w:smallCaps w:val="false"/>
          <w:color w:val="000000"/>
          <w:spacing w:val="4"/>
          <w:sz w:val="20"/>
        </w:rPr>
        <w:t>”), and a true, correct and complete list of all of the Company Leased Real Property under which any such real property is leased, subleased, licensed or otherwise possessed (the “</w:t>
      </w:r>
      <w:r>
        <w:rPr>
          <w:rFonts w:ascii="Times New Roman;Times;serif" w:hAnsi="Times New Roman;Times;serif"/>
          <w:b/>
          <w:i w:val="false"/>
          <w:caps w:val="false"/>
          <w:smallCaps w:val="false"/>
          <w:color w:val="000000"/>
          <w:spacing w:val="-4"/>
          <w:sz w:val="20"/>
        </w:rPr>
        <w:t>Company Real Estate Leases</w:t>
      </w:r>
      <w:r>
        <w:rPr>
          <w:rFonts w:ascii="Times New Roman;Times;serif" w:hAnsi="Times New Roman;Times;serif"/>
          <w:b w:val="false"/>
          <w:i w:val="false"/>
          <w:caps w:val="false"/>
          <w:smallCaps w:val="false"/>
          <w:color w:val="000000"/>
          <w:spacing w:val="4"/>
          <w:sz w:val="20"/>
        </w:rPr>
        <w:t xml:space="preserve">”),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4" w:name="t3SAJ"/>
      <w:bookmarkEnd w:id="204"/>
      <w:r>
        <w:rPr>
          <w:rFonts w:ascii="calibri;arial;sans-serif" w:hAnsi="calibri;arial;sans-serif"/>
          <w:b w:val="false"/>
          <w:i w:val="false"/>
          <w:caps w:val="false"/>
          <w:smallCaps w:val="false"/>
          <w:color w:val="000000"/>
          <w:sz w:val="16"/>
        </w:rPr>
        <w:t>​</w:t>
      </w:r>
      <w:bookmarkStart w:id="205" w:name="t3WAS"/>
      <w:bookmarkEnd w:id="205"/>
      <w:r>
        <w:rPr>
          <w:rFonts w:ascii="calibri;arial;sans-serif" w:hAnsi="calibri;arial;sans-serif"/>
          <w:b w:val="false"/>
          <w:i w:val="false"/>
          <w:caps w:val="false"/>
          <w:smallCaps w:val="false"/>
          <w:color w:val="000000"/>
          <w:sz w:val="16"/>
        </w:rPr>
        <w:t>​</w:t>
      </w:r>
      <w:bookmarkStart w:id="206" w:name="t3AFE"/>
      <w:bookmarkEnd w:id="206"/>
      <w:r>
        <w:rPr>
          <w:rFonts w:ascii="calibri;arial;sans-serif" w:hAnsi="calibri;arial;sans-serif"/>
          <w:b w:val="false"/>
          <w:i w:val="false"/>
          <w:caps w:val="false"/>
          <w:smallCaps w:val="false"/>
          <w:color w:val="000000"/>
          <w:sz w:val="16"/>
        </w:rPr>
        <w:t>​</w:t>
      </w:r>
      <w:bookmarkStart w:id="207" w:name="t3OFA"/>
      <w:bookmarkEnd w:id="207"/>
      <w:r>
        <w:rPr>
          <w:rFonts w:ascii="calibri;arial;sans-serif" w:hAnsi="calibri;arial;sans-serif"/>
          <w:b w:val="false"/>
          <w:i w:val="false"/>
          <w:caps w:val="false"/>
          <w:smallCaps w:val="false"/>
          <w:color w:val="000000"/>
          <w:sz w:val="16"/>
        </w:rPr>
        <w:t>​</w:t>
      </w:r>
      <w:bookmarkStart w:id="208" w:name="t3BP"/>
      <w:bookmarkEnd w:id="2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Registration Statement and Joint Proxy Statement/Prospectus</w:t>
      </w:r>
      <w:r>
        <w:rPr>
          <w:rFonts w:ascii="Times New Roman;Times;serif" w:hAnsi="Times New Roman;Times;serif"/>
          <w:b w:val="false"/>
          <w:i w:val="false"/>
          <w:caps w:val="false"/>
          <w:smallCaps w:val="false"/>
          <w:color w:val="000000"/>
          <w:spacing w:val="4"/>
          <w:sz w:val="20"/>
        </w:rPr>
        <w:t xml:space="preserve">.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the Company’s stockholders and Parent’s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the Company with respect to statements made or incorporated by reference therein based on information supplied Parent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Transactions with Affiliates</w:t>
      </w:r>
      <w:r>
        <w:rPr>
          <w:rFonts w:ascii="Times New Roman;Times;serif" w:hAnsi="Times New Roman;Times;serif"/>
          <w:b w:val="false"/>
          <w:i w:val="false"/>
          <w:caps w:val="false"/>
          <w:smallCaps w:val="false"/>
          <w:color w:val="000000"/>
          <w:spacing w:val="4"/>
          <w:sz w:val="20"/>
        </w:rPr>
        <w:t xml:space="preserve">.   Since April 25, 2023, no event has occurred that would be required to be reported by the Company pursuant to Item 404 of Regulation S-K as promulgated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Brokers and Finders</w:t>
      </w:r>
      <w:r>
        <w:rPr>
          <w:rFonts w:ascii="Times New Roman;Times;serif" w:hAnsi="Times New Roman;Times;serif"/>
          <w:b w:val="false"/>
          <w:i w:val="false"/>
          <w:caps w:val="false"/>
          <w:smallCaps w:val="false"/>
          <w:color w:val="000000"/>
          <w:spacing w:val="4"/>
          <w:sz w:val="20"/>
        </w:rPr>
        <w:t xml:space="preserve">.   Except for Perella Weinberg Partners L.P. and Cowen and Company, LLC,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As of the date of this Agreement, the Company Board has received the opinion, that will subsequently be provided in writing, of Perella Weinberg Partners L.P. that, as of the date of such opinion and based upon and subject to the various qualifications, assumptions, limitations and other matters set forth therein, the Merger Consideration to be received by an Unaffiliated Stockholder in the Merger pursuant to this Agreement is fair, from a financial point of view, to the Unaffiliated Stockholder. The Company shall, promptly following the execution of this Agreement by all Parties, furnish a copy of each such written opinion to Parent solely for informational purposes (it being agreed that none of Parent or Merger Sub, nor any of their respective Affiliates or Representatives, shall have the right to rely on such opinion).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the Company, any of its Subsidiaries or any of their respective directors, officers, employees or, to the Company’s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the Company’s business or operations.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except, in each case, as would not be material to the Company’s business or operations. None of the Company, any of its Subsidiaries or any of their respective principals (as defined at 48 C.F.R. 52.209-5(a)(2)) would be required to certify affirmatively to any element of the certification at 48 C.F.R. 52.209-5.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nor any of its Subsidiaries, nor to the Company’s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Times;serif" w:hAnsi="Times New Roman;Times;serif"/>
          <w:b/>
          <w:i w:val="false"/>
          <w:caps w:val="false"/>
          <w:smallCaps w:val="false"/>
          <w:color w:val="000000"/>
          <w:spacing w:val="-4"/>
          <w:sz w:val="20"/>
        </w:rPr>
        <w:t>Trade Control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9" w:name="t3OPC"/>
      <w:bookmarkEnd w:id="209"/>
      <w:r>
        <w:rPr>
          <w:rFonts w:ascii="calibri;arial;sans-serif" w:hAnsi="calibri;arial;sans-serif"/>
          <w:b w:val="false"/>
          <w:i w:val="false"/>
          <w:caps w:val="false"/>
          <w:smallCaps w:val="false"/>
          <w:color w:val="000000"/>
          <w:sz w:val="16"/>
        </w:rPr>
        <w:t>​</w:t>
      </w:r>
      <w:bookmarkStart w:id="210" w:name="tAIAW1"/>
      <w:bookmarkEnd w:id="210"/>
      <w:r>
        <w:rPr>
          <w:rFonts w:ascii="calibri;arial;sans-serif" w:hAnsi="calibri;arial;sans-serif"/>
          <w:b w:val="false"/>
          <w:i w:val="false"/>
          <w:caps w:val="false"/>
          <w:smallCaps w:val="false"/>
          <w:color w:val="000000"/>
          <w:sz w:val="16"/>
        </w:rPr>
        <w:t>​</w:t>
      </w:r>
      <w:bookmarkStart w:id="211" w:name="t4DPH"/>
      <w:bookmarkEnd w:id="211"/>
      <w:r>
        <w:rPr>
          <w:rFonts w:ascii="calibri;arial;sans-serif" w:hAnsi="calibri;arial;sans-serif"/>
          <w:b w:val="false"/>
          <w:i w:val="false"/>
          <w:caps w:val="false"/>
          <w:smallCaps w:val="false"/>
          <w:color w:val="000000"/>
          <w:sz w:val="16"/>
        </w:rPr>
        <w:t>​</w:t>
      </w:r>
      <w:bookmarkStart w:id="212" w:name="t4OS"/>
      <w:bookmarkEnd w:id="2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Ownership of Parent Common Stock</w:t>
      </w:r>
      <w:r>
        <w:rPr>
          <w:rFonts w:ascii="Times New Roman;Times;serif" w:hAnsi="Times New Roman;Times;serif"/>
          <w:b w:val="false"/>
          <w:i w:val="false"/>
          <w:caps w:val="false"/>
          <w:smallCaps w:val="false"/>
          <w:color w:val="000000"/>
          <w:spacing w:val="4"/>
          <w:sz w:val="20"/>
        </w:rPr>
        <w:t xml:space="preserve">.   Since January 1, 2021,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represents and warrants to the Company as set forth in the statements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except as set forth (a) in the Parent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Times;serif" w:hAnsi="Times New Roman;Times;serif"/>
          <w:b/>
          <w:i w:val="false"/>
          <w:caps w:val="false"/>
          <w:smallCaps w:val="false"/>
          <w:color w:val="000000"/>
          <w:spacing w:val="-4"/>
          <w:sz w:val="20"/>
        </w:rPr>
        <w:t>Parent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clause (a) shall not apply to any representations or warranties set forth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w:t>
      </w:r>
      <w:r>
        <w:rPr>
          <w:rFonts w:ascii="Times New Roman;Times;serif" w:hAnsi="Times New Roman;Times;serif"/>
          <w:b w:val="false"/>
          <w:i w:val="false"/>
          <w:caps w:val="false"/>
          <w:smallCaps w:val="false"/>
          <w:color w:val="000000"/>
          <w:spacing w:val="4"/>
          <w:sz w:val="20"/>
        </w:rPr>
        <w:t xml:space="preserve"> (Organization;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(Opinion of Financial Advisor). The Parent Disclosure Schedule shall be arranged in numbered and lettered sections corresponding to the numbered and lettered sections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and the disclosure in any section of the Parent Disclosure Schedule shall be deemed to qualify other sections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to the extent that it is reasonably apparent on the face of such disclosure that such disclosure also qualifies or applies to such other sections.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Due Organization;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Parent’s Subsidiaries is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and neither Parent nor any of the entities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43C"/>
      <w:bookmarkEnd w:id="2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manner in which its property and assets are currently owned or leased and used, except where the failure to have such power or authority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outstanding shares of capital stock or equivalent equity interests of each Subsidiary of Parent are owned of record and beneficially, directly or indirectly, by Parent free and clear of all material liens, pledges, security interests or other encumbrances.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Parent as of the date of this Agreement consists of (i) 400,000,000 shares of common stock, par value $0.001 per share (the “</w:t>
      </w:r>
      <w:r>
        <w:rPr>
          <w:rFonts w:ascii="Times New Roman;Times;serif" w:hAnsi="Times New Roman;Times;serif"/>
          <w:b/>
          <w:i w:val="false"/>
          <w:caps w:val="false"/>
          <w:smallCaps w:val="false"/>
          <w:color w:val="000000"/>
          <w:spacing w:val="-4"/>
          <w:sz w:val="20"/>
        </w:rPr>
        <w:t>Parent Common Stock</w:t>
      </w:r>
      <w:r>
        <w:rPr>
          <w:rFonts w:ascii="Times New Roman;Times;serif" w:hAnsi="Times New Roman;Times;serif"/>
          <w:b w:val="false"/>
          <w:i w:val="false"/>
          <w:caps w:val="false"/>
          <w:smallCaps w:val="false"/>
          <w:color w:val="000000"/>
          <w:spacing w:val="4"/>
          <w:sz w:val="20"/>
        </w:rPr>
        <w:t xml:space="preserve">”), of which 79,469,908 shares have been issued and are outstanding as of the close of business on the Reference Date, (ii) 128,267 shares of Series B-1 Preferred Stock, of which 127,780 shares have been issued and are outstanding as of the close of business on the Reference Date, and (iii) 128,267 shares of Series B-2 Preferred Stock, of which 127,779 shares have been issued and are outstanding as of the close of business on the Reference Date. Parent has authorized a sufficient number of shares of Parent Common Stock to issue the Merger Consideration. Parent does not hold any shares of its capital stock in its treasury. Except as set forth in this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there are no outstanding shares of capital stock, or other equity interest in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for Parent’s 2009 Equity Incentive Plan (the “</w:t>
      </w:r>
      <w:r>
        <w:rPr>
          <w:rFonts w:ascii="Times New Roman;Times;serif" w:hAnsi="Times New Roman;Times;serif"/>
          <w:b/>
          <w:i w:val="false"/>
          <w:caps w:val="false"/>
          <w:smallCaps w:val="false"/>
          <w:color w:val="000000"/>
          <w:spacing w:val="-4"/>
          <w:sz w:val="20"/>
          <w:u w:val="single"/>
        </w:rPr>
        <w:t>Parent 2009 Equity Incentive Plan</w:t>
      </w:r>
      <w:r>
        <w:rPr>
          <w:rFonts w:ascii="Times New Roman;Times;serif" w:hAnsi="Times New Roman;Times;serif"/>
          <w:b w:val="false"/>
          <w:i w:val="false"/>
          <w:caps w:val="false"/>
          <w:smallCaps w:val="false"/>
          <w:color w:val="000000"/>
          <w:spacing w:val="4"/>
          <w:sz w:val="20"/>
        </w:rPr>
        <w:t>”), Parent’s DVS Sciences 2010 Equity Incentive Plan (the “</w:t>
      </w:r>
      <w:r>
        <w:rPr>
          <w:rFonts w:ascii="Times New Roman;Times;serif" w:hAnsi="Times New Roman;Times;serif"/>
          <w:b/>
          <w:i w:val="false"/>
          <w:caps w:val="false"/>
          <w:smallCaps w:val="false"/>
          <w:color w:val="000000"/>
          <w:spacing w:val="-4"/>
          <w:sz w:val="20"/>
        </w:rPr>
        <w:t>Parent 2010 Equity Incentive Plan</w:t>
      </w:r>
      <w:r>
        <w:rPr>
          <w:rFonts w:ascii="Times New Roman;Times;serif" w:hAnsi="Times New Roman;Times;serif"/>
          <w:b w:val="false"/>
          <w:i w:val="false"/>
          <w:caps w:val="false"/>
          <w:smallCaps w:val="false"/>
          <w:color w:val="000000"/>
          <w:spacing w:val="4"/>
          <w:sz w:val="20"/>
        </w:rPr>
        <w:t>”), Parent’s 2011 Equity Incentive Plan (the “</w:t>
      </w:r>
      <w:r>
        <w:rPr>
          <w:rFonts w:ascii="Times New Roman;Times;serif" w:hAnsi="Times New Roman;Times;serif"/>
          <w:b/>
          <w:i w:val="false"/>
          <w:caps w:val="false"/>
          <w:smallCaps w:val="false"/>
          <w:color w:val="000000"/>
          <w:spacing w:val="-4"/>
          <w:sz w:val="20"/>
        </w:rPr>
        <w:t>Parent 2011 Equity Incentive Plan</w:t>
      </w:r>
      <w:r>
        <w:rPr>
          <w:rFonts w:ascii="Times New Roman;Times;serif" w:hAnsi="Times New Roman;Times;serif"/>
          <w:b w:val="false"/>
          <w:i w:val="false"/>
          <w:caps w:val="false"/>
          <w:smallCaps w:val="false"/>
          <w:color w:val="000000"/>
          <w:spacing w:val="4"/>
          <w:sz w:val="20"/>
        </w:rPr>
        <w:t>”), Parent’s ESPP (the “</w:t>
      </w:r>
      <w:r>
        <w:rPr>
          <w:rFonts w:ascii="Times New Roman;Times;serif" w:hAnsi="Times New Roman;Times;serif"/>
          <w:b/>
          <w:i w:val="false"/>
          <w:caps w:val="false"/>
          <w:smallCaps w:val="false"/>
          <w:color w:val="000000"/>
          <w:spacing w:val="-4"/>
          <w:sz w:val="20"/>
        </w:rPr>
        <w:t>Parent ESPP</w:t>
      </w:r>
      <w:r>
        <w:rPr>
          <w:rFonts w:ascii="Times New Roman;Times;serif" w:hAnsi="Times New Roman;Times;serif"/>
          <w:b w:val="false"/>
          <w:i w:val="false"/>
          <w:caps w:val="false"/>
          <w:smallCaps w:val="false"/>
          <w:color w:val="000000"/>
          <w:spacing w:val="4"/>
          <w:sz w:val="20"/>
        </w:rPr>
        <w:t>”), Parent’s 2017 Inducement Award Plan (the “</w:t>
      </w:r>
      <w:r>
        <w:rPr>
          <w:rFonts w:ascii="Times New Roman;Times;serif" w:hAnsi="Times New Roman;Times;serif"/>
          <w:b/>
          <w:i w:val="false"/>
          <w:caps w:val="false"/>
          <w:smallCaps w:val="false"/>
          <w:color w:val="000000"/>
          <w:spacing w:val="-4"/>
          <w:sz w:val="20"/>
        </w:rPr>
        <w:t>Parent 2017 Inducement Plan</w:t>
      </w:r>
      <w:r>
        <w:rPr>
          <w:rFonts w:ascii="Times New Roman;Times;serif" w:hAnsi="Times New Roman;Times;serif"/>
          <w:b w:val="false"/>
          <w:i w:val="false"/>
          <w:caps w:val="false"/>
          <w:smallCaps w:val="false"/>
          <w:color w:val="000000"/>
          <w:spacing w:val="4"/>
          <w:sz w:val="20"/>
        </w:rPr>
        <w:t>”) and Parent’s 2022 Inducement Equity Incentive Plan (the “</w:t>
      </w:r>
      <w:r>
        <w:rPr>
          <w:rFonts w:ascii="Times New Roman;Times;serif" w:hAnsi="Times New Roman;Times;serif"/>
          <w:b/>
          <w:i w:val="false"/>
          <w:caps w:val="false"/>
          <w:smallCaps w:val="false"/>
          <w:color w:val="000000"/>
          <w:spacing w:val="-4"/>
          <w:sz w:val="20"/>
        </w:rPr>
        <w:t>Parent 2022 Inducement Plan</w:t>
      </w:r>
      <w:r>
        <w:rPr>
          <w:rFonts w:ascii="Times New Roman;Times;serif" w:hAnsi="Times New Roman;Times;serif"/>
          <w:b w:val="false"/>
          <w:i w:val="false"/>
          <w:caps w:val="false"/>
          <w:smallCaps w:val="false"/>
          <w:color w:val="000000"/>
          <w:spacing w:val="4"/>
          <w:sz w:val="20"/>
        </w:rPr>
        <w:t>”; together with the Parent 2009 Equity Incentive Plan, Parent 2010 Equity Incentive Plan, the Parent 2011 Equity Incentive Plan, the Parent ESPP and the Parent 2017 Inducement Plan, the “</w:t>
      </w:r>
      <w:r>
        <w:rPr>
          <w:rFonts w:ascii="Times New Roman;Times;serif" w:hAnsi="Times New Roman;Times;serif"/>
          <w:b/>
          <w:i w:val="false"/>
          <w:caps w:val="false"/>
          <w:smallCaps w:val="false"/>
          <w:color w:val="000000"/>
          <w:spacing w:val="-4"/>
          <w:sz w:val="20"/>
        </w:rPr>
        <w:t>Parent Stock Plans</w:t>
      </w:r>
      <w:r>
        <w:rPr>
          <w:rFonts w:ascii="Times New Roman;Times;serif" w:hAnsi="Times New Roman;Times;serif"/>
          <w:b w:val="false"/>
          <w:i w:val="false"/>
          <w:caps w:val="false"/>
          <w:smallCaps w:val="false"/>
          <w:color w:val="000000"/>
          <w:spacing w:val="4"/>
          <w:sz w:val="20"/>
        </w:rPr>
        <w:t xml:space="preserve">”) and the award agreements thereunder, Parent does not have any stock option plan or any other plan, program, agreement or arrangement providing for any equity-based compensation for any Person. As of the close of business on the Reference Date, Parent has authorized 32,681,484 shares of Parent Common Stock for issuance under the Parent Stock Plans, of which 16,886,625 shares are subject to equity awards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4" w:name="t4BNO"/>
      <w:bookmarkEnd w:id="2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granted and outstanding as of the Reference Date under the Parent Stock Plans, and of which 9,248,628 shares of Parent Common Stock are subject to issuance upon the exercise of the Parent Options outstanding as of the Reference Date, at a weighted average exercise price of $3.63, and 7,637,997 shares of Parent Common Stock are subject to issuance upon the settlement of the Parent RSUs outstanding as of the Reference Date. As of the Reference Date, there are no shares of Parent Common Stock that are subject to issuance upon the exercise of the Parent Warrants. Section 4.3(d) of the Parent Disclosure Schedule sets forth a complete and accurate list, as of the Reference Date, with respect to each outstanding Parent Equity Award, (i) the number of shares of Parent Common Stock subject to such Parent Equity Award, (ii) the Parent Stock Plan under which such Parent Equity Award was granted, (iii) the grant or issuance date of such Parent Equity Award; (iv) any applicable vesting schedule with respect to such Parent Equity Award (including any performance-based vesting), and (v) if such Parent Equity Award is a Parent Option, the exercise price and the expiration date of such Parent Option and whether such Parent Option is intended to be an “incentive stock option” as defined in Section 422 of the Code. Parent has authorized and reserved a sufficient number of shares of Parent Common Stock to assume the Company Equity Awards at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for the Parent Options, the Parent Options issued under the Parent ESPP (the “</w:t>
      </w:r>
      <w:r>
        <w:rPr>
          <w:rFonts w:ascii="Times New Roman;Times;serif" w:hAnsi="Times New Roman;Times;serif"/>
          <w:b/>
          <w:i w:val="false"/>
          <w:caps w:val="false"/>
          <w:smallCaps w:val="false"/>
          <w:color w:val="000000"/>
          <w:spacing w:val="-4"/>
          <w:sz w:val="20"/>
        </w:rPr>
        <w:t>Parent ESPP Options</w:t>
      </w:r>
      <w:r>
        <w:rPr>
          <w:rFonts w:ascii="Times New Roman;Times;serif" w:hAnsi="Times New Roman;Times;serif"/>
          <w:b w:val="false"/>
          <w:i w:val="false"/>
          <w:caps w:val="false"/>
          <w:smallCaps w:val="false"/>
          <w:color w:val="000000"/>
          <w:spacing w:val="4"/>
          <w:sz w:val="20"/>
        </w:rPr>
        <w:t xml:space="preserve">”)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outstanding shares of Parent Common Stock, Parent Options, Parent RSUs, Parent ESPP Options, Parent Warrants and other securities of Parent have been issued and granted in material compliance with (i) all applicable securities Laws and other applicable Laws and (ii) all requirements set forth in applicable Contracts. No Parent Options have an exercise price that has been or may be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Authority; Binding Nature of Agreement; Required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 The Parent Board has, unanimously by the participating members of the Parent Board at a meeting duly called, (i) determined that the Contemplated Transactions, including the Merger, the issuance of shares of Parent Common Stock pursuant to this Agreement (the “</w:t>
      </w:r>
      <w:r>
        <w:rPr>
          <w:rFonts w:ascii="Times New Roman;Times;serif" w:hAnsi="Times New Roman;Times;serif"/>
          <w:b/>
          <w:i w:val="false"/>
          <w:caps w:val="false"/>
          <w:smallCaps w:val="false"/>
          <w:color w:val="000000"/>
          <w:spacing w:val="-4"/>
          <w:sz w:val="20"/>
        </w:rPr>
        <w:t>Parent Share Issuance</w:t>
      </w:r>
      <w:r>
        <w:rPr>
          <w:rFonts w:ascii="Times New Roman;Times;serif" w:hAnsi="Times New Roman;Times;serif"/>
          <w:b w:val="false"/>
          <w:i w:val="false"/>
          <w:caps w:val="false"/>
          <w:smallCaps w:val="false"/>
          <w:color w:val="000000"/>
          <w:spacing w:val="4"/>
          <w:sz w:val="20"/>
        </w:rPr>
        <w:t>”) and the approval of the amendment of Parent’s certificate of incorporation to increase the authorized shares of Parent Common Stock by up to 600,000,000 shares of Parent Common Stock (“</w:t>
      </w:r>
      <w:r>
        <w:rPr>
          <w:rFonts w:ascii="Times New Roman;Times;serif" w:hAnsi="Times New Roman;Times;serif"/>
          <w:b/>
          <w:i w:val="false"/>
          <w:caps w:val="false"/>
          <w:smallCaps w:val="false"/>
          <w:color w:val="000000"/>
          <w:spacing w:val="-4"/>
          <w:sz w:val="20"/>
        </w:rPr>
        <w:t>Parent Charter Amendment</w:t>
      </w:r>
      <w:r>
        <w:rPr>
          <w:rFonts w:ascii="Times New Roman;Times;serif" w:hAnsi="Times New Roman;Times;serif"/>
          <w:b w:val="false"/>
          <w:i w:val="false"/>
          <w:caps w:val="false"/>
          <w:smallCaps w:val="false"/>
          <w:color w:val="000000"/>
          <w:spacing w:val="4"/>
          <w:sz w:val="20"/>
        </w:rPr>
        <w:t xml:space="preserve">”), are advisable and in the best interests of Parent and its stockholders, (ii) approved and declared advisable this Agreement, the Contemplated Transactions and the Parent Charter Amendment, and (iii) subject to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Bankruptcy and Equity Exception. Prior to the execution of the Parent Voting Agreement, the Parent Board approved the Parent Voting Agreement and the transactions contemplated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5" w:name="t45CO"/>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approval of the Parent Share Issuance and the Parent Charter Amendment by the affirmative vote of the holders of Parent’s capital stock entitled to vote thereon by a majority of the votes cast (such approval, collectively, the “</w:t>
      </w:r>
      <w:r>
        <w:rPr>
          <w:rFonts w:ascii="Times New Roman;Times;serif" w:hAnsi="Times New Roman;Times;serif"/>
          <w:b/>
          <w:i w:val="false"/>
          <w:caps w:val="false"/>
          <w:smallCaps w:val="false"/>
          <w:color w:val="000000"/>
          <w:spacing w:val="-4"/>
          <w:sz w:val="20"/>
        </w:rPr>
        <w:t>Parent Stockholder Approval</w:t>
      </w:r>
      <w:r>
        <w:rPr>
          <w:rFonts w:ascii="Times New Roman;Times;serif" w:hAnsi="Times New Roman;Times;serif"/>
          <w:b w:val="false"/>
          <w:i w:val="false"/>
          <w:caps w:val="false"/>
          <w:smallCaps w:val="false"/>
          <w:color w:val="000000"/>
          <w:spacing w:val="4"/>
          <w:sz w:val="20"/>
        </w:rPr>
        <w:t xml:space="preserve">”), (ii) the waiver by the Parent Series B-1 Preferred Stockholder of its rights pursuant to Section 9 of the Series B-1 Preferred Stock Certificate of Designations in connection with the consummation of the Contemplated Transactions by written consent in lieu of a meeting by the Parent Series B-1 Preferred Stockholder in accordance with the Series B-1 Preferred Stock Certificate of Designations and the DGCL and (iii) the waiver by the Parent Series B-2 Preferred Stockholder of its rights pursuant to Section 9 of the Series B-1 Preferred Stock Certificate of Designations in connection with the consummation of the Contemplated Transactions by written consent in lieu of a meeting by the Parent Series B-2 Preferred Stockholder in accordance with the Series B-2 Preferred Stock Certificate of Designations and the DGCL, no other corporate proceedings on the part of the Parent stockholders are necessary to authorize, adopt or approve, as applicable, this Agreement or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Non-Contravention;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(i) obtaining the Parent Stockholder Approval, (ii) the filing of the Certificate of Merger required by the DGCL, (iii)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result in a violation or breach of any of the provisions of the Organizational Documents of Parent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result in a violation or breach of any of the terms or requirements of, or give any Governmental Entity the right to revoke, withdraw, suspend, cancel, terminate or modify, any Governmental Authorization that is held by Parent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result in the imposition or creation of any Lien upon or with respect to any asset owned or used by Parent or any of its Subsidiaries (except for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in the case of clauses (ii), (iii), (iv) and (v) of this </w:t>
      </w:r>
      <w:r>
        <w:rPr>
          <w:rFonts w:ascii="Times New Roman;Times;serif" w:hAnsi="Times New Roman;Times;serif"/>
          <w:b w:val="false"/>
          <w:i w:val="false"/>
          <w:caps w:val="false"/>
          <w:smallCaps w:val="false"/>
          <w:color w:val="000000"/>
          <w:spacing w:val="4"/>
          <w:sz w:val="20"/>
          <w:u w:val="single"/>
        </w:rPr>
        <w:t>Section 4.5(a)</w:t>
      </w:r>
      <w:r>
        <w:rPr>
          <w:rFonts w:ascii="Times New Roman;Times;serif" w:hAnsi="Times New Roman;Times;serif"/>
          <w:b w:val="false"/>
          <w:i w:val="false"/>
          <w:caps w:val="false"/>
          <w:smallCaps w:val="false"/>
          <w:color w:val="000000"/>
          <w:spacing w:val="4"/>
          <w:sz w:val="20"/>
        </w:rPr>
        <w:t xml:space="preserve"> for any such violations, remedies, relief, revocations, withdrawals, suspensions, cancelations, termination, modifications, breaches, defaults, payments, rebates, chargebacks, penalties, changes, accelerations or Liens that would not have a Parent Material Adverse Effect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4.5(a)</w:t>
      </w:r>
      <w:r>
        <w:rPr>
          <w:rFonts w:ascii="Times New Roman;Times;serif" w:hAnsi="Times New Roman;Times;serif"/>
          <w:b w:val="false"/>
          <w:i w:val="false"/>
          <w:caps w:val="false"/>
          <w:smallCaps w:val="false"/>
          <w:color w:val="000000"/>
          <w:spacing w:val="4"/>
          <w:sz w:val="20"/>
        </w:rPr>
        <w:t xml:space="preserve">, effects resulting from or arising in connection with the matters set forth in clause (viii) of the definition of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4DFS"/>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Adverse Effect” shall not be excluded in determining whether a Parent Material Adverse Effect has occurred) and would not prevent or materially impede, interfere with, hinder or delay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filing of the Certificate of Merger with the Secretary of State of the State of Delaware pursuant to the DGCL, (ii)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 (y) 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w:t>
      </w:r>
      <w:r>
        <w:rPr>
          <w:rFonts w:ascii="Times New Roman;Times;serif" w:hAnsi="Times New Roman;Times;serif"/>
          <w:b w:val="false"/>
          <w:i w:val="false"/>
          <w:caps w:val="false"/>
          <w:smallCaps w:val="false"/>
          <w:color w:val="000000"/>
          <w:spacing w:val="4"/>
          <w:sz w:val="20"/>
          <w:u w:val="single"/>
        </w:rPr>
        <w:t>Section 4.27</w:t>
      </w:r>
      <w:r>
        <w:rPr>
          <w:rFonts w:ascii="Times New Roman;Times;serif" w:hAnsi="Times New Roman;Times;serif"/>
          <w:b w:val="false"/>
          <w:i w:val="false"/>
          <w:caps w:val="false"/>
          <w:smallCaps w:val="false"/>
          <w:color w:val="000000"/>
          <w:spacing w:val="4"/>
          <w:sz w:val="20"/>
        </w:rPr>
        <w:t xml:space="preserve">, the Parent Board has taken and will take all actions necessary to ensure that the restrictions applicable to business combinations contained in Section 203 of the DGCL are, and will be, inapplicable to the execution, delivery and performance of this Agreement, the Parent Voting Agreement and to the consummation of the Contemplated Transactions. To Parent’s Knowledge, no other takeover statute or similar Law applies or purports to apply to the Merger, this Agreement, the Parent Voting Agreement or any of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SEC Documents;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such documents that can be obtained on the SEC’s website at www.sec.gov, Parent has made available to the Company accurate and complete copies of all registration statements, proxy statements, Parent Certifications (as defined below) and other statements, reports, schedules, forms and other documents filed by Parent with the SEC since December 31, 2021 (the “</w:t>
      </w:r>
      <w:r>
        <w:rPr>
          <w:rFonts w:ascii="Times New Roman;Times;serif" w:hAnsi="Times New Roman;Times;serif"/>
          <w:b/>
          <w:i w:val="false"/>
          <w:caps w:val="false"/>
          <w:smallCaps w:val="false"/>
          <w:color w:val="000000"/>
          <w:spacing w:val="-4"/>
          <w:sz w:val="20"/>
        </w:rPr>
        <w:t>Parent SEC Documents</w:t>
      </w:r>
      <w:r>
        <w:rPr>
          <w:rFonts w:ascii="Times New Roman;Times;serif" w:hAnsi="Times New Roman;Times;serif"/>
          <w:b w:val="false"/>
          <w:i w:val="false"/>
          <w:caps w:val="false"/>
          <w:smallCaps w:val="false"/>
          <w:color w:val="000000"/>
          <w:spacing w:val="4"/>
          <w:sz w:val="20"/>
        </w:rPr>
        <w:t xml:space="preserve">”). Since December 31, 2021,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Times;serif" w:hAnsi="Times New Roman;Times;serif"/>
          <w:b/>
          <w:i w:val="false"/>
          <w:caps w:val="false"/>
          <w:smallCaps w:val="false"/>
          <w:color w:val="000000"/>
          <w:spacing w:val="-4"/>
          <w:sz w:val="20"/>
        </w:rPr>
        <w:t>Parent Certifications</w:t>
      </w:r>
      <w:r>
        <w:rPr>
          <w:rFonts w:ascii="Times New Roman;Times;serif" w:hAnsi="Times New Roman;Times;serif"/>
          <w:b w:val="false"/>
          <w:i w:val="false"/>
          <w:caps w:val="false"/>
          <w:smallCaps w:val="false"/>
          <w:color w:val="000000"/>
          <w:spacing w:val="4"/>
          <w:sz w:val="20"/>
        </w:rPr>
        <w:t xml:space="preserve">”) are accurate and complete in all material respects and comply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4OCE"/>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to form and content in all material respects with all applicable Laws. As used in this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the term “file” and variations thereof shall be broadly construed to include any manner in which a document or information is furnished, supplied or otherwise made available to the SEC.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2021 and the date hereof there has been no material change in Parent’s accounting methods or principles that would be required to be disclosed in Parent’s financial statements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Parent is in compliance in all material respects with the applicable current listing and governance rules and regulations of Nasdaq.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June 30, 2023,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Except as expressly contemplated or permitted by or in connection with the execution and delivery of this Agreement, between the date of Parent’s latest consolidated unaudited balance sheet (the “</w:t>
      </w:r>
      <w:r>
        <w:rPr>
          <w:rFonts w:ascii="Times New Roman;Times;serif" w:hAnsi="Times New Roman;Times;serif"/>
          <w:b/>
          <w:i w:val="false"/>
          <w:caps w:val="false"/>
          <w:smallCaps w:val="false"/>
          <w:color w:val="000000"/>
          <w:spacing w:val="-4"/>
          <w:sz w:val="20"/>
        </w:rPr>
        <w:t>Parent Balance Sheet</w:t>
      </w:r>
      <w:r>
        <w:rPr>
          <w:rFonts w:ascii="Times New Roman;Times;serif" w:hAnsi="Times New Roman;Times;serif"/>
          <w:b w:val="false"/>
          <w:i w:val="false"/>
          <w:caps w:val="false"/>
          <w:smallCaps w:val="false"/>
          <w:color w:val="000000"/>
          <w:spacing w:val="4"/>
          <w:sz w:val="20"/>
        </w:rPr>
        <w:t xml:space="preserve">”) and the date of this Agreement, (i) Parent has conducted its business in the Ordinary Course of Business in all material respects (except for the execution and performance of this Agreement and the discussions, negotiations and transactions related thereto, including the Contemplated Transactions), (ii) there has not been any Parent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4.7</w:t>
      </w:r>
      <w:r>
        <w:rPr>
          <w:rFonts w:ascii="Times New Roman;Times;serif" w:hAnsi="Times New Roman;Times;serif"/>
          <w:b w:val="false"/>
          <w:i w:val="false"/>
          <w:caps w:val="false"/>
          <w:smallCaps w:val="false"/>
          <w:color w:val="000000"/>
          <w:spacing w:val="4"/>
          <w:sz w:val="20"/>
        </w:rPr>
        <w:t xml:space="preserve"> clause (ii) of the definition thereof) and (iii) there has not occurred any action, event or occurrence that would have required the consent of the Company pursuant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had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4OUL"/>
      <w:bookmarkEnd w:id="218"/>
      <w:r>
        <w:rPr>
          <w:rFonts w:ascii="calibri;arial;sans-serif" w:hAnsi="calibri;arial;sans-serif"/>
          <w:b w:val="false"/>
          <w:i w:val="false"/>
          <w:caps w:val="false"/>
          <w:smallCaps w:val="false"/>
          <w:color w:val="000000"/>
          <w:sz w:val="16"/>
        </w:rPr>
        <w:t>​</w:t>
      </w:r>
      <w:bookmarkStart w:id="219" w:name="t4TAP"/>
      <w:bookmarkEnd w:id="219"/>
      <w:r>
        <w:rPr>
          <w:rFonts w:ascii="calibri;arial;sans-serif" w:hAnsi="calibri;arial;sans-serif"/>
          <w:b w:val="false"/>
          <w:i w:val="false"/>
          <w:caps w:val="false"/>
          <w:smallCaps w:val="false"/>
          <w:color w:val="000000"/>
          <w:sz w:val="16"/>
        </w:rPr>
        <w:t>​</w:t>
      </w:r>
      <w:bookmarkStart w:id="220" w:name="t4PO"/>
      <w:bookmarkEnd w:id="220"/>
      <w:r>
        <w:rPr>
          <w:rFonts w:ascii="calibri;arial;sans-serif" w:hAnsi="calibri;arial;sans-serif"/>
          <w:b w:val="false"/>
          <w:i w:val="false"/>
          <w:caps w:val="false"/>
          <w:smallCaps w:val="false"/>
          <w:color w:val="000000"/>
          <w:sz w:val="16"/>
        </w:rPr>
        <w:t>​</w:t>
      </w:r>
      <w:bookmarkStart w:id="221" w:name="t4AS"/>
      <w:bookmarkEnd w:id="2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action, event or occurrence taken place after the execution and delivery of this Agreement (other than any such action, event or occurrence taken in the Ordinary Course of Business that would have required the consent of the Company pursuant to </w:t>
      </w:r>
      <w:r>
        <w:rPr>
          <w:rFonts w:ascii="Times New Roman;Times;serif" w:hAnsi="Times New Roman;Times;serif"/>
          <w:b w:val="false"/>
          <w:i w:val="false"/>
          <w:caps w:val="false"/>
          <w:smallCaps w:val="false"/>
          <w:color w:val="000000"/>
          <w:spacing w:val="4"/>
          <w:sz w:val="20"/>
          <w:u w:val="single"/>
        </w:rPr>
        <w:t>Sections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5.1(b)(xxvi)</w:t>
      </w:r>
      <w:r>
        <w:rPr>
          <w:rFonts w:ascii="Times New Roman;Times;serif" w:hAnsi="Times New Roman;Times;serif"/>
          <w:b w:val="false"/>
          <w:i w:val="false"/>
          <w:caps w:val="false"/>
          <w:smallCaps w:val="false"/>
          <w:color w:val="000000"/>
          <w:spacing w:val="4"/>
          <w:sz w:val="20"/>
        </w:rPr>
        <w:t xml:space="preserve"> as it relates to </w:t>
      </w:r>
      <w:r>
        <w:rPr>
          <w:rFonts w:ascii="Times New Roman;Times;serif" w:hAnsi="Times New Roman;Times;serif"/>
          <w:b w:val="false"/>
          <w:i w:val="false"/>
          <w:caps w:val="false"/>
          <w:smallCaps w:val="false"/>
          <w:color w:val="000000"/>
          <w:spacing w:val="4"/>
          <w:sz w:val="20"/>
          <w:u w:val="single"/>
        </w:rPr>
        <w:t>Sections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5.1(b)(xvi)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Absence of Undisclosed Liabilities</w:t>
      </w:r>
      <w:r>
        <w:rPr>
          <w:rFonts w:ascii="Times New Roman;Times;serif" w:hAnsi="Times New Roman;Times;serif"/>
          <w:b w:val="false"/>
          <w:i w:val="false"/>
          <w:caps w:val="false"/>
          <w:smallCaps w:val="false"/>
          <w:color w:val="000000"/>
          <w:spacing w:val="4"/>
          <w:sz w:val="20"/>
        </w:rPr>
        <w:t xml:space="preserve">.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which have not resulted from a breach of Contract, breach of warranty, tort, infringement or violation of Law, (d) incurred in connection with the Contemplated Transactions or (e) that would not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xml:space="preserve">.   Parent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Legal 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Between January 1, 2021 and the date hereof, no Legal Proceeding has been pending against Parent or any of its Subsidiaries that resulted in any liability that is material to Parent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is no material order, writ, injunction, judgment or decree to which Parent or any of its Subsidiaries, or any of the material assets owned or used by Parent or any of its Subsidiaries, is subject. To Parent’s Knowledge, as of the date hereof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Customers and Suppliers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4.11(a)</w:t>
      </w:r>
      <w:r>
        <w:rPr>
          <w:rFonts w:ascii="Times New Roman;Times;serif" w:hAnsi="Times New Roman;Times;serif"/>
          <w:b w:val="false"/>
          <w:i w:val="false"/>
          <w:caps w:val="false"/>
          <w:smallCaps w:val="false"/>
          <w:color w:val="000000"/>
          <w:spacing w:val="4"/>
          <w:sz w:val="20"/>
        </w:rPr>
        <w:t xml:space="preserve"> of the Parent Disclosure Schedule sets forth a correct and complete list of the ten largest customers of Parent and its Subsidiaries based on the revenue accrued by Parent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Parent Material Customers</w:t>
      </w:r>
      <w:r>
        <w:rPr>
          <w:rFonts w:ascii="Times New Roman;Times;serif" w:hAnsi="Times New Roman;Times;serif"/>
          <w:b w:val="false"/>
          <w:i w:val="false"/>
          <w:caps w:val="false"/>
          <w:smallCaps w:val="false"/>
          <w:color w:val="000000"/>
          <w:spacing w:val="4"/>
          <w:sz w:val="20"/>
        </w:rPr>
        <w:t xml:space="preserve">”). From January 1, 2022 through the date of this Agreement, Parent has not received written notice from any Parent Material Customer that such Parent Material Customer intends to, or has exercised any right to, terminate or materially and adversely modify the amounts, frequency or terms of the business such Parent Material Customer conducts with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4.11(b)</w:t>
      </w:r>
      <w:r>
        <w:rPr>
          <w:rFonts w:ascii="Times New Roman;Times;serif" w:hAnsi="Times New Roman;Times;serif"/>
          <w:b w:val="false"/>
          <w:i w:val="false"/>
          <w:caps w:val="false"/>
          <w:smallCaps w:val="false"/>
          <w:color w:val="000000"/>
          <w:spacing w:val="4"/>
          <w:sz w:val="20"/>
        </w:rPr>
        <w:t xml:space="preserve"> of the Parent Disclosure Schedule sets forth a correct and complete list of the ten largest suppliers of Parent and its Subsidiaries based on the expenses accrued by Parent and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412"/>
      <w:bookmarkEnd w:id="2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Parent Material Suppliers</w:t>
      </w:r>
      <w:r>
        <w:rPr>
          <w:rFonts w:ascii="Times New Roman;Times;serif" w:hAnsi="Times New Roman;Times;serif"/>
          <w:b w:val="false"/>
          <w:i w:val="false"/>
          <w:caps w:val="false"/>
          <w:smallCaps w:val="false"/>
          <w:color w:val="000000"/>
          <w:spacing w:val="4"/>
          <w:sz w:val="20"/>
        </w:rPr>
        <w:t xml:space="preserve">”). From January 1, 2022 through the date of this Agreement, Parent has not received written notice from any Parent Material Supplier that such Parent Material Supplier intends to, or has exercised any right to, terminate or materially and adversely modify the amounts, frequency or terms of the business such Parent Material Supplier conducts with Parent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Parent Disclosure Schedule lists the following Parent Contracts in effect as of the date of this Agreement (other than any Parent Benefit Plan and any purchase order, work order or quality agreement that, for each of the foregoing, does not modify any material term or condition of, or contain any material term or condition that is not contemplated by or contained in, a Parent Material Contract disclosed on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Parent Disclosure Schedule) (each, a “</w:t>
      </w:r>
      <w:r>
        <w:rPr>
          <w:rFonts w:ascii="Times New Roman;Times;serif" w:hAnsi="Times New Roman;Times;serif"/>
          <w:b/>
          <w:i w:val="false"/>
          <w:caps w:val="false"/>
          <w:smallCaps w:val="false"/>
          <w:color w:val="000000"/>
          <w:spacing w:val="-4"/>
          <w:sz w:val="20"/>
        </w:rPr>
        <w:t>Parent 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material contract as defined in Item 601(b)(10) of Regulation S-K as promulgated under the Securities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Contract that is material to the business or operation of Parent and its Subsidiaries, taken as a whole, containing (A) any provision limiting the freedom of Parent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Parent or any of its Subsidiaries of material assets or any ownership interests in any entity (whether by merger, sale of stock, sale of assets or otherwise), which are not material to the business of or operations of Parent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Contract that governs the formation, creation, governance, economics or control of any joint venture, legal partnership or other similar arrangement, other than with respect to any Contract solely between or among Parent and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relating to capital expenditures and requiring payments after the date of this Agreement in excess of $250,000 pursuant to its express terms and not cancelable without penalty;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relating to the disposition or acquisition of material assets or any ownership interest in any entity (whether by merger, sale of stock, sale of assets or otherwise);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material Liens, other than Contracts creating Liens of the type, nature and scope contemplated by clauses (i)(B), (i)(C), (i)(D), (i)(E), (ii) or (iii) of the definition of Permitted Liens or Contracts required to be disclosed on </w:t>
      </w:r>
      <w:r>
        <w:rPr>
          <w:rFonts w:ascii="Times New Roman;Times;serif" w:hAnsi="Times New Roman;Times;serif"/>
          <w:b w:val="false"/>
          <w:i w:val="false"/>
          <w:caps w:val="false"/>
          <w:smallCaps w:val="false"/>
          <w:color w:val="000000"/>
          <w:spacing w:val="4"/>
          <w:sz w:val="20"/>
          <w:u w:val="single"/>
        </w:rPr>
        <w:t>Section 4.12(a)(ix)</w:t>
      </w:r>
      <w:r>
        <w:rPr>
          <w:rFonts w:ascii="Times New Roman;Times;serif" w:hAnsi="Times New Roman;Times;serif"/>
          <w:b w:val="false"/>
          <w:i w:val="false"/>
          <w:caps w:val="false"/>
          <w:smallCaps w:val="false"/>
          <w:color w:val="000000"/>
          <w:spacing w:val="4"/>
          <w:sz w:val="20"/>
        </w:rPr>
        <w:t xml:space="preserve"> of the Parent Disclosure Schedule, with respect to any material assets of Parent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Parent Real Estate Lease;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with any Governmental Entity or any university, college, research institute or other educational or academic institution that provides for research and development activities involving the creation of any material Intellectual Property Rights;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(A) Parent Out-bound License, (B) Parent In-bound License, (C) Contract pursuant to which any material research or development activities are conducted by Parent or any of its Subsidiaries for a third party or by a third party for Parent or any of its Subsidiaries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3" w:name="t4ALM"/>
      <w:bookmarkEnd w:id="2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settlement, co-existence or other similar Contract that grants a third party a license or right to use or restricts any Person from filing, registering, enforcing, disposing of or otherwise exploiting any Parent Owned IP;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each Contract that is material to the business or operations of Parent and its Subsidiaries, taken as a whole,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b w:val="false"/>
          <w:i w:val="false"/>
          <w:caps w:val="false"/>
          <w:smallCaps w:val="false"/>
          <w:color w:val="000000"/>
          <w:spacing w:val="4"/>
          <w:sz w:val="20"/>
          <w:u w:val="single"/>
        </w:rPr>
        <w:t>Section 4.12(a)(ix)</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Contract that is not terminable at will with no more than 60 days’ prior notice (with no penalty or payment) by Parent or its Subsidiaries, as applicable, and which expressly provides for payment or receipt by Parent or any of its Subsidiaries after the date of this Agreement under any such Contract of more than $500,000 in the aggregate, or obligations after the date of this Agreement in excess of $500,000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collective bargaining agreement or other similar Contract with any labor organization, union, group or association covering employees of Parent;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(A) for the employment or engagement of any employee, consultant or independent contractor providing such Person with target annual compensation or fees in excess of $350,000, (B) providing for the payment of any cash or other compensation or benefits upon the consummation of the Merger, (C) restricting Parent’s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Contract with a Parent Material Customer;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 Parent Material Supplier;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“single-source” supply Contract, pursuant to which material goods or services are supplied to Parent or any of its Subsidiaries from an exclusive source that cannot be replaced by one or more other sources on substantially similar terms and in a reasonably timely manner.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has made available to the Company accurate and complete copies of all Parent Material Contracts, including all material amendments thereto, in each case in effect on the date hereof but excluding any business associate agreements or data processing addenda issued under or pursuant to a Parent Material Contract in the Ordinary Course of Business to the extent accessible to the Company on the website of the counterparty to such business associate agreement or data processing addenda, as applicable, as of the date hereof. There are no Parent Material Contracts that are not in written form. None of Parent, any of its Subsidiaries or, to Parent’s Knowledge, any other party to a Parent Material Contract, has breached, violated or defaulted under, or received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Bankruptcy and Equity Exception. Between the date of the Parent Balance Sheet and the date hereof, no counterparty to a Parent Material Contract has notified Parent in writing (or, to Parent’s Knowledge, otherwise) that it intends to terminate or not renew a Parent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Employee and Labor Matters; Benefits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4.13(a)</w:t>
      </w:r>
      <w:r>
        <w:rPr>
          <w:rFonts w:ascii="Times New Roman;Times;serif" w:hAnsi="Times New Roman;Times;serif"/>
          <w:b w:val="false"/>
          <w:i w:val="false"/>
          <w:caps w:val="false"/>
          <w:smallCaps w:val="false"/>
          <w:color w:val="000000"/>
          <w:spacing w:val="4"/>
          <w:sz w:val="20"/>
        </w:rPr>
        <w:t xml:space="preserve"> of Parent Disclosure Schedule is a list of all Parent Benefit Plans in effect on the date of this Agreement, including each such Parent Benefit Plan that provides for retirement,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control, stay or retention deferred compensation, incentive compensation, severance or retiree medical or life insurance benefits.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applicable with respect to each Parent Benefit Plan, Parent has made available to the Company, true and complete copies of (i) each Parent Benefit Plan, including all amendments thereto, and in the case of an unwritten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(e.g., Form 5500 and all schedules thereto), (v) the most recent IRS determination, opinion or advisory letter from the IRS with respect to each Parent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DOL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Parent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To Parent’s Knowledge, there have been no “prohibited transactions” ​(as that term shall have the meaning specified in Section 406 of ERISA or Section 4975 of the Code) involving any Parent Benefit Plan, any fiduciary thereof or service provider thereto. Since January 1, 2021,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 Parent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Times New Roman;Times;serif" w:hAnsi="Times New Roman;Times;serif"/>
          <w:b w:val="false"/>
          <w:i w:val="false"/>
          <w:caps w:val="false"/>
          <w:smallCaps w:val="false"/>
          <w:color w:val="000000"/>
          <w:spacing w:val="4"/>
          <w:sz w:val="20"/>
          <w:u w:val="single"/>
        </w:rPr>
        <w:t>Section 4.13(h)</w:t>
      </w:r>
      <w:r>
        <w:rPr>
          <w:rFonts w:ascii="Times New Roman;Times;serif" w:hAnsi="Times New Roman;Times;serif"/>
          <w:b w:val="false"/>
          <w:i w:val="false"/>
          <w:caps w:val="false"/>
          <w:smallCaps w:val="false"/>
          <w:color w:val="000000"/>
          <w:spacing w:val="4"/>
          <w:sz w:val="20"/>
        </w:rPr>
        <w:t xml:space="preserve">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otherwise contemplated under this Agreement or as set forth on </w:t>
      </w:r>
      <w:r>
        <w:rPr>
          <w:rFonts w:ascii="Times New Roman;Times;serif" w:hAnsi="Times New Roman;Times;serif"/>
          <w:b w:val="false"/>
          <w:i w:val="false"/>
          <w:caps w:val="false"/>
          <w:smallCaps w:val="false"/>
          <w:color w:val="000000"/>
          <w:spacing w:val="4"/>
          <w:sz w:val="20"/>
          <w:u w:val="single"/>
        </w:rPr>
        <w:t>Section 4.13(j)</w:t>
      </w:r>
      <w:r>
        <w:rPr>
          <w:rFonts w:ascii="Times New Roman;Times;serif" w:hAnsi="Times New Roman;Times;serif"/>
          <w:b w:val="false"/>
          <w:i w:val="false"/>
          <w:caps w:val="false"/>
          <w:smallCaps w:val="false"/>
          <w:color w:val="000000"/>
          <w:spacing w:val="4"/>
          <w:sz w:val="20"/>
        </w:rPr>
        <w:t xml:space="preserve"> of the Parent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Parent or any of its Subsidiaries, (ii) increase any amount of compensation or benefits otherwise payable to any current or former employee, director, officer, independent contractor or other service provider of Parent or any of its Subsidiaries,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No Person has any “gross up” agreements with Parent or any of its Subsidiaries or other assurance of reimbursement by Parent or any of its Subsidiaries for any Taxes imposed under Section 409A or Section 4999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Parent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Except as would not be reasonably likely to result in a liability that is material to Parent and its Subsidiaries, taken as a whole, with respect to each individual since January 1, 2021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There is not and has not been since January 1, 2021, nor, to Parent’s Knowledge, is there or has there been since January 1, 2021, any threat of,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the Patient Protection and Affordable Care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No Parent Benefit Plan is or has been maintained outside the jurisdiction of the United States, or covers or covered any employee permanently residing or working outside the United States.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Since January 1, 2021,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Closing Date. Since January 1, 2021, neither Parent nor its Subsidiaries has implemented any material workplace changes such as layoffs, furloughs, permanent office closures, or reductions in compensation, benefits or hours.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No Legal Proceedings are as of the date hereof open and pending (or between January 1, 2021 and the date hereof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2021 and the date hereof, a written complaint of discrimination, unlawful harassment, retaliation, or other similar wrongdoing or, to Parent’s Knowledge, between January 1, 2021 and the date hereof, an oral complaint. Between January 1, 2021 and the date hereof, neither Parent nor any of its Subsidiaries has received any requests for, or conducted, an internal investigation of any officer, manager, or supervisor of Parent or any of its Subsidiaries with respect to any claims with respect to discrimination, unlawful harassment, retaliation, or other similar wrongdoing. Neither Parent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Parent or any of its Subsidiaries. Parent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No executive officer’s or other key employee’s employment with Parent has been terminated for any reason at any time during the past 12 months. No officer or key employee of Parent has notified Parent of his or her intention to resign or retire at any time within the 12-month period following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Section 4.13(w)</w:t>
      </w:r>
      <w:r>
        <w:rPr>
          <w:rFonts w:ascii="Times New Roman;Times;serif" w:hAnsi="Times New Roman;Times;serif"/>
          <w:b w:val="false"/>
          <w:i w:val="false"/>
          <w:caps w:val="false"/>
          <w:smallCaps w:val="false"/>
          <w:color w:val="000000"/>
          <w:spacing w:val="4"/>
          <w:sz w:val="20"/>
        </w:rPr>
        <w:t xml:space="preserve"> of the Parent Disclosure Schedule lists all persons who are employees of Parent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4" w:name="t4MPA"/>
      <w:bookmarkEnd w:id="224"/>
      <w:r>
        <w:rPr>
          <w:rFonts w:ascii="calibri;arial;sans-serif" w:hAnsi="calibri;arial;sans-serif"/>
          <w:b w:val="false"/>
          <w:i w:val="false"/>
          <w:caps w:val="false"/>
          <w:smallCaps w:val="false"/>
          <w:color w:val="000000"/>
          <w:sz w:val="16"/>
        </w:rPr>
        <w:t>​</w:t>
      </w:r>
      <w:bookmarkStart w:id="225" w:name="t415"/>
      <w:bookmarkEnd w:id="2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Section 4.13(x)</w:t>
      </w:r>
      <w:r>
        <w:rPr>
          <w:rFonts w:ascii="Times New Roman;Times;serif" w:hAnsi="Times New Roman;Times;serif"/>
          <w:b w:val="false"/>
          <w:i w:val="false"/>
          <w:caps w:val="false"/>
          <w:smallCaps w:val="false"/>
          <w:color w:val="000000"/>
          <w:spacing w:val="4"/>
          <w:sz w:val="20"/>
        </w:rPr>
        <w:t xml:space="preserve"> of the Parent Disclosure Schedule sets forth each Person retained by Parent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Parent and each of its Subsidiaries are and have been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not been release of or exposure to any Hazardous Materials at, on or under the Parent Leased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Parent or any of its Subsidiaries does not file a particular Tax Return or pay a particular Tax that Parent or such Subsidiary is subject to taxation by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income Taxes and any other material Taxes due and owing by Parent or any of its Subsidiaries on or before the date hereof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Liens for material Taxes (other than Taxes not yet due and payable) upon any of the assets of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Parent nor any of its Subsidiaries has been a United States real property holding corporation within the meaning of Section 897(c)(2) of the Code during the applicable period specified in Section 897(c)(1)(A)(ii)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6" w:name="t41PR"/>
      <w:bookmarkEnd w:id="2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Parent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Parent nor any of its Subsidiaries has taken or agreed to take any action or knows of any fact that could reasonably be expected to prevent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Parent nor any of its Subsidiaries has availed itself of any Tax relief pursuant to any pandemic response laws (including the CARES Act) that could reasonably be expected to materially impact the Tax payment and/or Tax reporting obligations of Parent and its Affiliates (including the Company and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For purposes of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each reference to Parent or any of its Subsidiaries shall be deemed to include any Person that was liquidated into, merged with, or is otherwise a predecessor to, Parent of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4.16(a)</w:t>
      </w:r>
      <w:r>
        <w:rPr>
          <w:rFonts w:ascii="Times New Roman;Times;serif" w:hAnsi="Times New Roman;Times;serif"/>
          <w:b w:val="false"/>
          <w:i w:val="false"/>
          <w:caps w:val="false"/>
          <w:smallCaps w:val="false"/>
          <w:color w:val="000000"/>
          <w:spacing w:val="4"/>
          <w:sz w:val="20"/>
        </w:rPr>
        <w:t xml:space="preserve"> of the Parent Disclosure Schedule lists all of the following Parent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Times;serif" w:hAnsi="Times New Roman;Times;serif"/>
          <w:b w:val="false"/>
          <w:i/>
          <w:caps w:val="false"/>
          <w:smallCaps w:val="false"/>
          <w:color w:val="000000"/>
          <w:spacing w:val="4"/>
          <w:sz w:val="20"/>
        </w:rPr>
        <w:t>ex parte</w:t>
      </w:r>
      <w:r>
        <w:rPr>
          <w:rFonts w:ascii="Times New Roman;Times;serif" w:hAnsi="Times New Roman;Times;serif"/>
          <w:b w:val="false"/>
          <w:i w:val="false"/>
          <w:caps w:val="false"/>
          <w:smallCaps w:val="false"/>
          <w:color w:val="000000"/>
          <w:spacing w:val="4"/>
          <w:sz w:val="20"/>
        </w:rPr>
        <w:t xml:space="preserve"> initial or continuing examination proceedings in front of a government agency) is pending or threatened in writing, in which the scope, validity, enforceability or ownership of any Parent IP is being contested or challenged and, to Parent’s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Knowledge, no interference, opposition, reissue, reexamination or other proceeding of any nature (other than </w:t>
      </w:r>
      <w:r>
        <w:rPr>
          <w:rFonts w:ascii="Times New Roman;Times;serif" w:hAnsi="Times New Roman;Times;serif"/>
          <w:b w:val="false"/>
          <w:i/>
          <w:caps w:val="false"/>
          <w:smallCaps w:val="false"/>
          <w:color w:val="000000"/>
          <w:spacing w:val="4"/>
          <w:sz w:val="20"/>
        </w:rPr>
        <w:t>ex parte</w:t>
      </w:r>
      <w:r>
        <w:rPr>
          <w:rFonts w:ascii="Times New Roman;Times;serif" w:hAnsi="Times New Roman;Times;serif"/>
          <w:b w:val="false"/>
          <w:i w:val="false"/>
          <w:caps w:val="false"/>
          <w:smallCaps w:val="false"/>
          <w:color w:val="000000"/>
          <w:spacing w:val="4"/>
          <w:sz w:val="20"/>
        </w:rPr>
        <w:t xml:space="preserve"> initial or continuing examination proceedings in front of a government agency) is pending or threatened in writing, in which the scope, validity, enforceability or ownership of any Parent Licensed IP is being or has been contested or challenged. To Parent’s Knowledge, all Parent IP is in effect, valid, subsisting and enforceable and has not been abandoned or dedicated to the public domain or adjudged invalid or unenforceable (other than such Parent IP that is denoted by a Governmental Entity as expired, lapsed or abandoned). With respect to Parent IP, Parent has taken reasonable steps to avoid revocation, cancellation, or unintentional lapse or otherwise materially adversely affecting its enforceability, use, or priority. With respect to Parent IP, to Parent’s Knowledge, all duties of disclosure, candor and good faith have been complied with. With respect to Parent IP, to Parent’s Knowledge, all other material procedural requirements have been complied with, or can be complied with, without materially and adversely affecting such Parent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or its Subsidiaries solely and exclusively owns or has rights to all right, title and interest in and to all material Parent Owned IP, free and clear of all Liens other than Permitted Liens, and, to the Parent’s Knowledge, has the right, pursuant to valid and enforceable agreements to use all other Intellectual Property Rights necessary for, or used in or held for use by, Parent or its Subsidiaries in their businesses as currently conducted (“</w:t>
      </w:r>
      <w:r>
        <w:rPr>
          <w:rFonts w:ascii="Times New Roman;Times;serif" w:hAnsi="Times New Roman;Times;serif"/>
          <w:b/>
          <w:i w:val="false"/>
          <w:caps w:val="false"/>
          <w:smallCaps w:val="false"/>
          <w:color w:val="000000"/>
          <w:spacing w:val="-4"/>
          <w:sz w:val="20"/>
        </w:rPr>
        <w:t>Parent In-Licensed IP</w:t>
      </w:r>
      <w:r>
        <w:rPr>
          <w:rFonts w:ascii="Times New Roman;Times;serif" w:hAnsi="Times New Roman;Times;serif"/>
          <w:b w:val="false"/>
          <w:i w:val="false"/>
          <w:caps w:val="false"/>
          <w:smallCaps w:val="false"/>
          <w:color w:val="000000"/>
          <w:spacing w:val="4"/>
          <w:sz w:val="20"/>
        </w:rPr>
        <w:t xml:space="preserve">”) and, to Parent’s Knowledge, the Parent IP and Parent In-Licensed IP constitutes all the Intellectual Property Rights necessary to research, develop, manufacture, have manufactured, supply, test, clinical trials, distribute, market, promote, license, offer for sale, sell, import, export, commercialize and otherwise exploit the Parent Products as currently planned. Each Person involved in the creation or development of any material Parent Owned IP has signed a valid, enforceable written agreement containing a present assignment of all such Parent Associate’s rights in such material Parent Owned IP to Parent or its Subsidiaries (without further payment being owed to any such Parent Associate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steps to maintain the secrecy and confidentiality of all material Trade Secrets included in the Parent Owned IP. Parent and its Subsidiaries have taken commercially reasonable measures to protect against unauthorized disclosure of any Trade Secret that is material to the business of Parent and its Subsidiaries, taken as a whole, as presently conducted.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funding, facilities or personnel of any Governmental Entity or any university, college, research institute or other educational or academic institution has been used, in whole or in part, to create any material Parent Owned IP, except for any such funding or use of facilities or personnel that does not result in such Governmental Entity or institution obtaining ownership or other rights (including any “march in” rights or a right to direct the location of manufacturing of products) to such Parent Owned IP, the right to receive royalties or other consideration for the practice of such Parent Owned IP or co-ownership rights in any Parent Owned IP or any claim or option or other contingent right to any of the foregoing (other than pursuant to any Parent In-bound License).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4.16(d)</w:t>
      </w:r>
      <w:r>
        <w:rPr>
          <w:rFonts w:ascii="Times New Roman;Times;serif" w:hAnsi="Times New Roman;Times;serif"/>
          <w:b w:val="false"/>
          <w:i w:val="false"/>
          <w:caps w:val="false"/>
          <w:smallCaps w:val="false"/>
          <w:color w:val="000000"/>
          <w:spacing w:val="4"/>
          <w:sz w:val="20"/>
        </w:rPr>
        <w:t xml:space="preserve"> of the Parent Disclosure Schedule sets forth each license agreement pursuant to which Parent or any of its Subsidiaries (i) is granted a license under any material Intellectual Property Right owned by any third party that is used by Parent or any of its Subsidiaries in its business as currently conducted (each a “</w:t>
      </w:r>
      <w:r>
        <w:rPr>
          <w:rFonts w:ascii="Times New Roman;Times;serif" w:hAnsi="Times New Roman;Times;serif"/>
          <w:b/>
          <w:i w:val="false"/>
          <w:caps w:val="false"/>
          <w:smallCaps w:val="false"/>
          <w:color w:val="000000"/>
          <w:spacing w:val="-4"/>
          <w:sz w:val="20"/>
        </w:rPr>
        <w:t>Parent In-bound License</w:t>
      </w:r>
      <w:r>
        <w:rPr>
          <w:rFonts w:ascii="Times New Roman;Times;serif" w:hAnsi="Times New Roman;Times;serif"/>
          <w:b w:val="false"/>
          <w:i w:val="false"/>
          <w:caps w:val="false"/>
          <w:smallCaps w:val="false"/>
          <w:color w:val="000000"/>
          <w:spacing w:val="4"/>
          <w:sz w:val="20"/>
        </w:rPr>
        <w:t>”) or (ii) grants to any third party a license under any material Parent IP or any material Intellectual Property Right licensed to Parent or any of its Subsidiaries under a Parent In-bound License (each a “</w:t>
      </w:r>
      <w:r>
        <w:rPr>
          <w:rFonts w:ascii="Times New Roman;Times;serif" w:hAnsi="Times New Roman;Times;serif"/>
          <w:b/>
          <w:i w:val="false"/>
          <w:caps w:val="false"/>
          <w:smallCaps w:val="false"/>
          <w:color w:val="000000"/>
          <w:spacing w:val="-4"/>
          <w:sz w:val="20"/>
        </w:rPr>
        <w:t>Parent Out-bound License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In-bound Licenses shall not include services agreements or material transfer agreements to the extent any of the foregoing Contracts contains a license to Parent or any of its Subsidiaries (x) for the purpose of performing services pursuant to such Contract, (y) for exploiting rights in deliverables or work product provided pursuant to such Contract or (z) for incidental rights (e.g., rights in trademarks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7" w:name="t4ADS"/>
      <w:bookmarkEnd w:id="2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Parent Out-bound Licenses shall not include services agreements or material transfer agreements to the extent any of the foregoing Contracts contains a license (x) for the performance of services pursuant to such Contract for the benefit of Parent or any of its Subsidiaries, (y) to customers for the exploitation of rights in deliverables or work product of services provided by Parent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Parent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Parent’s Knowledge, since January 1, 2021, the Parent Products and the operation of the businesses of Parent and its Subsidiaries have not (i) infringed any valid and enforceable Intellectual Property Rights of any other Person, that is not licensed to Parent or any of its Subsidiaries under a Parent In-bound License, or (ii) misappropriated any other Intellectual Property Rights owned by any other Person, and, to Parent’s Knowledge, no other Person has infringed or misappropriated any Parent IP. As of the date of this Agreement, no Legal Proceeding is pending (or is threatened in writing) (A) against Parent or any of its Subsidiaries alleging that the operation of the businesses of Parent or any of its Subsidiaries infringes or constitutes the misappropriation of any Intellectual Property Rights of another Person or (B) by Parent or any of its Subsidiaries alleging that another Person has infringed, misappropriated any of the Parent IP. Since January 1, 2021, neither Parent nor any of its Subsidiaries has received any written notice or other written communication alleging that the operation of the businesses of Parent or any of its Subsidiaries infringes or constitutes the misappropriation of any Intellectual Property Rights of another Person nor has Parent or any of its Subsidiaries made any written notice or other written communication alleging a third party is infringing or misappropriating any Parent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non-expired Parent IP or, to Parent’s Knowledge, any non-expired Parent In-Licensed IP is subject to any pending or outstanding injunction, directive, order, judgment or other disposition of dispute that adversely and materially restricts the use, transfer, registration or licensing by Parent or any of its Subsidiaries of any such Parent IP or Parent In-Licensed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non-expired Parent IP.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Privacy and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operation of Parent’s and its Subsidiaries’ business are in compliance in all material respects with Data Protection Regulations, except to the extent that such noncompliance has not and would not have a Parent Material Adverse Effect. Since January 1, 2021, there have been (i) no Security Incidents impacting Personal Data or any confidential information or Trade Secrets used in the business of Parent or its Subsidiaries (collectively, “</w:t>
      </w:r>
      <w:r>
        <w:rPr>
          <w:rFonts w:ascii="Times New Roman;Times;serif" w:hAnsi="Times New Roman;Times;serif"/>
          <w:b/>
          <w:i w:val="false"/>
          <w:caps w:val="false"/>
          <w:smallCaps w:val="false"/>
          <w:color w:val="000000"/>
          <w:spacing w:val="-4"/>
          <w:sz w:val="20"/>
        </w:rPr>
        <w:t>Parent Sensitive Data</w:t>
      </w:r>
      <w:r>
        <w:rPr>
          <w:rFonts w:ascii="Times New Roman;Times;serif" w:hAnsi="Times New Roman;Times;serif"/>
          <w:b w:val="false"/>
          <w:i w:val="false"/>
          <w:caps w:val="false"/>
          <w:smallCaps w:val="false"/>
          <w:color w:val="000000"/>
          <w:spacing w:val="4"/>
          <w:sz w:val="20"/>
        </w:rPr>
        <w:t xml:space="preserve">”), (ii) no violations of any security policy of Parent or its Subsidiaries regarding any such Parent Sensitive Data and (iii) no unintended or improper disclosure of any Parent Sensitive Data in the possession, custody or control of Parent or its Subsidiaries or a contractor or agent acting on behalf of Parent or its Subsidiaries, in each case of (i) through (iii), except as would not have a Parent Material Adverse Effect. Between January 1, 2021 and the date hereof, none of Parent or its Subsidiaries has received any written notice from a vendor or data processor that processes Parent Sensitive Data on behalf of Parent or any of its Subsidiaries with respect to a Security Incident materially impacting Parent Sensitive Data.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its Subsidiaries has complied, and continues to comply, with applicable Data Protection Regulations, including with (i) binding principles relating to processing Personal Data, (ii) requirements to process Personal Data lawfully, (iii) contractual requirements applicable to the engagement of data processors processing Personal Data on behalf of Parent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None of Parent or its Subsidiaries transfers Personal Data outside of a country of origin of the Personal Data unless Parent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the United Kingdom formerly relied upon the EU-US or Swiss-US Privacy Shield framework, Parent or such Subsidiary, as applicable, has ensured that the Personal Data transfers are lawful through an alternative mechanism or derogation in accordance with the GDPR; (iii) where required by applicable Data Protection Regulations, Parent or such Subsidiary, as applicable, has conducted a risk assessment regarding the transfer of Personal Data pursuant to standard contractual clauses or binding corporate rules or other requirements and has concluded that such transfers are adequately protected; and (iv) none of Parent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Each of Parent and its Subsidiaries has implemented and maintained commercially reasonable measures and policies to protect the integrity, continuous operation and security of the IT Systems of Parent and its Subsidiaries and the data stored thereon, including from Harmful Code; (ii) the IT Systems used in the business of Parent and its Subsidiaries operate and perform in all respects as required to permit Parent and its Subsidiaries to conduct their business as currently conducted; and (iii) Parent and its Subsidiaries have implemented commercially reasonable backup and disaster recovery technology and procedures consistent with standard practices applicable to entities similarly situated as Parent and its Subsidiaries for the industry in which Parent and its Subsidiaries operate in each applicable jurisdiction in which they conduct business and have acted in material compliance therewith, except, in each case of clauses (i), (ii) and (iii), as would not have a Parent Material Adverse Effect. Since January 1, 2021, the IT Systems of Parent and its Subsidiaries have not malfunctioned or failed, or been subject to any Security Incident that has caused or, to Parent’s Knowledge, would reasonably be expected to cause (A) material disruption of or interruption in the conduct of the business of Parent and its Subsidiaries as presently conducted; (B) material loss, destruction, damage or harm of Parent and its Subsidiaries or any of the businesses of Parent and its Subsidiaries; or (C) material liability of any kind to Parent and its Subsidiaries or their business as currently conducted, except in each case of clauses (A), (B) and (C), as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Between January 1, 2021 and the date hereof, none of Parent or its Subsidiaries has been notified in writing of, and, to Parent’s Knowledge, there has not been, (i) an actual or threatened Security Incident materially compromising, or threatening to materially compromise, the processing of Personal Data (whether by Parent or any of its Subsidiaries or, to Parent’s Knowledge, any data processor engaged to process Personal Data on behalf of Parent or its Subsidiaries) or (ii) any action or any circumstance requiring Parent or any of its Subsidiaries to notify a Governmental Entity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8" w:name="t4WLP"/>
      <w:bookmarkEnd w:id="2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to comply with applicable notification requirements of Data Protection Regulations as a direct result of a Security Incident or a violation of any Data Protection Regulations.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Between January 1, 2021 and the date hereof, none of Parent or its Subsidiaries has received a written notice or allegation of any actual or alleged or, to Parent’s Knowledge, threatened Security Incident compromising or revealing a material weakness in the security of Personal Data or IT Systems of Parent and its Subsidiaries, or any other material breach of the Data Protection Regulations relating to Personal Data while in its possession or under its control.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Between January 1, 2021 and the date hereof, none of Parent or its Subsidiaries has received a written claim, complaint, allegation or other notice of a dispute or violation (whether directly or indirectly) from or on behalf of an individual regarding Parent’s or any of its Subsidiaries’ Personal Data processing activities.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Between January 1, 2021 and the date hereof, none of Parent or its Subsidiaries has received a written notice from any supervisory authority or Governmental Entity of any investigation, inquiry, request for information or for co-operation regarding its Personal Data processing activities.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Compliance with Laws; Permits;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are, and since January 1, 2021 have been, in compliance in all material respects with all applicable Laws, including Health Care Laws. Since January 1, 2021, neither Parent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Parent’s Knowledge, no such adverse action is pending or threatened against Parent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agreement, judgment, injunction, order or decree binding upon Parent or any of its Subsidiaries which (i) has or would reasonably be expected to have the effect of prohibiting or materially impairing any material business practice of Parent or any of its Subsidiaries, any acquisition of material property by Parent or any of its Subsidiaries or the conduct of any material portion of the business by Parent or any of its Subsidiaries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Parent is not a party to any corporate integrity agreements, monitoring agreements, consent decrees, deferred prosecution agreements, settlement orders, or similar agreements with or imposed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and its Subsidiaries have at all times since January 1, 2021 held and have operated in compliance in all material respects with all Governmental Authorizations that are necessary for the conduct of the business of Parent and its Subsidiaries as currently being conducted (the “</w:t>
      </w:r>
      <w:r>
        <w:rPr>
          <w:rFonts w:ascii="Times New Roman;Times;serif" w:hAnsi="Times New Roman;Times;serif"/>
          <w:b/>
          <w:i w:val="false"/>
          <w:caps w:val="false"/>
          <w:smallCaps w:val="false"/>
          <w:color w:val="000000"/>
          <w:spacing w:val="-4"/>
          <w:sz w:val="20"/>
        </w:rPr>
        <w:t>Parent Permits</w:t>
      </w:r>
      <w:r>
        <w:rPr>
          <w:rFonts w:ascii="Times New Roman;Times;serif" w:hAnsi="Times New Roman;Times;serif"/>
          <w:b w:val="false"/>
          <w:i w:val="false"/>
          <w:caps w:val="false"/>
          <w:smallCaps w:val="false"/>
          <w:color w:val="000000"/>
          <w:spacing w:val="4"/>
          <w:sz w:val="20"/>
        </w:rPr>
        <w:t xml:space="preserve">”). All such Parent Permits are valid and are in full force and effect, and, assuming the notices, filings or other Consents listed on </w:t>
      </w:r>
      <w:r>
        <w:rPr>
          <w:rFonts w:ascii="Times New Roman;Times;serif" w:hAnsi="Times New Roman;Times;serif"/>
          <w:b w:val="false"/>
          <w:i w:val="false"/>
          <w:caps w:val="false"/>
          <w:smallCaps w:val="false"/>
          <w:color w:val="000000"/>
          <w:spacing w:val="4"/>
          <w:sz w:val="20"/>
          <w:u w:val="single"/>
        </w:rPr>
        <w:t>Section 4.18(c)</w:t>
      </w:r>
      <w:r>
        <w:rPr>
          <w:rFonts w:ascii="Times New Roman;Times;serif" w:hAnsi="Times New Roman;Times;serif"/>
          <w:b w:val="false"/>
          <w:i w:val="false"/>
          <w:caps w:val="false"/>
          <w:smallCaps w:val="false"/>
          <w:color w:val="000000"/>
          <w:spacing w:val="4"/>
          <w:sz w:val="20"/>
        </w:rPr>
        <w:t xml:space="preserve"> of the Parent Disclosure Schedule have been made or obtained, will continue to be so upon consummation of the Contemplated Transactions, except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4.18(d)</w:t>
      </w:r>
      <w:r>
        <w:rPr>
          <w:rFonts w:ascii="Times New Roman;Times;serif" w:hAnsi="Times New Roman;Times;serif"/>
          <w:b w:val="false"/>
          <w:i w:val="false"/>
          <w:caps w:val="false"/>
          <w:smallCaps w:val="false"/>
          <w:color w:val="000000"/>
          <w:spacing w:val="4"/>
          <w:sz w:val="20"/>
        </w:rPr>
        <w:t xml:space="preserve"> of the Parent Disclosure Schedule identifies each Parent Permit as of the date hereof that is material to Parent or its Subsidiaries. Parent and its Subsidiaries hold all right, title and interest in and to all Parent Permits free and clear of any Lien. All fees and charges with respect to such Parent Permits, as of the date hereof, have been paid in full and all filing, reporting and maintenance obligations have been completely and timely satisfied, except as would not have a Parent Material Adverse Effect. Parent and each of its Subsidiaries are in material compliance with the terms of the Parent Permits. To Parent’s Knowledge, as of the date hereof, no Legal Proceeding is pending or threatened, which seeks to revoke, limit, suspend, or materially modify any Parent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Parent Products have been or have been requested by a Governmental Entity or other Person to be recalled, withdrawn, removed, suspended, seized, the subject of a corrective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discontinued (whether voluntarily or otherwise). Neither Parent,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Parent Permits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2021, neither Parent nor any of its Subsidiaries has either voluntarily or involuntarily issued, or caused to be issued, any notice or communication related to an alleged lack of safety, efficacy or material noncompliance with any applicable Health Care Laws for any Parent Product. To Parent’s Knowledge, as of the date hereof, there are no facts that would reasonably be expected to result in (x) such a notice or communication or (y) the termination or suspension of marketing of any Parent Product.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hereof, none of Parent, its Subsidiaries, or any of their respective officers, directors, employees, independent contractors or, to Parent’s Knowledge, agents have been or are currently: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subject to mandatory or permissive debarment or suspension pursuant to 21 U.S.C. § 335a;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excluded under 42 U.S.C. § 1320a-7 or any similar law, rule or regulation of any Governmental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excluded, debarred, suspended or deemed ineligible to participate in federal procurement and non-procurement programs, including those produced by the U.S. General Services Administration;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Law or, to Parent’s Knowledge, threatened with prosecution by a Governmental Entity, including the Centers for Medicare and Medicaid Services, the U.S. Department of Health and Human Services, state attorney general, or the U.S. Department of Justice, for any violation of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disqualified or deemed ineligible pursuant to 21 C.F.R. Parts 312, 511, or 812, or otherwise restricted, in whole or in part, or subject to an assurance;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had a pending Legal Proceeding, or otherwise received any written notice from any Governmental Entity or any Person threatening, investigating, or pursuing (i)-(v) above or, to Parent’s Knowledge, committed any violation of any Law, including any Health Care Law, that could reasonably be expected to serve as the basis for any such exclusion, suspension, debarment or other ineligibility.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Parent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Parent Products.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All studies and tests conducted by or on behalf of, or sponsored by, Parent or any of its Subsidiaries, or in which Parent or any of its Subsidiaries or the Parent Products has participated, were and, if still pending, are being conducted in compliance in all material respects with all applicable Health Care Laws. To Parent’s Knowledge, the study reports, protocols, and statistical analysis plans for all such studies and tests accurately, completely, and fairly reflect the results from such studies and tests. As of the date hereof, Parent has not received written notice of any complaints, information, or adverse experience reports related to a Parent Product that would have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9" w:name="t4PHM"/>
      <w:bookmarkEnd w:id="229"/>
      <w:r>
        <w:rPr>
          <w:rFonts w:ascii="calibri;arial;sans-serif" w:hAnsi="calibri;arial;sans-serif"/>
          <w:b w:val="false"/>
          <w:i w:val="false"/>
          <w:caps w:val="false"/>
          <w:smallCaps w:val="false"/>
          <w:color w:val="000000"/>
          <w:sz w:val="16"/>
        </w:rPr>
        <w:t>​</w:t>
      </w:r>
      <w:bookmarkStart w:id="230" w:name="t4ENP"/>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to each Parent Product subject to the FDCA or similar Law in any foreign jurisdiction that is or has been developed, manufactured, tested, packaged, labeled, distributed, imported, exported, or marketed or sold by or on behalf of Parent or any of its Subsidiaries (each such Parent Product, a “</w:t>
      </w:r>
      <w:r>
        <w:rPr>
          <w:rFonts w:ascii="Times New Roman;Times;serif" w:hAnsi="Times New Roman;Times;serif"/>
          <w:b/>
          <w:i w:val="false"/>
          <w:caps w:val="false"/>
          <w:smallCaps w:val="false"/>
          <w:color w:val="000000"/>
          <w:spacing w:val="-4"/>
          <w:sz w:val="20"/>
        </w:rPr>
        <w:t>Parent Medical Device</w:t>
      </w:r>
      <w:r>
        <w:rPr>
          <w:rFonts w:ascii="Times New Roman;Times;serif" w:hAnsi="Times New Roman;Times;serif"/>
          <w:b w:val="false"/>
          <w:i w:val="false"/>
          <w:caps w:val="false"/>
          <w:smallCaps w:val="false"/>
          <w:color w:val="000000"/>
          <w:spacing w:val="4"/>
          <w:sz w:val="20"/>
        </w:rPr>
        <w:t xml:space="preserve">”), each such Parent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Parent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Parent Products or (ii) otherwise alleging any material violation of any Laws applicable to any Parent Medical Device by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or any of its Subsidiaries relating to or arising under any applicable Health Care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Each of Parent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Parent has made available to the Company accurate and complete copies of all material insurance policies and all material self-insurance programs and arrangements relating to the business, assets, liabilities and operations of Parent and each of its Subsidiaries in effect on the date hereof.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2021 and the date hereof,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Real Estate</w:t>
      </w:r>
      <w:r>
        <w:rPr>
          <w:rFonts w:ascii="Times New Roman;Times;serif" w:hAnsi="Times New Roman;Times;serif"/>
          <w:b w:val="false"/>
          <w:i w:val="false"/>
          <w:caps w:val="false"/>
          <w:smallCaps w:val="false"/>
          <w:color w:val="000000"/>
          <w:spacing w:val="4"/>
          <w:sz w:val="20"/>
        </w:rPr>
        <w:t xml:space="preserve">.   Neither Parent nor any of its Subsidiaries owns, or has ever owned, any real property.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of the Parent Disclosure Schedule sets forth a true, correct and complete list as of the date hereof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Times;serif" w:hAnsi="Times New Roman;Times;serif"/>
          <w:b/>
          <w:i w:val="false"/>
          <w:caps w:val="false"/>
          <w:smallCaps w:val="false"/>
          <w:color w:val="000000"/>
          <w:spacing w:val="-4"/>
          <w:sz w:val="20"/>
        </w:rPr>
        <w:t>Parent Leased Real Property</w:t>
      </w:r>
      <w:r>
        <w:rPr>
          <w:rFonts w:ascii="Times New Roman;Times;serif" w:hAnsi="Times New Roman;Times;serif"/>
          <w:b w:val="false"/>
          <w:i w:val="false"/>
          <w:caps w:val="false"/>
          <w:smallCaps w:val="false"/>
          <w:color w:val="000000"/>
          <w:spacing w:val="4"/>
          <w:sz w:val="20"/>
        </w:rPr>
        <w:t>”), and a true, correct and complete list of all of the Parent Leased Real Property under which any such real property is leased, subleased, licensed or otherwise possessed (the “</w:t>
      </w:r>
      <w:r>
        <w:rPr>
          <w:rFonts w:ascii="Times New Roman;Times;serif" w:hAnsi="Times New Roman;Times;serif"/>
          <w:b/>
          <w:i w:val="false"/>
          <w:caps w:val="false"/>
          <w:smallCaps w:val="false"/>
          <w:color w:val="000000"/>
          <w:spacing w:val="-4"/>
          <w:sz w:val="20"/>
        </w:rPr>
        <w:t>Parent Real Estate Leases</w:t>
      </w:r>
      <w:r>
        <w:rPr>
          <w:rFonts w:ascii="Times New Roman;Times;serif" w:hAnsi="Times New Roman;Times;serif"/>
          <w:b w:val="false"/>
          <w:i w:val="false"/>
          <w:caps w:val="false"/>
          <w:smallCaps w:val="false"/>
          <w:color w:val="000000"/>
          <w:spacing w:val="4"/>
          <w:sz w:val="20"/>
        </w:rPr>
        <w:t xml:space="preserve">”),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4SAJ"/>
      <w:bookmarkEnd w:id="231"/>
      <w:r>
        <w:rPr>
          <w:rFonts w:ascii="calibri;arial;sans-serif" w:hAnsi="calibri;arial;sans-serif"/>
          <w:b w:val="false"/>
          <w:i w:val="false"/>
          <w:caps w:val="false"/>
          <w:smallCaps w:val="false"/>
          <w:color w:val="000000"/>
          <w:sz w:val="16"/>
        </w:rPr>
        <w:t>​</w:t>
      </w:r>
      <w:bookmarkStart w:id="232" w:name="t4WAS"/>
      <w:bookmarkEnd w:id="232"/>
      <w:r>
        <w:rPr>
          <w:rFonts w:ascii="calibri;arial;sans-serif" w:hAnsi="calibri;arial;sans-serif"/>
          <w:b w:val="false"/>
          <w:i w:val="false"/>
          <w:caps w:val="false"/>
          <w:smallCaps w:val="false"/>
          <w:color w:val="000000"/>
          <w:sz w:val="16"/>
        </w:rPr>
        <w:t>​</w:t>
      </w:r>
      <w:bookmarkStart w:id="233" w:name="t4AFE"/>
      <w:bookmarkEnd w:id="233"/>
      <w:r>
        <w:rPr>
          <w:rFonts w:ascii="calibri;arial;sans-serif" w:hAnsi="calibri;arial;sans-serif"/>
          <w:b w:val="false"/>
          <w:i w:val="false"/>
          <w:caps w:val="false"/>
          <w:smallCaps w:val="false"/>
          <w:color w:val="000000"/>
          <w:sz w:val="16"/>
        </w:rPr>
        <w:t>​</w:t>
      </w:r>
      <w:bookmarkStart w:id="234" w:name="t4OFA"/>
      <w:bookmarkEnd w:id="234"/>
      <w:r>
        <w:rPr>
          <w:rFonts w:ascii="calibri;arial;sans-serif" w:hAnsi="calibri;arial;sans-serif"/>
          <w:b w:val="false"/>
          <w:i w:val="false"/>
          <w:caps w:val="false"/>
          <w:smallCaps w:val="false"/>
          <w:color w:val="000000"/>
          <w:sz w:val="16"/>
        </w:rPr>
        <w:t>​</w:t>
      </w:r>
      <w:bookmarkStart w:id="235" w:name="t4BP"/>
      <w:bookmarkEnd w:id="2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Registration Statement and Joint Proxy Statement/Prospectus</w:t>
      </w:r>
      <w:r>
        <w:rPr>
          <w:rFonts w:ascii="Times New Roman;Times;serif" w:hAnsi="Times New Roman;Times;serif"/>
          <w:b w:val="false"/>
          <w:i w:val="false"/>
          <w:caps w:val="false"/>
          <w:smallCaps w:val="false"/>
          <w:color w:val="000000"/>
          <w:spacing w:val="4"/>
          <w:sz w:val="20"/>
        </w:rPr>
        <w:t xml:space="preserve">.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Parent’s stockholders and the Company’s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the Company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Transactions with Affiliates</w:t>
      </w:r>
      <w:r>
        <w:rPr>
          <w:rFonts w:ascii="Times New Roman;Times;serif" w:hAnsi="Times New Roman;Times;serif"/>
          <w:b w:val="false"/>
          <w:i w:val="false"/>
          <w:caps w:val="false"/>
          <w:smallCaps w:val="false"/>
          <w:color w:val="000000"/>
          <w:spacing w:val="4"/>
          <w:sz w:val="20"/>
        </w:rPr>
        <w:t xml:space="preserve">.   Since April 28, 2023, no event has occurred that would be required to be reported by Parent pursuant to Item 404 of Regulation S-K as promulgated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Brokers and Finders</w:t>
      </w:r>
      <w:r>
        <w:rPr>
          <w:rFonts w:ascii="Times New Roman;Times;serif" w:hAnsi="Times New Roman;Times;serif"/>
          <w:b w:val="false"/>
          <w:i w:val="false"/>
          <w:caps w:val="false"/>
          <w:smallCaps w:val="false"/>
          <w:color w:val="000000"/>
          <w:spacing w:val="4"/>
          <w:sz w:val="20"/>
        </w:rPr>
        <w:t xml:space="preserve">.   Except for Centerview Partners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As of the date of this Agreement, the Parent Board has received the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any of its Subsidiaries or any of their respective directors, officers, employees or, to Parent’s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6" w:name="t4AOO"/>
      <w:bookmarkEnd w:id="236"/>
      <w:r>
        <w:rPr>
          <w:rFonts w:ascii="calibri;arial;sans-serif" w:hAnsi="calibri;arial;sans-serif"/>
          <w:b w:val="false"/>
          <w:i w:val="false"/>
          <w:caps w:val="false"/>
          <w:smallCaps w:val="false"/>
          <w:color w:val="000000"/>
          <w:sz w:val="16"/>
        </w:rPr>
        <w:t>​</w:t>
      </w:r>
      <w:bookmarkStart w:id="237" w:name="t4OTC"/>
      <w:bookmarkEnd w:id="237"/>
      <w:r>
        <w:rPr>
          <w:rFonts w:ascii="calibri;arial;sans-serif" w:hAnsi="calibri;arial;sans-serif"/>
          <w:b w:val="false"/>
          <w:i w:val="false"/>
          <w:caps w:val="false"/>
          <w:smallCaps w:val="false"/>
          <w:color w:val="000000"/>
          <w:sz w:val="16"/>
        </w:rPr>
        <w:t>​</w:t>
      </w:r>
      <w:bookmarkStart w:id="238" w:name="tARVC"/>
      <w:bookmarkEnd w:id="238"/>
      <w:r>
        <w:rPr>
          <w:rFonts w:ascii="calibri;arial;sans-serif" w:hAnsi="calibri;arial;sans-serif"/>
          <w:b w:val="false"/>
          <w:i w:val="false"/>
          <w:caps w:val="false"/>
          <w:smallCaps w:val="false"/>
          <w:color w:val="000000"/>
          <w:sz w:val="16"/>
        </w:rPr>
        <w:t>​</w:t>
      </w:r>
      <w:bookmarkStart w:id="239" w:name="t51OP"/>
      <w:bookmarkEnd w:id="2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Parent, any of its Subsidiaries or any of their respective principals (as defined at 48 C.F.R. 52.209-5(a)(2)) would be required to certify affirmatively to any element of the certification at 48 C.F.R. 52.209-5.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Parent nor any of its Subsidiaries, nor to Parent’s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Trade Control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Ownership and Operations of Merger Sub</w:t>
      </w:r>
      <w:r>
        <w:rPr>
          <w:rFonts w:ascii="Times New Roman;Times;serif" w:hAnsi="Times New Roman;Times;serif"/>
          <w:b w:val="false"/>
          <w:i w:val="false"/>
          <w:caps w:val="false"/>
          <w:smallCaps w:val="false"/>
          <w:color w:val="000000"/>
          <w:spacing w:val="4"/>
          <w:sz w:val="20"/>
        </w:rPr>
        <w:t xml:space="preserve">.   Parent, directly or indirectly,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Ownership of the Company Common Stock</w:t>
      </w:r>
      <w:r>
        <w:rPr>
          <w:rFonts w:ascii="Times New Roman;Times;serif" w:hAnsi="Times New Roman;Times;serif"/>
          <w:b w:val="false"/>
          <w:i w:val="false"/>
          <w:caps w:val="false"/>
          <w:smallCaps w:val="false"/>
          <w:color w:val="000000"/>
          <w:spacing w:val="4"/>
          <w:sz w:val="20"/>
        </w:rPr>
        <w:t xml:space="preserve">.   Since January 1, 2021,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Interim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Except (i) for matters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of the Company Disclosure Schedule, (ii) as expressly permitted by or required in accordance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rights granted under the Company Stock Plans in accordance with the terms of such award in effect on the date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sell, issue, grant, modify,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Company ESPP Options or Company Warrants or settlement of Company RSUs); (B) any option, warrant or right to acquire any capital stock or any other equity interests or security (other than Company Equity Awards granted to (1) new employees, service providers or board members who were offered a specific number of Company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aggregate number of Company Equity Awards granted during the Pre-Closing Period pursuant to the preceding clauses (1) and (2), whether or not any such Company Equity Awards are exercised, terminated or forfeited during the Pre-Closing Period, may not exceed the number of Company Equity Awards set forth in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Schedule, the strike prices of any such Company Options shall be determined using the fair market valuation methodology set forth in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Schedule and such Company Equity Awards shall only be exercisable for Company Common Stock); or (C) any instrument convertible into or exchangeable for any capital stock or other equity interests or security of the Company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as required by the terms of this Agreement, adopt, amend, terminate or waive or propose to adopt, amend, terminate or waive any of the Company Stock Plans, any provision of any agreement evidencing any o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or implement any stockholder rights plan or similar arrangement;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form any Subsidiary or acquire or propose to acquire any equity interest or other interest in, or business of, any other entity or enter into a joint venture with any other entity;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the Company’s operating budget delivered to Parent concurrently with the execution of this Agreement (the “</w:t>
      </w:r>
      <w:r>
        <w:rPr>
          <w:rFonts w:ascii="Times New Roman;Times;serif" w:hAnsi="Times New Roman;Times;serif"/>
          <w:b/>
          <w:i w:val="false"/>
          <w:caps w:val="false"/>
          <w:smallCaps w:val="false"/>
          <w:color w:val="000000"/>
          <w:spacing w:val="-4"/>
          <w:sz w:val="20"/>
        </w:rPr>
        <w:t>Company Budget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other than as required by applicable Law or the terms of any Company Benefit Plan as in effect on the date of this Agreement: (A) adopt, terminate, establish or enter into any Company Benefit Plan, other than in the Ordinary Course of Business; (B) cause or permit any Company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Times New Roman;Times;serif" w:hAnsi="Times New Roman;Times;serif"/>
          <w:b w:val="false"/>
          <w:i w:val="false"/>
          <w:caps w:val="false"/>
          <w:smallCaps w:val="false"/>
          <w:color w:val="000000"/>
          <w:spacing w:val="4"/>
          <w:sz w:val="20"/>
          <w:u w:val="single"/>
        </w:rPr>
        <w:t>Section 5.1(a)(viii)</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recognize any labor union or labor organization, except as otherwise required by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hire any employee, or terminate any existing employee, who (A) has (or would have, if hired) a total target annual compensation opportunity (base salary, target annual bonus, other target incentive opportunity and target cash long-term incentive opportunity) of $350,000 or more or (B) holds (or would hold, if hired) a vice president-level position, in each case, other than termination for cause (as determined in the Company’s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Times New Roman;Times;serif" w:hAnsi="Times New Roman;Times;serif"/>
          <w:b w:val="false"/>
          <w:i w:val="false"/>
          <w:caps w:val="false"/>
          <w:smallCaps w:val="false"/>
          <w:color w:val="000000"/>
          <w:spacing w:val="4"/>
          <w:sz w:val="20"/>
          <w:u w:val="single"/>
        </w:rPr>
        <w:t>Section 5.1(a)(x)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sell, assign, transfer, license or sublicense Company IP (other than pursuant to non-exclusive licenses granted in the Ordinary Course of Business) or otherwise dispose of any material Company IP (other than the disclosure of Trade Secrets in support of the business of the Company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disclose to any third party (other than pursuant to written confidentiality obligations) or otherwise fail to preserve and maintain, any trade secrets, know-how, methods, processes, protocols, specifications, techniques, data or other confidential information or ideas of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   enter into, materially amend, terminate or expressly release any material rights under any Company Material Contract or purchase order, work order or quality agreement with respect thereto, or enter into any Contract that would be considered a Company Material Contract if in effect on the date hereof (except that the Company may enter into, and amend, Contracts with a Company Material Customer or Company Material Supplier in the Ordinary Course of Business to the extent such Contract is not, or, if such Contract or amendment was in effect on the date hereof, would not be considered, a Company Material Contract pursuant to clauses (i) through (xiii) or clause (xvi) of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or materially amends the milestone, royalty or similar contingent payment terms of, any Contract under which the Company or any of its Subsidiaries has continuing milestone, royalty or similar contingent payment obligations, including upon the achievement of regulatory or commercial milestones or obligation to pay any royalty, dividend or similar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revenues or profits of the Company or any of its Subsidiaries, in each case, excluding indemnification and performance guarantee obligations provided for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other than in the Ordinary Course of Business, make any expenditures, incur any liabilities or discharge or satisfy any liabilities, in each case, for any two-month period in amounts that exceed 110% of the Company Budget for such two-month period;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other than as required by Law or GAAP, take any action to change accounting policies or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or amend any material filings with any Governmental Entity related to any Company Product;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initiate or settle any Legal Proceeding;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fail to maintain in full force and effect the existing insurance policies of the Company or to renew or replace such insurance policies with comparable insurance policies;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dissolve or liquidate the Company or any Subsidiary thereof;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enter into any new line of business outside of the Company’s existing business;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enter into any material transaction other than in the Ordinary Course of Business;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agree, resolve or commit to do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Except (i) for matters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Schedule, (ii) as expressly permitted by or required in accordance this Agreement,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Parent’s operations, customers, licensors, licensees and others with which it has material business dealings, (4) comply in all material respects with all applicable Laws, and (5) maintain in effect all Parent Permits in accordance with their terms and renew any Parent Permit that would otherwise expire pursuant to their terms. In addition, and without limiting the generality of the foregoing, except for matters set forth in the Parent Disclosure Schedule or otherwise expressly permitted or expressly contemplated by this Agreement or required by applicable Law or with the prior written consent of the Company (which shall not be unreasonably withheld, conditioned or delayed), during the Pre-Closing Period, Parent shall not, and shall not permit any of its Subsidiaries to, do any of the following: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Stock Plans in accordance with the terms of such award in effect on the date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sell, issue, grant, modify, reprice, pledge or otherwise dispose of or encumber or authorize: (A) any capital stock or other equity interests or security of Parent,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Merger Sub (except for shares of Parent Common Stock issued upon the valid exercise or conversion of outstanding Parent Options, Parent ESPP Options or Parent Warrants or settlement of Parent RSUs); (B) any option, warrant or right to acquire any capital stock or any other equity interests or security (other than Parent Equity Awards granted to (1) new employees, service providers or board members who were offered a specific number of Parent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aggregate number of Parent Equity Awards granted during the Pre-Closing Period pursuant to the preceding clauses (1) and (2), whether or not any such Parent Equity Awards are exercised, terminated or forfeited during the Pre-Closing Period, may not exceed the number of Parent Equity Awards set forth in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of the Parent Disclosure Schedule, the strike prices of any such Parent Options shall be determined using the fair market valuation methodology set forth in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of the Parent Disclosure Schedule and such Parent Equity Awards shall only be exercisable for Parent Common Stock); or (C) any instrument convertible into or exchangeable for any capital stock or other equity interests or security of Parent, any of its Subsidiaries or Merger Sub;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with respect to the adoption of the Parent 2011 Equity Incentive Plan Amendment by Parent Board and Parent’s stockholders or as required by the terms of this Agreement, adopt, amend, terminate or waive or propose to adopt, amend, terminate or waive any of Parent Stock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or implement any stockholder rights plan or similar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form any Subsidiary or acquire or propose to acquire any equity interest or other interest in, or business of, any other entity or enter into a joint venture with any other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Parent’s operating budget delivered to the Company concurrently with the execution of this Agreement (the “</w:t>
      </w:r>
      <w:r>
        <w:rPr>
          <w:rFonts w:ascii="Times New Roman;Times;serif" w:hAnsi="Times New Roman;Times;serif"/>
          <w:b/>
          <w:i w:val="false"/>
          <w:caps w:val="false"/>
          <w:smallCaps w:val="false"/>
          <w:color w:val="000000"/>
          <w:spacing w:val="-4"/>
          <w:sz w:val="20"/>
        </w:rPr>
        <w:t>Parent Budget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other than as required by applicable Law or the terms of any Parent Benefit Plan as in effect on the date of this Agreement: (A) adopt, terminate, establish or enter into any Parent Benefit Plan, other than in the Ordinary Course of Business; (B) cause or permit any Parent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Times New Roman;Times;serif" w:hAnsi="Times New Roman;Times;serif"/>
          <w:b w:val="false"/>
          <w:i w:val="false"/>
          <w:caps w:val="false"/>
          <w:smallCaps w:val="false"/>
          <w:color w:val="000000"/>
          <w:spacing w:val="4"/>
          <w:sz w:val="20"/>
          <w:u w:val="single"/>
        </w:rPr>
        <w:t>Section 5.1(b)(viii)</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recognize any labor union or labor organization, except as otherwise required by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hire any employee, or terminate any existing employee, who (A) has (or would have, if hired) a total target annual compensation opportunity (base salary, target annual bonus,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target incentive opportunity and target cash long-term incentive opportunity) of $350,000 or more or (B) holds (or would hold, if hired) a vice president-level position, in each case, other than termination for cause (as determined in Parent’s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Times New Roman;Times;serif" w:hAnsi="Times New Roman;Times;serif"/>
          <w:b w:val="false"/>
          <w:i w:val="false"/>
          <w:caps w:val="false"/>
          <w:smallCaps w:val="false"/>
          <w:color w:val="000000"/>
          <w:spacing w:val="4"/>
          <w:sz w:val="20"/>
          <w:u w:val="single"/>
        </w:rPr>
        <w:t>Section 5.1(b)(x)</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sell, assign, transfer, license or sublicense Parent IP (other than pursuant to non-exclusive licenses granted in the Ordinary Course of Business) or otherwise dispose of any material Parent IP (other than the disclosure of Trade Secrets in support of the business of Parent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disclose to any third party (other than pursuant to written confidentiality obligations) or otherwise fail to preserve and maintain, any trade secrets, know-how, methods, processes, protocols, specifications, techniques, data or other confidential information or ideas of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   enter into, materially amend, terminate or expressly release any material rights under any Parent Material Contract or purchase order, work order or quality agreement with respect thereto, or enter into any Contract that would be considered a Parent Material Contract if in effect on the date hereof (except that Parent may enter into, and amend, Contracts with a Parent Material Customer or Parent Material Supplier in the Ordinary Course of Business to the extent such Contract is not, or, if such Contract or amendment was in effect on the date hereof, would not be considered, a Parent Material Contract pursuant to clauses (i) through (xiii) or clause (xvi) of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or materially amends the milestone, royalty or similar contingent payment terms of, any Contract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other than in the Ordinary Course of Business, make any expenditures, incur any liabilities or discharge or satisfy any liabilities, in each case, for any two-month period in amounts that exceed 110% of the Parent Budget for such two-month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0" w:name="t5APC"/>
      <w:bookmarkEnd w:id="2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other than as required by Law or GAAP, take any action to change accounting policies or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or amend any material filings with any Governmental Entity related to any Parent Product;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initiate or settle any Legal Proceeding;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fail to maintain in full force and effect the existing insurance policies of Parent or to renew or replace such insurance policies with comparable insurance policies;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dissolve or liquidate Parent or any Subsidiary thereof;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enter into any new line of business outside Parent’s existing business;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enter into any material transaction other than in the Ordinary Course of Business;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agree, resolve or commit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 of Material Events</w:t>
      </w:r>
      <w:r>
        <w:rPr>
          <w:rFonts w:ascii="Times New Roman;Times;serif" w:hAnsi="Times New Roman;Times;serif"/>
          <w:b w:val="false"/>
          <w:i w:val="false"/>
          <w:caps w:val="false"/>
          <w:smallCaps w:val="false"/>
          <w:color w:val="000000"/>
          <w:spacing w:val="4"/>
          <w:sz w:val="20"/>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shall limit or otherwise affect any of the representations, warranties, covenants, obligations, rights or remedies of the Parties contained in this Agreement or the conditions to the obligations of the Parties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All notices, requests, instructions, communications or other documents to be given in connection with any consultation or approval required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shall be in writing and shall be deemed given as provided for in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and, in each case, shall be addressed to such individuals as the Parties shall designate in writing from time to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Company Acquisition Proposals; Company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During the Pre-Closing Period, except as expressly permitted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Times;serif" w:hAnsi="Times New Roman;Times;serif"/>
          <w:b/>
          <w:i w:val="false"/>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not to, directly or indirectly: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participate in any discussions or negotiations or cooperate in any way with any Person regarding any Company Acquisition Proposal or any inquiry, proposal or offer that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any non-public information or data concerning the Company or any of its Subsidiaries to any Person in connection with, or for the purpose of soliciting, initiating, inducing,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encouraging or facilitating, any Company Acquisition Proposal or any inquiry, proposal or offer that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(other than an Acceptable Company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take any action or exempt any Person (other than Parent and its Subsidiaries) from the restriction on “business combinations” or any similar provision contained in applicable takeover laws or the Company’s organizational or other governing documents;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resolve, publicly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commercially reasonable efforts to enforce the terms of each confidentiality agreement, and its rights under the provisions of any “standstill” agreement, with any such Person (other than Parent). The Company shall not grant any waiver of, or agree to any amendment or modification to, or release any such Person from, any such agreement, to permit such Person to submit a Company Acquisition Proposal, unless in any such case the Company Board shall have determined, in good faith, after consultation with outside legal counsel, that the failure to take such actions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Fiduciary Exception to No Solicitation Provision</w:t>
      </w:r>
      <w:r>
        <w:rPr>
          <w:rFonts w:ascii="Times New Roman;Times;serif" w:hAnsi="Times New Roman;Times;serif"/>
          <w:b w:val="false"/>
          <w:i w:val="false"/>
          <w:caps w:val="false"/>
          <w:smallCaps w:val="false"/>
          <w:color w:val="000000"/>
          <w:spacing w:val="4"/>
          <w:sz w:val="20"/>
        </w:rPr>
        <w:t xml:space="preserve">.   Notwithstanding anything to the contrary in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prior to the time, but not after, the Company Stockholder Approval is obtained, the Company may,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Acquisition Proposal (which Company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so long as it has provided written notice to Parent of the identity of such Person or group making the Company Acquisition Proposal, the material terms and conditions of such Company Acquisition Proposal (including, if applicable, copies of any material written communications) and its intention to engage or participate in any discussions or negotiations with any such Person or group, (i) provide access to non-public information regarding the Company or any of its Subsidiaries to the Person or group making the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information has previously been made available to Parent or is provided to Parent substantially concurrently with the making of such information available to such Person or group and that, prior to furnishing any such non-public information, the Company receives from the Person or group making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such Company Acquisition Proposal an executed confidentiality agreement with terms at least as restrictive in all material respects (including with respect to confidentiality and restrictions on use) on such Person(s) as the Confidentiality Agreement’s terms are on with Parent (an “</w:t>
      </w:r>
      <w:r>
        <w:rPr>
          <w:rFonts w:ascii="Times New Roman;Times;serif" w:hAnsi="Times New Roman;Times;serif"/>
          <w:b/>
          <w:i w:val="false"/>
          <w:caps w:val="false"/>
          <w:smallCaps w:val="false"/>
          <w:color w:val="000000"/>
          <w:spacing w:val="-4"/>
          <w:sz w:val="20"/>
        </w:rPr>
        <w:t>Acceptable Company Confidentiality Agreement</w:t>
      </w:r>
      <w:r>
        <w:rPr>
          <w:rFonts w:ascii="Times New Roman;Times;serif" w:hAnsi="Times New Roman;Times;serif"/>
          <w:b w:val="false"/>
          <w:i w:val="false"/>
          <w:caps w:val="false"/>
          <w:smallCaps w:val="false"/>
          <w:color w:val="000000"/>
          <w:spacing w:val="4"/>
          <w:sz w:val="20"/>
        </w:rPr>
        <w:t xml:space="preserve">”)) (it being understood that such confidentiality agreement need not include a “standstill” agreement or prohibit the making or amending of a Company Acquisition Proposal), and (ii) engage or participate in any discussions or negotiations with any such Person or group regarding such Company Acquisition Proposal if, and only if, prior to taking any action described in clause (i) or (ii) above, the Company Board determines in good faith after consultation with outside financial advisors and outside legal counsel that (x) such Company Acquisition Proposal either constitutes a Company Superior Proposal or would reasonably be expected to result in a Company Superior Proposal and (y) the failure to take such action would be inconsistent with the fiduciary duties of the Company Board to the holders of Shares under applicable Law. The Company shall provide Parent with an accurate and complete copy of the Acceptable Company Confidentiality Agreement entered into as contemplated by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promptly (and in any event within 24 hours) after the execution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or otherwise prohibits the Company from complying with its obligations under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or otherwise prohibit the Company from complying with its obligations under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Acquisition Proposal</w:t>
      </w:r>
      <w:r>
        <w:rPr>
          <w:rFonts w:ascii="Times New Roman;Times;serif" w:hAnsi="Times New Roman;Times;serif"/>
          <w:b w:val="false"/>
          <w:i w:val="false"/>
          <w:caps w:val="false"/>
          <w:smallCaps w:val="false"/>
          <w:color w:val="000000"/>
          <w:spacing w:val="4"/>
          <w:sz w:val="20"/>
        </w:rPr>
        <w:t xml:space="preserve">” means any transaction or series of related transactions (other than the Contemplated Transactions) involving: (i) any acquisition or purchase from the Company by any Person or “group” ​(as defined in or under Section 13(d) of the Exchange Act), directly or indirectly, of more than a 15% interest in the total outstanding securities (or instruments convertible into or exercisable or exchangeable for 15% or more of such securities) of the Company, including pursuant to a stock purchase, merger, consolidation, tender offer, share exchange or other transaction involving the Company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Company; (iii) any merger, consolidation, business combination, share exchange, issuance of securities, acquisition of securities, reorganization,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recapitalization or other similar transaction involving the Company, pursuant to which the stockholders of the Company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the Company and its Subsidiaries (taken as a whole) (measured by the fair market value thereof); or (v) any combination of the foregoing.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Intervening Event</w:t>
      </w:r>
      <w:r>
        <w:rPr>
          <w:rFonts w:ascii="Times New Roman;Times;serif" w:hAnsi="Times New Roman;Times;serif"/>
          <w:b w:val="false"/>
          <w:i w:val="false"/>
          <w:caps w:val="false"/>
          <w:smallCaps w:val="false"/>
          <w:color w:val="000000"/>
          <w:spacing w:val="4"/>
          <w:sz w:val="20"/>
        </w:rPr>
        <w:t xml:space="preserve">”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or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Superior Proposal</w:t>
      </w:r>
      <w:r>
        <w:rPr>
          <w:rFonts w:ascii="Times New Roman;Times;serif" w:hAnsi="Times New Roman;Times;serif"/>
          <w:b w:val="false"/>
          <w:i w:val="false"/>
          <w:caps w:val="false"/>
          <w:smallCaps w:val="false"/>
          <w:color w:val="000000"/>
          <w:spacing w:val="4"/>
          <w:sz w:val="20"/>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w:t>
      </w:r>
      <w:r>
        <w:rPr>
          <w:rFonts w:ascii="Times New Roman;Times;serif" w:hAnsi="Times New Roman;Times;serif"/>
          <w:b w:val="false"/>
          <w:i w:val="false"/>
          <w:caps w:val="false"/>
          <w:smallCaps w:val="false"/>
          <w:color w:val="000000"/>
          <w:spacing w:val="4"/>
          <w:sz w:val="20"/>
          <w:u w:val="single"/>
        </w:rPr>
        <w:t>Section 5.2(f)</w:t>
      </w:r>
      <w:r>
        <w:rPr>
          <w:rFonts w:ascii="Times New Roman;Times;serif" w:hAnsi="Times New Roman;Times;serif"/>
          <w:b w:val="false"/>
          <w:i w:val="false"/>
          <w:caps w:val="false"/>
          <w:smallCaps w:val="false"/>
          <w:color w:val="000000"/>
          <w:spacing w:val="4"/>
          <w:sz w:val="20"/>
        </w:rPr>
        <w:t xml:space="preserve"> of this Agreement and the time likely to be required to consummate such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definition of “Company Superior Proposal”, the references to “15%” in the definition of Company Acquisition Proposal shall be deemed to be references to “50%”.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Company Change in Recommendation or Company Alternative Acquisition Agreement</w:t>
      </w:r>
      <w:r>
        <w:rPr>
          <w:rFonts w:ascii="Times New Roman;Times;serif" w:hAnsi="Times New Roman;Times;serif"/>
          <w:b w:val="false"/>
          <w:i w:val="false"/>
          <w:caps w:val="false"/>
          <w:smallCaps w:val="false"/>
          <w:color w:val="000000"/>
          <w:spacing w:val="4"/>
          <w:sz w:val="20"/>
        </w:rPr>
        <w:t xml:space="preserve">.   Except as provided in </w:t>
      </w:r>
      <w:r>
        <w:rPr>
          <w:rFonts w:ascii="Times New Roman;Times;serif" w:hAnsi="Times New Roman;Times;serif"/>
          <w:b w:val="false"/>
          <w:i w:val="false"/>
          <w:caps w:val="false"/>
          <w:smallCaps w:val="false"/>
          <w:color w:val="000000"/>
          <w:spacing w:val="4"/>
          <w:sz w:val="20"/>
          <w:u w:val="single"/>
        </w:rPr>
        <w:t>Section 5.2(f)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5.2(g)</w:t>
      </w:r>
      <w:r>
        <w:rPr>
          <w:rFonts w:ascii="Times New Roman;Times;serif" w:hAnsi="Times New Roman;Times;serif"/>
          <w:b w:val="false"/>
          <w:i w:val="false"/>
          <w:caps w:val="false"/>
          <w:smallCaps w:val="false"/>
          <w:color w:val="000000"/>
          <w:spacing w:val="4"/>
          <w:sz w:val="20"/>
        </w:rPr>
        <w:t xml:space="preserve">, the Company Board and each committee of the Company Board shall not (i)(A) withhold, withdraw, qualify or modify (or publicly propose or resolve to withhold, withdraw, qualify or modify), in a manner adverse to Parent,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 Board Recommendation, (B) approve, recommend or otherwise declare advisable (or publicly propose or resolve to approve, recommend or otherwise declare advisable) any Company Acquisition Proposal, (C) remove the Company Board Recommendation from or fail to include the Company Board Recommendation in the Joint Proxy Statement/Prospectus (any such action referred to in this clause (i), a “</w:t>
      </w:r>
      <w:r>
        <w:rPr>
          <w:rFonts w:ascii="Times New Roman;Times;serif" w:hAnsi="Times New Roman;Times;serif"/>
          <w:b/>
          <w:i w:val="false"/>
          <w:caps w:val="false"/>
          <w:smallCaps w:val="false"/>
          <w:color w:val="000000"/>
          <w:spacing w:val="-4"/>
          <w:sz w:val="20"/>
        </w:rPr>
        <w:t>Company Change in Recommendation</w:t>
      </w:r>
      <w:r>
        <w:rPr>
          <w:rFonts w:ascii="Times New Roman;Times;serif" w:hAnsi="Times New Roman;Times;serif"/>
          <w:b w:val="false"/>
          <w:i w:val="false"/>
          <w:caps w:val="false"/>
          <w:smallCaps w:val="false"/>
          <w:color w:val="000000"/>
          <w:spacing w:val="4"/>
          <w:sz w:val="20"/>
        </w:rPr>
        <w:t xml:space="preserve">”)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Company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i w:val="false"/>
          <w:caps w:val="false"/>
          <w:smallCaps w:val="false"/>
          <w:color w:val="000000"/>
          <w:spacing w:val="-4"/>
          <w:sz w:val="20"/>
        </w:rPr>
        <w:t>Company Alternative Acquisition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Change in Recommendation Due to Superior Proposal</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5.2(e)</w:t>
      </w:r>
      <w:r>
        <w:rPr>
          <w:rFonts w:ascii="Times New Roman;Times;serif" w:hAnsi="Times New Roman;Times;serif"/>
          <w:b w:val="false"/>
          <w:i w:val="false"/>
          <w:caps w:val="false"/>
          <w:smallCaps w:val="false"/>
          <w:color w:val="000000"/>
          <w:spacing w:val="4"/>
          <w:sz w:val="20"/>
        </w:rPr>
        <w:t xml:space="preserve">, following receipt 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Acquisition Proposal by the Company after the date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and/or cause the Company to terminate this Agreement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to enter into a Company Specified Agreement with respect to such Company Superior Proposal, if all of the following conditions are met: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or terminate this Agreement to enter into a Company Specified Agreement with respect to such Company Superior Proposal, (B) prior to making such a Company Change in Recommendation or terminating this Agreement to enter into a Company Specified Agreement with respect to such Company Superior Proposal,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or terminate this Agreement to enter into a Company Specified Agreement with respect to such Company Superior Proposal, the Company Board shall take into account any changes to the terms of this Agreement, and any other proposals, proposed in writing by Parent and (C) in the event of a termination of this Agreement to enter into a Company Specified Agreement with respect to such Company Superior Proposal, the Company shall have validly terminated this Agreement in accordance with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including paying the Company Termination Fee;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1" w:name="t5APP"/>
      <w:bookmarkEnd w:id="2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or terminate this Agreement to enter into a Company Specified Agreement with respect to such Company Superior Proposal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Change in Recommendation Due to Company Intervening Event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Notwithstanding anything to the contrary set forth in </w:t>
      </w:r>
      <w:r>
        <w:rPr>
          <w:rFonts w:ascii="Times New Roman;Times;serif" w:hAnsi="Times New Roman;Times;serif"/>
          <w:b w:val="false"/>
          <w:i w:val="false"/>
          <w:caps w:val="false"/>
          <w:smallCaps w:val="false"/>
          <w:color w:val="000000"/>
          <w:spacing w:val="4"/>
          <w:sz w:val="20"/>
          <w:u w:val="single"/>
        </w:rPr>
        <w:t>Section 5.2(e)</w:t>
      </w:r>
      <w:r>
        <w:rPr>
          <w:rFonts w:ascii="Times New Roman;Times;serif" w:hAnsi="Times New Roman;Times;serif"/>
          <w:b w:val="false"/>
          <w:i w:val="false"/>
          <w:caps w:val="false"/>
          <w:smallCaps w:val="false"/>
          <w:color w:val="000000"/>
          <w:spacing w:val="4"/>
          <w:sz w:val="20"/>
        </w:rPr>
        <w:t xml:space="preserve">, upon the occurrence of any Company Intervening Event, the Company Board may, at any time prior to the time the Company Stockholder Approval is obtained, make a Company Change in Recommendation, if all of the following conditions are met: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Shares under applicable Law;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Certain Permitted Disclosure</w:t>
      </w:r>
      <w:r>
        <w:rPr>
          <w:rFonts w:ascii="Times New Roman;Times;serif" w:hAnsi="Times New Roman;Times;serif"/>
          <w:b w:val="false"/>
          <w:i w:val="false"/>
          <w:caps w:val="false"/>
          <w:smallCaps w:val="false"/>
          <w:color w:val="000000"/>
          <w:spacing w:val="4"/>
          <w:sz w:val="20"/>
        </w:rPr>
        <w:t xml:space="preserve">.   Nothing contained in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shall be deemed to prohibit the Company from complying with its disclosure obligations under applicable U.S. federal or state Law (as determined in good faith by the Company Board after consultation with the Company’s outside counsel) with regard to a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“stop look and listen” communication to its stockholders of the nature contemplated by Rule 14d-9 under the Exchange Act shall include an affirmative statement to the effect that the recommendation of the Company Board is affirmed or remains unchanged;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shall not be deemed to permit the Company or the Company Board to effect a Company Change in Recommendation except in accordance with </w:t>
      </w:r>
      <w:r>
        <w:rPr>
          <w:rFonts w:ascii="Times New Roman;Times;serif" w:hAnsi="Times New Roman;Times;serif"/>
          <w:b w:val="false"/>
          <w:i w:val="false"/>
          <w:caps w:val="false"/>
          <w:smallCaps w:val="false"/>
          <w:color w:val="000000"/>
          <w:spacing w:val="4"/>
          <w:sz w:val="20"/>
          <w:u w:val="single"/>
        </w:rPr>
        <w:t>Sections 5.2(f)</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5.2(g)</w:t>
      </w:r>
      <w:r>
        <w:rPr>
          <w:rFonts w:ascii="Times New Roman;Times;serif" w:hAnsi="Times New Roman;Times;serif"/>
          <w:b w:val="false"/>
          <w:i w:val="false"/>
          <w:caps w:val="false"/>
          <w:smallCaps w:val="false"/>
          <w:color w:val="000000"/>
          <w:spacing w:val="4"/>
          <w:sz w:val="20"/>
        </w:rPr>
        <w:t xml:space="preserve">. The Company shall not submit to the vote of its stockholders any Company Acquisition Proposal or Company Superior Proposal prior to the valid termination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agrees that in the event that the Company or any Representative of the Company takes any action which, if taken by the Company, would constitute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shall be deemed to be in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Parent Acquisition Proposals; Parent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During the Pre-Closing Period, except as expressly permitted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shall not, and Parent shall cause its and its Subsidiaries’ directors, officers and employees not to, and shall cause its and their respective Representatives not to,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participate in any discussions or negotiations or cooperate in any way with any Person regarding any Parent Acquisition Proposal or any inquiry, proposal or offer that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Company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take any action or exempt any Person (other than the Company and its Subsidiaries) from the restriction on “business combinations” or any similar provision contained in applicable takeover laws or Parent’s organizational or other governing documents;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resolve, publicly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commercially reasonable efforts to enforce the terms of each confidentiality agreement, and its rights under the provisions of any “standstill” agreement, with any such Person (other than the Company).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Fiduciary Exception to No Solicitation Provision</w:t>
      </w:r>
      <w:r>
        <w:rPr>
          <w:rFonts w:ascii="Times New Roman;Times;serif" w:hAnsi="Times New Roman;Times;serif"/>
          <w:b w:val="false"/>
          <w:i w:val="false"/>
          <w:caps w:val="false"/>
          <w:smallCaps w:val="false"/>
          <w:color w:val="000000"/>
          <w:spacing w:val="4"/>
          <w:sz w:val="20"/>
        </w:rPr>
        <w:t xml:space="preserve">.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prior to the time, but not after, the Parent Stockholder Approval is obtained, Parent may,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Parent Acquisition Proposal (which Parent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so long as it has provided written notice to the Company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Times;serif" w:hAnsi="Times New Roman;Times;serif"/>
          <w:b/>
          <w:i w:val="false"/>
          <w:caps w:val="false"/>
          <w:smallCaps w:val="false"/>
          <w:color w:val="000000"/>
          <w:spacing w:val="-4"/>
          <w:sz w:val="20"/>
        </w:rPr>
        <w:t>Acceptable Parent Confidentiality Agreement</w:t>
      </w:r>
      <w:r>
        <w:rPr>
          <w:rFonts w:ascii="Times New Roman;Times;serif" w:hAnsi="Times New Roman;Times;serif"/>
          <w:b w:val="false"/>
          <w:i w:val="false"/>
          <w:caps w:val="false"/>
          <w:smallCaps w:val="false"/>
          <w:color w:val="000000"/>
          <w:spacing w:val="4"/>
          <w:sz w:val="20"/>
        </w:rPr>
        <w:t xml:space="preserve">”)) (it being understood that such confidentiality agreement need not include a “standstill” agreement or prohibit the making or amending of a Parent Acquisition Proposal), and (ii) engage or participate in any discussions or negotiations with any such Person or group regarding such Parent Acquisition Proposal if, and only if, prior to taking any action described in clause (i) or (ii) above, the Parent Board determines in good faith after consultation with outside financial advisors and outside legal counsel that (x) such Parent Acquisition Proposal either constitutes a Parent Superior Proposal or would reasonably be expected to result in a Parent Superior Proposal and (y) the failure to take such action would be inconsistent with the fiduciary duties of the Parent Board to the holders of Parent capital stock under applicable Law. Parent shall provide the Company with an accurate and complete copy of the Acceptable Parent Confidentiality Agreement entered into as contemplated by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promptly (and in any event within 24 hours) after the execution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an Parent Acquisition Proposal are received by Parent or any of its Representatives, (ii) any Person requests non-public information from Parent or any of its Representatives in connection with any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or otherwise prohibits Parent from complying with its obligations under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or otherwise prohibit Parent from complying with its obligations under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Acquisition Proposal</w:t>
      </w:r>
      <w:r>
        <w:rPr>
          <w:rFonts w:ascii="Times New Roman;Times;serif" w:hAnsi="Times New Roman;Times;serif"/>
          <w:b w:val="false"/>
          <w:i w:val="false"/>
          <w:caps w:val="false"/>
          <w:smallCaps w:val="false"/>
          <w:color w:val="000000"/>
          <w:spacing w:val="4"/>
          <w:sz w:val="20"/>
        </w:rPr>
        <w:t xml:space="preserve">”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Parent and its Subsidiaries (taken as a whole) (measured by the fair market value thereof); or (v) any combination of the foregoing.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Intervening Event</w:t>
      </w:r>
      <w:r>
        <w:rPr>
          <w:rFonts w:ascii="Times New Roman;Times;serif" w:hAnsi="Times New Roman;Times;serif"/>
          <w:b w:val="false"/>
          <w:i w:val="false"/>
          <w:caps w:val="false"/>
          <w:smallCaps w:val="false"/>
          <w:color w:val="000000"/>
          <w:spacing w:val="4"/>
          <w:sz w:val="20"/>
        </w:rPr>
        <w:t xml:space="preserve">”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or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Superior Proposal</w:t>
      </w:r>
      <w:r>
        <w:rPr>
          <w:rFonts w:ascii="Times New Roman;Times;serif" w:hAnsi="Times New Roman;Times;serif"/>
          <w:b w:val="false"/>
          <w:i w:val="false"/>
          <w:caps w:val="false"/>
          <w:smallCaps w:val="false"/>
          <w:color w:val="000000"/>
          <w:spacing w:val="4"/>
          <w:sz w:val="20"/>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of this Agreement and the time likely to be required to consummate such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definition of “Parent Superior Proposal”, the references to “15%” in the definition of Parent Acquisition Proposal shall be deemed to be references to “50%”.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Parent Change in Recommendation or Parent Alternative Acquisition Agreement</w:t>
      </w:r>
      <w:r>
        <w:rPr>
          <w:rFonts w:ascii="Times New Roman;Times;serif" w:hAnsi="Times New Roman;Times;serif"/>
          <w:b w:val="false"/>
          <w:i w:val="false"/>
          <w:caps w:val="false"/>
          <w:smallCaps w:val="false"/>
          <w:color w:val="000000"/>
          <w:spacing w:val="4"/>
          <w:sz w:val="20"/>
        </w:rPr>
        <w:t xml:space="preserve">.   Except as provided in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5.3(g)</w:t>
      </w:r>
      <w:r>
        <w:rPr>
          <w:rFonts w:ascii="Times New Roman;Times;serif" w:hAnsi="Times New Roman;Times;serif"/>
          <w:b w:val="false"/>
          <w:i w:val="false"/>
          <w:caps w:val="false"/>
          <w:smallCaps w:val="false"/>
          <w:color w:val="000000"/>
          <w:spacing w:val="4"/>
          <w:sz w:val="20"/>
        </w:rPr>
        <w:t>, the Parent Board and each committee of the Parent Board shall not (i)(A) withhold, withdraw, qualify or modify (or publicly propose or resolve to withhold, withdraw, qualify or modify), in a manner adverse to the Company, the Parent Board Recommendation, (B) approve, recommend or otherwise declare advisable (or publicly propose or resolve to approve, recommend or otherwise declare advisable) any Parent Acquisition Proposal, (C) remove the Parent Board Recommendation from or fail to include the Parent Board Recommendation in the Joint Proxy Statement/Prospectus (any such action referred to in this clause (i), a “</w:t>
      </w:r>
      <w:r>
        <w:rPr>
          <w:rFonts w:ascii="Times New Roman;Times;serif" w:hAnsi="Times New Roman;Times;serif"/>
          <w:b/>
          <w:i w:val="false"/>
          <w:caps w:val="false"/>
          <w:smallCaps w:val="false"/>
          <w:color w:val="000000"/>
          <w:spacing w:val="-4"/>
          <w:sz w:val="20"/>
        </w:rPr>
        <w:t>Parent Change in Recommendation</w:t>
      </w:r>
      <w:r>
        <w:rPr>
          <w:rFonts w:ascii="Times New Roman;Times;serif" w:hAnsi="Times New Roman;Times;serif"/>
          <w:b w:val="false"/>
          <w:i w:val="false"/>
          <w:caps w:val="false"/>
          <w:smallCaps w:val="false"/>
          <w:color w:val="000000"/>
          <w:spacing w:val="4"/>
          <w:sz w:val="20"/>
        </w:rPr>
        <w:t xml:space="preserve">”) or (ii) approve, recommend or declare advisable, or propose to approve, recommend or declare advisable, or cause or permit Parent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i w:val="false"/>
          <w:caps w:val="false"/>
          <w:smallCaps w:val="false"/>
          <w:color w:val="000000"/>
          <w:spacing w:val="-4"/>
          <w:sz w:val="20"/>
        </w:rPr>
        <w:t>Parent Alternative Acquisition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Parent Change in Recommendation Due to Superior Proposal</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5.3(e)</w:t>
      </w:r>
      <w:r>
        <w:rPr>
          <w:rFonts w:ascii="Times New Roman;Times;serif" w:hAnsi="Times New Roman;Times;serif"/>
          <w:b w:val="false"/>
          <w:i w:val="false"/>
          <w:caps w:val="false"/>
          <w:smallCaps w:val="false"/>
          <w:color w:val="000000"/>
          <w:spacing w:val="4"/>
          <w:sz w:val="20"/>
        </w:rPr>
        <w:t xml:space="preserve">, following receipt 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Parent Acquisition Proposal by Parent after the date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and/or cause Parent to terminate this Agreement pursuant to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to enter into a Parent Specified Agreement with respect to such Parent Superior Proposal, if all of the following conditions are met: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Parent shall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or terminate this Agreement to enter into a Parent Specified Agreement with respect to such Parent Superior Proposal, (B) prior to making such a Parent Change in Recommendation or terminating this Agreement to enter into a Parent Specified Agreement with respect to such Parent Superior Proposal,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or terminate this Agreement to enter into a Parent Specified Agreement with respect to such Parent Superior Proposal, the Parent Board shall take into account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changes to the terms of this Agreement, and any other proposals, proposed in writing by the Company and (C) in the event of a termination of this Agreement in order to cause Parent to enter into a Parent Specified Agreement with respect to such Parent Superior Proposal, Parent shall have validly terminated this Agreement in accordance with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including paying the Parent Termination Fee;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or terminate this Agreement to enter into a Parent Specified Agreement with respect to such Parent Superior Proposal would be inconsistent with the fiduciary duties of the Parent Board to the holders of Parent capital stock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Parent Change in Recommendation Due to Parent Intervening Event</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5.3(e)</w:t>
      </w:r>
      <w:r>
        <w:rPr>
          <w:rFonts w:ascii="Times New Roman;Times;serif" w:hAnsi="Times New Roman;Times;serif"/>
          <w:b w:val="false"/>
          <w:i w:val="false"/>
          <w:caps w:val="false"/>
          <w:smallCaps w:val="false"/>
          <w:color w:val="000000"/>
          <w:spacing w:val="4"/>
          <w:sz w:val="20"/>
        </w:rPr>
        <w:t xml:space="preserve">, upon the occurrence of any Parent Intervening Event, the Parent Board may, at any time prior to the time the Parent Stockholder Approval is obtained, make a Parent Change in Recommendation, if all of the following conditions are met: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Certain Permitted Disclosure</w:t>
      </w:r>
      <w:r>
        <w:rPr>
          <w:rFonts w:ascii="Times New Roman;Times;serif" w:hAnsi="Times New Roman;Times;serif"/>
          <w:b w:val="false"/>
          <w:i w:val="false"/>
          <w:caps w:val="false"/>
          <w:smallCaps w:val="false"/>
          <w:color w:val="000000"/>
          <w:spacing w:val="4"/>
          <w:sz w:val="20"/>
        </w:rPr>
        <w:t xml:space="preserve">.   Nothing contained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shall be deemed to prohibit Parent from complying with its disclosure obligations under applicable U.S. federal or state Law (as determined in good faith by the Parent Board after consultation with Parent’s outside counsel) with regard to a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shall not be deemed to permit the Parent Board or the Company Board to effect a Company Change in Recommendation except in accordance with </w:t>
      </w:r>
      <w:r>
        <w:rPr>
          <w:rFonts w:ascii="Times New Roman;Times;serif" w:hAnsi="Times New Roman;Times;serif"/>
          <w:b w:val="false"/>
          <w:i w:val="false"/>
          <w:caps w:val="false"/>
          <w:smallCaps w:val="false"/>
          <w:color w:val="000000"/>
          <w:spacing w:val="4"/>
          <w:sz w:val="20"/>
          <w:u w:val="single"/>
        </w:rPr>
        <w:t>Sections 5.3(f)</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5.3(g)</w:t>
      </w:r>
      <w:r>
        <w:rPr>
          <w:rFonts w:ascii="Times New Roman;Times;serif" w:hAnsi="Times New Roman;Times;serif"/>
          <w:b w:val="false"/>
          <w:i w:val="false"/>
          <w:caps w:val="false"/>
          <w:smallCaps w:val="false"/>
          <w:color w:val="000000"/>
          <w:spacing w:val="4"/>
          <w:sz w:val="20"/>
        </w:rPr>
        <w:t xml:space="preserve">. Parent shall not submit to the vote of its stockholders any Parent Acquisition Proposal or Parent Superior Proposal prior to the valid termination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Parent agrees that in the event that Parent or any Representative of Parent takes any action which, if taken by Parent, would constitute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shall be deemed to be in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2" w:name="t5PSI"/>
      <w:bookmarkEnd w:id="2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Joint Proxy Statement/Prospectus; Information Supplied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Parent shall jointly prepare and cause to be filed with the SEC a joint proxy statement (as amended or supplemented from time to time, the “</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val="false"/>
          <w:i w:val="false"/>
          <w:caps w:val="false"/>
          <w:smallCaps w:val="false"/>
          <w:color w:val="000000"/>
          <w:spacing w:val="4"/>
          <w:sz w:val="20"/>
        </w:rPr>
        <w:t>”) with respect to the Company Stockholders Meeting and the Parent Stockholders Meeting. As promptly as practicable (and in any event within 25 Business Days) following the date of this Agreement, Parent shall prepare (with the Company’s reasonable cooperation) and file with the SEC a registration statement on Form S-4 (as amended or supplemented from time to time,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in which the Joint Proxy Statement/Prospectus will be included as a prospectus, in connection with the registration under the Securities Act of the shares of Parent Common Stock to be issued in the Merger. Parent and the Company shall use their respective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all information concerning the Company and the holders of Shares and Parent and the holders of the capital stock of Parent, as applicable, as may be reasonably requested in connection with any such action. Each of the Company and Parent shall use reasonable best efforts to cause the Joint Proxy Statement/Prospectus to be mailed to the Company’s stockholders and Parent’s stockholders, as applicable, as promptly as practicable after the Registration Statement is declared effective under the Securities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 filing of, or amendment or supplement to, the Registration Statement will be made by Parent, and no filing of, or amendment or supplement to, the Joint Proxy Statement/Prospectus will be made by the Company or Parent, in each case without providing the other Party a reasonable opportunity to review and comment thereon (other than, in each case, any filing, amendment or supplement in connection with a Company Change in Recommendation, a Company Alternative Acquisition Agreement, a Parent Change in Recommendation or a Parent Alternative Acquisition Agreement, as applicable), and each Party shall consider in good faith and reflect all comments reasonably proposed by the other Party. Each of the Company and Parent shall promptly provide the other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Joint Proxy Statement/Prospectus, as applicable, and the resolution of any comments to either received from the SEC. If at any time prior to the receipt of the Company Stockholder Approval or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Joint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 or the stockholders of Parent, as applicable. The Parties shall notify each other promptly of the receipt of any comments from the SEC or the staff of the SEC and of any request by the SEC or the staff of the SEC for amendments or supplements to the Registration Statement or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for additional information, and shall supply each other with copies of (i) all correspondence between it or any of its Representatives, on the one hand, and the SEC or the staff of the SEC, on the other hand, with respect to the Registration Statement, Joint Proxy Statement/Prospectus or the Merger and (ii) all orders of the SEC relating to the Registration Statement. No response to any comments from the SEC or the staff of the SEC relating to the Joint Proxy Statement/Prospectus will be made by either Party without providing the other a reasonable opportunity to review and comment thereon unless pursuant to a telephone call initiated by the SEC, and each Party shall consider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3" w:name="t55ME"/>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good faith and reflect all comments reasonably proposed by the other Party. The Parties will cause the Registration Statement and Joint Proxy Statement/Prospectus to comply as to form in all material respects with the applicable provisions of the Securities Act and the Exchange Act and the rules and regulations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Stockholder Meetings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adoption of this Agreement, which meeting shall in any event take place within 45 days after the declaration of the effectiveness of the Registration Statement (the “</w:t>
      </w:r>
      <w:r>
        <w:rPr>
          <w:rFonts w:ascii="Times New Roman;Times;serif" w:hAnsi="Times New Roman;Times;serif"/>
          <w:b/>
          <w:i w:val="false"/>
          <w:caps w:val="false"/>
          <w:smallCaps w:val="false"/>
          <w:color w:val="000000"/>
          <w:spacing w:val="-4"/>
          <w:sz w:val="20"/>
        </w:rPr>
        <w:t>Company Stockholders Meeting</w:t>
      </w:r>
      <w:r>
        <w:rPr>
          <w:rFonts w:ascii="Times New Roman;Times;serif" w:hAnsi="Times New Roman;Times;serif"/>
          <w:b w:val="false"/>
          <w:i w:val="false"/>
          <w:caps w:val="false"/>
          <w:smallCaps w:val="false"/>
          <w:color w:val="000000"/>
          <w:spacing w:val="4"/>
          <w:sz w:val="20"/>
        </w:rPr>
        <w:t xml:space="preserve">”). The Company shall use its reasonable best efforts to hold Company Stockholders Meeting on the same day as the Parent Stockholders Meeting and as soon as practicable after the date on which the Registration Statement becomes effective. Subject to the provisions of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Board shall include the Company Board Recommendation in the Joint Proxy Statement/Prospectus and recommend at the Company Stockholders Meeting that the holders of Shares adopt this Agreement and shall use its reasonable best efforts to obtain and solicit such adoption. Notwithstanding the foregoing, (A) if on or before the date on which the Company Stockholders Meeting is scheduled, the Company reasonably believes that (1) it will not receive proxies representing the Company Stockholder Approval, whether or not a quorum is present or (2) it will not have enough Shares represented to constitute a quorum necessary to conduct the business of the Company Stockholders Meeting, the Company may (and, if requested by Parent, the Company shall) postpone or adjourn, or make one or more successive postponements or adjournments of, the Company Stockholders Meeting and (B) the Company may postpone or adjourn the Company Stockholders Meeting to allow reasonable additional time for the filing or mailing of any supplemental or amended disclosure that the Company has determined, after consultation with outside legal counsel, is reasonably likely to be required under applicable Law and for such supplemental or amended disclosure to be disseminated and reviewed by stockholders of the Company prior to the Company Stockholders Meeting, as long as the date of the Company Stockholders Meeting is not postponed or adjourned more than an aggregate of 30 days in connection with any such postponements or adjournments pursuant to either or both of the preceding clauses (A) and (B).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 Company Change in Recommendation, the Company shall seek the Company Stockholder Approval at the Company Stockholders Meeting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prior to the Company Stockholders Meeting. Without the prior written consent of Parent, the adoption of this Agreement shall be the only matter (other than matters of procedure and matters required by Law to be voted on by the Company’s stockholders in connection with the adoption of this Agreement and the Contemplated Transactions) that the Company shall propose to be acted on by the stockholders of the Company at the Company Stockholders Meeting.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Parent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Parent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Parent Share Issuance and the Parent Charter Amendment, which meeting shall in any event take place within 45 days after the declaration of the effectiveness of the Registration Statement (the “</w:t>
      </w:r>
      <w:r>
        <w:rPr>
          <w:rFonts w:ascii="Times New Roman;Times;serif" w:hAnsi="Times New Roman;Times;serif"/>
          <w:b/>
          <w:i w:val="false"/>
          <w:caps w:val="false"/>
          <w:smallCaps w:val="false"/>
          <w:color w:val="000000"/>
          <w:spacing w:val="-4"/>
          <w:sz w:val="20"/>
        </w:rPr>
        <w:t>Parent Stockholders Meeting</w:t>
      </w:r>
      <w:r>
        <w:rPr>
          <w:rFonts w:ascii="Times New Roman;Times;serif" w:hAnsi="Times New Roman;Times;serif"/>
          <w:b w:val="false"/>
          <w:i w:val="false"/>
          <w:caps w:val="false"/>
          <w:smallCaps w:val="false"/>
          <w:color w:val="000000"/>
          <w:spacing w:val="4"/>
          <w:sz w:val="20"/>
        </w:rPr>
        <w:t xml:space="preserve">”). Parent shall use its reasonable best efforts to hold the Parent Stockholders Meeting on the same day as the Company Stockholders Meeting and as soon as practicable after the date on which the Registration Statement becomes effective. Subject to the provisions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the Parent Board shall include the Parent Board Recommendation in the Joint Proxy Statement/Prospectus and recommend at the Parent Stockholders Meeting that the holders of capital stock of Parent approve the Parent Share Issuance and the Parent Charter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5ARB"/>
      <w:bookmarkEnd w:id="2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any such postponements or adjournments pursuant to either or both of the preceding clauses (A) and (B).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 Parent Change in Recommendation, Parent shall seek the Parent Stockholder Approval at the Parent Stockholders Meeting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prior to the Parent Stockholders Meeting. Without the prior written consent of the Company, the Parent Share Issuance, the Parent Charter Amendment and, subject to the sole discretion of the Parent Board, the Parent 2011 Equity Incentive Plan Amendment,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5.6   </w:t>
      </w:r>
      <w:r>
        <w:rPr>
          <w:rFonts w:ascii="Times New Roman;Times;serif" w:hAnsi="Times New Roman;Times;serif"/>
          <w:b w:val="false"/>
          <w:i w:val="false"/>
          <w:caps w:val="false"/>
          <w:smallCaps w:val="false"/>
          <w:color w:val="000000"/>
          <w:spacing w:val="4"/>
          <w:sz w:val="20"/>
          <w:u w:val="single"/>
        </w:rPr>
        <w:t>Regulatory Approvals; Reasonable Best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the terms and conditions of this Agreement, each Party shall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use reasonable best efforts to (i) prepare and file, as promptly as practicable, but in any event no later than 10 Business Days after the date hereof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responding to, and substantially complying with, a Request for Additional Information or Documentary Material (“</w:t>
      </w:r>
      <w:r>
        <w:rPr>
          <w:rFonts w:ascii="Times New Roman;Times;serif" w:hAnsi="Times New Roman;Times;serif"/>
          <w:b/>
          <w:i w:val="false"/>
          <w:caps w:val="false"/>
          <w:smallCaps w:val="false"/>
          <w:color w:val="000000"/>
          <w:spacing w:val="-4"/>
          <w:sz w:val="20"/>
        </w:rPr>
        <w:t>Second Request</w:t>
      </w:r>
      <w:r>
        <w:rPr>
          <w:rFonts w:ascii="Times New Roman;Times;serif" w:hAnsi="Times New Roman;Times;serif"/>
          <w:b w:val="false"/>
          <w:i w:val="false"/>
          <w:caps w:val="false"/>
          <w:smallCaps w:val="false"/>
          <w:color w:val="000000"/>
          <w:spacing w:val="4"/>
          <w:sz w:val="20"/>
        </w:rPr>
        <w:t xml:space="preserve">”) received pursuant to the HSR Act and advocating for antitrust clearance.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w:t>
      </w:r>
      <w:r>
        <w:rPr>
          <w:rFonts w:ascii="Times New Roman;Times;serif" w:hAnsi="Times New Roman;Times;serif"/>
          <w:b w:val="false"/>
          <w:i w:val="false"/>
          <w:caps w:val="false"/>
          <w:smallCaps w:val="false"/>
          <w:color w:val="000000"/>
          <w:spacing w:val="4"/>
          <w:sz w:val="20"/>
          <w:u w:val="single"/>
        </w:rPr>
        <w:t>Section 5.6(a)</w:t>
      </w:r>
      <w:r>
        <w:rPr>
          <w:rFonts w:ascii="Times New Roman;Times;serif" w:hAnsi="Times New Roman;Times;serif"/>
          <w:b w:val="false"/>
          <w:i w:val="false"/>
          <w:caps w:val="false"/>
          <w:smallCaps w:val="false"/>
          <w:color w:val="000000"/>
          <w:spacing w:val="4"/>
          <w:sz w:val="20"/>
        </w:rPr>
        <w:t xml:space="preserve">,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 (iii) provide each other with a reasonable advance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5" w:name="t5CUR"/>
      <w:bookmarkEnd w:id="2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w:t>
      </w:r>
      <w:r>
        <w:rPr>
          <w:rFonts w:ascii="Times New Roman;Times;serif" w:hAnsi="Times New Roman;Times;serif"/>
          <w:b w:val="false"/>
          <w:i w:val="false"/>
          <w:caps w:val="false"/>
          <w:smallCaps w:val="false"/>
          <w:color w:val="000000"/>
          <w:spacing w:val="4"/>
          <w:sz w:val="20"/>
          <w:u w:val="single"/>
        </w:rPr>
        <w:t>Section 5.6(b)</w:t>
      </w:r>
      <w:r>
        <w:rPr>
          <w:rFonts w:ascii="Times New Roman;Times;serif" w:hAnsi="Times New Roman;Times;serif"/>
          <w:b w:val="false"/>
          <w:i w:val="false"/>
          <w:caps w:val="false"/>
          <w:smallCaps w:val="false"/>
          <w:color w:val="000000"/>
          <w:spacing w:val="4"/>
          <w:sz w:val="20"/>
        </w:rPr>
        <w:t xml:space="preserve"> may be provided on an outside counsel only basis if deemed advisable by the Parties. Notwithstanding anything to the contrary contained in this Agreement, Parent and the Company shall cooperate in good faith to jointly devise and implement the strategy for obtaining regulatory clearance either before any Governmental Entity or in any action brought to enjoin the Merger and the other Contemplated Transactions pursuant to any Antitrust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in this Agreement to the contrary, Parent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anything to the contrary contained in this Agreement, neither Parent nor the Company shall be required to (x) sell, divest or otherwise dispose of (including by license) or hold separate any assets or businesses of Parent or the Company or any of their respective Affiliates or Subsidiaries, as applicable, (y) litigate against any Governmental Entity or defend against any administrative or judicial action that is instituted (or threatened to be instituted) by a Governmental Entity challenging the Merger or (z) modify, amend or terminate any existing Contract to which Parent or the Company, as applicable, is a party or enter into any agreement to restrict the ownership or operation of any assets or businesses of the Company or Parent or any of their respective Affiliates or Subsidiaries, as applicable, unless, solely in the case of this clause (z), such modification, amendment, termination or agreement would not reasonably be expected to have, individually or in the aggregate, a material and negative effect on Parent and its Subsidiaries (including the Company following Closing), taken as a whole, following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party shall bear its own expenses and costs incurred by such party in connection with any filings and submissions pursuant to Antitrust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Prior to the Effective Time, Parent, on the one hand, and the Company, on the other hand, shall use commercially reasonable efforts to obtain any consents, approvals or waivers of third parties with respect to (i) any Contracts set forth on </w:t>
      </w:r>
      <w:r>
        <w:rPr>
          <w:rFonts w:ascii="Times New Roman;Times;serif" w:hAnsi="Times New Roman;Times;serif"/>
          <w:b w:val="false"/>
          <w:i w:val="false"/>
          <w:caps w:val="false"/>
          <w:smallCaps w:val="false"/>
          <w:color w:val="000000"/>
          <w:spacing w:val="4"/>
          <w:sz w:val="20"/>
          <w:u w:val="single"/>
        </w:rPr>
        <w:t>Section 5.6(e)</w:t>
      </w:r>
      <w:r>
        <w:rPr>
          <w:rFonts w:ascii="Times New Roman;Times;serif" w:hAnsi="Times New Roman;Times;serif"/>
          <w:b w:val="false"/>
          <w:i w:val="false"/>
          <w:caps w:val="false"/>
          <w:smallCaps w:val="false"/>
          <w:color w:val="000000"/>
          <w:spacing w:val="4"/>
          <w:sz w:val="20"/>
        </w:rPr>
        <w:t xml:space="preserve"> of the Parent Disclosure Schedule and </w:t>
      </w:r>
      <w:r>
        <w:rPr>
          <w:rFonts w:ascii="Times New Roman;Times;serif" w:hAnsi="Times New Roman;Times;serif"/>
          <w:b w:val="false"/>
          <w:i w:val="false"/>
          <w:caps w:val="false"/>
          <w:smallCaps w:val="false"/>
          <w:color w:val="000000"/>
          <w:spacing w:val="4"/>
          <w:sz w:val="20"/>
          <w:u w:val="single"/>
        </w:rPr>
        <w:t>Section 5.6(e)</w:t>
      </w:r>
      <w:r>
        <w:rPr>
          <w:rFonts w:ascii="Times New Roman;Times;serif" w:hAnsi="Times New Roman;Times;serif"/>
          <w:b w:val="false"/>
          <w:i w:val="false"/>
          <w:caps w:val="false"/>
          <w:smallCaps w:val="false"/>
          <w:color w:val="000000"/>
          <w:spacing w:val="4"/>
          <w:sz w:val="20"/>
        </w:rPr>
        <w:t xml:space="preserve"> of the Company Disclosure Schedule, respectively, or (ii) any Contract to which such Party is a party, upon the reasonable request of the other Party, as may be necessary for the consummation of the Contemplated Transactions or required by the terms of any Contract as a result of the execution, performance or consummation of the Merger or the other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5.7   </w:t>
      </w:r>
      <w:r>
        <w:rPr>
          <w:rFonts w:ascii="Times New Roman;Times;serif" w:hAnsi="Times New Roman;Times;serif"/>
          <w:b w:val="false"/>
          <w:i w:val="false"/>
          <w:caps w:val="false"/>
          <w:smallCaps w:val="false"/>
          <w:color w:val="000000"/>
          <w:spacing w:val="4"/>
          <w:sz w:val="20"/>
          <w:u w:val="single"/>
        </w:rPr>
        <w:t>Access; Consultation</w:t>
      </w:r>
      <w:r>
        <w:rPr>
          <w:rFonts w:ascii="Times New Roman;Times;serif" w:hAnsi="Times New Roman;Times;serif"/>
          <w:b w:val="false"/>
          <w:i w:val="false"/>
          <w:caps w:val="false"/>
          <w:smallCaps w:val="false"/>
          <w:color w:val="000000"/>
          <w:spacing w:val="4"/>
          <w:sz w:val="20"/>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as promptly as reasonably practicable all other information concerning its or any of its Subsidiaries’ capital stock, business and personnel as may reasonably be requested by the other, as and when reasonably requested by the requesting Party;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6" w:name="t5ELD"/>
      <w:bookmarkEnd w:id="246"/>
      <w:r>
        <w:rPr>
          <w:rFonts w:ascii="calibri;arial;sans-serif" w:hAnsi="calibri;arial;sans-serif"/>
          <w:b w:val="false"/>
          <w:i w:val="false"/>
          <w:caps w:val="false"/>
          <w:smallCaps w:val="false"/>
          <w:color w:val="000000"/>
          <w:sz w:val="16"/>
        </w:rPr>
        <w:t>​</w:t>
      </w:r>
      <w:bookmarkStart w:id="247" w:name="t5TIP"/>
      <w:bookmarkEnd w:id="247"/>
      <w:r>
        <w:rPr>
          <w:rFonts w:ascii="calibri;arial;sans-serif" w:hAnsi="calibri;arial;sans-serif"/>
          <w:b w:val="false"/>
          <w:i w:val="false"/>
          <w:caps w:val="false"/>
          <w:smallCaps w:val="false"/>
          <w:color w:val="000000"/>
          <w:sz w:val="16"/>
        </w:rPr>
        <w:t>​</w:t>
      </w:r>
      <w:bookmarkStart w:id="248" w:name="t5EAO"/>
      <w:bookmarkEnd w:id="248"/>
      <w:r>
        <w:rPr>
          <w:rFonts w:ascii="calibri;arial;sans-serif" w:hAnsi="calibri;arial;sans-serif"/>
          <w:b w:val="false"/>
          <w:i w:val="false"/>
          <w:caps w:val="false"/>
          <w:smallCaps w:val="false"/>
          <w:color w:val="000000"/>
          <w:sz w:val="16"/>
        </w:rPr>
        <w:t>​</w:t>
      </w:r>
      <w:bookmarkStart w:id="249" w:name="t5DAO"/>
      <w:bookmarkEnd w:id="2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investigation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affect or be deemed to modify any representation or warranty made by the Company or Parent;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foregoing shall require neither the Company nor Parent to permit any invasive sampling or testing or to disclose any information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with respect to clauses (a) through (c)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Parent or the Company, as applicable, shall use its commercially reasonable efforts to (i) obtain the required consent of any such third party to provide such inspection or disclosure, (ii) develop an alternative to providing such information so as to address such matters that is reasonably acceptable to Parent and the Company and (iii) in the case of clauses (a) and (c),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conducted in such a manner as not to interfere unreasonably with the conduct of the business of the other Party. All requests for information made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used solely in connection with, and in furtherance of effecting, the Contemplated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5.8   </w:t>
      </w:r>
      <w:r>
        <w:rPr>
          <w:rFonts w:ascii="Times New Roman;Times;serif" w:hAnsi="Times New Roman;Times;serif"/>
          <w:b w:val="false"/>
          <w:i w:val="false"/>
          <w:caps w:val="false"/>
          <w:smallCaps w:val="false"/>
          <w:color w:val="000000"/>
          <w:spacing w:val="4"/>
          <w:sz w:val="20"/>
          <w:u w:val="single"/>
        </w:rPr>
        <w:t>Stock Exchange Listing, De-listing and De-registration</w:t>
      </w:r>
      <w:r>
        <w:rPr>
          <w:rFonts w:ascii="Times New Roman;Times;serif" w:hAnsi="Times New Roman;Times;serif"/>
          <w:b w:val="false"/>
          <w:i w:val="false"/>
          <w:caps w:val="false"/>
          <w:smallCaps w:val="false"/>
          <w:color w:val="000000"/>
          <w:spacing w:val="4"/>
          <w:sz w:val="20"/>
        </w:rPr>
        <w:t xml:space="preserve">.   Parent shall use reasonable best efforts to cause the shares of Parent Common Stock to be issued in the Merger to be approved for listing on The Nasdaq Global Select Market, subject to official notice of issuance, prior to the Effective Time. The Company shall cooperate with Parent and take, or cause to be taken, all actions necessary, proper or advisable on its part under applicable Laws and the rules and policies of Nasdaq to permit the Shares and other security issued by the Company or one of its Subsidiaries and listed on The Nasdaq Global Market to be de-listed and de-registered under the Exchange Act as soon as possible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in each case, subject to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in respect of a Company Acquisition Proposal and subject to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in respect of a Parent Acquisition Proposal, (b) any press release or public statement that consists solely of information previously disclosed in all material respects in prior press releases issued or public statements made by a Party in compliance with this </w:t>
      </w:r>
      <w:r>
        <w:rPr>
          <w:rFonts w:ascii="Times New Roman;Times;serif" w:hAnsi="Times New Roman;Times;serif"/>
          <w:b w:val="false"/>
          <w:i w:val="false"/>
          <w:caps w:val="false"/>
          <w:smallCaps w:val="false"/>
          <w:color w:val="000000"/>
          <w:spacing w:val="4"/>
          <w:sz w:val="20"/>
          <w:u w:val="single"/>
        </w:rPr>
        <w:t>Section 5.9</w:t>
      </w:r>
      <w:r>
        <w:rPr>
          <w:rFonts w:ascii="Times New Roman;Times;serif" w:hAnsi="Times New Roman;Times;serif"/>
          <w:b w:val="false"/>
          <w:i w:val="false"/>
          <w:caps w:val="false"/>
          <w:smallCaps w:val="false"/>
          <w:color w:val="000000"/>
          <w:spacing w:val="4"/>
          <w:sz w:val="20"/>
        </w:rPr>
        <w:t xml:space="preserve">, (c) 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made in accordance with this Agreement or, as applicable, Parent’s or the Company’s response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5.10   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provided in </w:t>
      </w:r>
      <w:r>
        <w:rPr>
          <w:rFonts w:ascii="Times New Roman;Times;serif" w:hAnsi="Times New Roman;Times;serif"/>
          <w:b w:val="false"/>
          <w:i w:val="false"/>
          <w:caps w:val="false"/>
          <w:smallCaps w:val="false"/>
          <w:color w:val="000000"/>
          <w:spacing w:val="4"/>
          <w:sz w:val="20"/>
          <w:u w:val="single"/>
        </w:rPr>
        <w:t>Sections 7.5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7.6</w:t>
      </w:r>
      <w:r>
        <w:rPr>
          <w:rFonts w:ascii="Times New Roman;Times;serif" w:hAnsi="Times New Roman;Times;serif"/>
          <w:b w:val="false"/>
          <w:i w:val="false"/>
          <w:caps w:val="false"/>
          <w:smallCaps w:val="false"/>
          <w:color w:val="000000"/>
          <w:spacing w:val="4"/>
          <w:sz w:val="20"/>
        </w:rPr>
        <w:t xml:space="preserve">, whether or not the Merger is consummated, all costs and expenses incurred in connection with this Agreement and the Contemplated Transactions shall be paid by the Party incurring such expense.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5.11   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shall cause all rights to exculpation, indemnification and advancement by the Company and its Subsidiaries existing in favor of each Person who is now, or has been at any time prior to the date hereof, or who becomes prior to the Effective Time a director or officer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0" w:name="t5STC"/>
      <w:bookmarkEnd w:id="250"/>
      <w:r>
        <w:rPr>
          <w:rFonts w:ascii="calibri;arial;sans-serif" w:hAnsi="calibri;arial;sans-serif"/>
          <w:b w:val="false"/>
          <w:i w:val="false"/>
          <w:caps w:val="false"/>
          <w:smallCaps w:val="false"/>
          <w:color w:val="000000"/>
          <w:sz w:val="16"/>
        </w:rPr>
        <w:t>​</w:t>
      </w:r>
      <w:bookmarkStart w:id="251" w:name="t5OCO"/>
      <w:bookmarkEnd w:id="2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any of its Subsidiaries (each, an “</w:t>
      </w:r>
      <w:r>
        <w:rPr>
          <w:rFonts w:ascii="Times New Roman;Times;serif" w:hAnsi="Times New Roman;Times;serif"/>
          <w:b/>
          <w:i w:val="false"/>
          <w:caps w:val="false"/>
          <w:smallCaps w:val="false"/>
          <w:color w:val="000000"/>
          <w:spacing w:val="-4"/>
          <w:sz w:val="20"/>
        </w:rPr>
        <w:t>Indemnified Person</w:t>
      </w:r>
      <w:r>
        <w:rPr>
          <w:rFonts w:ascii="Times New Roman;Times;serif" w:hAnsi="Times New Roman;Times;serif"/>
          <w:b w:val="false"/>
          <w:i w:val="false"/>
          <w:caps w:val="false"/>
          <w:smallCaps w:val="false"/>
          <w:color w:val="000000"/>
          <w:spacing w:val="4"/>
          <w:sz w:val="20"/>
        </w:rPr>
        <w:t xml:space="preserve">”) for their acts and omissions as directors and officers of the Company or any of its Subsidiaries occurring prior to the Effective Time, as provided in the Company’s or its applicable Subsidiary’s Organizational Documents (as in effect as of the date of this Agreement) and as provided in any indemnification agreements between the Company and said Indemnified Persons (as such agreements are in effect as of the date of this Agreement) to survive the Merger and be observed by the Surviving Company to the fullest extent permitted by Delaware law for a period of six years from the date on which the Merger becomes effective, which provisions governing such rights shall not be amended, repealed, abrogated or otherwise modified in any manner that would adversely affect any Indemnified Persons.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Notwithstanding anything to the contrary in this Agreement, the Company shall purchase prior to the Effective Time a tail policy or policies under the current directors’ and officers’ liability insurance policies maintained at such time by the Company (collectively, the “</w:t>
      </w:r>
      <w:r>
        <w:rPr>
          <w:rFonts w:ascii="Times New Roman;Times;serif" w:hAnsi="Times New Roman;Times;serif"/>
          <w:b/>
          <w:i w:val="false"/>
          <w:caps w:val="false"/>
          <w:smallCaps w:val="false"/>
          <w:color w:val="000000"/>
          <w:spacing w:val="-4"/>
          <w:sz w:val="20"/>
        </w:rPr>
        <w:t>D&amp;O Tail Policy</w:t>
      </w:r>
      <w:r>
        <w:rPr>
          <w:rFonts w:ascii="Times New Roman;Times;serif" w:hAnsi="Times New Roman;Times;serif"/>
          <w:b w:val="false"/>
          <w:i w:val="false"/>
          <w:caps w:val="false"/>
          <w:smallCaps w:val="false"/>
          <w:color w:val="000000"/>
          <w:spacing w:val="4"/>
          <w:sz w:val="20"/>
        </w:rPr>
        <w:t>”),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to such directors and officers as the coverage provided by such existing policies; provided, that the total annual premium for such D&amp;O Tail Policy shall not be in excess of three hundred percent (300%) of the annual premium most recently paid by the Company prior to the Effective Time (the “</w:t>
      </w:r>
      <w:r>
        <w:rPr>
          <w:rFonts w:ascii="Times New Roman;Times;serif" w:hAnsi="Times New Roman;Times;serif"/>
          <w:b/>
          <w:i w:val="false"/>
          <w:caps w:val="false"/>
          <w:smallCaps w:val="false"/>
          <w:color w:val="000000"/>
          <w:spacing w:val="-4"/>
          <w:sz w:val="20"/>
        </w:rPr>
        <w:t>Maximum Premium</w:t>
      </w:r>
      <w:r>
        <w:rPr>
          <w:rFonts w:ascii="Times New Roman;Times;serif" w:hAnsi="Times New Roman;Times;serif"/>
          <w:b w:val="false"/>
          <w:i w:val="false"/>
          <w:caps w:val="false"/>
          <w:smallCaps w:val="false"/>
          <w:color w:val="000000"/>
          <w:spacing w:val="4"/>
          <w:sz w:val="20"/>
        </w:rPr>
        <w:t xml:space="preserve">”). Parent shall cause such D&amp;O Tail Policy to be maintained in full force and effect for its full term, and cause all obligations thereunder to be honored by the Surviving Company. In the event any future annual premiums for the D&amp;O Tail Policy exceed the Maximum Premium, the Surviving Company shall be entitled to reduce the amount of coverage of the D&amp;O Tail Policy to the amount of coverage that can be obtained for a premium equal to the Maximum Premium. In the event that a D&amp;O Tail Policy is not reasonably available to the Company prior to the Effective Time, the Surviving Company shall maintain in effect the existing policy of directors’ and officers’ liability insurance maintained by the Company as of the date of this Agreement in the form made available by the Company to Parent prior to the date of this Agreement until the sixth anniversary of the Closing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Surviving Company shall not be required to pay annual premiums for the Existing D&amp;O Policy in excess of the Maximum Premium.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Parent or the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Parent and any of its successors and assigns shall ensure that the successors and assigns of Parent or the Surviving Company, as the case may be, shall assume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are intended to be in addition to the rights otherwise available to any Indemnified Person by law, charter, statute, bylaw or agreement, and shall operate for the benefit of, and shall be enforceable by, each of the Indemnified Persons, their heirs and their representatives.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5.12   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5.13   </w:t>
      </w:r>
      <w:r>
        <w:rPr>
          <w:rFonts w:ascii="Times New Roman;Times;serif" w:hAnsi="Times New Roman;Times;serif"/>
          <w:b w:val="false"/>
          <w:i w:val="false"/>
          <w:caps w:val="false"/>
          <w:smallCaps w:val="false"/>
          <w:color w:val="000000"/>
          <w:spacing w:val="4"/>
          <w:sz w:val="20"/>
          <w:u w:val="single"/>
        </w:rPr>
        <w:t>Control of Company’s or Parent’s Operations</w:t>
      </w:r>
      <w:r>
        <w:rPr>
          <w:rFonts w:ascii="Times New Roman;Times;serif" w:hAnsi="Times New Roman;Times;serif"/>
          <w:b w:val="false"/>
          <w:i w:val="false"/>
          <w:caps w:val="false"/>
          <w:smallCaps w:val="false"/>
          <w:color w:val="000000"/>
          <w:spacing w:val="4"/>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2" w:name="t5AOT"/>
      <w:bookmarkEnd w:id="252"/>
      <w:r>
        <w:rPr>
          <w:rFonts w:ascii="calibri;arial;sans-serif" w:hAnsi="calibri;arial;sans-serif"/>
          <w:b w:val="false"/>
          <w:i w:val="false"/>
          <w:caps w:val="false"/>
          <w:smallCaps w:val="false"/>
          <w:color w:val="000000"/>
          <w:sz w:val="16"/>
        </w:rPr>
        <w:t>​</w:t>
      </w:r>
      <w:bookmarkStart w:id="253" w:name="t51TC"/>
      <w:bookmarkEnd w:id="253"/>
      <w:r>
        <w:rPr>
          <w:rFonts w:ascii="calibri;arial;sans-serif" w:hAnsi="calibri;arial;sans-serif"/>
          <w:b w:val="false"/>
          <w:i w:val="false"/>
          <w:caps w:val="false"/>
          <w:smallCaps w:val="false"/>
          <w:color w:val="000000"/>
          <w:sz w:val="16"/>
        </w:rPr>
        <w:t>​</w:t>
      </w:r>
      <w:bookmarkStart w:id="254" w:name="t5BSS"/>
      <w:bookmarkEnd w:id="254"/>
      <w:r>
        <w:rPr>
          <w:rFonts w:ascii="calibri;arial;sans-serif" w:hAnsi="calibri;arial;sans-serif"/>
          <w:b w:val="false"/>
          <w:i w:val="false"/>
          <w:caps w:val="false"/>
          <w:smallCaps w:val="false"/>
          <w:color w:val="000000"/>
          <w:sz w:val="16"/>
        </w:rPr>
        <w:t>​</w:t>
      </w:r>
      <w:bookmarkStart w:id="255" w:name="t5LEP"/>
      <w:bookmarkEnd w:id="2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The Parties shall use reasonable best efforts and take all necessary action so that immediately after the Effective Time, (i) the Parent Board is comprised of seven members, with three such members designated by Parent, three such members designated by the Company and one such member designated by the Parent Series B-1 Preferred Stockholder (with the Person listed as chair of the Parent Board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hereto designated by the Company as the chair of the Parent Board), as modified from time to time in accordance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and (ii)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hereto under the heading “Officers” and such other persons as are mutually agreed by Parent and the Company are elected or appointed, as applicable, to such positions of officers of Parent as mutually agreed, to serve in such positions effective as of the Effective Time until such successors are duly appointed and qualified in accordance with applicable Law.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under the heading “Board Designees — Parent” shall be Parent’s designees pursuant to clause (i) of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(which list may be changed by Parent at any time prior to the Closing by written notice to the Company to include different board designees who are either current members of the Parent Board or any other designee reasonably acceptable to the Company).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under the heading “Board Designees — Company” shall be the Company’s designees pursuant to clause (i) of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(which list may be changed by the Company at any time prior to the Closing by written notice to Parent to include different board designees who are either current members of the Company Board or any other designee reasonably acceptable to Parent). Prior to the Effective Time, Parent and the Company (a) shall designate the class of the Parent Board to which such designee is to be appointed;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there shall be one designee of the Company and one designee of the Parent in each class and (b) shall mutually agree on the composition of the committees of the Parent Board, which shall become effective as of immediately after the Effective Time. At the Effective Time, the charter of each committee of the Parent Board shall be amended to affirmatively state that, unless specifically reflected otherwise in the Certificate of Incorporation, the bylaws of Parent or any other Organizational Document of Parent, all authority is vested in the full Parent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5.15   </w:t>
      </w:r>
      <w:r>
        <w:rPr>
          <w:rFonts w:ascii="Times New Roman;Times;serif" w:hAnsi="Times New Roman;Times;serif"/>
          <w:b w:val="false"/>
          <w:i w:val="false"/>
          <w:caps w:val="false"/>
          <w:smallCaps w:val="false"/>
          <w:color w:val="000000"/>
          <w:spacing w:val="4"/>
          <w:sz w:val="20"/>
          <w:u w:val="single"/>
        </w:rPr>
        <w:t>Section 16(b)</w:t>
      </w:r>
      <w:r>
        <w:rPr>
          <w:rFonts w:ascii="Times New Roman;Times;serif" w:hAnsi="Times New Roman;Times;serif"/>
          <w:b w:val="false"/>
          <w:i w:val="false"/>
          <w:caps w:val="false"/>
          <w:smallCaps w:val="false"/>
          <w:color w:val="000000"/>
          <w:spacing w:val="4"/>
          <w:sz w:val="20"/>
        </w:rPr>
        <w:t xml:space="preserve">.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5.16   </w:t>
      </w:r>
      <w:r>
        <w:rPr>
          <w:rFonts w:ascii="Times New Roman;Times;serif" w:hAnsi="Times New Roman;Times;serif"/>
          <w:b w:val="false"/>
          <w:i w:val="false"/>
          <w:caps w:val="false"/>
          <w:smallCaps w:val="false"/>
          <w:color w:val="000000"/>
          <w:spacing w:val="4"/>
          <w:sz w:val="20"/>
          <w:u w:val="single"/>
        </w:rPr>
        <w:t>Approval by Sole Stockholder of Merger Sub</w:t>
      </w:r>
      <w:r>
        <w:rPr>
          <w:rFonts w:ascii="Times New Roman;Times;serif" w:hAnsi="Times New Roman;Times;serif"/>
          <w:b w:val="false"/>
          <w:i w:val="false"/>
          <w:caps w:val="false"/>
          <w:smallCaps w:val="false"/>
          <w:color w:val="000000"/>
          <w:spacing w:val="4"/>
          <w:sz w:val="20"/>
        </w:rPr>
        <w:t xml:space="preserve">.   Immediately (and in any event within 24 hours) following the execution and delivery of this Agreement by the Parties, Parent, as sole stockholder of Merger Sub, shall adopt this Agreement and approve the Merger, in accordance with Delaware Law,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5.17   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each of the Company and Parent shall, and shall cause their respective Subsidiaries to, cooperate in the defense or settlement of any Transaction Litigation contemplated by this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with respect to a Party not controlling a Transaction Litigation, “participate”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6" w:name="t51TR"/>
      <w:bookmarkEnd w:id="256"/>
      <w:r>
        <w:rPr>
          <w:rFonts w:ascii="calibri;arial;sans-serif" w:hAnsi="calibri;arial;sans-serif"/>
          <w:b w:val="false"/>
          <w:i w:val="false"/>
          <w:caps w:val="false"/>
          <w:smallCaps w:val="false"/>
          <w:color w:val="000000"/>
          <w:sz w:val="16"/>
        </w:rPr>
        <w:t>​</w:t>
      </w:r>
      <w:bookmarkStart w:id="257" w:name="t5OTC"/>
      <w:bookmarkEnd w:id="2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5.18   </w:t>
      </w:r>
      <w:r>
        <w:rPr>
          <w:rFonts w:ascii="Times New Roman;Times;serif" w:hAnsi="Times New Roman;Times;serif"/>
          <w:b w:val="false"/>
          <w:i w:val="false"/>
          <w:caps w:val="false"/>
          <w:smallCaps w:val="false"/>
          <w:color w:val="000000"/>
          <w:spacing w:val="4"/>
          <w:sz w:val="20"/>
          <w:u w:val="single"/>
        </w:rPr>
        <w:t>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which Parent, Merger Sub and the Company are parties under Section 368(b)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If, in connection with the preparation and filing of the Joint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Times;serif" w:hAnsi="Times New Roman;Times;serif"/>
          <w:b/>
          <w:i w:val="false"/>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xml:space="preserve">”), (i) Parent and the Company shall each use their respective reasonable best efforts to deliver to Fenwick &amp; West LLP, counsel to the Company, and to Mintz, Levin, Cohn, Ferris, Glovsky and Popeo, P.C.,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Mintz, Levin, Cohn, Ferris, Glovsky and Popeo, P.C. to furnish a Tax Opinion addressed to Parent, subject to customary assumptions and limitations, satisfactory to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5.19   </w:t>
      </w:r>
      <w:r>
        <w:rPr>
          <w:rFonts w:ascii="Times New Roman;Times;serif" w:hAnsi="Times New Roman;Times;serif"/>
          <w:b w:val="false"/>
          <w:i w:val="false"/>
          <w:caps w:val="false"/>
          <w:smallCaps w:val="false"/>
          <w:color w:val="000000"/>
          <w:spacing w:val="4"/>
          <w:sz w:val="20"/>
          <w:u w:val="single"/>
        </w:rPr>
        <w:t>Termination of the Company’s 401(k) Plan</w:t>
      </w:r>
      <w:r>
        <w:rPr>
          <w:rFonts w:ascii="Times New Roman;Times;serif" w:hAnsi="Times New Roman;Times;serif"/>
          <w:b w:val="false"/>
          <w:i w:val="false"/>
          <w:caps w:val="false"/>
          <w:smallCaps w:val="false"/>
          <w:color w:val="000000"/>
          <w:spacing w:val="4"/>
          <w:sz w:val="20"/>
        </w:rPr>
        <w:t>.   Unless otherwise directed by Parent in writing at least five Business Days before the Effective Time, the Company shall take all necessary actions to terminate each Company Benefit Plan intended to be qualified under Section 401(a) of the Code (each, a “</w:t>
      </w:r>
      <w:r>
        <w:rPr>
          <w:rFonts w:ascii="Times New Roman;Times;serif" w:hAnsi="Times New Roman;Times;serif"/>
          <w:b/>
          <w:i w:val="false"/>
          <w:caps w:val="false"/>
          <w:smallCaps w:val="false"/>
          <w:color w:val="000000"/>
          <w:spacing w:val="-4"/>
          <w:sz w:val="20"/>
        </w:rPr>
        <w:t>Company 401(k) Plan</w:t>
      </w:r>
      <w:r>
        <w:rPr>
          <w:rFonts w:ascii="Times New Roman;Times;serif" w:hAnsi="Times New Roman;Times;serif"/>
          <w:b w:val="false"/>
          <w:i w:val="false"/>
          <w:caps w:val="false"/>
          <w:smallCaps w:val="false"/>
          <w:color w:val="000000"/>
          <w:spacing w:val="4"/>
          <w:sz w:val="20"/>
        </w:rPr>
        <w:t xml:space="preserve">”),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8" w:name="t5RTC"/>
      <w:bookmarkEnd w:id="258"/>
      <w:r>
        <w:rPr>
          <w:rFonts w:ascii="calibri;arial;sans-serif" w:hAnsi="calibri;arial;sans-serif"/>
          <w:b w:val="false"/>
          <w:i w:val="false"/>
          <w:caps w:val="false"/>
          <w:smallCaps w:val="false"/>
          <w:color w:val="000000"/>
          <w:sz w:val="16"/>
        </w:rPr>
        <w:t>​</w:t>
      </w:r>
      <w:bookmarkStart w:id="259" w:name="t5OMS"/>
      <w:bookmarkEnd w:id="259"/>
      <w:r>
        <w:rPr>
          <w:rFonts w:ascii="calibri;arial;sans-serif" w:hAnsi="calibri;arial;sans-serif"/>
          <w:b w:val="false"/>
          <w:i w:val="false"/>
          <w:caps w:val="false"/>
          <w:smallCaps w:val="false"/>
          <w:color w:val="000000"/>
          <w:sz w:val="16"/>
        </w:rPr>
        <w:t>​</w:t>
      </w:r>
      <w:bookmarkStart w:id="260" w:name="t52MA"/>
      <w:bookmarkEnd w:id="260"/>
      <w:r>
        <w:rPr>
          <w:rFonts w:ascii="calibri;arial;sans-serif" w:hAnsi="calibri;arial;sans-serif"/>
          <w:b w:val="false"/>
          <w:i w:val="false"/>
          <w:caps w:val="false"/>
          <w:smallCaps w:val="false"/>
          <w:color w:val="000000"/>
          <w:sz w:val="16"/>
        </w:rPr>
        <w:t>​</w:t>
      </w:r>
      <w:bookmarkStart w:id="261" w:name="tARVI"/>
      <w:bookmarkEnd w:id="261"/>
      <w:r>
        <w:rPr>
          <w:rFonts w:ascii="calibri;arial;sans-serif" w:hAnsi="calibri;arial;sans-serif"/>
          <w:b w:val="false"/>
          <w:i w:val="false"/>
          <w:caps w:val="false"/>
          <w:smallCaps w:val="false"/>
          <w:color w:val="000000"/>
          <w:sz w:val="16"/>
        </w:rPr>
        <w:t>​</w:t>
      </w:r>
      <w:bookmarkStart w:id="262" w:name="t6TEP"/>
      <w:bookmarkEnd w:id="2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401(k) Plans will be terminated effective as of no later than the date immediately preceding the Closing Date, contingent upon the Effective Time, and will adopt any necessary amendments to the Company 401(k) Plans to effect such termination. Prior to and conditioned upon termination of the Company 401(k) Plans, the Company shall take any action necessary to fully vest any and all unvested amounts of the accounts of all participants in the Company 401(k) Plans that are impacted by such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5.20   </w:t>
      </w:r>
      <w:r>
        <w:rPr>
          <w:rFonts w:ascii="Times New Roman;Times;serif" w:hAnsi="Times New Roman;Times;serif"/>
          <w:b w:val="false"/>
          <w:i w:val="false"/>
          <w:caps w:val="false"/>
          <w:smallCaps w:val="false"/>
          <w:color w:val="000000"/>
          <w:spacing w:val="4"/>
          <w:sz w:val="20"/>
          <w:u w:val="single"/>
        </w:rPr>
        <w:t>Company Resignations</w:t>
      </w:r>
      <w:r>
        <w:rPr>
          <w:rFonts w:ascii="Times New Roman;Times;serif" w:hAnsi="Times New Roman;Times;serif"/>
          <w:b w:val="false"/>
          <w:i w:val="false"/>
          <w:caps w:val="false"/>
          <w:smallCaps w:val="false"/>
          <w:color w:val="000000"/>
          <w:spacing w:val="4"/>
          <w:sz w:val="20"/>
        </w:rPr>
        <w:t xml:space="preserve">.   The Company shall obtain and deliver to Parent at or prior to the Effective Time (or, at the option of Parent, at a later date) the resignation of each officer and director of the Company and each of its Subsidiaries, effective as of the Effective Time (it being understood that such resignation shall not constitute a voluntary termination of employment under any employment agreement or Company Benefit Plan applicable to such individual’s status as an officer or director of the Company or a Subsidiary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5.21   </w:t>
      </w:r>
      <w:r>
        <w:rPr>
          <w:rFonts w:ascii="Times New Roman;Times;serif" w:hAnsi="Times New Roman;Times;serif"/>
          <w:b w:val="false"/>
          <w:i w:val="false"/>
          <w:caps w:val="false"/>
          <w:smallCaps w:val="false"/>
          <w:color w:val="000000"/>
          <w:spacing w:val="4"/>
          <w:sz w:val="20"/>
          <w:u w:val="single"/>
        </w:rPr>
        <w:t>Obligations of Merger Sub and Surviving Company</w:t>
      </w:r>
      <w:r>
        <w:rPr>
          <w:rFonts w:ascii="Times New Roman;Times;serif" w:hAnsi="Times New Roman;Times;serif"/>
          <w:b w:val="false"/>
          <w:i w:val="false"/>
          <w:caps w:val="false"/>
          <w:smallCaps w:val="false"/>
          <w:color w:val="000000"/>
          <w:spacing w:val="4"/>
          <w:sz w:val="20"/>
        </w:rPr>
        <w:t xml:space="preserve">.   Parent will take all action necessary to cause each of Merger Sub and the Surviving Company to perform their respective obligations under this Agreement before and after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5.22   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Parent shall provide each individual who is both employed by the Company as of the Closing Date and continues employment with Parent or one of its Subsidiaries after the Closing Date with (i) base compensation that is no less favorable than the base compensation provided to such individual immediately before the Effective Time and (ii) employee benefits (excluding equity and equity-based compensation) that are no less favorable, in the aggregate, than the employee benefits provided to such individual immediately before the Effective Time, in the case of clauses (i) and (ii) for a period commencing on the Closing Date and ending on December 31, 2024 (or, if earlier, until the termination of employment of such individual) and (iii) if the Closing occurs after April 1, 2024, target annual or short-term cash incentive opportunities for 2024 that are approved for such individuals by the compensation committee of the Company Board prior to the Effective Time, which shall not exceed the amounts set forth on </w:t>
      </w:r>
      <w:r>
        <w:rPr>
          <w:rFonts w:ascii="Times New Roman;Times;serif" w:hAnsi="Times New Roman;Times;serif"/>
          <w:b w:val="false"/>
          <w:i w:val="false"/>
          <w:caps w:val="false"/>
          <w:smallCaps w:val="false"/>
          <w:color w:val="000000"/>
          <w:spacing w:val="4"/>
          <w:sz w:val="20"/>
          <w:u w:val="single"/>
        </w:rPr>
        <w:t>Section 5.22</w:t>
      </w:r>
      <w:r>
        <w:rPr>
          <w:rFonts w:ascii="Times New Roman;Times;serif" w:hAnsi="Times New Roman;Times;serif"/>
          <w:b w:val="false"/>
          <w:i w:val="false"/>
          <w:caps w:val="false"/>
          <w:smallCaps w:val="false"/>
          <w:color w:val="000000"/>
          <w:spacing w:val="4"/>
          <w:sz w:val="20"/>
        </w:rPr>
        <w:t xml:space="preserve"> of the Company Disclosure Schedules. Parent shall honor and pay 2023 incentive compensation bonuses as determined by the compensation committee of the Company Board prior to the Effective Time based on past practice and not to exceed the amounts set forth in </w:t>
      </w:r>
      <w:r>
        <w:rPr>
          <w:rFonts w:ascii="Times New Roman;Times;serif" w:hAnsi="Times New Roman;Times;serif"/>
          <w:b w:val="false"/>
          <w:i w:val="false"/>
          <w:caps w:val="false"/>
          <w:smallCaps w:val="false"/>
          <w:color w:val="000000"/>
          <w:spacing w:val="4"/>
          <w:sz w:val="20"/>
          <w:u w:val="single"/>
        </w:rPr>
        <w:t>Section 5.22</w:t>
      </w:r>
      <w:r>
        <w:rPr>
          <w:rFonts w:ascii="Times New Roman;Times;serif" w:hAnsi="Times New Roman;Times;serif"/>
          <w:b w:val="false"/>
          <w:i w:val="false"/>
          <w:caps w:val="false"/>
          <w:smallCaps w:val="false"/>
          <w:color w:val="000000"/>
          <w:spacing w:val="4"/>
          <w:sz w:val="20"/>
        </w:rPr>
        <w:t xml:space="preserve"> of the Company Disclosure Schedules, unless such bonuses have been paid prior to the Closing;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Agreement shall require Parent or any of its Subsidiaries to continue to employ any such individual.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respective obligation of each Party to effect the Merger is subject to the satisfaction or waiver at or prior to the Closing of each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Stockholder Approvals</w:t>
      </w:r>
      <w:r>
        <w:rPr>
          <w:rFonts w:ascii="Times New Roman;Times;serif" w:hAnsi="Times New Roman;Times;serif"/>
          <w:b w:val="false"/>
          <w:i w:val="false"/>
          <w:caps w:val="false"/>
          <w:smallCaps w:val="false"/>
          <w:color w:val="000000"/>
          <w:spacing w:val="4"/>
          <w:sz w:val="20"/>
        </w:rPr>
        <w:t xml:space="preserve">.   (i) The Company Stockholder Approval shall have been obtained in accordance with applicable Law and the Company’s Organizational Documents and (ii) the Parent Stockholder Approval shall have been obtained in accordance with applicable Law and Parent’s Organizational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Legal Restraint</w:t>
      </w:r>
      <w:r>
        <w:rPr>
          <w:rFonts w:ascii="Times New Roman;Times;serif" w:hAnsi="Times New Roman;Times;serif"/>
          <w:b w:val="false"/>
          <w:i w:val="false"/>
          <w:caps w:val="false"/>
          <w:smallCaps w:val="false"/>
          <w:color w:val="000000"/>
          <w:spacing w:val="4"/>
          <w:sz w:val="20"/>
        </w:rPr>
        <w:t>.   No applicable Law and no Judgment, preliminary, temporary or permanent, or other legal restraint and no binding order or determination by any Governmental Entity (collectively, the “</w:t>
      </w:r>
      <w:r>
        <w:rPr>
          <w:rFonts w:ascii="Times New Roman;Times;serif" w:hAnsi="Times New Roman;Times;serif"/>
          <w:b/>
          <w:i w:val="false"/>
          <w:caps w:val="false"/>
          <w:smallCaps w:val="false"/>
          <w:color w:val="000000"/>
          <w:spacing w:val="-4"/>
          <w:sz w:val="20"/>
        </w:rPr>
        <w:t>Legal Restraints</w:t>
      </w:r>
      <w:r>
        <w:rPr>
          <w:rFonts w:ascii="Times New Roman;Times;serif" w:hAnsi="Times New Roman;Times;serif"/>
          <w:b w:val="false"/>
          <w:i w:val="false"/>
          <w:caps w:val="false"/>
          <w:smallCaps w:val="false"/>
          <w:color w:val="000000"/>
          <w:spacing w:val="4"/>
          <w:sz w:val="20"/>
        </w:rPr>
        <w:t xml:space="preserve">”) shall be in effect that prevents, restrains, enjoins, makes illegal or otherwise prohibits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The Registration Statement shall have been declared effective by the SEC under the Securities Act and no stop order suspending the effectiveness of the Registration Statement shall have been issued and no Legal Proceedings for that purpose shall have been initiated or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The existing shares of Parent Common Stock shall have been continually listed on Nasdaq as of and from the date of this Agreement through the Closing Date, and the shares of Parent Common Stock issuable in connection with the Merger shall have been approved for listing on the NASDAQ Stock Market, subject to official notice of issuance.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3" w:name="t6TOO"/>
      <w:bookmarkEnd w:id="263"/>
      <w:r>
        <w:rPr>
          <w:rFonts w:ascii="calibri;arial;sans-serif" w:hAnsi="calibri;arial;sans-serif"/>
          <w:b w:val="false"/>
          <w:i w:val="false"/>
          <w:caps w:val="false"/>
          <w:smallCaps w:val="false"/>
          <w:color w:val="000000"/>
          <w:sz w:val="16"/>
        </w:rPr>
        <w:t>​</w:t>
      </w:r>
      <w:bookmarkStart w:id="264" w:name="t6TOO1"/>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Competition Clearances</w:t>
      </w:r>
      <w:r>
        <w:rPr>
          <w:rFonts w:ascii="Times New Roman;Times;serif" w:hAnsi="Times New Roman;Times;serif"/>
          <w:b w:val="false"/>
          <w:i w:val="false"/>
          <w:caps w:val="false"/>
          <w:smallCaps w:val="false"/>
          <w:color w:val="000000"/>
          <w:spacing w:val="4"/>
          <w:sz w:val="20"/>
        </w:rPr>
        <w:t xml:space="preserve">.   The waiting period (and any extension thereof) applicable to the Merger or any of the Contemplated Transactions under the HSR Act and any other applicable Antitrust Laws shall have expired or been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are also subject to the satisfaction or waiver by Parent at or prior to the Closing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the Company contained in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3.2(c)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3.7</w:t>
      </w:r>
      <w:r>
        <w:rPr>
          <w:rFonts w:ascii="Times New Roman;Times;serif" w:hAnsi="Times New Roman;Times;serif"/>
          <w:b w:val="false"/>
          <w:i w:val="false"/>
          <w:caps w:val="false"/>
          <w:smallCaps w:val="false"/>
          <w:color w:val="000000"/>
          <w:spacing w:val="4"/>
          <w:sz w:val="20"/>
        </w:rPr>
        <w:t xml:space="preserve"> (clause (ii) only) (Absence of Changes),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clause (ii) of the definition thereof); (ii) the representations and warranties of the Company contained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3.2(c)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(other than the first sentence of each of </w:t>
      </w:r>
      <w:r>
        <w:rPr>
          <w:rFonts w:ascii="Times New Roman;Times;serif" w:hAnsi="Times New Roman;Times;serif"/>
          <w:b w:val="false"/>
          <w:i w:val="false"/>
          <w:caps w:val="false"/>
          <w:smallCaps w:val="false"/>
          <w:color w:val="000000"/>
          <w:spacing w:val="4"/>
          <w:sz w:val="20"/>
          <w:u w:val="single"/>
        </w:rPr>
        <w:t>Sections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the Company contained in the first sentence of each of </w:t>
      </w:r>
      <w:r>
        <w:rPr>
          <w:rFonts w:ascii="Times New Roman;Times;serif" w:hAnsi="Times New Roman;Times;serif"/>
          <w:b w:val="false"/>
          <w:i w:val="false"/>
          <w:caps w:val="false"/>
          <w:smallCaps w:val="false"/>
          <w:color w:val="000000"/>
          <w:spacing w:val="4"/>
          <w:sz w:val="20"/>
          <w:u w:val="single"/>
        </w:rPr>
        <w:t>Sections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(Capitalization)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clause (ii) of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(Absence of Changes) shall be true and correct in all respects at and as of the date of this Agreement and at and as of the Closing Date as if made at and as of such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Company Material Adverse Effect</w:t>
      </w:r>
      <w:r>
        <w:rPr>
          <w:rFonts w:ascii="Times New Roman;Times;serif" w:hAnsi="Times New Roman;Times;serif"/>
          <w:b w:val="false"/>
          <w:i w:val="false"/>
          <w:caps w:val="false"/>
          <w:smallCaps w:val="false"/>
          <w:color w:val="000000"/>
          <w:spacing w:val="4"/>
          <w:sz w:val="20"/>
        </w:rPr>
        <w:t xml:space="preserve">.   After the date of this Agreement, there shall not have occurred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Company Certificate</w:t>
      </w:r>
      <w:r>
        <w:rPr>
          <w:rFonts w:ascii="Times New Roman;Times;serif" w:hAnsi="Times New Roman;Times;serif"/>
          <w:b w:val="false"/>
          <w:i w:val="false"/>
          <w:caps w:val="false"/>
          <w:smallCaps w:val="false"/>
          <w:color w:val="000000"/>
          <w:spacing w:val="4"/>
          <w:sz w:val="20"/>
        </w:rPr>
        <w:t xml:space="preserve">.   Parent shall have received at the Closing (i) a certificate signed on behalf of the Company by a senior executive officer of the Company to the effect that the conditions set forth in </w:t>
      </w:r>
      <w:r>
        <w:rPr>
          <w:rFonts w:ascii="Times New Roman;Times;serif" w:hAnsi="Times New Roman;Times;serif"/>
          <w:b w:val="false"/>
          <w:i w:val="false"/>
          <w:caps w:val="false"/>
          <w:smallCaps w:val="false"/>
          <w:color w:val="000000"/>
          <w:spacing w:val="4"/>
          <w:sz w:val="20"/>
          <w:u w:val="single"/>
        </w:rPr>
        <w:t>Sections 6.2(a)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and (ii) a complete and duly executed certificate of the Company satisfying the requirements of Treasury Regulation section 1.1445-2(e)(3).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Conditions to Obligation of Company</w:t>
      </w:r>
      <w:r>
        <w:rPr>
          <w:rFonts w:ascii="Times New Roman;Times;serif" w:hAnsi="Times New Roman;Times;serif"/>
          <w:b w:val="false"/>
          <w:i w:val="false"/>
          <w:caps w:val="false"/>
          <w:smallCaps w:val="false"/>
          <w:color w:val="000000"/>
          <w:spacing w:val="4"/>
          <w:sz w:val="20"/>
        </w:rPr>
        <w:t xml:space="preserve">.   The obligations of the Company to effect the Merger are also subject to the satisfaction or waiver by the Company at or prior to the Closing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Parent contained in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4.2(c)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(clause (ii) only) (Absence of Changes),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(without giving effect to any limitation as to “materiality” or “Parent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6OCN"/>
      <w:bookmarkEnd w:id="265"/>
      <w:r>
        <w:rPr>
          <w:rFonts w:ascii="calibri;arial;sans-serif" w:hAnsi="calibri;arial;sans-serif"/>
          <w:b w:val="false"/>
          <w:i w:val="false"/>
          <w:caps w:val="false"/>
          <w:smallCaps w:val="false"/>
          <w:color w:val="000000"/>
          <w:sz w:val="16"/>
        </w:rPr>
        <w:t>​</w:t>
      </w:r>
      <w:bookmarkStart w:id="266" w:name="tARVI1"/>
      <w:bookmarkEnd w:id="266"/>
      <w:r>
        <w:rPr>
          <w:rFonts w:ascii="calibri;arial;sans-serif" w:hAnsi="calibri;arial;sans-serif"/>
          <w:b w:val="false"/>
          <w:i w:val="false"/>
          <w:caps w:val="false"/>
          <w:smallCaps w:val="false"/>
          <w:color w:val="000000"/>
          <w:sz w:val="16"/>
        </w:rPr>
        <w:t>​</w:t>
      </w:r>
      <w:bookmarkStart w:id="267" w:name="t7BMC"/>
      <w:bookmarkEnd w:id="267"/>
      <w:r>
        <w:rPr>
          <w:rFonts w:ascii="calibri;arial;sans-serif" w:hAnsi="calibri;arial;sans-serif"/>
          <w:b w:val="false"/>
          <w:i w:val="false"/>
          <w:caps w:val="false"/>
          <w:smallCaps w:val="false"/>
          <w:color w:val="000000"/>
          <w:sz w:val="16"/>
        </w:rPr>
        <w:t>​</w:t>
      </w:r>
      <w:bookmarkStart w:id="268" w:name="t7BEP"/>
      <w:bookmarkEnd w:id="2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not have a Parent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clause (ii) of the definition thereof); (ii) the representations and warranties of Parent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4.2(c)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(other than the first sentence of each of </w:t>
      </w:r>
      <w:r>
        <w:rPr>
          <w:rFonts w:ascii="Times New Roman;Times;serif" w:hAnsi="Times New Roman;Times;serif"/>
          <w:b w:val="false"/>
          <w:i w:val="false"/>
          <w:caps w:val="false"/>
          <w:smallCaps w:val="false"/>
          <w:color w:val="000000"/>
          <w:spacing w:val="4"/>
          <w:sz w:val="20"/>
          <w:u w:val="single"/>
        </w:rPr>
        <w:t>Sections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4.3(d)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Parent contained in the first sentence of each of </w:t>
      </w:r>
      <w:r>
        <w:rPr>
          <w:rFonts w:ascii="Times New Roman;Times;serif" w:hAnsi="Times New Roman;Times;serif"/>
          <w:b w:val="false"/>
          <w:i w:val="false"/>
          <w:caps w:val="false"/>
          <w:smallCaps w:val="false"/>
          <w:color w:val="000000"/>
          <w:spacing w:val="4"/>
          <w:sz w:val="20"/>
          <w:u w:val="single"/>
        </w:rPr>
        <w:t>Sections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4.3(d)</w:t>
      </w:r>
      <w:r>
        <w:rPr>
          <w:rFonts w:ascii="Times New Roman;Times;serif" w:hAnsi="Times New Roman;Times;serif"/>
          <w:b w:val="false"/>
          <w:i w:val="false"/>
          <w:caps w:val="false"/>
          <w:smallCaps w:val="false"/>
          <w:color w:val="000000"/>
          <w:spacing w:val="4"/>
          <w:sz w:val="20"/>
        </w:rPr>
        <w:t xml:space="preserve"> (Capitalization)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clause (ii) of </w:t>
      </w:r>
      <w:r>
        <w:rPr>
          <w:rFonts w:ascii="Times New Roman;Times;serif" w:hAnsi="Times New Roman;Times;serif"/>
          <w:b w:val="false"/>
          <w:i w:val="false"/>
          <w:caps w:val="false"/>
          <w:smallCaps w:val="false"/>
          <w:color w:val="000000"/>
          <w:spacing w:val="4"/>
          <w:sz w:val="20"/>
          <w:u w:val="single"/>
        </w:rPr>
        <w:t>Section 4.7</w:t>
      </w:r>
      <w:r>
        <w:rPr>
          <w:rFonts w:ascii="Times New Roman;Times;serif" w:hAnsi="Times New Roman;Times;serif"/>
          <w:b w:val="false"/>
          <w:i w:val="false"/>
          <w:caps w:val="false"/>
          <w:smallCaps w:val="false"/>
          <w:color w:val="000000"/>
          <w:spacing w:val="4"/>
          <w:sz w:val="20"/>
        </w:rPr>
        <w:t xml:space="preserve"> (Absence of Changes) shall be true and correct in all respects at and as of the date of this Agreement and at and as of the Closing Date as if made at and as of such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in all material respects all obligations required to be performed by it under this Agreement at or prior to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Parent Material Adverse Effect</w:t>
      </w:r>
      <w:r>
        <w:rPr>
          <w:rFonts w:ascii="Times New Roman;Times;serif" w:hAnsi="Times New Roman;Times;serif"/>
          <w:b w:val="false"/>
          <w:i w:val="false"/>
          <w:caps w:val="false"/>
          <w:smallCaps w:val="false"/>
          <w:color w:val="000000"/>
          <w:spacing w:val="4"/>
          <w:sz w:val="20"/>
        </w:rPr>
        <w:t xml:space="preserve">.   After the date of this Agreement, there shall not have occurred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Parent Charter Amendment</w:t>
      </w:r>
      <w:r>
        <w:rPr>
          <w:rFonts w:ascii="Times New Roman;Times;serif" w:hAnsi="Times New Roman;Times;serif"/>
          <w:b w:val="false"/>
          <w:i w:val="false"/>
          <w:caps w:val="false"/>
          <w:smallCaps w:val="false"/>
          <w:color w:val="000000"/>
          <w:spacing w:val="4"/>
          <w:sz w:val="20"/>
        </w:rPr>
        <w:t xml:space="preserve">.   Parent shall have effected the Parent Charter Amendment and delivered to the Company a file-stamped copy of the amendment to Parent’s certificate of incorporation effecting the Parent Charter Amendment.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Certificate</w:t>
      </w:r>
      <w:r>
        <w:rPr>
          <w:rFonts w:ascii="Times New Roman;Times;serif" w:hAnsi="Times New Roman;Times;serif"/>
          <w:b w:val="false"/>
          <w:i w:val="false"/>
          <w:caps w:val="false"/>
          <w:smallCaps w:val="false"/>
          <w:color w:val="000000"/>
          <w:spacing w:val="4"/>
          <w:sz w:val="20"/>
        </w:rPr>
        <w:t xml:space="preserve">.   The Company shall have received at the Closing a certificate signed on behalf of Parent by a senior executive officer of Parent to the effect that the conditions set forth in </w:t>
      </w:r>
      <w:r>
        <w:rPr>
          <w:rFonts w:ascii="Times New Roman;Times;serif" w:hAnsi="Times New Roman;Times;serif"/>
          <w:b w:val="false"/>
          <w:i w:val="false"/>
          <w:caps w:val="false"/>
          <w:smallCaps w:val="false"/>
          <w:color w:val="000000"/>
          <w:spacing w:val="4"/>
          <w:sz w:val="20"/>
          <w:u w:val="single"/>
        </w:rPr>
        <w:t>Sections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Frustration of Conditions</w:t>
      </w:r>
      <w:r>
        <w:rPr>
          <w:rFonts w:ascii="Times New Roman;Times;serif" w:hAnsi="Times New Roman;Times;serif"/>
          <w:b w:val="false"/>
          <w:i w:val="false"/>
          <w:caps w:val="false"/>
          <w:smallCaps w:val="false"/>
          <w:color w:val="000000"/>
          <w:spacing w:val="4"/>
          <w:sz w:val="20"/>
        </w:rPr>
        <w:t xml:space="preserve">.   None of the Company, Parent or Merger Sub may rely, either as a basis for not consummating the Merger or the other transactions or terminating this Agreement and abandoning the Merger, on the failure of any condition set forth in </w:t>
      </w:r>
      <w:r>
        <w:rPr>
          <w:rFonts w:ascii="Times New Roman;Times;serif" w:hAnsi="Times New Roman;Times;serif"/>
          <w:b w:val="false"/>
          <w:i w:val="false"/>
          <w:caps w:val="false"/>
          <w:smallCaps w:val="false"/>
          <w:color w:val="000000"/>
          <w:spacing w:val="4"/>
          <w:sz w:val="20"/>
          <w:u w:val="single"/>
        </w:rPr>
        <w:t>Sections 6.1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6.2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6.3</w:t>
      </w:r>
      <w:r>
        <w:rPr>
          <w:rFonts w:ascii="Times New Roman;Times;serif" w:hAnsi="Times New Roman;Times;serif"/>
          <w:b w:val="false"/>
          <w:i w:val="false"/>
          <w:caps w:val="false"/>
          <w:smallCaps w:val="false"/>
          <w:color w:val="000000"/>
          <w:spacing w:val="4"/>
          <w:sz w:val="20"/>
        </w:rPr>
        <w:t xml:space="preserve">, as the case may be, to be satisfied if such failure was caused by such Party’s material breach of any provision of this Agreement.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Termination by Mutual Consent</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by mutual written consent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Termination by Either Parent or Company</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either Parent or the Company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Merger shall not have been consummated by 11:59 p.m. (Eastern Standard time) on May 1, 2024, (the “</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on the Termination Date any of the conditions set forth in </w:t>
      </w:r>
      <w:r>
        <w:rPr>
          <w:rFonts w:ascii="Times New Roman;Times;serif" w:hAnsi="Times New Roman;Times;serif"/>
          <w:b w:val="false"/>
          <w:i w:val="false"/>
          <w:caps w:val="false"/>
          <w:smallCaps w:val="false"/>
          <w:color w:val="000000"/>
          <w:spacing w:val="4"/>
          <w:sz w:val="20"/>
          <w:u w:val="single"/>
        </w:rPr>
        <w:t>Section 6.1(e)</w:t>
      </w:r>
      <w:r>
        <w:rPr>
          <w:rFonts w:ascii="Times New Roman;Times;serif" w:hAnsi="Times New Roman;Times;serif"/>
          <w:b w:val="false"/>
          <w:i w:val="false"/>
          <w:caps w:val="false"/>
          <w:smallCaps w:val="false"/>
          <w:color w:val="000000"/>
          <w:spacing w:val="4"/>
          <w:sz w:val="20"/>
        </w:rPr>
        <w:t xml:space="preserve"> are not satisfied, either Parent or the Company may, upon written notice to the other Party, extent the Termination Date on one or more occasions, for additional periods of up to 30 days per extension or such longer period as may be agreed by Parent or the Company (and in the case of any such extension, any reference to the Termination Date in this Agreement shall be a reference to the Termination Date as so extended);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either Parent or the Company be permitted to extent the Termination Date beyond October 4, 2024;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9" w:name="t7BCT"/>
      <w:bookmarkEnd w:id="2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terminate this Agreement under this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shall not be available to any Party if its material breach of any provision of this Agreement has been the cause of, or resulted in, the failure of the Merger to be consummated by the Termination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Stockholder Approval shall not have been obtained at a meeting duly convened therefor or at any adjournment or postponement thereof, in each case at which a vote upon the adoption of this Agreement was taken;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shall not be available to the Company if its material breach of any provision of this Agreement has been the cause of, or resulted in, the failure to obtain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Parent Stockholder Approval shall not have been obtained at a meeting duly convened therefor or at any adjournment or postponement thereof, in each case at which a vote upon the Parent Charter Amendment was taken;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shall not be available to Parent if its material breach of any provision of this Agreement has been the cause of, or resulted in, the failure to obtain the Parent Stockholder Approval;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if the condition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is not satisfied and the Legal Restraint giving rise to such non-satisfaction shall have become final and non-appealable;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terminating Party shall have complied with its obligations pursuant to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Termination by Company</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the Company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any time prior to the Parent Stockholder Approval having been obtained, (i) a Parent Change in Recommendation shall have occurred, (ii) the Parent Board shall have failed to publicly reaffirm its recommendation to approve the Parent Board Recommendation within 10 Business Days after the Company so requests in writing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shall expire upon receipt of the Parent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any time prior to the Company Stockholder Approval having been obtained, in order to accept a Company Superior Proposal and, substantially concurrent with such termination, to enter into a binding written definitive acquisition agreement providing for the consummation of a transaction constituting a Company Superior Proposal (a “</w:t>
      </w:r>
      <w:r>
        <w:rPr>
          <w:rFonts w:ascii="Times New Roman;Times;serif" w:hAnsi="Times New Roman;Times;serif"/>
          <w:b/>
          <w:i w:val="false"/>
          <w:caps w:val="false"/>
          <w:smallCaps w:val="false"/>
          <w:color w:val="000000"/>
          <w:spacing w:val="-4"/>
          <w:sz w:val="20"/>
        </w:rPr>
        <w:t>Company Specified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has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with respect to such Company Superior Proposal and pays the Company Termination Fee as provided in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is obtained, if there has been a breach of any representation, warranty, covenant or agreement made by Parent or Merger Sub in this Agreement, or any such representation and warranty shall have become untrue after the date of this Agreement, such that any condition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if the Company is then in material breach of any of its representations, warranties, covenants or agreements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0" w:name="t7BPT"/>
      <w:bookmarkEnd w:id="270"/>
      <w:r>
        <w:rPr>
          <w:rFonts w:ascii="calibri;arial;sans-serif" w:hAnsi="calibri;arial;sans-serif"/>
          <w:b w:val="false"/>
          <w:i w:val="false"/>
          <w:caps w:val="false"/>
          <w:smallCaps w:val="false"/>
          <w:color w:val="000000"/>
          <w:sz w:val="16"/>
        </w:rPr>
        <w:t>​</w:t>
      </w:r>
      <w:bookmarkStart w:id="271" w:name="t7TFA"/>
      <w:bookmarkEnd w:id="2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7.4   </w:t>
      </w:r>
      <w:r>
        <w:rPr>
          <w:rFonts w:ascii="Times New Roman;Times;serif" w:hAnsi="Times New Roman;Times;serif"/>
          <w:b w:val="false"/>
          <w:i w:val="false"/>
          <w:caps w:val="false"/>
          <w:smallCaps w:val="false"/>
          <w:color w:val="000000"/>
          <w:spacing w:val="4"/>
          <w:sz w:val="20"/>
          <w:u w:val="single"/>
        </w:rPr>
        <w:t>Termination by Parent</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Parent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any time prior to the Company Stockholder Approval having been obtained, (i) a Company Change in Recommendation shall have occurred, (ii) the Company Board shall have failed to publicly reaffirm its recommendation to approve the Company Board Recommendation within 10 Business Days after Parent so requests in writing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limited to one such request with respect to any Company Acquisition Proposal unless such Company Acquisition Proposal has been modified, and then one such request with respect to any such modification) following the public disclosure of any Company Acquisition Proposal with any Person other than Parent (or if the Company Stockholders Meeting is scheduled to be held within 10 Business Days of the written request of Parent, promptly and in any event prior to the date on which the Company Stockholders Meeting is scheduled to be held), (iii) the Company Board shall have failed to publicly recommend against any tender offer or exchange offer subject to Regulation 14D under the Exchange Act that constitutes a Company Acquisition Proposal (including, for these purposes, by taking no position with respect to the acceptance of such tender offer or exchange offer by the Company’s stockholders) within 10 Business Days of the commencement of such tender offer or exchange offer or (iv) the Company shall have intentionally and materially breached its obligations set forth in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shall expire upon receipt of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any time prior to the Parent Stockholder Approval having been obtained, in order to accept a Parent Superior Proposal and, substantially concurrent with such termination, to enter into a binding written definitive acquisition agreement providing for the consummation of a transaction constituting a Parent Superior Proposal (a “</w:t>
      </w:r>
      <w:r>
        <w:rPr>
          <w:rFonts w:ascii="Times New Roman;Times;serif" w:hAnsi="Times New Roman;Times;serif"/>
          <w:b/>
          <w:i w:val="false"/>
          <w:caps w:val="false"/>
          <w:smallCaps w:val="false"/>
          <w:color w:val="000000"/>
          <w:spacing w:val="-4"/>
          <w:sz w:val="20"/>
        </w:rPr>
        <w:t>Parent Specified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has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Parent Superior Proposal and pays the Parent Termination Fee as provided in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is obtained, if there has been a breach of any representation, warranty, covenant or agreement made by the Company in this Agreement, or any such representation and warranty shall have become untrue after the date of this Agreement, such that any condition set forth in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if Parent is then in material breach of any of its representations, warranties, covenants or agreements under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7.5   </w:t>
      </w:r>
      <w:r>
        <w:rPr>
          <w:rFonts w:ascii="Times New Roman;Times;serif" w:hAnsi="Times New Roman;Times;serif"/>
          <w:b w:val="false"/>
          <w:i w:val="false"/>
          <w:caps w:val="false"/>
          <w:smallCaps w:val="false"/>
          <w:color w:val="000000"/>
          <w:spacing w:val="4"/>
          <w:sz w:val="20"/>
          <w:u w:val="single"/>
        </w:rPr>
        <w:t>Company Termination Fee and Expense Reimbursement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(A) after the date of this Agreement, a Company Acquisition Proposal shall have been made to the Company and such Company Acquisition Proposal becomes publicly known prior to the Company Stockholders’ Meeting and, in either case, such Company Acquisition Proposal shall not have been withdrawn at the time of the Company Stockholders Meeting, or a third party has publicly announced an intention to make a Company Acquisition Proposal and such intention shall not have been withdrawn at the time of the Company Stockholders Meeting, (B)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and (C) within 12 months after such termination, the Company enters into a Company Alternative Acquisition Agreement with respect to a Company Acquisition Proposal or consummates a Company Acquisition Proposal (solely for purposes of this </w:t>
      </w:r>
      <w:r>
        <w:rPr>
          <w:rFonts w:ascii="Times New Roman;Times;serif" w:hAnsi="Times New Roman;Times;serif"/>
          <w:b w:val="false"/>
          <w:i w:val="false"/>
          <w:caps w:val="false"/>
          <w:smallCaps w:val="false"/>
          <w:color w:val="000000"/>
          <w:spacing w:val="4"/>
          <w:sz w:val="20"/>
          <w:u w:val="single"/>
        </w:rPr>
        <w:t>Section 7.5(a)(i)</w:t>
      </w:r>
      <w:r>
        <w:rPr>
          <w:rFonts w:ascii="Times New Roman;Times;serif" w:hAnsi="Times New Roman;Times;serif"/>
          <w:b w:val="false"/>
          <w:i w:val="false"/>
          <w:caps w:val="false"/>
          <w:smallCaps w:val="false"/>
          <w:color w:val="000000"/>
          <w:spacing w:val="4"/>
          <w:sz w:val="20"/>
        </w:rPr>
        <w:t xml:space="preserve">, the references to “15%” in the definition of Company Acquisition Proposal shall be deemed to be references to “50%”); (ii) this Agreement is terminated by Parent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(iii)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then the Company shall, prior to or simultaneously with such termination in the case of clause (iii) and execution of the Company Specified Agreement (or if the Company Specified Agreement is executed on a day that is not a Business Day, the next Business Day), within two Business Days after such termination in the case of clause (ii) or within one Business Day after the consummation of a Company Acquisition Proposal, in the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2" w:name="t7TFA1"/>
      <w:bookmarkEnd w:id="272"/>
      <w:r>
        <w:rPr>
          <w:rFonts w:ascii="calibri;arial;sans-serif" w:hAnsi="calibri;arial;sans-serif"/>
          <w:b w:val="false"/>
          <w:i w:val="false"/>
          <w:caps w:val="false"/>
          <w:smallCaps w:val="false"/>
          <w:color w:val="000000"/>
          <w:sz w:val="16"/>
        </w:rPr>
        <w:t>​</w:t>
      </w:r>
      <w:bookmarkStart w:id="273" w:name="t7OTT"/>
      <w:bookmarkEnd w:id="2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clause (i), pay (or cause to be paid) to Parent the Company Termination Fee by wire transfer of same day funds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either the Company or Parent terminates this Agreement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at any time after Parent would have been permitted to terminate this Agreement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this Agreement shall be deemed terminated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as applicable, for purposes of this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this Agreement was validly terminated pursuant to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the Company Termination Fee shall be reduced by an amount equal to the Parent Fee Reimbursement actually paid to Parent pursuant to </w:t>
      </w:r>
      <w:r>
        <w:rPr>
          <w:rFonts w:ascii="Times New Roman;Times;serif" w:hAnsi="Times New Roman;Times;serif"/>
          <w:b w:val="false"/>
          <w:i w:val="false"/>
          <w:caps w:val="false"/>
          <w:smallCaps w:val="false"/>
          <w:color w:val="000000"/>
          <w:spacing w:val="4"/>
          <w:sz w:val="20"/>
          <w:u w:val="single"/>
        </w:rPr>
        <w:t>Section 7.5(b)</w:t>
      </w:r>
      <w:r>
        <w:rPr>
          <w:rFonts w:ascii="Times New Roman;Times;serif" w:hAnsi="Times New Roman;Times;serif"/>
          <w:b w:val="false"/>
          <w:i w:val="false"/>
          <w:caps w:val="false"/>
          <w:smallCaps w:val="false"/>
          <w:color w:val="000000"/>
          <w:spacing w:val="4"/>
          <w:sz w:val="20"/>
        </w:rPr>
        <w:t xml:space="preserve">. In no event shall the Company be required to pay the Company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the Company shall reimburse Parent for all reasonable out of pocket fees and expenses incurred by Parent in connection with this Agreement and the Contemplated Transactions, up to a maximum of $2,000,000 (the “</w:t>
      </w:r>
      <w:r>
        <w:rPr>
          <w:rFonts w:ascii="Times New Roman;Times;serif" w:hAnsi="Times New Roman;Times;serif"/>
          <w:b/>
          <w:i w:val="false"/>
          <w:caps w:val="false"/>
          <w:smallCaps w:val="false"/>
          <w:color w:val="000000"/>
          <w:spacing w:val="-4"/>
          <w:sz w:val="20"/>
        </w:rPr>
        <w:t>Parent Fee Reimbursement</w:t>
      </w:r>
      <w:r>
        <w:rPr>
          <w:rFonts w:ascii="Times New Roman;Times;serif" w:hAnsi="Times New Roman;Times;serif"/>
          <w:b w:val="false"/>
          <w:i w:val="false"/>
          <w:caps w:val="false"/>
          <w:smallCaps w:val="false"/>
          <w:color w:val="000000"/>
          <w:spacing w:val="4"/>
          <w:sz w:val="20"/>
        </w:rPr>
        <w:t xml:space="preserve">”), by wire transfer of same day funds within five Business Days following the date on which Parent submits to the Company true and correct copies of reasonable documentation supporting such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7.6   </w:t>
      </w:r>
      <w:r>
        <w:rPr>
          <w:rFonts w:ascii="Times New Roman;Times;serif" w:hAnsi="Times New Roman;Times;serif"/>
          <w:b w:val="false"/>
          <w:i w:val="false"/>
          <w:caps w:val="false"/>
          <w:smallCaps w:val="false"/>
          <w:color w:val="000000"/>
          <w:spacing w:val="4"/>
          <w:sz w:val="20"/>
          <w:u w:val="single"/>
        </w:rPr>
        <w:t>Parent Termination Fee and Expense Reimbursement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and (C) within 12 months after such termination, Parent enters into a Parent Alternative Acquisition Agreement with respect to a Parent Acquisition Proposal or consummates a Parent Acquisition Proposal (solely for purposes of this </w:t>
      </w:r>
      <w:r>
        <w:rPr>
          <w:rFonts w:ascii="Times New Roman;Times;serif" w:hAnsi="Times New Roman;Times;serif"/>
          <w:b w:val="false"/>
          <w:i w:val="false"/>
          <w:caps w:val="false"/>
          <w:smallCaps w:val="false"/>
          <w:color w:val="000000"/>
          <w:spacing w:val="4"/>
          <w:sz w:val="20"/>
          <w:u w:val="single"/>
        </w:rPr>
        <w:t>Section 7.6(a)(i)</w:t>
      </w:r>
      <w:r>
        <w:rPr>
          <w:rFonts w:ascii="Times New Roman;Times;serif" w:hAnsi="Times New Roman;Times;serif"/>
          <w:b w:val="false"/>
          <w:i w:val="false"/>
          <w:caps w:val="false"/>
          <w:smallCaps w:val="false"/>
          <w:color w:val="000000"/>
          <w:spacing w:val="4"/>
          <w:sz w:val="20"/>
        </w:rPr>
        <w:t xml:space="preserve">, the references to “15%” in the definition of Parent Acquisition Proposal shall be deemed to be references to “50%”); (ii)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(iii) this Agreement is terminated by Parent pursuant to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then Parent shall, prior to or simultaneously with such termination in the case of clause (iii) and execution of the Parent Specified Agreement (or if the Parent Specified Agreement is executed on a day that is not a Business Day, the next Business Day), within two Business Days after such termination in the case of clause (ii) or within one Business Day after the consummation of an Parent Acquisition Proposal, in the case of clause (i), pay (or cause to be paid) to the Company the Parent Termination Fee by wire transfer of same day funds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either the Company or Parent terminates this Agreement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at any time after the Company would have been permitted to terminate this Agreement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this Agreement shall be deemed terminated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as applicable, for purposes of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this Agreement was validly terminated pursuant to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Parent Termination Fee shall be reduced by an amount equal to the Company Fee Reimbursement actually paid to the Company pursuant to </w:t>
      </w:r>
      <w:r>
        <w:rPr>
          <w:rFonts w:ascii="Times New Roman;Times;serif" w:hAnsi="Times New Roman;Times;serif"/>
          <w:b w:val="false"/>
          <w:i w:val="false"/>
          <w:caps w:val="false"/>
          <w:smallCaps w:val="false"/>
          <w:color w:val="000000"/>
          <w:spacing w:val="4"/>
          <w:sz w:val="20"/>
          <w:u w:val="single"/>
        </w:rPr>
        <w:t>Section 7.6(b)</w:t>
      </w:r>
      <w:r>
        <w:rPr>
          <w:rFonts w:ascii="Times New Roman;Times;serif" w:hAnsi="Times New Roman;Times;serif"/>
          <w:b w:val="false"/>
          <w:i w:val="false"/>
          <w:caps w:val="false"/>
          <w:smallCaps w:val="false"/>
          <w:color w:val="000000"/>
          <w:spacing w:val="4"/>
          <w:sz w:val="20"/>
        </w:rPr>
        <w:t xml:space="preserve">. In no event shall Parent be required to pay the Parent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Parent shall reimburse the Company for all reasonable out of pocket fees and expenses incurred by the Company in connection with this Agreement and the Contemplated Transactions, up to a maximum of $2,000,000 (the “</w:t>
      </w:r>
      <w:r>
        <w:rPr>
          <w:rFonts w:ascii="Times New Roman;Times;serif" w:hAnsi="Times New Roman;Times;serif"/>
          <w:b/>
          <w:i w:val="false"/>
          <w:caps w:val="false"/>
          <w:smallCaps w:val="false"/>
          <w:color w:val="000000"/>
          <w:spacing w:val="-4"/>
          <w:sz w:val="20"/>
        </w:rPr>
        <w:t>Company Fee Reimbursement</w:t>
      </w:r>
      <w:r>
        <w:rPr>
          <w:rFonts w:ascii="Times New Roman;Times;serif" w:hAnsi="Times New Roman;Times;serif"/>
          <w:b w:val="false"/>
          <w:i w:val="false"/>
          <w:caps w:val="false"/>
          <w:smallCaps w:val="false"/>
          <w:color w:val="000000"/>
          <w:spacing w:val="4"/>
          <w:sz w:val="20"/>
        </w:rPr>
        <w:t xml:space="preserve">”), by wire transfer of same day funds within five Business Days following the date on which the Company submits to Parent true and correct copies of reasonable documentation supporting such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7.7   </w:t>
      </w:r>
      <w:r>
        <w:rPr>
          <w:rFonts w:ascii="Times New Roman;Times;serif" w:hAnsi="Times New Roman;Times;serif"/>
          <w:b w:val="false"/>
          <w:i w:val="false"/>
          <w:caps w:val="false"/>
          <w:smallCaps w:val="false"/>
          <w:color w:val="000000"/>
          <w:spacing w:val="4"/>
          <w:sz w:val="20"/>
          <w:u w:val="single"/>
        </w:rPr>
        <w:t>Notice of Termination</w:t>
      </w:r>
      <w:r>
        <w:rPr>
          <w:rFonts w:ascii="Times New Roman;Times;serif" w:hAnsi="Times New Roman;Times;serif"/>
          <w:b w:val="false"/>
          <w:i w:val="false"/>
          <w:caps w:val="false"/>
          <w:smallCaps w:val="false"/>
          <w:color w:val="000000"/>
          <w:spacing w:val="4"/>
          <w:sz w:val="20"/>
        </w:rPr>
        <w:t xml:space="preserve">.   The Party desiring to terminate this Agreement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Parties in accordance with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specifying the provision of this Agreement pursuant to which such termination is effected.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4" w:name="t7OTA"/>
      <w:bookmarkEnd w:id="274"/>
      <w:r>
        <w:rPr>
          <w:rFonts w:ascii="calibri;arial;sans-serif" w:hAnsi="calibri;arial;sans-serif"/>
          <w:b w:val="false"/>
          <w:i w:val="false"/>
          <w:caps w:val="false"/>
          <w:smallCaps w:val="false"/>
          <w:color w:val="000000"/>
          <w:sz w:val="16"/>
        </w:rPr>
        <w:t>​</w:t>
      </w:r>
      <w:bookmarkStart w:id="275" w:name="t79R"/>
      <w:bookmarkEnd w:id="275"/>
      <w:r>
        <w:rPr>
          <w:rFonts w:ascii="calibri;arial;sans-serif" w:hAnsi="calibri;arial;sans-serif"/>
          <w:b w:val="false"/>
          <w:i w:val="false"/>
          <w:caps w:val="false"/>
          <w:smallCaps w:val="false"/>
          <w:color w:val="000000"/>
          <w:sz w:val="16"/>
        </w:rPr>
        <w:t>​</w:t>
      </w:r>
      <w:bookmarkStart w:id="276" w:name="tAVAG"/>
      <w:bookmarkEnd w:id="276"/>
      <w:r>
        <w:rPr>
          <w:rFonts w:ascii="calibri;arial;sans-serif" w:hAnsi="calibri;arial;sans-serif"/>
          <w:b w:val="false"/>
          <w:i w:val="false"/>
          <w:caps w:val="false"/>
          <w:smallCaps w:val="false"/>
          <w:color w:val="000000"/>
          <w:sz w:val="16"/>
        </w:rPr>
        <w:t>​</w:t>
      </w:r>
      <w:bookmarkStart w:id="277" w:name="t8TAV"/>
      <w:bookmarkEnd w:id="2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7.8   </w:t>
      </w:r>
      <w:r>
        <w:rPr>
          <w:rFonts w:ascii="Times New Roman;Times;serif" w:hAnsi="Times New Roman;Times;serif"/>
          <w:b w:val="false"/>
          <w:i w:val="false"/>
          <w:caps w:val="false"/>
          <w:smallCaps w:val="false"/>
          <w:color w:val="000000"/>
          <w:spacing w:val="4"/>
          <w:sz w:val="20"/>
          <w:u w:val="single"/>
        </w:rPr>
        <w:t>Effect of Termination and Abandonment</w:t>
      </w:r>
      <w:r>
        <w:rPr>
          <w:rFonts w:ascii="Times New Roman;Times;serif" w:hAnsi="Times New Roman;Times;serif"/>
          <w:b w:val="false"/>
          <w:i w:val="false"/>
          <w:caps w:val="false"/>
          <w:smallCaps w:val="false"/>
          <w:color w:val="000000"/>
          <w:spacing w:val="4"/>
          <w:sz w:val="20"/>
        </w:rPr>
        <w:t xml:space="preserve">.   In the event of termination of this Agreement and the abandonment of the Merger pursuant to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this Agreement (other than as set forth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and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shall become void and of no effect with no liability on the part of any Party (or of any of its respective Representatives);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or the Parent Termination Fee pursuant to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as applicable. For purposes of this Agreement, the term “</w:t>
      </w:r>
      <w:r>
        <w:rPr>
          <w:rFonts w:ascii="Times New Roman;Times;serif" w:hAnsi="Times New Roman;Times;serif"/>
          <w:b/>
          <w:i w:val="false"/>
          <w:caps w:val="false"/>
          <w:smallCaps w:val="false"/>
          <w:color w:val="000000"/>
          <w:spacing w:val="-4"/>
          <w:sz w:val="20"/>
        </w:rPr>
        <w:t>Willful Breach</w:t>
      </w:r>
      <w:r>
        <w:rPr>
          <w:rFonts w:ascii="Times New Roman;Times;serif" w:hAnsi="Times New Roman;Times;serif"/>
          <w:b w:val="false"/>
          <w:i w:val="false"/>
          <w:caps w:val="false"/>
          <w:smallCaps w:val="false"/>
          <w:color w:val="000000"/>
          <w:spacing w:val="4"/>
          <w:sz w:val="20"/>
        </w:rPr>
        <w:t xml:space="preserve">”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7.9   </w:t>
      </w:r>
      <w:r>
        <w:rPr>
          <w:rFonts w:ascii="Times New Roman;Times;serif" w:hAnsi="Times New Roman;Times;serif"/>
          <w:b w:val="false"/>
          <w:i w:val="false"/>
          <w:caps w:val="false"/>
          <w:smallCaps w:val="false"/>
          <w:color w:val="000000"/>
          <w:spacing w:val="4"/>
          <w:sz w:val="20"/>
          <w:u w:val="single"/>
        </w:rPr>
        <w:t>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Party acknowledges that the agreements contained in </w:t>
      </w:r>
      <w:r>
        <w:rPr>
          <w:rFonts w:ascii="Times New Roman;Times;serif" w:hAnsi="Times New Roman;Times;serif"/>
          <w:b w:val="false"/>
          <w:i w:val="false"/>
          <w:caps w:val="false"/>
          <w:smallCaps w:val="false"/>
          <w:color w:val="000000"/>
          <w:spacing w:val="4"/>
          <w:sz w:val="20"/>
          <w:u w:val="single"/>
        </w:rPr>
        <w:t>Sections 7.5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7.6</w:t>
      </w:r>
      <w:r>
        <w:rPr>
          <w:rFonts w:ascii="Times New Roman;Times;serif" w:hAnsi="Times New Roman;Times;serif"/>
          <w:b w:val="false"/>
          <w:i w:val="false"/>
          <w:caps w:val="false"/>
          <w:smallCaps w:val="false"/>
          <w:color w:val="000000"/>
          <w:spacing w:val="4"/>
          <w:sz w:val="20"/>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or Parent fails to pay promptly the Parent Termination Fee pursuant to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xml:space="preserve"> (each, a “</w:t>
      </w: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and, in order to obtain such Termination Fee, the Party entitled to receive such Termination Fee (the “</w:t>
      </w:r>
      <w:r>
        <w:rPr>
          <w:rFonts w:ascii="Times New Roman;Times;serif" w:hAnsi="Times New Roman;Times;serif"/>
          <w:b/>
          <w:i w:val="false"/>
          <w:caps w:val="false"/>
          <w:smallCaps w:val="false"/>
          <w:color w:val="000000"/>
          <w:spacing w:val="-4"/>
          <w:sz w:val="20"/>
        </w:rPr>
        <w:t>Recipient</w:t>
      </w:r>
      <w:r>
        <w:rPr>
          <w:rFonts w:ascii="Times New Roman;Times;serif" w:hAnsi="Times New Roman;Times;serif"/>
          <w:b w:val="false"/>
          <w:i w:val="false"/>
          <w:caps w:val="false"/>
          <w:smallCaps w:val="false"/>
          <w:color w:val="000000"/>
          <w:spacing w:val="4"/>
          <w:sz w:val="20"/>
        </w:rPr>
        <w:t>”) commences a suit which results in a judgment against the Party obligated to pay such Termination Fee (the “</w:t>
      </w:r>
      <w:r>
        <w:rPr>
          <w:rFonts w:ascii="Times New Roman;Times;serif" w:hAnsi="Times New Roman;Times;serif"/>
          <w:b/>
          <w:i w:val="false"/>
          <w:caps w:val="false"/>
          <w:smallCaps w:val="false"/>
          <w:color w:val="000000"/>
          <w:spacing w:val="-4"/>
          <w:sz w:val="20"/>
        </w:rPr>
        <w:t>Payor</w:t>
      </w:r>
      <w:r>
        <w:rPr>
          <w:rFonts w:ascii="Times New Roman;Times;serif" w:hAnsi="Times New Roman;Times;serif"/>
          <w:b w:val="false"/>
          <w:i w:val="false"/>
          <w:caps w:val="false"/>
          <w:smallCaps w:val="false"/>
          <w:color w:val="000000"/>
          <w:spacing w:val="4"/>
          <w:sz w:val="20"/>
        </w:rPr>
        <w:t xml:space="preserve">”),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agree that the monetary remedies set forth in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and the specific performance remedies set forth in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shall be the sole and exclusive remedies of (i) the Company and its Subsidiaries against Parent, Merger Sub and any of their respective former, current or future general or limited partners, stockholders, managers, members, Representatives or Affiliates for any loss suffered as a result of the failure of the Merger to be consummated except in the case of Fraud or a Willful Breach of this Agreement (in which case only Parent shall be liable for damages for such Fraud or Willful Breach), and upon payment of such amount, none of Parent, Merger Sub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Parent in the case of Fraud or a Willful Breach of this Agreement;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only the Company shall be liable for damages for such Fraud or Willful Breach),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 AND 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Survival</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5.18</w:t>
      </w:r>
      <w:r>
        <w:rPr>
          <w:rFonts w:ascii="Times New Roman;Times;serif" w:hAnsi="Times New Roman;Times;serif"/>
          <w:b w:val="false"/>
          <w:i w:val="false"/>
          <w:caps w:val="false"/>
          <w:smallCaps w:val="false"/>
          <w:color w:val="000000"/>
          <w:spacing w:val="4"/>
          <w:sz w:val="20"/>
        </w:rPr>
        <w:t xml:space="preserve"> shall survive the consummation of the Merger.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7.9</w:t>
      </w:r>
      <w:r>
        <w:rPr>
          <w:rFonts w:ascii="Times New Roman;Times;serif" w:hAnsi="Times New Roman;Times;serif"/>
          <w:b w:val="false"/>
          <w:i w:val="false"/>
          <w:caps w:val="false"/>
          <w:smallCaps w:val="false"/>
          <w:color w:val="000000"/>
          <w:spacing w:val="4"/>
          <w:sz w:val="20"/>
        </w:rPr>
        <w:t xml:space="preserve">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after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8" w:name="t8TAM"/>
      <w:bookmarkEnd w:id="278"/>
      <w:r>
        <w:rPr>
          <w:rFonts w:ascii="calibri;arial;sans-serif" w:hAnsi="calibri;arial;sans-serif"/>
          <w:b w:val="false"/>
          <w:i w:val="false"/>
          <w:caps w:val="false"/>
          <w:smallCaps w:val="false"/>
          <w:color w:val="000000"/>
          <w:sz w:val="16"/>
        </w:rPr>
        <w:t>​</w:t>
      </w:r>
      <w:bookmarkStart w:id="279" w:name="t8TAS"/>
      <w:bookmarkEnd w:id="279"/>
      <w:r>
        <w:rPr>
          <w:rFonts w:ascii="calibri;arial;sans-serif" w:hAnsi="calibri;arial;sans-serif"/>
          <w:b w:val="false"/>
          <w:i w:val="false"/>
          <w:caps w:val="false"/>
          <w:smallCaps w:val="false"/>
          <w:color w:val="000000"/>
          <w:sz w:val="16"/>
        </w:rPr>
        <w:t>​</w:t>
      </w:r>
      <w:bookmarkStart w:id="280" w:name="t84W"/>
      <w:bookmarkEnd w:id="280"/>
      <w:r>
        <w:rPr>
          <w:rFonts w:ascii="calibri;arial;sans-serif" w:hAnsi="calibri;arial;sans-serif"/>
          <w:b w:val="false"/>
          <w:i w:val="false"/>
          <w:caps w:val="false"/>
          <w:smallCaps w:val="false"/>
          <w:color w:val="000000"/>
          <w:sz w:val="16"/>
        </w:rPr>
        <w:t>​</w:t>
      </w:r>
      <w:bookmarkStart w:id="281" w:name="t8ACE"/>
      <w:bookmarkEnd w:id="281"/>
      <w:r>
        <w:rPr>
          <w:rFonts w:ascii="calibri;arial;sans-serif" w:hAnsi="calibri;arial;sans-serif"/>
          <w:b w:val="false"/>
          <w:i w:val="false"/>
          <w:caps w:val="false"/>
          <w:smallCaps w:val="false"/>
          <w:color w:val="000000"/>
          <w:sz w:val="16"/>
        </w:rPr>
        <w:t>​</w:t>
      </w:r>
      <w:bookmarkStart w:id="282" w:name="t8LAV"/>
      <w:bookmarkEnd w:id="2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Assignability</w:t>
      </w:r>
      <w:r>
        <w:rPr>
          <w:rFonts w:ascii="Times New Roman;Times;serif" w:hAnsi="Times New Roman;Times;serif"/>
          <w:b w:val="false"/>
          <w:i w:val="false"/>
          <w:caps w:val="false"/>
          <w:smallCaps w:val="false"/>
          <w:color w:val="000000"/>
          <w:spacing w:val="4"/>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Entire Agreement; Counterparts; Exchanges by Electronic Transmission</w:t>
      </w:r>
      <w:r>
        <w:rPr>
          <w:rFonts w:ascii="Times New Roman;Times;serif" w:hAnsi="Times New Roman;Times;serif"/>
          <w:b w:val="false"/>
          <w:i w:val="false"/>
          <w:caps w:val="false"/>
          <w:smallCaps w:val="false"/>
          <w:color w:val="000000"/>
          <w:spacing w:val="4"/>
          <w:sz w:val="20"/>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8.6   </w:t>
      </w:r>
      <w:r>
        <w:rPr>
          <w:rFonts w:ascii="Times New Roman;Times;serif" w:hAnsi="Times New Roman;Times;serif"/>
          <w:b w:val="false"/>
          <w:i w:val="false"/>
          <w:caps w:val="false"/>
          <w:smallCaps w:val="false"/>
          <w:color w:val="000000"/>
          <w:spacing w:val="4"/>
          <w:sz w:val="20"/>
          <w:u w:val="single"/>
        </w:rPr>
        <w:t>Governing Law and Venue; Waiver of Jury Trial</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3" w:name="t8ANA"/>
      <w:bookmarkEnd w:id="283"/>
      <w:r>
        <w:rPr>
          <w:rFonts w:ascii="calibri;arial;sans-serif" w:hAnsi="calibri;arial;sans-serif"/>
          <w:b w:val="false"/>
          <w:i w:val="false"/>
          <w:caps w:val="false"/>
          <w:smallCaps w:val="false"/>
          <w:color w:val="000000"/>
          <w:sz w:val="16"/>
        </w:rPr>
        <w:t>​</w:t>
      </w:r>
      <w:bookmarkStart w:id="284" w:name="t8TPB"/>
      <w:bookmarkEnd w:id="284"/>
      <w:r>
        <w:rPr>
          <w:rFonts w:ascii="calibri;arial;sans-serif" w:hAnsi="calibri;arial;sans-serif"/>
          <w:b w:val="false"/>
          <w:i w:val="false"/>
          <w:caps w:val="false"/>
          <w:smallCaps w:val="false"/>
          <w:color w:val="000000"/>
          <w:sz w:val="16"/>
        </w:rPr>
        <w:t>​</w:t>
      </w:r>
      <w:bookmarkStart w:id="285" w:name="t8ATO"/>
      <w:bookmarkEnd w:id="2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(if no automated notice of delivery failure is received by the sender) prior to 5:00 p.m. New York time, otherwise on the next succeeding Business Day, in each case to the intended recipient as set forth below: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or Merger Sub: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Mintz, Levin, Cohn, Ferris, Glovsky and Popeo, P.C.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Financial Center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02111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Matthew J. Gardella; Matthew W. Tikonoff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MGardella@mintz.com; MWTikonoff@mintz.com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General Counsel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Fenwick &amp; West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902 Broadway, 18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Ethan A. Skerry; David Michaels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ESkerry@fenwick.com; DMichaels@fenwick.com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persons or addresses as may be designated in writing by the Party to receive such notice as provided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8.8   </w:t>
      </w:r>
      <w:r>
        <w:rPr>
          <w:rFonts w:ascii="Times New Roman;Times;serif" w:hAnsi="Times New Roman;Times;serif"/>
          <w:b w:val="false"/>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This Agreement is not intended to, and does not, confer upon any Person other than Parties any rights or remedies hereunder, other than (a) the Indemnified Persons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(b) the right of the Company’s stockholders to receive the Merger Consideration after the Closing and (c) the rights of the Company’s other equityholders pursuant to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6" w:name="t8ORA"/>
      <w:bookmarkEnd w:id="286"/>
      <w:r>
        <w:rPr>
          <w:rFonts w:ascii="calibri;arial;sans-serif" w:hAnsi="calibri;arial;sans-serif"/>
          <w:b w:val="false"/>
          <w:i w:val="false"/>
          <w:caps w:val="false"/>
          <w:smallCaps w:val="false"/>
          <w:color w:val="000000"/>
          <w:sz w:val="16"/>
        </w:rPr>
        <w:t>​</w:t>
      </w:r>
      <w:bookmarkStart w:id="287" w:name="t811"/>
      <w:bookmarkEnd w:id="2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8.10   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for the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8.11   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References to “cash,” “dollars” or “$” are to U.S. dollars.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used in this Agreement, the words “include” and “including,” and variations thereof, shall not be deemed to be terms of limitation, but rather shall be deemed to be followed by the words “without limitation.”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words “hereof,” “herein” and “hereunder” and words of similar import, when used in this Agreement, refer to this Agreement as a whole and not to any particular provision of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References herein to a Person are also to such Person’s successors and permitted assigns.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Unless otherwise specifically provided for herein, the term “or” will not be deemed to be exclusive.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8" w:name="t8DFT"/>
      <w:bookmarkEnd w:id="2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reference to legislation or to any provision of any legislation shall include any modification, amendment, re-enactment thereof, any legislative provision substituted therefore and all rules, regulations, and statutory instruments issued or related to such legislations.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phrase “made available” means, with respect to any documentation, that (i) a copy of such material has been posted to and made available by a Party to the other Party and its Representatives in the electronic data room maintained by such disclosing Party prior to 11:59 p.m. (New York time) on the date that is one calendar day prior to the date of this Agreement, (ii) a copy of such material has been delivered directly to the other Party’s counsel or (iii) such material is disclosed in the Company SEC Documents or the Parent SEC Documents filed with the SEC prior to the date hereof and publicly made available on the SEC’s Electronic Data Gathering Analysis and Retrieval system.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Whenever the last day for the exercise of any privilege or the discharge of any duty hereunder shall fall upon a day that is not a Business Day, the Party having such privilege or duty may exercise such privilege or discharge such duty on the next succeeding day, which is a regular Business Day.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8.12   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the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An “</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Anti-Bribery Laws</w:t>
      </w:r>
      <w:r>
        <w:rPr>
          <w:rFonts w:ascii="Times New Roman;Times;serif" w:hAnsi="Times New Roman;Times;serif"/>
          <w:b w:val="false"/>
          <w:i w:val="false"/>
          <w:caps w:val="false"/>
          <w:smallCaps w:val="false"/>
          <w:color w:val="000000"/>
          <w:spacing w:val="4"/>
          <w:sz w:val="20"/>
        </w:rPr>
        <w:t xml:space="preserve">” means the FCPA, as amended, any rules or regulations thereunder, or any other applicable United States or foreign anti-corruption or anti-bribery laws or regulations.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other than a Saturday, Sunday or other day on which banks in New York, New York are authorized or obligated by Law to be closed.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i w:val="false"/>
          <w:caps w:val="false"/>
          <w:smallCaps w:val="false"/>
          <w:color w:val="000000"/>
          <w:spacing w:val="-4"/>
          <w:sz w:val="20"/>
        </w:rPr>
        <w:t>CARES Act</w:t>
      </w:r>
      <w:r>
        <w:rPr>
          <w:rFonts w:ascii="Times New Roman;Times;serif" w:hAnsi="Times New Roman;Times;serif"/>
          <w:b w:val="false"/>
          <w:i w:val="false"/>
          <w:caps w:val="false"/>
          <w:smallCaps w:val="false"/>
          <w:color w:val="000000"/>
          <w:spacing w:val="4"/>
          <w:sz w:val="20"/>
        </w:rPr>
        <w:t xml:space="preserve">” means the Coronavirus Aid, Relief, and Economic Security Act and any similar or successor legislation in effect as of the Effective Time, including any presidential memoranda or executive orders, relating to the COVID-19 pandemic, as well as any applicable guidance (including IRS Notice 2020-65, 2020-38 IRB) issued thereunder or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CLIA”</w:t>
      </w:r>
      <w:r>
        <w:rPr>
          <w:rFonts w:ascii="Times New Roman;Times;serif" w:hAnsi="Times New Roman;Times;serif"/>
          <w:b w:val="false"/>
          <w:i w:val="false"/>
          <w:caps w:val="false"/>
          <w:smallCaps w:val="false"/>
          <w:color w:val="000000"/>
          <w:spacing w:val="4"/>
          <w:sz w:val="20"/>
        </w:rPr>
        <w:t xml:space="preserve"> means the Clinical Laboratory Improvement Amendments of 1988 (42 U.S.C. §§ 263a et seq.),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CMS”</w:t>
      </w:r>
      <w:r>
        <w:rPr>
          <w:rFonts w:ascii="Times New Roman;Times;serif" w:hAnsi="Times New Roman;Times;serif"/>
          <w:b w:val="false"/>
          <w:i w:val="false"/>
          <w:caps w:val="false"/>
          <w:smallCaps w:val="false"/>
          <w:color w:val="000000"/>
          <w:spacing w:val="4"/>
          <w:sz w:val="20"/>
        </w:rPr>
        <w:t xml:space="preserve"> means the Centers for Medicare &amp; Medicaid Services.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i w:val="false"/>
          <w:caps w:val="false"/>
          <w:smallCaps w:val="false"/>
          <w:color w:val="000000"/>
          <w:spacing w:val="-4"/>
          <w:sz w:val="20"/>
        </w:rPr>
        <w:t>Company Affiliate</w:t>
      </w:r>
      <w:r>
        <w:rPr>
          <w:rFonts w:ascii="Times New Roman;Times;serif" w:hAnsi="Times New Roman;Times;serif"/>
          <w:b w:val="false"/>
          <w:i w:val="false"/>
          <w:caps w:val="false"/>
          <w:smallCaps w:val="false"/>
          <w:color w:val="000000"/>
          <w:spacing w:val="4"/>
          <w:sz w:val="20"/>
        </w:rPr>
        <w:t xml:space="preserve">” means any Person under common control with the Company or any of its Subsidiaries within the meaning of Section 414(b), Section 414(c), Section 414(m) or Section 414(o) of the Code, and the regulations issued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val="false"/>
          <w:caps w:val="false"/>
          <w:smallCaps w:val="false"/>
          <w:color w:val="000000"/>
          <w:spacing w:val="-4"/>
          <w:sz w:val="20"/>
        </w:rPr>
        <w:t>Company Associate</w:t>
      </w:r>
      <w:r>
        <w:rPr>
          <w:rFonts w:ascii="Times New Roman;Times;serif" w:hAnsi="Times New Roman;Times;serif"/>
          <w:b w:val="false"/>
          <w:i w:val="false"/>
          <w:caps w:val="false"/>
          <w:smallCaps w:val="false"/>
          <w:color w:val="000000"/>
          <w:spacing w:val="4"/>
          <w:sz w:val="20"/>
        </w:rPr>
        <w:t xml:space="preserve">” means any current or former officer, employee, independent contractor, consultant or director, of or to the Company or any of its Subsidiaries or any controlled Company Affiliate.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i w:val="false"/>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xml:space="preserve">”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current or former employee, director, officer, consultant or independent contractor of the Company or any of its Subsidiaries or under which the Company or any of its Subsidiaries has any actual or contingent liability (including as to the result of it being treated as a single employer under Section 414 of the Code with any other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i w:val="false"/>
          <w:caps w:val="false"/>
          <w:smallCaps w:val="false"/>
          <w:color w:val="000000"/>
          <w:spacing w:val="-4"/>
          <w:sz w:val="20"/>
        </w:rPr>
        <w:t>Company Capital Stock</w:t>
      </w:r>
      <w:r>
        <w:rPr>
          <w:rFonts w:ascii="Times New Roman;Times;serif" w:hAnsi="Times New Roman;Times;serif"/>
          <w:b w:val="false"/>
          <w:i w:val="false"/>
          <w:caps w:val="false"/>
          <w:smallCaps w:val="false"/>
          <w:color w:val="000000"/>
          <w:spacing w:val="4"/>
          <w:sz w:val="20"/>
        </w:rPr>
        <w:t xml:space="preserve">” means Company Common Stock, together with Company Preferred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i w:val="false"/>
          <w:caps w:val="false"/>
          <w:smallCaps w:val="false"/>
          <w:color w:val="000000"/>
          <w:spacing w:val="-4"/>
          <w:sz w:val="20"/>
        </w:rPr>
        <w:t>Company Contract</w:t>
      </w:r>
      <w:r>
        <w:rPr>
          <w:rFonts w:ascii="Times New Roman;Times;serif" w:hAnsi="Times New Roman;Times;serif"/>
          <w:b w:val="false"/>
          <w:i w:val="false"/>
          <w:caps w:val="false"/>
          <w:smallCaps w:val="false"/>
          <w:color w:val="000000"/>
          <w:spacing w:val="4"/>
          <w:sz w:val="20"/>
        </w:rPr>
        <w:t xml:space="preserve">”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i w:val="false"/>
          <w:caps w:val="false"/>
          <w:smallCaps w:val="false"/>
          <w:color w:val="000000"/>
          <w:spacing w:val="-4"/>
          <w:sz w:val="20"/>
        </w:rPr>
        <w:t>Company ERISA Affiliate</w:t>
      </w:r>
      <w:r>
        <w:rPr>
          <w:rFonts w:ascii="Times New Roman;Times;serif" w:hAnsi="Times New Roman;Times;serif"/>
          <w:b w:val="false"/>
          <w:i w:val="false"/>
          <w:caps w:val="false"/>
          <w:smallCaps w:val="false"/>
          <w:color w:val="000000"/>
          <w:spacing w:val="4"/>
          <w:sz w:val="20"/>
        </w:rPr>
        <w:t xml:space="preserve">” means any corporation or trade or business (whether or not incorporated) which is (or at any relevant time was) treated with the Company or any of its Subsidiaries as a single employer within the meaning of Section 414 of the Code.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i w:val="false"/>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means the Company 2021 Employee Stock Purchase Plan,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i w:val="false"/>
          <w:caps w:val="false"/>
          <w:smallCaps w:val="false"/>
          <w:color w:val="000000"/>
          <w:spacing w:val="-4"/>
          <w:sz w:val="20"/>
        </w:rPr>
        <w:t>Company IP</w:t>
      </w:r>
      <w:r>
        <w:rPr>
          <w:rFonts w:ascii="Times New Roman;Times;serif" w:hAnsi="Times New Roman;Times;serif"/>
          <w:b w:val="false"/>
          <w:i w:val="false"/>
          <w:caps w:val="false"/>
          <w:smallCaps w:val="false"/>
          <w:color w:val="000000"/>
          <w:spacing w:val="4"/>
          <w:sz w:val="20"/>
        </w:rPr>
        <w:t xml:space="preserve">” means Company Owned IP and Company 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i w:val="false"/>
          <w:caps w:val="false"/>
          <w:smallCaps w:val="false"/>
          <w:color w:val="000000"/>
          <w:spacing w:val="-4"/>
          <w:sz w:val="20"/>
        </w:rPr>
        <w:t>Company Licensed IP</w:t>
      </w:r>
      <w:r>
        <w:rPr>
          <w:rFonts w:ascii="Times New Roman;Times;serif" w:hAnsi="Times New Roman;Times;serif"/>
          <w:b w:val="false"/>
          <w:i w:val="false"/>
          <w:caps w:val="false"/>
          <w:smallCaps w:val="false"/>
          <w:color w:val="000000"/>
          <w:spacing w:val="4"/>
          <w:sz w:val="20"/>
        </w:rPr>
        <w:t xml:space="preserve">” means all Intellectual Property Rights that are exclusively licensed, or purported to be exclusively licensed, by any third party to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xml:space="preserve">”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by the Company, excluding, in the case of clause (1),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i w:val="false"/>
          <w:caps w:val="false"/>
          <w:smallCaps w:val="false"/>
          <w:color w:val="000000"/>
          <w:spacing w:val="-4"/>
          <w:sz w:val="20"/>
        </w:rPr>
        <w:t>Company Non-Plan Grants</w:t>
      </w:r>
      <w:r>
        <w:rPr>
          <w:rFonts w:ascii="Times New Roman;Times;serif" w:hAnsi="Times New Roman;Times;serif"/>
          <w:b w:val="false"/>
          <w:i w:val="false"/>
          <w:caps w:val="false"/>
          <w:smallCaps w:val="false"/>
          <w:color w:val="000000"/>
          <w:spacing w:val="4"/>
          <w:sz w:val="20"/>
        </w:rPr>
        <w:t xml:space="preserve">” means any grants of Company Options or Company RSUs made outside of the Company 2017 Equity Incentive Plan, the Company 2021 Omnibus Stock Incentive Plan, the Company 2009 Equity Incentive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i w:val="false"/>
          <w:caps w:val="false"/>
          <w:smallCaps w:val="false"/>
          <w:color w:val="000000"/>
          <w:spacing w:val="-4"/>
          <w:sz w:val="20"/>
        </w:rPr>
        <w:t>Company Option</w:t>
      </w:r>
      <w:r>
        <w:rPr>
          <w:rFonts w:ascii="Times New Roman;Times;serif" w:hAnsi="Times New Roman;Times;serif"/>
          <w:b w:val="false"/>
          <w:i w:val="false"/>
          <w:caps w:val="false"/>
          <w:smallCaps w:val="false"/>
          <w:color w:val="000000"/>
          <w:spacing w:val="4"/>
          <w:sz w:val="20"/>
        </w:rPr>
        <w:t xml:space="preserve">” means any option to purchase Shares (whether granted under any Company Stock Plan, assumed by the Company in connection with any merger, acquisition or similar transaction or otherwise issued or granted), but excluding the options granted pursuant to the Company ESPP.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i w:val="false"/>
          <w:caps w:val="false"/>
          <w:smallCaps w:val="false"/>
          <w:color w:val="000000"/>
          <w:spacing w:val="-4"/>
          <w:sz w:val="20"/>
        </w:rPr>
        <w:t>Company Owned IP</w:t>
      </w:r>
      <w:r>
        <w:rPr>
          <w:rFonts w:ascii="Times New Roman;Times;serif" w:hAnsi="Times New Roman;Times;serif"/>
          <w:b w:val="false"/>
          <w:i w:val="false"/>
          <w:caps w:val="false"/>
          <w:smallCaps w:val="false"/>
          <w:color w:val="000000"/>
          <w:spacing w:val="4"/>
          <w:sz w:val="20"/>
        </w:rPr>
        <w:t xml:space="preserve">” means all Intellectual Property Rights that are owned, or purported to be owned,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i w:val="false"/>
          <w:caps w:val="false"/>
          <w:smallCaps w:val="false"/>
          <w:color w:val="000000"/>
          <w:spacing w:val="-4"/>
          <w:sz w:val="20"/>
        </w:rPr>
        <w:t>Company Product</w:t>
      </w:r>
      <w:r>
        <w:rPr>
          <w:rFonts w:ascii="Times New Roman;Times;serif" w:hAnsi="Times New Roman;Times;serif"/>
          <w:b w:val="false"/>
          <w:i w:val="false"/>
          <w:caps w:val="false"/>
          <w:smallCaps w:val="false"/>
          <w:color w:val="000000"/>
          <w:spacing w:val="4"/>
          <w:sz w:val="20"/>
        </w:rPr>
        <w:t xml:space="preserve">”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i w:val="false"/>
          <w:caps w:val="false"/>
          <w:smallCaps w:val="false"/>
          <w:color w:val="000000"/>
          <w:spacing w:val="-4"/>
          <w:sz w:val="20"/>
        </w:rPr>
        <w:t>Company RSU</w:t>
      </w:r>
      <w:r>
        <w:rPr>
          <w:rFonts w:ascii="Times New Roman;Times;serif" w:hAnsi="Times New Roman;Times;serif"/>
          <w:b w:val="false"/>
          <w:i w:val="false"/>
          <w:caps w:val="false"/>
          <w:smallCaps w:val="false"/>
          <w:color w:val="000000"/>
          <w:spacing w:val="4"/>
          <w:sz w:val="20"/>
        </w:rPr>
        <w:t xml:space="preserve">” means any Company restricted stock unit (whether granted under the Company Stock Plans, assumed by the Company in connection with any merger, acquisition or similar transaction or otherwise issued or granted).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means $17,176,173.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i w:val="false"/>
          <w:caps w:val="false"/>
          <w:smallCaps w:val="false"/>
          <w:color w:val="000000"/>
          <w:spacing w:val="-4"/>
          <w:sz w:val="20"/>
        </w:rPr>
        <w:t>Company Warrant</w:t>
      </w:r>
      <w:r>
        <w:rPr>
          <w:rFonts w:ascii="Times New Roman;Times;serif" w:hAnsi="Times New Roman;Times;serif"/>
          <w:b w:val="false"/>
          <w:i w:val="false"/>
          <w:caps w:val="false"/>
          <w:smallCaps w:val="false"/>
          <w:color w:val="000000"/>
          <w:spacing w:val="4"/>
          <w:sz w:val="20"/>
        </w:rPr>
        <w:t xml:space="preserve">” means any warrant to purchase Shares that is outstanding and unexercised immediately prior to the Effective Time, including those listed on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the confidentiality agreement entered into between the Company and Parent dated June 16,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i w:val="false"/>
          <w:caps w:val="false"/>
          <w:smallCaps w:val="false"/>
          <w:color w:val="000000"/>
          <w:spacing w:val="-4"/>
          <w:sz w:val="20"/>
        </w:rPr>
        <w:t>Consent</w:t>
      </w:r>
      <w:r>
        <w:rPr>
          <w:rFonts w:ascii="Times New Roman;Times;serif" w:hAnsi="Times New Roman;Times;serif"/>
          <w:b w:val="false"/>
          <w:i w:val="false"/>
          <w:caps w:val="false"/>
          <w:smallCaps w:val="false"/>
          <w:color w:val="000000"/>
          <w:spacing w:val="4"/>
          <w:sz w:val="20"/>
        </w:rPr>
        <w:t xml:space="preserve">” means consent, approval, ratification, permission, authorization, clearance, waiver, permit or order.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i w:val="false"/>
          <w:caps w:val="false"/>
          <w:smallCaps w:val="false"/>
          <w:color w:val="000000"/>
          <w:spacing w:val="-4"/>
          <w:sz w:val="20"/>
        </w:rPr>
        <w:t>Contemplated Transactions</w:t>
      </w:r>
      <w:r>
        <w:rPr>
          <w:rFonts w:ascii="Times New Roman;Times;serif" w:hAnsi="Times New Roman;Times;serif"/>
          <w:b w:val="false"/>
          <w:i w:val="false"/>
          <w:caps w:val="false"/>
          <w:smallCaps w:val="false"/>
          <w:color w:val="000000"/>
          <w:spacing w:val="4"/>
          <w:sz w:val="20"/>
        </w:rPr>
        <w:t xml:space="preserve">” means the Merger, the Parent Share Issuance and the other transactions and 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oral or other agreement, contract, subcontract, lease, instrument, note, option, warranty, purchase order, license, sublicense, insurance policy, benefit plan or legally binding commitment, understanding, arrangement or undertaking of any nature.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i w:val="false"/>
          <w:caps w:val="false"/>
          <w:smallCaps w:val="false"/>
          <w:color w:val="000000"/>
          <w:spacing w:val="-4"/>
          <w:sz w:val="20"/>
        </w:rPr>
        <w:t>Data Protection Regulation</w:t>
      </w:r>
      <w:r>
        <w:rPr>
          <w:rFonts w:ascii="Times New Roman;Times;serif" w:hAnsi="Times New Roman;Times;serif"/>
          <w:b w:val="false"/>
          <w:i w:val="false"/>
          <w:caps w:val="false"/>
          <w:smallCaps w:val="false"/>
          <w:color w:val="000000"/>
          <w:spacing w:val="4"/>
          <w:sz w:val="20"/>
        </w:rPr>
        <w:t xml:space="preserve">” means all Laws, and all binding regulatory guidance and standards issued by Governmental Entities, concerning the privacy, protection and/or security of Personal Data.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xml:space="preserve">” means any effect, change, event or development.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i w:val="false"/>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means any Law concerning or relating to environmental matters, Hazardous Materials, pollution or protection of the environment or natural resources, or protection of human health and safety as related to exposure to Hazardous Materials.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means 1.11.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i w:val="false"/>
          <w:caps w:val="false"/>
          <w:smallCaps w:val="false"/>
          <w:color w:val="000000"/>
          <w:spacing w:val="-4"/>
          <w:sz w:val="20"/>
        </w:rPr>
        <w:t>Ex-Im Laws</w:t>
      </w:r>
      <w:r>
        <w:rPr>
          <w:rFonts w:ascii="Times New Roman;Times;serif" w:hAnsi="Times New Roman;Times;serif"/>
          <w:b w:val="false"/>
          <w:i w:val="false"/>
          <w:caps w:val="false"/>
          <w:smallCaps w:val="false"/>
          <w:color w:val="000000"/>
          <w:spacing w:val="4"/>
          <w:sz w:val="20"/>
        </w:rPr>
        <w:t xml:space="preserve">” means all applicable Laws relating to export, re-export, transfer, and import controls, including the U.S. Export Administration Regulations, the customs and import Laws administered by U.S. Customs and Border Protection, and the EU Dual Use Regulation.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Foreign Corrupt Practices Act of 1977,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i w:val="false"/>
          <w:caps w:val="false"/>
          <w:smallCaps w:val="false"/>
          <w:color w:val="000000"/>
          <w:spacing w:val="-4"/>
          <w:sz w:val="20"/>
        </w:rPr>
        <w:t>FDA</w:t>
      </w:r>
      <w:r>
        <w:rPr>
          <w:rFonts w:ascii="Times New Roman;Times;serif" w:hAnsi="Times New Roman;Times;serif"/>
          <w:b w:val="false"/>
          <w:i w:val="false"/>
          <w:caps w:val="false"/>
          <w:smallCaps w:val="false"/>
          <w:color w:val="000000"/>
          <w:spacing w:val="4"/>
          <w:sz w:val="20"/>
        </w:rPr>
        <w:t xml:space="preserve">” means the U.S. Food and Drug Administration.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i w:val="false"/>
          <w:caps w:val="false"/>
          <w:smallCaps w:val="false"/>
          <w:color w:val="000000"/>
          <w:spacing w:val="-4"/>
          <w:sz w:val="20"/>
        </w:rPr>
        <w:t>FDCA</w:t>
      </w:r>
      <w:r>
        <w:rPr>
          <w:rFonts w:ascii="Times New Roman;Times;serif" w:hAnsi="Times New Roman;Times;serif"/>
          <w:b w:val="false"/>
          <w:i w:val="false"/>
          <w:caps w:val="false"/>
          <w:smallCaps w:val="false"/>
          <w:color w:val="000000"/>
          <w:spacing w:val="4"/>
          <w:sz w:val="20"/>
        </w:rPr>
        <w:t xml:space="preserve">” means the Federal Food, Drug, and Cosmetic Act (21 U.S.C. §§ 301 et seq.),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with respect to a Party, an actual and intentional misrepresentation, deceit or concealment of fact made by such Party with respect to the making of the representations and warranties of such Party as expressly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actual and intentional misrepresentation, deceit or concealment of fact of a Party excludes any misrepresentation, deceit or concealment of fact made negligently or recklessly.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United States generally accepted accounting principles.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 General Data Protection Regulation 2016/679 including the UK implementation of this Regulation under section 3 of the UK European Union (Withdrawal) Act 2018.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i w:val="false"/>
          <w:caps w:val="false"/>
          <w:smallCaps w:val="false"/>
          <w:color w:val="000000"/>
          <w:spacing w:val="-4"/>
          <w:sz w:val="20"/>
        </w:rPr>
        <w:t>Governmental Authorization</w:t>
      </w:r>
      <w:r>
        <w:rPr>
          <w:rFonts w:ascii="Times New Roman;Times;serif" w:hAnsi="Times New Roman;Times;serif"/>
          <w:b w:val="false"/>
          <w:i w:val="false"/>
          <w:caps w:val="false"/>
          <w:smallCaps w:val="false"/>
          <w:color w:val="000000"/>
          <w:spacing w:val="4"/>
          <w:sz w:val="20"/>
        </w:rPr>
        <w:t xml:space="preserve">” means any: (i) permit, license, certificate, franchise, permission, variance, exception, exemption, approval, order, clearance, registration, qualification, accreditation, or authorization issued, granted, given or otherwise made available by or under the authority of any Governmental Entity or pursuant to any Law; or (ii) right under any Contract with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i w:val="false"/>
          <w:caps w:val="false"/>
          <w:smallCaps w:val="false"/>
          <w:color w:val="000000"/>
          <w:spacing w:val="-4"/>
          <w:sz w:val="20"/>
        </w:rPr>
        <w:t>Governmental Entity</w:t>
      </w:r>
      <w:r>
        <w:rPr>
          <w:rFonts w:ascii="Times New Roman;Times;serif" w:hAnsi="Times New Roman;Times;serif"/>
          <w:b w:val="false"/>
          <w:i w:val="false"/>
          <w:caps w:val="false"/>
          <w:smallCaps w:val="false"/>
          <w:color w:val="000000"/>
          <w:spacing w:val="4"/>
          <w:sz w:val="20"/>
        </w:rPr>
        <w:t xml:space="preserve">” means any (i) nation, state, commonwealth, province, territory, county, municipality, district or other jurisdiction of any nature; (ii) federal, state, local, municipal,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foreign or other government;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(including the College of American Pathologists (“</w:t>
      </w:r>
      <w:r>
        <w:rPr>
          <w:rFonts w:ascii="Times New Roman;Times;serif" w:hAnsi="Times New Roman;Times;serif"/>
          <w:b/>
          <w:i w:val="false"/>
          <w:caps w:val="false"/>
          <w:smallCaps w:val="false"/>
          <w:color w:val="000000"/>
          <w:spacing w:val="-4"/>
          <w:sz w:val="20"/>
        </w:rPr>
        <w:t>CAP</w:t>
      </w:r>
      <w:r>
        <w:rPr>
          <w:rFonts w:ascii="Times New Roman;Times;serif" w:hAnsi="Times New Roman;Times;serif"/>
          <w:b w:val="false"/>
          <w:i w:val="false"/>
          <w:caps w:val="false"/>
          <w:smallCaps w:val="false"/>
          <w:color w:val="000000"/>
          <w:spacing w:val="4"/>
          <w:sz w:val="20"/>
        </w:rPr>
        <w:t>”) and entities responsible for certifying a company’s adherence to various International Organization for Standardization (“</w:t>
      </w:r>
      <w:r>
        <w:rPr>
          <w:rFonts w:ascii="Times New Roman;Times;serif" w:hAnsi="Times New Roman;Times;serif"/>
          <w:b/>
          <w:i w:val="false"/>
          <w:caps w:val="false"/>
          <w:smallCaps w:val="false"/>
          <w:color w:val="000000"/>
          <w:spacing w:val="-4"/>
          <w:sz w:val="20"/>
        </w:rPr>
        <w:t>ISO</w:t>
      </w:r>
      <w:r>
        <w:rPr>
          <w:rFonts w:ascii="Times New Roman;Times;serif" w:hAnsi="Times New Roman;Times;serif"/>
          <w:b w:val="false"/>
          <w:i w:val="false"/>
          <w:caps w:val="false"/>
          <w:smallCaps w:val="false"/>
          <w:color w:val="000000"/>
          <w:spacing w:val="4"/>
          <w:sz w:val="20"/>
        </w:rPr>
        <w:t xml:space="preserve">”) standards).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i w:val="false"/>
          <w:caps w:val="false"/>
          <w:smallCaps w:val="false"/>
          <w:color w:val="000000"/>
          <w:spacing w:val="-4"/>
          <w:sz w:val="20"/>
        </w:rPr>
        <w:t>Harmful Code</w:t>
      </w:r>
      <w:r>
        <w:rPr>
          <w:rFonts w:ascii="Times New Roman;Times;serif" w:hAnsi="Times New Roman;Times;serif"/>
          <w:b w:val="false"/>
          <w:i w:val="false"/>
          <w:caps w:val="false"/>
          <w:smallCaps w:val="false"/>
          <w:color w:val="000000"/>
          <w:spacing w:val="4"/>
          <w:sz w:val="20"/>
        </w:rPr>
        <w:t xml:space="preserve">” means Trojan horses, worms, viruses, back doors or any other codes designed or intended to interfere, damage, corrupt, surreptitiously intercept or expropriate any system or data, or cause unauthorized access to, or disruption, impairment, disablement or destruction of, software or data.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i w:val="false"/>
          <w:caps w:val="false"/>
          <w:smallCaps w:val="false"/>
          <w:color w:val="000000"/>
          <w:spacing w:val="-4"/>
          <w:sz w:val="20"/>
        </w:rPr>
        <w:t>Hazardous Materials</w:t>
      </w:r>
      <w:r>
        <w:rPr>
          <w:rFonts w:ascii="Times New Roman;Times;serif" w:hAnsi="Times New Roman;Times;serif"/>
          <w:b w:val="false"/>
          <w:i w:val="false"/>
          <w:caps w:val="false"/>
          <w:smallCaps w:val="false"/>
          <w:color w:val="000000"/>
          <w:spacing w:val="4"/>
          <w:sz w:val="20"/>
        </w:rPr>
        <w:t xml:space="preserve">”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   “</w:t>
      </w:r>
      <w:r>
        <w:rPr>
          <w:rFonts w:ascii="Times New Roman;Times;serif" w:hAnsi="Times New Roman;Times;serif"/>
          <w:b/>
          <w:i w:val="false"/>
          <w:caps w:val="false"/>
          <w:smallCaps w:val="false"/>
          <w:color w:val="000000"/>
          <w:spacing w:val="-4"/>
          <w:sz w:val="20"/>
        </w:rPr>
        <w:t>Health Care Laws</w:t>
      </w:r>
      <w:r>
        <w:rPr>
          <w:rFonts w:ascii="Times New Roman;Times;serif" w:hAnsi="Times New Roman;Times;serif"/>
          <w:b w:val="false"/>
          <w:i w:val="false"/>
          <w:caps w:val="false"/>
          <w:smallCaps w:val="false"/>
          <w:color w:val="000000"/>
          <w:spacing w:val="4"/>
          <w:sz w:val="20"/>
        </w:rPr>
        <w:t>” means Laws, rules, policies, guidelines and regulations applicable to the business, products, and/or services of the Company or Parent, as applicable, including, but not limited to, (i) Title XVIII of the Social Security Act, 42 U.S.C. §§ 1395 et seq. (the Medicare statute), (ii) Title XIX of the Social Security Act, 42 U.S.C. §§ 1396 et seq (the Medicaid statute), (iii) the Anti-Kickback Statute, 42 U.S.C. § 1320a-7b(b), (iv) the civil False Claims Act, 31 U.S.C. §§ 3729 et seq., (v) the criminal False Claims Act 42 U.S.C. § 1320a-7b(a), (vi) the criminal laws relating to health care fraud and abuse, including 18 U.S.C. §§ 286 and 287 and the health care fraud criminal provisions under HIPAA (as defined herein), (vii) the Civil Monetary Penalties Law, 42 U.S.C. § 1320a-7a, (viii) the Physician Payments Sunshine Act, 42 U.S.C. § 1320a-7h, (ix) the exclusion law, 42 U.S.C. § 1320a-7, (x) the Health Information Portability and Accountability Act, as amended by the Health Information Technology for Economic and Clinical Health Act, 42 U.S.C. §§ 17921 et seq., including all implementing regulations (collectively, “</w:t>
      </w:r>
      <w:r>
        <w:rPr>
          <w:rFonts w:ascii="Times New Roman;Times;serif" w:hAnsi="Times New Roman;Times;serif"/>
          <w:b/>
          <w:i w:val="false"/>
          <w:caps w:val="false"/>
          <w:smallCaps w:val="false"/>
          <w:color w:val="000000"/>
          <w:spacing w:val="-4"/>
          <w:sz w:val="20"/>
        </w:rPr>
        <w:t>HIPAA</w:t>
      </w:r>
      <w:r>
        <w:rPr>
          <w:rFonts w:ascii="Times New Roman;Times;serif" w:hAnsi="Times New Roman;Times;serif"/>
          <w:b w:val="false"/>
          <w:i w:val="false"/>
          <w:caps w:val="false"/>
          <w:smallCaps w:val="false"/>
          <w:color w:val="000000"/>
          <w:spacing w:val="4"/>
          <w:sz w:val="20"/>
        </w:rPr>
        <w:t xml:space="preserve">”), (xi) the FDCA, (xii) the Public Health Service Act, 42 U.S.C. §§ 201 et seq., (xiii) Clinical Laboratory Improvement Amendments of 1988, 42 U.S.C. §§ 263a et seq., xiv) the regulations promulgated pursuant to such laws, and (xvii)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   “</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or obligations of such Person to pay the deferred and unpaid purchase price of property and equipment,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(viii) obligations in respect of banker’s acceptances or (ix) obligations representing the balance deferred and unpaid of the purchase price of any property or services due more than one year after such property is acquired or such services are completed. In addition, the term “Indebtedness” includes all Indebtedness of others secured by a Lien on any asset of the specified Person (whether or not such Indebtedness is assumed by the specified Person) and,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not otherwise included, the guarantee by the specified Person of any Indebtedness of any other Person. Indebtedness will be calculated without giving effect to the effects of Statement of Financial Accounting Standards No. 133 and related interpretations to the extent such effects would otherwise increase or decrease an amount of Indebtedness for any purpose under the indenture as a result of accounting for any embedded derivatives created by the terms of such Indebtedness.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(ww)   “</w:t>
      </w:r>
      <w:r>
        <w:rPr>
          <w:rFonts w:ascii="Times New Roman;Times;serif" w:hAnsi="Times New Roman;Times;serif"/>
          <w:b/>
          <w:i w:val="false"/>
          <w:caps w:val="false"/>
          <w:smallCaps w:val="false"/>
          <w:color w:val="000000"/>
          <w:spacing w:val="-4"/>
          <w:sz w:val="20"/>
        </w:rPr>
        <w:t>Intellectual Property Rights</w:t>
      </w:r>
      <w:r>
        <w:rPr>
          <w:rFonts w:ascii="Times New Roman;Times;serif" w:hAnsi="Times New Roman;Times;serif"/>
          <w:b w:val="false"/>
          <w:i w:val="false"/>
          <w:caps w:val="false"/>
          <w:smallCaps w:val="false"/>
          <w:color w:val="000000"/>
          <w:spacing w:val="4"/>
          <w:sz w:val="20"/>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i w:val="false"/>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i w:val="false"/>
          <w:caps w:val="false"/>
          <w:smallCaps w:val="false"/>
          <w:color w:val="000000"/>
          <w:spacing w:val="-4"/>
          <w:sz w:val="20"/>
        </w:rPr>
        <w:t>Copyrights</w:t>
      </w:r>
      <w:r>
        <w:rPr>
          <w:rFonts w:ascii="Times New Roman;Times;serif" w:hAnsi="Times New Roman;Times;serif"/>
          <w:b w:val="false"/>
          <w:i w:val="false"/>
          <w:caps w:val="false"/>
          <w:smallCaps w:val="false"/>
          <w:color w:val="000000"/>
          <w:spacing w:val="4"/>
          <w:sz w:val="20"/>
        </w:rPr>
        <w:t>”),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(iv) all Internet domain names, (v) all trade secrets,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in each case, which are not available in the public domain and have actual or potential commercial value that is derived, in whole or in part, from such non-availability (collectively, “</w:t>
      </w:r>
      <w:r>
        <w:rPr>
          <w:rFonts w:ascii="Times New Roman;Times;serif" w:hAnsi="Times New Roman;Times;serif"/>
          <w:b/>
          <w:i w:val="false"/>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(xx)   “</w:t>
      </w:r>
      <w:r>
        <w:rPr>
          <w:rFonts w:ascii="Times New Roman;Times;serif" w:hAnsi="Times New Roman;Times;serif"/>
          <w:b/>
          <w:i w:val="false"/>
          <w:caps w:val="false"/>
          <w:smallCaps w:val="false"/>
          <w:color w:val="000000"/>
          <w:spacing w:val="-4"/>
          <w:sz w:val="20"/>
        </w:rPr>
        <w:t>IT Systems</w:t>
      </w:r>
      <w:r>
        <w:rPr>
          <w:rFonts w:ascii="Times New Roman;Times;serif" w:hAnsi="Times New Roman;Times;serif"/>
          <w:b w:val="false"/>
          <w:i w:val="false"/>
          <w:caps w:val="false"/>
          <w:smallCaps w:val="false"/>
          <w:color w:val="000000"/>
          <w:spacing w:val="4"/>
          <w:sz w:val="20"/>
        </w:rPr>
        <w:t xml:space="preserve">” means computers, software, firmware, middleware, servers, networks, workstations, routers, hubs, switches, data communications lines, and all other information technology and related assets and equipment.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(yy)   “</w:t>
      </w:r>
      <w:r>
        <w:rPr>
          <w:rFonts w:ascii="Times New Roman;Times;serif" w:hAnsi="Times New Roman;Times;serif"/>
          <w:b/>
          <w:i w:val="false"/>
          <w:caps w:val="false"/>
          <w:smallCaps w:val="false"/>
          <w:color w:val="000000"/>
          <w:spacing w:val="-4"/>
          <w:sz w:val="20"/>
        </w:rPr>
        <w:t>Judgment</w:t>
      </w:r>
      <w:r>
        <w:rPr>
          <w:rFonts w:ascii="Times New Roman;Times;serif" w:hAnsi="Times New Roman;Times;serif"/>
          <w:b w:val="false"/>
          <w:i w:val="false"/>
          <w:caps w:val="false"/>
          <w:smallCaps w:val="false"/>
          <w:color w:val="000000"/>
          <w:spacing w:val="4"/>
          <w:sz w:val="20"/>
        </w:rPr>
        <w:t xml:space="preserve">” means any judgment, order, injunction, ruling, writ award or decree of any Governmental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(zz)   “</w:t>
      </w:r>
      <w:r>
        <w:rPr>
          <w:rFonts w:ascii="Times New Roman;Times;serif" w:hAnsi="Times New Roman;Times;serif"/>
          <w:b/>
          <w:i w:val="false"/>
          <w:caps w:val="false"/>
          <w:smallCaps w:val="false"/>
          <w:color w:val="000000"/>
          <w:spacing w:val="-4"/>
          <w:sz w:val="20"/>
        </w:rPr>
        <w:t>Knowledge</w:t>
      </w:r>
      <w:r>
        <w:rPr>
          <w:rFonts w:ascii="Times New Roman;Times;serif" w:hAnsi="Times New Roman;Times;serif"/>
          <w:b w:val="false"/>
          <w:i w:val="false"/>
          <w:caps w:val="false"/>
          <w:smallCaps w:val="false"/>
          <w:color w:val="000000"/>
          <w:spacing w:val="4"/>
          <w:sz w:val="20"/>
        </w:rPr>
        <w:t xml:space="preserve">” of any Person means, in the case of Parent, the actual knowledge of any of the Persons set forth on </w:t>
      </w:r>
      <w:r>
        <w:rPr>
          <w:rFonts w:ascii="Times New Roman;Times;serif" w:hAnsi="Times New Roman;Times;serif"/>
          <w:b w:val="false"/>
          <w:i w:val="false"/>
          <w:caps w:val="false"/>
          <w:smallCaps w:val="false"/>
          <w:color w:val="000000"/>
          <w:spacing w:val="4"/>
          <w:sz w:val="20"/>
          <w:u w:val="single"/>
        </w:rPr>
        <w:t>Section 8.12(yy)</w:t>
      </w:r>
      <w:r>
        <w:rPr>
          <w:rFonts w:ascii="Times New Roman;Times;serif" w:hAnsi="Times New Roman;Times;serif"/>
          <w:b w:val="false"/>
          <w:i w:val="false"/>
          <w:caps w:val="false"/>
          <w:smallCaps w:val="false"/>
          <w:color w:val="000000"/>
          <w:spacing w:val="4"/>
          <w:sz w:val="20"/>
        </w:rPr>
        <w:t xml:space="preserve"> of the Parent Disclosure Schedule after reasonable inquiry of such Person’s direct reports who would reasonably be expected to have information with respect to the subject matter thereof and, in the case of the Company, the actual knowledge of any of the Persons set forth on </w:t>
      </w:r>
      <w:r>
        <w:rPr>
          <w:rFonts w:ascii="Times New Roman;Times;serif" w:hAnsi="Times New Roman;Times;serif"/>
          <w:b w:val="false"/>
          <w:i w:val="false"/>
          <w:caps w:val="false"/>
          <w:smallCaps w:val="false"/>
          <w:color w:val="000000"/>
          <w:spacing w:val="4"/>
          <w:sz w:val="20"/>
          <w:u w:val="single"/>
        </w:rPr>
        <w:t>Section 8.12(yy)</w:t>
      </w:r>
      <w:r>
        <w:rPr>
          <w:rFonts w:ascii="Times New Roman;Times;serif" w:hAnsi="Times New Roman;Times;serif"/>
          <w:b w:val="false"/>
          <w:i w:val="false"/>
          <w:caps w:val="false"/>
          <w:smallCaps w:val="false"/>
          <w:color w:val="000000"/>
          <w:spacing w:val="4"/>
          <w:sz w:val="20"/>
        </w:rPr>
        <w:t xml:space="preserve"> of the Company Disclosure Schedule after reasonable inquiry of such Person’s direct reports who would reasonably be expected to have information with respect to the subject matter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(aaa)   “</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federal, state, local, county, regional, foreign or transnational law, statute, regulation, code, ordinance, common law, ruling, writ, award, zoning law, building code or decree of any Governmental Entity.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(bbb)   “</w:t>
      </w:r>
      <w:r>
        <w:rPr>
          <w:rFonts w:ascii="Times New Roman;Times;serif" w:hAnsi="Times New Roman;Times;serif"/>
          <w:b/>
          <w:i w:val="false"/>
          <w:caps w:val="false"/>
          <w:smallCaps w:val="false"/>
          <w:color w:val="000000"/>
          <w:spacing w:val="-4"/>
          <w:sz w:val="20"/>
        </w:rPr>
        <w:t>LDT</w:t>
      </w:r>
      <w:r>
        <w:rPr>
          <w:rFonts w:ascii="Times New Roman;Times;serif" w:hAnsi="Times New Roman;Times;serif"/>
          <w:b w:val="false"/>
          <w:i w:val="false"/>
          <w:caps w:val="false"/>
          <w:smallCaps w:val="false"/>
          <w:color w:val="000000"/>
          <w:spacing w:val="4"/>
          <w:sz w:val="20"/>
        </w:rPr>
        <w:t xml:space="preserve">” means laboratory-developed test.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(ccc)   “</w:t>
      </w:r>
      <w:r>
        <w:rPr>
          <w:rFonts w:ascii="Times New Roman;Times;serif" w:hAnsi="Times New Roman;Times;serif"/>
          <w:b/>
          <w:i w:val="false"/>
          <w:caps w:val="false"/>
          <w:smallCaps w:val="false"/>
          <w:color w:val="000000"/>
          <w:spacing w:val="-4"/>
          <w:sz w:val="20"/>
        </w:rPr>
        <w:t>Legal Proceeding</w:t>
      </w:r>
      <w:r>
        <w:rPr>
          <w:rFonts w:ascii="Times New Roman;Times;serif" w:hAnsi="Times New Roman;Times;serif"/>
          <w:b w:val="false"/>
          <w:i w:val="false"/>
          <w:caps w:val="false"/>
          <w:smallCaps w:val="false"/>
          <w:color w:val="000000"/>
          <w:spacing w:val="4"/>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examinations or administrative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hearings or proceedings by or before a Governmental Entity (e.g., appeals initiated by the applicant or patentee before the U.S. Patent Trial and Appeal Board) conducted either in the ordinary course of prosecution of Intellectual Property Rights.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(ddd)   “</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pledges, liens, charges, mortgages, deeds of trust, encumbrances and security interests of any kind or nature whatsoever.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(eee)   “</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National Association of Securities Dealers Automatic Quotation System.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(fff)   “</w:t>
      </w:r>
      <w:r>
        <w:rPr>
          <w:rFonts w:ascii="Times New Roman;Times;serif" w:hAnsi="Times New Roman;Times;serif"/>
          <w:b/>
          <w:i w:val="false"/>
          <w:caps w:val="false"/>
          <w:smallCaps w:val="false"/>
          <w:color w:val="000000"/>
          <w:spacing w:val="-4"/>
          <w:sz w:val="20"/>
        </w:rPr>
        <w:t>Ordinary Course of Business</w:t>
      </w:r>
      <w:r>
        <w:rPr>
          <w:rFonts w:ascii="Times New Roman;Times;serif" w:hAnsi="Times New Roman;Times;serif"/>
          <w:b w:val="false"/>
          <w:i w:val="false"/>
          <w:caps w:val="false"/>
          <w:smallCaps w:val="false"/>
          <w:color w:val="000000"/>
          <w:spacing w:val="4"/>
          <w:sz w:val="20"/>
        </w:rPr>
        <w:t xml:space="preserve">” means, in the case of each of the Company and Parent, such actions taken in the ordinary course of its and its Subsidiaries’ normal operations and consistent in all material respects with its and its Subsidiaries’ past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(ggg)   “</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(hhh)   “</w:t>
      </w:r>
      <w:r>
        <w:rPr>
          <w:rFonts w:ascii="Times New Roman;Times;serif" w:hAnsi="Times New Roman;Times;serif"/>
          <w:b/>
          <w:i w:val="false"/>
          <w:caps w:val="false"/>
          <w:smallCaps w:val="false"/>
          <w:color w:val="000000"/>
          <w:spacing w:val="-4"/>
          <w:sz w:val="20"/>
        </w:rPr>
        <w:t>Palamedrix Merger Agreement</w:t>
      </w:r>
      <w:r>
        <w:rPr>
          <w:rFonts w:ascii="Times New Roman;Times;serif" w:hAnsi="Times New Roman;Times;serif"/>
          <w:b w:val="false"/>
          <w:i w:val="false"/>
          <w:caps w:val="false"/>
          <w:smallCaps w:val="false"/>
          <w:color w:val="000000"/>
          <w:spacing w:val="4"/>
          <w:sz w:val="20"/>
        </w:rPr>
        <w:t xml:space="preserve">” means that certain Agreement and Plan of Merger, dated as of July 25, 2022, by and among the Company, Panther Merger Subsidiary I, LLC, Panther Merger Subsidiary II, LLC, Palamedrix, Inc., and Shareholder Representative Services LLC, as amended or supplemented.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i w:val="false"/>
          <w:caps w:val="false"/>
          <w:smallCaps w:val="false"/>
          <w:color w:val="000000"/>
          <w:spacing w:val="-4"/>
          <w:sz w:val="20"/>
        </w:rPr>
        <w:t>Parent Affiliate</w:t>
      </w:r>
      <w:r>
        <w:rPr>
          <w:rFonts w:ascii="Times New Roman;Times;serif" w:hAnsi="Times New Roman;Times;serif"/>
          <w:b w:val="false"/>
          <w:i w:val="false"/>
          <w:caps w:val="false"/>
          <w:smallCaps w:val="false"/>
          <w:color w:val="000000"/>
          <w:spacing w:val="4"/>
          <w:sz w:val="20"/>
        </w:rPr>
        <w:t xml:space="preserve">” means any Person under common control with Parent or any of its Subsidiaries within the meaning of Section 414(b), Section 414(c), Section 414(m) or Section 414(o) of the Code, and the regulations issued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(jjj)   “</w:t>
      </w:r>
      <w:r>
        <w:rPr>
          <w:rFonts w:ascii="Times New Roman;Times;serif" w:hAnsi="Times New Roman;Times;serif"/>
          <w:b/>
          <w:i w:val="false"/>
          <w:caps w:val="false"/>
          <w:smallCaps w:val="false"/>
          <w:color w:val="000000"/>
          <w:spacing w:val="-4"/>
          <w:sz w:val="20"/>
        </w:rPr>
        <w:t>Parent Associate</w:t>
      </w:r>
      <w:r>
        <w:rPr>
          <w:rFonts w:ascii="Times New Roman;Times;serif" w:hAnsi="Times New Roman;Times;serif"/>
          <w:b w:val="false"/>
          <w:i w:val="false"/>
          <w:caps w:val="false"/>
          <w:smallCaps w:val="false"/>
          <w:color w:val="000000"/>
          <w:spacing w:val="4"/>
          <w:sz w:val="20"/>
        </w:rPr>
        <w:t xml:space="preserve">” means any current or former officer, employee, independent contractor, consultant or director, of or to Parent or any of its Subsidiaries or any controlled Parent Affiliate.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(kkk)   “</w:t>
      </w:r>
      <w:r>
        <w:rPr>
          <w:rFonts w:ascii="Times New Roman;Times;serif" w:hAnsi="Times New Roman;Times;serif"/>
          <w:b/>
          <w:i w:val="false"/>
          <w:caps w:val="false"/>
          <w:smallCaps w:val="false"/>
          <w:color w:val="000000"/>
          <w:spacing w:val="-4"/>
          <w:sz w:val="20"/>
        </w:rPr>
        <w:t>Parent Benefit Plan</w:t>
      </w:r>
      <w:r>
        <w:rPr>
          <w:rFonts w:ascii="Times New Roman;Times;serif" w:hAnsi="Times New Roman;Times;serif"/>
          <w:b w:val="false"/>
          <w:i w:val="false"/>
          <w:caps w:val="false"/>
          <w:smallCaps w:val="false"/>
          <w:color w:val="000000"/>
          <w:spacing w:val="4"/>
          <w:sz w:val="20"/>
        </w:rPr>
        <w:t xml:space="preserve">”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current or former employee, director, officer, consultant or independent contractor of Parent or any of its Subsidiaries or under which Parent or any of its Subsidiaries has any actual or contingent liability (including as to the result of it being treated as a single employer under Section 414 of the Code with any other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(lll)   “</w:t>
      </w:r>
      <w:r>
        <w:rPr>
          <w:rFonts w:ascii="Times New Roman;Times;serif" w:hAnsi="Times New Roman;Times;serif"/>
          <w:b/>
          <w:i w:val="false"/>
          <w:caps w:val="false"/>
          <w:smallCaps w:val="false"/>
          <w:color w:val="000000"/>
          <w:spacing w:val="-4"/>
          <w:sz w:val="20"/>
        </w:rPr>
        <w:t>Parent Contract</w:t>
      </w:r>
      <w:r>
        <w:rPr>
          <w:rFonts w:ascii="Times New Roman;Times;serif" w:hAnsi="Times New Roman;Times;serif"/>
          <w:b w:val="false"/>
          <w:i w:val="false"/>
          <w:caps w:val="false"/>
          <w:smallCaps w:val="false"/>
          <w:color w:val="000000"/>
          <w:spacing w:val="4"/>
          <w:sz w:val="20"/>
        </w:rPr>
        <w:t xml:space="preserve">”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(mmm)   “</w:t>
      </w:r>
      <w:r>
        <w:rPr>
          <w:rFonts w:ascii="Times New Roman;Times;serif" w:hAnsi="Times New Roman;Times;serif"/>
          <w:b/>
          <w:i w:val="false"/>
          <w:caps w:val="false"/>
          <w:smallCaps w:val="false"/>
          <w:color w:val="000000"/>
          <w:spacing w:val="-4"/>
          <w:sz w:val="20"/>
        </w:rPr>
        <w:t>Parent Equity Award</w:t>
      </w:r>
      <w:r>
        <w:rPr>
          <w:rFonts w:ascii="Times New Roman;Times;serif" w:hAnsi="Times New Roman;Times;serif"/>
          <w:b w:val="false"/>
          <w:i w:val="false"/>
          <w:caps w:val="false"/>
          <w:smallCaps w:val="false"/>
          <w:color w:val="000000"/>
          <w:spacing w:val="4"/>
          <w:sz w:val="20"/>
        </w:rPr>
        <w:t xml:space="preserve">” means Parent Options and Parent RSUs.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(nnn)   “</w:t>
      </w:r>
      <w:r>
        <w:rPr>
          <w:rFonts w:ascii="Times New Roman;Times;serif" w:hAnsi="Times New Roman;Times;serif"/>
          <w:b/>
          <w:i w:val="false"/>
          <w:caps w:val="false"/>
          <w:smallCaps w:val="false"/>
          <w:color w:val="000000"/>
          <w:spacing w:val="-4"/>
          <w:sz w:val="20"/>
        </w:rPr>
        <w:t>Parent 2011 Equity Incentive Plan Amendment</w:t>
      </w:r>
      <w:r>
        <w:rPr>
          <w:rFonts w:ascii="Times New Roman;Times;serif" w:hAnsi="Times New Roman;Times;serif"/>
          <w:b w:val="false"/>
          <w:i w:val="false"/>
          <w:caps w:val="false"/>
          <w:smallCaps w:val="false"/>
          <w:color w:val="000000"/>
          <w:spacing w:val="4"/>
          <w:sz w:val="20"/>
        </w:rPr>
        <w:t xml:space="preserve">” means an amendment to the Parent 2011 Equity Incentive Plan to increase the total number of shares of Parent Common Stock authorized for issuance thereunder by up to the number shares of Parent Common Stock set forth on </w:t>
      </w:r>
      <w:r>
        <w:rPr>
          <w:rFonts w:ascii="Times New Roman;Times;serif" w:hAnsi="Times New Roman;Times;serif"/>
          <w:b w:val="false"/>
          <w:i w:val="false"/>
          <w:caps w:val="false"/>
          <w:smallCaps w:val="false"/>
          <w:color w:val="000000"/>
          <w:spacing w:val="4"/>
          <w:sz w:val="20"/>
          <w:u w:val="single"/>
        </w:rPr>
        <w:t>Section 8.12(nnn)</w:t>
      </w:r>
      <w:r>
        <w:rPr>
          <w:rFonts w:ascii="Times New Roman;Times;serif" w:hAnsi="Times New Roman;Times;serif"/>
          <w:b w:val="false"/>
          <w:i w:val="false"/>
          <w:caps w:val="false"/>
          <w:smallCaps w:val="false"/>
          <w:color w:val="000000"/>
          <w:spacing w:val="4"/>
          <w:sz w:val="20"/>
        </w:rPr>
        <w:t xml:space="preserve"> of the Parent Disclosure Schedule with the number of such shares (up to the limit) to be determined by the Parent Board in its sole discretion, following consultation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(ooo)   “</w:t>
      </w:r>
      <w:r>
        <w:rPr>
          <w:rFonts w:ascii="Times New Roman;Times;serif" w:hAnsi="Times New Roman;Times;serif"/>
          <w:b/>
          <w:i w:val="false"/>
          <w:caps w:val="false"/>
          <w:smallCaps w:val="false"/>
          <w:color w:val="000000"/>
          <w:spacing w:val="-4"/>
          <w:sz w:val="20"/>
        </w:rPr>
        <w:t>Parent ERISA Affiliate</w:t>
      </w:r>
      <w:r>
        <w:rPr>
          <w:rFonts w:ascii="Times New Roman;Times;serif" w:hAnsi="Times New Roman;Times;serif"/>
          <w:b w:val="false"/>
          <w:i w:val="false"/>
          <w:caps w:val="false"/>
          <w:smallCaps w:val="false"/>
          <w:color w:val="000000"/>
          <w:spacing w:val="4"/>
          <w:sz w:val="20"/>
        </w:rPr>
        <w:t xml:space="preserve">” means any corporation or trade or business (whether or not incorporated) which is (or at any relevant time was) treated with Parent or any of its Subsidiaries as a single employer within the meaning of Section 414 of the Code.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(ppp)   “</w:t>
      </w:r>
      <w:r>
        <w:rPr>
          <w:rFonts w:ascii="Times New Roman;Times;serif" w:hAnsi="Times New Roman;Times;serif"/>
          <w:b/>
          <w:i w:val="false"/>
          <w:caps w:val="false"/>
          <w:smallCaps w:val="false"/>
          <w:color w:val="000000"/>
          <w:spacing w:val="-4"/>
          <w:sz w:val="20"/>
        </w:rPr>
        <w:t>Parent ESPP</w:t>
      </w:r>
      <w:r>
        <w:rPr>
          <w:rFonts w:ascii="Times New Roman;Times;serif" w:hAnsi="Times New Roman;Times;serif"/>
          <w:b w:val="false"/>
          <w:i w:val="false"/>
          <w:caps w:val="false"/>
          <w:smallCaps w:val="false"/>
          <w:color w:val="000000"/>
          <w:spacing w:val="4"/>
          <w:sz w:val="20"/>
        </w:rPr>
        <w:t xml:space="preserve">” means the Parent 2017 Employee Stock Purchase Plan,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(qqq)   “</w:t>
      </w:r>
      <w:r>
        <w:rPr>
          <w:rFonts w:ascii="Times New Roman;Times;serif" w:hAnsi="Times New Roman;Times;serif"/>
          <w:b/>
          <w:i w:val="false"/>
          <w:caps w:val="false"/>
          <w:smallCaps w:val="false"/>
          <w:color w:val="000000"/>
          <w:spacing w:val="-4"/>
          <w:sz w:val="20"/>
        </w:rPr>
        <w:t>Parent Inducement Grant</w:t>
      </w:r>
      <w:r>
        <w:rPr>
          <w:rFonts w:ascii="Times New Roman;Times;serif" w:hAnsi="Times New Roman;Times;serif"/>
          <w:b w:val="false"/>
          <w:i w:val="false"/>
          <w:caps w:val="false"/>
          <w:smallCaps w:val="false"/>
          <w:color w:val="000000"/>
          <w:spacing w:val="4"/>
          <w:sz w:val="20"/>
        </w:rPr>
        <w:t xml:space="preserve">” means any option to purchase capital stock of Parent or any restricted stock unit made in the form of inducement awards pursuant to NASDAQ Stock Market Rule 5635(c)(4) outside of the Parent Stock Plans and not approved by security holders of Parent.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(rrr)   “</w:t>
      </w:r>
      <w:r>
        <w:rPr>
          <w:rFonts w:ascii="Times New Roman;Times;serif" w:hAnsi="Times New Roman;Times;serif"/>
          <w:b/>
          <w:i w:val="false"/>
          <w:caps w:val="false"/>
          <w:smallCaps w:val="false"/>
          <w:color w:val="000000"/>
          <w:spacing w:val="-4"/>
          <w:sz w:val="20"/>
        </w:rPr>
        <w:t>Parent IP</w:t>
      </w:r>
      <w:r>
        <w:rPr>
          <w:rFonts w:ascii="Times New Roman;Times;serif" w:hAnsi="Times New Roman;Times;serif"/>
          <w:b w:val="false"/>
          <w:i w:val="false"/>
          <w:caps w:val="false"/>
          <w:smallCaps w:val="false"/>
          <w:color w:val="000000"/>
          <w:spacing w:val="4"/>
          <w:sz w:val="20"/>
        </w:rPr>
        <w:t xml:space="preserve">” means Parent Owned IP and Parent 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(sss)   “</w:t>
      </w:r>
      <w:r>
        <w:rPr>
          <w:rFonts w:ascii="Times New Roman;Times;serif" w:hAnsi="Times New Roman;Times;serif"/>
          <w:b/>
          <w:i w:val="false"/>
          <w:caps w:val="false"/>
          <w:smallCaps w:val="false"/>
          <w:color w:val="000000"/>
          <w:spacing w:val="-4"/>
          <w:sz w:val="20"/>
        </w:rPr>
        <w:t>Parent Licensed IP</w:t>
      </w:r>
      <w:r>
        <w:rPr>
          <w:rFonts w:ascii="Times New Roman;Times;serif" w:hAnsi="Times New Roman;Times;serif"/>
          <w:b w:val="false"/>
          <w:i w:val="false"/>
          <w:caps w:val="false"/>
          <w:smallCaps w:val="false"/>
          <w:color w:val="000000"/>
          <w:spacing w:val="4"/>
          <w:sz w:val="20"/>
        </w:rPr>
        <w:t xml:space="preserve">” means all Intellectual Property Rights that are exclusively licensed, or purported to be exclusively licensed, by any third party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(ttt)   “</w:t>
      </w:r>
      <w:r>
        <w:rPr>
          <w:rFonts w:ascii="Times New Roman;Times;serif" w:hAnsi="Times New Roman;Times;serif"/>
          <w:b/>
          <w:i w:val="false"/>
          <w:caps w:val="false"/>
          <w:smallCaps w:val="false"/>
          <w:color w:val="000000"/>
          <w:spacing w:val="-4"/>
          <w:sz w:val="20"/>
        </w:rPr>
        <w:t>Parent Material Adverse Effect</w:t>
      </w:r>
      <w:r>
        <w:rPr>
          <w:rFonts w:ascii="Times New Roman;Times;serif" w:hAnsi="Times New Roman;Times;serif"/>
          <w:b w:val="false"/>
          <w:i w:val="false"/>
          <w:caps w:val="false"/>
          <w:smallCaps w:val="false"/>
          <w:color w:val="000000"/>
          <w:spacing w:val="4"/>
          <w:sz w:val="20"/>
        </w:rPr>
        <w:t xml:space="preserve">”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excluding, in the case of clause (1),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(vi)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(uuu)   “</w:t>
      </w:r>
      <w:r>
        <w:rPr>
          <w:rFonts w:ascii="Times New Roman;Times;serif" w:hAnsi="Times New Roman;Times;serif"/>
          <w:b/>
          <w:i w:val="false"/>
          <w:caps w:val="false"/>
          <w:smallCaps w:val="false"/>
          <w:color w:val="000000"/>
          <w:spacing w:val="-4"/>
          <w:sz w:val="20"/>
        </w:rPr>
        <w:t>Parent Option</w:t>
      </w:r>
      <w:r>
        <w:rPr>
          <w:rFonts w:ascii="Times New Roman;Times;serif" w:hAnsi="Times New Roman;Times;serif"/>
          <w:b w:val="false"/>
          <w:i w:val="false"/>
          <w:caps w:val="false"/>
          <w:smallCaps w:val="false"/>
          <w:color w:val="000000"/>
          <w:spacing w:val="4"/>
          <w:sz w:val="20"/>
        </w:rPr>
        <w:t xml:space="preserve">” means any option to purchase capital stock of Parent (whether granted under any Parent Stock Plan or as a Parent Inducement Grant, assumed by Parent in connection with any merger, acquisition or similar transaction or otherwise issued or granted), but excluding the options granted pursuant to the Parent ESPP.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(vvv)   “</w:t>
      </w:r>
      <w:r>
        <w:rPr>
          <w:rFonts w:ascii="Times New Roman;Times;serif" w:hAnsi="Times New Roman;Times;serif"/>
          <w:b/>
          <w:i w:val="false"/>
          <w:caps w:val="false"/>
          <w:smallCaps w:val="false"/>
          <w:color w:val="000000"/>
          <w:spacing w:val="-4"/>
          <w:sz w:val="20"/>
        </w:rPr>
        <w:t>Parent Owned IP</w:t>
      </w:r>
      <w:r>
        <w:rPr>
          <w:rFonts w:ascii="Times New Roman;Times;serif" w:hAnsi="Times New Roman;Times;serif"/>
          <w:b w:val="false"/>
          <w:i w:val="false"/>
          <w:caps w:val="false"/>
          <w:smallCaps w:val="false"/>
          <w:color w:val="000000"/>
          <w:spacing w:val="4"/>
          <w:sz w:val="20"/>
        </w:rPr>
        <w:t xml:space="preserve">” means all Intellectual Property Rights that are owned, or purported to be owned, by Parent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(www)   “</w:t>
      </w:r>
      <w:r>
        <w:rPr>
          <w:rFonts w:ascii="Times New Roman;Times;serif" w:hAnsi="Times New Roman;Times;serif"/>
          <w:b/>
          <w:i w:val="false"/>
          <w:caps w:val="false"/>
          <w:smallCaps w:val="false"/>
          <w:color w:val="000000"/>
          <w:spacing w:val="-4"/>
          <w:sz w:val="20"/>
        </w:rPr>
        <w:t>Parent Product</w:t>
      </w:r>
      <w:r>
        <w:rPr>
          <w:rFonts w:ascii="Times New Roman;Times;serif" w:hAnsi="Times New Roman;Times;serif"/>
          <w:b w:val="false"/>
          <w:i w:val="false"/>
          <w:caps w:val="false"/>
          <w:smallCaps w:val="false"/>
          <w:color w:val="000000"/>
          <w:spacing w:val="4"/>
          <w:sz w:val="20"/>
        </w:rPr>
        <w:t xml:space="preserve">”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(xxx)   “</w:t>
      </w:r>
      <w:r>
        <w:rPr>
          <w:rFonts w:ascii="Times New Roman;Times;serif" w:hAnsi="Times New Roman;Times;serif"/>
          <w:b/>
          <w:i w:val="false"/>
          <w:caps w:val="false"/>
          <w:smallCaps w:val="false"/>
          <w:color w:val="000000"/>
          <w:spacing w:val="-4"/>
          <w:sz w:val="20"/>
        </w:rPr>
        <w:t>Parent RSUs</w:t>
      </w:r>
      <w:r>
        <w:rPr>
          <w:rFonts w:ascii="Times New Roman;Times;serif" w:hAnsi="Times New Roman;Times;serif"/>
          <w:b w:val="false"/>
          <w:i w:val="false"/>
          <w:caps w:val="false"/>
          <w:smallCaps w:val="false"/>
          <w:color w:val="000000"/>
          <w:spacing w:val="4"/>
          <w:sz w:val="20"/>
        </w:rPr>
        <w:t xml:space="preserve">” means any Parent restricted stock unit (whether granted under the Parent Stock Plans or as a Parent Inducement Grant, assumed by Parent in connection with any merger, acquisition or similar transaction or otherwise issued or granted).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(yyy)   “</w:t>
      </w:r>
      <w:r>
        <w:rPr>
          <w:rFonts w:ascii="Times New Roman;Times;serif" w:hAnsi="Times New Roman;Times;serif"/>
          <w:b/>
          <w:i w:val="false"/>
          <w:caps w:val="false"/>
          <w:smallCaps w:val="false"/>
          <w:color w:val="000000"/>
          <w:spacing w:val="-4"/>
          <w:sz w:val="20"/>
        </w:rPr>
        <w:t>Parent Series B-1 Preferred Stock</w:t>
      </w:r>
      <w:r>
        <w:rPr>
          <w:rFonts w:ascii="Times New Roman;Times;serif" w:hAnsi="Times New Roman;Times;serif"/>
          <w:b w:val="false"/>
          <w:i w:val="false"/>
          <w:caps w:val="false"/>
          <w:smallCaps w:val="false"/>
          <w:color w:val="000000"/>
          <w:spacing w:val="4"/>
          <w:sz w:val="20"/>
        </w:rPr>
        <w:t xml:space="preserve">” means the Series B-1 Preferred Stock, $0.001 par value per share,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(zzz)   “</w:t>
      </w:r>
      <w:r>
        <w:rPr>
          <w:rFonts w:ascii="Times New Roman;Times;serif" w:hAnsi="Times New Roman;Times;serif"/>
          <w:b/>
          <w:i w:val="false"/>
          <w:caps w:val="false"/>
          <w:smallCaps w:val="false"/>
          <w:color w:val="000000"/>
          <w:spacing w:val="-4"/>
          <w:sz w:val="20"/>
        </w:rPr>
        <w:t>Parent Series B-2 Preferred Stock</w:t>
      </w:r>
      <w:r>
        <w:rPr>
          <w:rFonts w:ascii="Times New Roman;Times;serif" w:hAnsi="Times New Roman;Times;serif"/>
          <w:b w:val="false"/>
          <w:i w:val="false"/>
          <w:caps w:val="false"/>
          <w:smallCaps w:val="false"/>
          <w:color w:val="000000"/>
          <w:spacing w:val="4"/>
          <w:sz w:val="20"/>
        </w:rPr>
        <w:t xml:space="preserve">” means the Series B-2 Preferred Stock, $0.001 par value per share,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(aaaa)   “</w:t>
      </w:r>
      <w:r>
        <w:rPr>
          <w:rFonts w:ascii="Times New Roman;Times;serif" w:hAnsi="Times New Roman;Times;serif"/>
          <w:b/>
          <w:i w:val="false"/>
          <w:caps w:val="false"/>
          <w:smallCaps w:val="false"/>
          <w:color w:val="000000"/>
          <w:spacing w:val="-4"/>
          <w:sz w:val="20"/>
        </w:rPr>
        <w:t>Parent Series B-1 Stockholder</w:t>
      </w:r>
      <w:r>
        <w:rPr>
          <w:rFonts w:ascii="Times New Roman;Times;serif" w:hAnsi="Times New Roman;Times;serif"/>
          <w:b w:val="false"/>
          <w:i w:val="false"/>
          <w:caps w:val="false"/>
          <w:smallCaps w:val="false"/>
          <w:color w:val="000000"/>
          <w:spacing w:val="4"/>
          <w:sz w:val="20"/>
        </w:rPr>
        <w:t xml:space="preserve">” means, collectively, (i) Casdin Partners Master Fund, L.P., and (ii) Casdin Private Growth Equity Fund II, L.P.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(bbbb)   “</w:t>
      </w:r>
      <w:r>
        <w:rPr>
          <w:rFonts w:ascii="Times New Roman;Times;serif" w:hAnsi="Times New Roman;Times;serif"/>
          <w:b/>
          <w:i w:val="false"/>
          <w:caps w:val="false"/>
          <w:smallCaps w:val="false"/>
          <w:color w:val="000000"/>
          <w:spacing w:val="-4"/>
          <w:sz w:val="20"/>
        </w:rPr>
        <w:t>Parent Series B-2 Stockholder</w:t>
      </w:r>
      <w:r>
        <w:rPr>
          <w:rFonts w:ascii="Times New Roman;Times;serif" w:hAnsi="Times New Roman;Times;serif"/>
          <w:b w:val="false"/>
          <w:i w:val="false"/>
          <w:caps w:val="false"/>
          <w:smallCaps w:val="false"/>
          <w:color w:val="000000"/>
          <w:spacing w:val="4"/>
          <w:sz w:val="20"/>
        </w:rPr>
        <w:t xml:space="preserve">” means, collectively, (i) Viking Global Opportunities Illiquid Investments Sub-Master LP, and (ii) Viking Global Opportunities Drawdown (Aggregator) LP.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(cccc)   “</w:t>
      </w:r>
      <w:r>
        <w:rPr>
          <w:rFonts w:ascii="Times New Roman;Times;serif" w:hAnsi="Times New Roman;Times;serif"/>
          <w:b/>
          <w:i w:val="false"/>
          <w:caps w:val="false"/>
          <w:smallCaps w:val="false"/>
          <w:color w:val="000000"/>
          <w:spacing w:val="-4"/>
          <w:sz w:val="20"/>
        </w:rPr>
        <w:t>Parent Termination Fee</w:t>
      </w:r>
      <w:r>
        <w:rPr>
          <w:rFonts w:ascii="Times New Roman;Times;serif" w:hAnsi="Times New Roman;Times;serif"/>
          <w:b w:val="false"/>
          <w:i w:val="false"/>
          <w:caps w:val="false"/>
          <w:smallCaps w:val="false"/>
          <w:color w:val="000000"/>
          <w:spacing w:val="4"/>
          <w:sz w:val="20"/>
        </w:rPr>
        <w:t xml:space="preserve">” means $19,123,214.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(dddd)   “</w:t>
      </w:r>
      <w:r>
        <w:rPr>
          <w:rFonts w:ascii="Times New Roman;Times;serif" w:hAnsi="Times New Roman;Times;serif"/>
          <w:b/>
          <w:i w:val="false"/>
          <w:caps w:val="false"/>
          <w:smallCaps w:val="false"/>
          <w:color w:val="000000"/>
          <w:spacing w:val="-4"/>
          <w:sz w:val="20"/>
        </w:rPr>
        <w:t>Parent Warrant</w:t>
      </w:r>
      <w:r>
        <w:rPr>
          <w:rFonts w:ascii="Times New Roman;Times;serif" w:hAnsi="Times New Roman;Times;serif"/>
          <w:b w:val="false"/>
          <w:i w:val="false"/>
          <w:caps w:val="false"/>
          <w:smallCaps w:val="false"/>
          <w:color w:val="000000"/>
          <w:spacing w:val="4"/>
          <w:sz w:val="20"/>
        </w:rPr>
        <w:t xml:space="preserve">” means any warrant to purchase capital stock of Parent that is outstanding and unexercised immediately prior to the Effective Time, including those listed on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(eeee)   “</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defect or irregularity in title for any Intellectual Property Rights that does not, individually or in the aggregate, materially and adversely interfere with the present use of assets to which it relates and (iii) non-exclusive license of Intellectual Property Rights granted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(ffff)   “</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natural person, firm, corporation, partnership, company, limited liability company, trust, joint venture, association, Governmental Entity or other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(gggg)   “</w:t>
      </w:r>
      <w:r>
        <w:rPr>
          <w:rFonts w:ascii="Times New Roman;Times;serif" w:hAnsi="Times New Roman;Times;serif"/>
          <w:b/>
          <w:i w:val="false"/>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xml:space="preserve">” ​(i) personal, personally identifiable, sensitive or regulated information or data concerning a natural person, or (ii) such other data defined as “personal data,” “personally identifiable information,” or other similar term in any applicable Data Protection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(hhhh)   “</w:t>
      </w:r>
      <w:r>
        <w:rPr>
          <w:rFonts w:ascii="Times New Roman;Times;serif" w:hAnsi="Times New Roman;Times;serif"/>
          <w:b/>
          <w:i w:val="false"/>
          <w:caps w:val="false"/>
          <w:smallCaps w:val="false"/>
          <w:color w:val="000000"/>
          <w:spacing w:val="-4"/>
          <w:sz w:val="20"/>
        </w:rPr>
        <w:t>Reference Date</w:t>
      </w:r>
      <w:r>
        <w:rPr>
          <w:rFonts w:ascii="Times New Roman;Times;serif" w:hAnsi="Times New Roman;Times;serif"/>
          <w:b w:val="false"/>
          <w:i w:val="false"/>
          <w:caps w:val="false"/>
          <w:smallCaps w:val="false"/>
          <w:color w:val="000000"/>
          <w:spacing w:val="4"/>
          <w:sz w:val="20"/>
        </w:rPr>
        <w:t xml:space="preserve">” means September 28,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(iiii)   “</w:t>
      </w:r>
      <w:r>
        <w:rPr>
          <w:rFonts w:ascii="Times New Roman;Times;serif" w:hAnsi="Times New Roman;Times;serif"/>
          <w:b/>
          <w:i w:val="false"/>
          <w:caps w:val="false"/>
          <w:smallCaps w:val="false"/>
          <w:color w:val="000000"/>
          <w:spacing w:val="-4"/>
          <w:sz w:val="20"/>
        </w:rPr>
        <w:t>Sanctions Laws</w:t>
      </w:r>
      <w:r>
        <w:rPr>
          <w:rFonts w:ascii="Times New Roman;Times;serif" w:hAnsi="Times New Roman;Times;serif"/>
          <w:b w:val="false"/>
          <w:i w:val="false"/>
          <w:caps w:val="false"/>
          <w:smallCaps w:val="false"/>
          <w:color w:val="000000"/>
          <w:spacing w:val="4"/>
          <w:sz w:val="20"/>
        </w:rPr>
        <w:t xml:space="preserve">”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applicable Laws threatening to impose economic sanctions on any person for engaging in proscribed behavior.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(jjjj)   “</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any country or other territory subject to a comprehensive export, import, financial or investment embargo under any Sanctions Laws, which currently comprise Cuba, Iran, North Korea, Syria, the Crimea region of Ukraine, the so-called Donetsk People’s Republic, and the so-called Luhansk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(kkkk)   “</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with whom dealings are restricted or prohibited under any Sanctions Laws, including the Sanctions Laws of the United States, the United Kingdom, the European Union or the United Nations, including (i) any Person identified in any list of Sanctioned Persons maintained by (A) the United States Department of Treasury, Office of Foreign Assets Control, the United States Department of Commerce, Bureau of Industry and Security or the United States Department of State, (B) Her Majesty’s Treasury of the United Kingdom, (C) any committee of the United Nations Security Council, or (D) the European Union, (ii) any Person located, organized, or resident in, organized in, or a Governmental Entity or government instrumentality of, any Sanctioned Country and (iii) any Person directly or indirectly 50% or more owned or controlled by, or acting for the benefit or on behalf of, a Person described in the foregoing clauses (i) or (ii).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(llll)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Securities and Exchange Commission.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(mmmm)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(nnnn)   “</w:t>
      </w:r>
      <w:r>
        <w:rPr>
          <w:rFonts w:ascii="Times New Roman;Times;serif" w:hAnsi="Times New Roman;Times;serif"/>
          <w:b/>
          <w:i w:val="false"/>
          <w:caps w:val="false"/>
          <w:smallCaps w:val="false"/>
          <w:color w:val="000000"/>
          <w:spacing w:val="-4"/>
          <w:sz w:val="20"/>
        </w:rPr>
        <w:t>Security Incident</w:t>
      </w:r>
      <w:r>
        <w:rPr>
          <w:rFonts w:ascii="Times New Roman;Times;serif" w:hAnsi="Times New Roman;Times;serif"/>
          <w:b w:val="false"/>
          <w:i w:val="false"/>
          <w:caps w:val="false"/>
          <w:smallCaps w:val="false"/>
          <w:color w:val="000000"/>
          <w:spacing w:val="4"/>
          <w:sz w:val="20"/>
        </w:rPr>
        <w:t xml:space="preserve">” means any unauthorized access, use, processing, transfer or disclosure, accidental or unlawful destruction, or any loss, theft or alteration, of data.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(oooo)   “</w:t>
      </w:r>
      <w:r>
        <w:rPr>
          <w:rFonts w:ascii="Times New Roman;Times;serif" w:hAnsi="Times New Roman;Times;serif"/>
          <w:b/>
          <w:i w:val="false"/>
          <w:caps w:val="false"/>
          <w:smallCaps w:val="false"/>
          <w:color w:val="000000"/>
          <w:spacing w:val="-4"/>
          <w:sz w:val="20"/>
        </w:rPr>
        <w:t>Series B Preferred Stock Certificate of Designations</w:t>
      </w:r>
      <w:r>
        <w:rPr>
          <w:rFonts w:ascii="Times New Roman;Times;serif" w:hAnsi="Times New Roman;Times;serif"/>
          <w:b w:val="false"/>
          <w:i w:val="false"/>
          <w:caps w:val="false"/>
          <w:smallCaps w:val="false"/>
          <w:color w:val="000000"/>
          <w:spacing w:val="4"/>
          <w:sz w:val="20"/>
        </w:rPr>
        <w:t xml:space="preserve">” means the Series B-1 Preferred Stock Certificate of Designations and the Series B-2 Preferred Stock Certificate of Designations,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(pppp)   “</w:t>
      </w:r>
      <w:r>
        <w:rPr>
          <w:rFonts w:ascii="Times New Roman;Times;serif" w:hAnsi="Times New Roman;Times;serif"/>
          <w:b/>
          <w:i w:val="false"/>
          <w:caps w:val="false"/>
          <w:smallCaps w:val="false"/>
          <w:color w:val="000000"/>
          <w:spacing w:val="-4"/>
          <w:sz w:val="20"/>
        </w:rPr>
        <w:t>Series B-1 Preferred Stock Certificate of Designations</w:t>
      </w:r>
      <w:r>
        <w:rPr>
          <w:rFonts w:ascii="Times New Roman;Times;serif" w:hAnsi="Times New Roman;Times;serif"/>
          <w:b w:val="false"/>
          <w:i w:val="false"/>
          <w:caps w:val="false"/>
          <w:smallCaps w:val="false"/>
          <w:color w:val="000000"/>
          <w:spacing w:val="4"/>
          <w:sz w:val="20"/>
        </w:rPr>
        <w:t xml:space="preserve">” means that certain Certificate of Designations of Rights, Preferences and Privileges of Series B-1 Convertible Preferred Stock, par value $0.001, of Parent dated April 1, 2022.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(qqqq)   “</w:t>
      </w:r>
      <w:r>
        <w:rPr>
          <w:rFonts w:ascii="Times New Roman;Times;serif" w:hAnsi="Times New Roman;Times;serif"/>
          <w:b/>
          <w:i w:val="false"/>
          <w:caps w:val="false"/>
          <w:smallCaps w:val="false"/>
          <w:color w:val="000000"/>
          <w:spacing w:val="-4"/>
          <w:sz w:val="20"/>
        </w:rPr>
        <w:t>Series B-2 Preferred Stock Certificate of Designations</w:t>
      </w:r>
      <w:r>
        <w:rPr>
          <w:rFonts w:ascii="Times New Roman;Times;serif" w:hAnsi="Times New Roman;Times;serif"/>
          <w:b w:val="false"/>
          <w:i w:val="false"/>
          <w:caps w:val="false"/>
          <w:smallCaps w:val="false"/>
          <w:color w:val="000000"/>
          <w:spacing w:val="4"/>
          <w:sz w:val="20"/>
        </w:rPr>
        <w:t xml:space="preserve">” means that certain Certificate of Designations of Rights, Preferences and Privileges of Series B-2 Convertible Preferred Stock, par value $0.001, of Parent dated April 1, 2022.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(rrrr)   “</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(ssss)   “</w:t>
      </w:r>
      <w:r>
        <w:rPr>
          <w:rFonts w:ascii="Times New Roman;Times;serif" w:hAnsi="Times New Roman;Times;serif"/>
          <w:b/>
          <w:i w:val="false"/>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(tttt)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any federal, state, local, foreign or other tax, including any income, capital gain, profits, franchise, gross receipts, environmental, customs duty, capital stock, severance, stamp, payroll, sales, employment, Medicare, unemployment, disability, use, property, withholding, excise, escheat, unclaimed property, production, value added, occupancy and any other taxes, duties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9" w:name="t8PTP"/>
      <w:bookmarkEnd w:id="2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in the nature of a tax imposed by any Governmental Entity, together with all interest, penalties and additions imposed with respect to such amounts and any interest in respect of such penalties and additions.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(uuuu)   “</w:t>
      </w:r>
      <w:r>
        <w:rPr>
          <w:rFonts w:ascii="Times New Roman;Times;serif" w:hAnsi="Times New Roman;Times;serif"/>
          <w:b/>
          <w:i w:val="false"/>
          <w:caps w:val="false"/>
          <w:smallCaps w:val="false"/>
          <w:color w:val="000000"/>
          <w:spacing w:val="-4"/>
          <w:sz w:val="20"/>
        </w:rPr>
        <w:t>Transaction Expenses</w:t>
      </w:r>
      <w:r>
        <w:rPr>
          <w:rFonts w:ascii="Times New Roman;Times;serif" w:hAnsi="Times New Roman;Times;serif"/>
          <w:b w:val="false"/>
          <w:i w:val="false"/>
          <w:caps w:val="false"/>
          <w:smallCaps w:val="false"/>
          <w:color w:val="000000"/>
          <w:spacing w:val="4"/>
          <w:sz w:val="20"/>
        </w:rPr>
        <w:t xml:space="preserve">” means with respect to each Party, all fees and expenses incurred by such party at or prior to the Effective Time in connection with this Agreement and the Contemplated Transactions, including (i) any fees and expenses of legal counsel and accountants, the maximum amount of fees and expenses payable to financial advisors, investment bankers, brokers, consultants, and other advisors of such party; (ii) fees paid to the SEC in connection with filing the Registration Statement, the Joint Proxy Statement/Prospectus, and any amendments and supplements thereto, with the SEC; (iii) any fees and expenses in connection with the printing, mailing and distribution of the Registration Statement, including any amendments and supplements thereto; and (iv) any fees associated with delisting or de-registering the Shares and any other security issued by the Company or one of its Subsidiaries from The Nasdaq Global Market under the Exchange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(vvvv)   “</w:t>
      </w:r>
      <w:r>
        <w:rPr>
          <w:rFonts w:ascii="Times New Roman;Times;serif" w:hAnsi="Times New Roman;Times;serif"/>
          <w:b/>
          <w:i w:val="false"/>
          <w:caps w:val="false"/>
          <w:smallCaps w:val="false"/>
          <w:color w:val="000000"/>
          <w:spacing w:val="-4"/>
          <w:sz w:val="20"/>
        </w:rPr>
        <w:t>Unaffiliated Stockholder</w:t>
      </w:r>
      <w:r>
        <w:rPr>
          <w:rFonts w:ascii="Times New Roman;Times;serif" w:hAnsi="Times New Roman;Times;serif"/>
          <w:b w:val="false"/>
          <w:i w:val="false"/>
          <w:caps w:val="false"/>
          <w:smallCaps w:val="false"/>
          <w:color w:val="000000"/>
          <w:spacing w:val="4"/>
          <w:sz w:val="20"/>
        </w:rPr>
        <w:t xml:space="preserve">” means all holders of outstanding shares of Company Common Stock other than Parent, Casdin Capital, LLC and their respective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8.13   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or Parent be entitled to both (a) specific performance to cause the other party to consummate the Closing and (b) the payment of the Parent Termination Fee or the Company Termination Fee, as applicable.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enter into this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this Agreement has been duly executed and delivered by the duly authorized officers of the Parties hereto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Jason Ryan 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71">
                <wp:simplePos x="0" y="0"/>
                <wp:positionH relativeFrom="column">
                  <wp:align>left</wp:align>
                </wp:positionH>
                <wp:positionV relativeFrom="line">
                  <wp:align>top</wp:align>
                </wp:positionV>
                <wp:extent cx="254000" cy="525780"/>
                <wp:effectExtent l="0" t="0" r="0" b="0"/>
                <wp:wrapSquare wrapText="right"/>
                <wp:docPr id="768" name="Frame7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Jason Ryan </w:t>
      </w:r>
      <w:r>
        <mc:AlternateContent>
          <mc:Choice Requires="wps">
            <w:drawing>
              <wp:anchor behindDoc="0" distT="38100" distB="0" distL="3048000" distR="0" simplePos="0" locked="0" layoutInCell="1" allowOverlap="1" relativeHeight="772">
                <wp:simplePos x="0" y="0"/>
                <wp:positionH relativeFrom="column">
                  <wp:align>left</wp:align>
                </wp:positionH>
                <wp:positionV relativeFrom="line">
                  <wp:align>top</wp:align>
                </wp:positionV>
                <wp:extent cx="444500" cy="525780"/>
                <wp:effectExtent l="0" t="0" r="0" b="0"/>
                <wp:wrapSquare wrapText="right"/>
                <wp:docPr id="769" name="Frame759"/>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3pt;mso-wrap-distance-bottom:0pt;margin-top:3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of the Board of Directors </w:t>
      </w:r>
      <w:r>
        <mc:AlternateContent>
          <mc:Choice Requires="wps">
            <w:drawing>
              <wp:anchor behindDoc="0" distT="12700" distB="0" distL="3048000" distR="0" simplePos="0" locked="0" layoutInCell="1" allowOverlap="1" relativeHeight="773">
                <wp:simplePos x="0" y="0"/>
                <wp:positionH relativeFrom="column">
                  <wp:align>left</wp:align>
                </wp:positionH>
                <wp:positionV relativeFrom="line">
                  <wp:align>top</wp:align>
                </wp:positionV>
                <wp:extent cx="444500" cy="350520"/>
                <wp:effectExtent l="0" t="0" r="0" b="0"/>
                <wp:wrapSquare wrapText="right"/>
                <wp:docPr id="770" name="Frame760"/>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1pt;mso-wrap-distance-bottom:0pt;margin-top:1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this Agreement has been duly executed and delivered by the duly authorized officers of the Parties hereto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74">
                <wp:simplePos x="0" y="0"/>
                <wp:positionH relativeFrom="column">
                  <wp:align>left</wp:align>
                </wp:positionH>
                <wp:positionV relativeFrom="line">
                  <wp:align>top</wp:align>
                </wp:positionV>
                <wp:extent cx="254000" cy="525780"/>
                <wp:effectExtent l="0" t="0" r="0" b="0"/>
                <wp:wrapSquare wrapText="right"/>
                <wp:docPr id="771" name="Frame7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Egholm, Ph.D. </w:t>
      </w:r>
      <w:r>
        <mc:AlternateContent>
          <mc:Choice Requires="wps">
            <w:drawing>
              <wp:anchor behindDoc="0" distT="36830" distB="0" distL="3048000" distR="0" simplePos="0" locked="0" layoutInCell="1" allowOverlap="1" relativeHeight="775">
                <wp:simplePos x="0" y="0"/>
                <wp:positionH relativeFrom="column">
                  <wp:align>left</wp:align>
                </wp:positionH>
                <wp:positionV relativeFrom="line">
                  <wp:align>top</wp:align>
                </wp:positionV>
                <wp:extent cx="444500" cy="525780"/>
                <wp:effectExtent l="0" t="0" r="0" b="0"/>
                <wp:wrapSquare wrapText="right"/>
                <wp:docPr id="772" name="Frame762"/>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9pt;mso-wrap-distance-bottom:0pt;margin-top:2.9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11430" distB="0" distL="3048000" distR="0" simplePos="0" locked="0" layoutInCell="1" allowOverlap="1" relativeHeight="776">
                <wp:simplePos x="0" y="0"/>
                <wp:positionH relativeFrom="column">
                  <wp:align>left</wp:align>
                </wp:positionH>
                <wp:positionV relativeFrom="line">
                  <wp:align>top</wp:align>
                </wp:positionV>
                <wp:extent cx="444500" cy="350520"/>
                <wp:effectExtent l="0" t="0" r="0" b="0"/>
                <wp:wrapSquare wrapText="right"/>
                <wp:docPr id="773" name="Frame763"/>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0.9pt;mso-wrap-distance-bottom:0pt;margin-top:0.9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77">
                <wp:simplePos x="0" y="0"/>
                <wp:positionH relativeFrom="column">
                  <wp:align>left</wp:align>
                </wp:positionH>
                <wp:positionV relativeFrom="line">
                  <wp:align>top</wp:align>
                </wp:positionV>
                <wp:extent cx="254000" cy="525780"/>
                <wp:effectExtent l="0" t="0" r="0" b="0"/>
                <wp:wrapSquare wrapText="right"/>
                <wp:docPr id="774" name="Frame7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Egholm, Ph.D. </w:t>
      </w:r>
      <w:r>
        <mc:AlternateContent>
          <mc:Choice Requires="wps">
            <w:drawing>
              <wp:anchor behindDoc="0" distT="36830" distB="0" distL="3048000" distR="0" simplePos="0" locked="0" layoutInCell="1" allowOverlap="1" relativeHeight="778">
                <wp:simplePos x="0" y="0"/>
                <wp:positionH relativeFrom="column">
                  <wp:align>left</wp:align>
                </wp:positionH>
                <wp:positionV relativeFrom="line">
                  <wp:align>top</wp:align>
                </wp:positionV>
                <wp:extent cx="444500" cy="525780"/>
                <wp:effectExtent l="0" t="0" r="0" b="0"/>
                <wp:wrapSquare wrapText="right"/>
                <wp:docPr id="775" name="Frame765"/>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9pt;mso-wrap-distance-bottom:0pt;margin-top:2.9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11430" distB="0" distL="3048000" distR="0" simplePos="0" locked="0" layoutInCell="1" allowOverlap="1" relativeHeight="779">
                <wp:simplePos x="0" y="0"/>
                <wp:positionH relativeFrom="column">
                  <wp:align>left</wp:align>
                </wp:positionH>
                <wp:positionV relativeFrom="line">
                  <wp:align>top</wp:align>
                </wp:positionV>
                <wp:extent cx="444500" cy="350520"/>
                <wp:effectExtent l="0" t="0" r="0" b="0"/>
                <wp:wrapSquare wrapText="right"/>
                <wp:docPr id="776" name="Frame766"/>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0.9pt;mso-wrap-distance-bottom:0pt;margin-top:0.9pt;mso-position-vertical:top;mso-position-vertical-relative:text;margin-left:24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94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Certificate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A</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MARTIS MERGER SUB,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Delaware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 and into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SOMALOGIC,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Delaware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Title 8, Section 251(h) of the Delaware General Corporation Law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SomaLogic, Inc., a Delaware corporation, does hereby certify the following information in connection with the merger of Martis Merger Sub, Inc., a Delaware corporation, with and into SomaLogic, Inc.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The name and state of incorporation of each of the constituent corporations in the Merger (the “</w:t>
      </w:r>
      <w:r>
        <w:rPr>
          <w:rFonts w:ascii="Times New Roman;Times;serif" w:hAnsi="Times New Roman;Times;serif"/>
          <w:b w:val="false"/>
          <w:i w:val="false"/>
          <w:caps w:val="false"/>
          <w:smallCaps w:val="false"/>
          <w:color w:val="000000"/>
          <w:spacing w:val="4"/>
          <w:sz w:val="20"/>
          <w:u w:val="single"/>
        </w:rPr>
        <w:t>Constituent Corporations</w:t>
      </w:r>
      <w:r>
        <w:rPr>
          <w:rFonts w:ascii="Times New Roman;Times;serif" w:hAnsi="Times New Roman;Times;serif"/>
          <w:b w:val="false"/>
          <w:i w:val="false"/>
          <w:caps w:val="false"/>
          <w:smallCaps w:val="false"/>
          <w:color w:val="000000"/>
          <w:spacing w:val="4"/>
          <w:sz w:val="20"/>
        </w:rPr>
        <w:t xml:space="preserve">”) are as follows: </w:t>
      </w:r>
    </w:p>
    <w:tbl>
      <w:tblPr>
        <w:tblW w:w="5052" w:type="dxa"/>
        <w:jc w:val="left"/>
        <w:tblInd w:w="1393" w:type="dxa"/>
        <w:tblLayout w:type="fixed"/>
        <w:tblCellMar>
          <w:top w:w="0" w:type="dxa"/>
          <w:left w:w="0" w:type="dxa"/>
          <w:bottom w:w="50" w:type="dxa"/>
          <w:right w:w="0" w:type="dxa"/>
        </w:tblCellMar>
      </w:tblPr>
      <w:tblGrid>
        <w:gridCol w:w="2510"/>
        <w:gridCol w:w="109"/>
        <w:gridCol w:w="109"/>
        <w:gridCol w:w="2170"/>
        <w:gridCol w:w="154"/>
      </w:tblGrid>
      <w:tr>
        <w:trPr/>
        <w:tc>
          <w:tcPr>
            <w:tcW w:w="251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0" w:type="dxa"/>
            <w:tcBorders>
              <w:bottom w:val="single" w:sz="2" w:space="0" w:color="000000"/>
            </w:tcBorders>
            <w:vAlign w:val="center"/>
          </w:tcPr>
          <w:p>
            <w:pPr>
              <w:pStyle w:val="TableContents"/>
              <w:bidi w:val="0"/>
              <w:spacing w:before="0" w:after="0"/>
              <w:jc w:val="center"/>
              <w:rPr>
                <w:spacing w:val="-3"/>
              </w:rPr>
            </w:pPr>
            <w:r>
              <w:rPr>
                <w:spacing w:val="-3"/>
              </w:rPr>
              <w:t xml:space="preserve">State of Incorporation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10" w:type="dxa"/>
            <w:tcBorders/>
            <w:tcMar>
              <w:bottom w:w="0" w:type="dxa"/>
            </w:tcMar>
            <w:vAlign w:val="center"/>
          </w:tcPr>
          <w:p>
            <w:pPr>
              <w:pStyle w:val="TableContents"/>
              <w:bidi w:val="0"/>
              <w:spacing w:before="0" w:after="283"/>
              <w:jc w:val="left"/>
              <w:rPr>
                <w:spacing w:val="4"/>
              </w:rPr>
            </w:pPr>
            <w:r>
              <w:rPr>
                <w:spacing w:val="4"/>
              </w:rPr>
              <w:t xml:space="preserve">SomaLogic,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0"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54" w:type="dxa"/>
            <w:tcBorders/>
            <w:tcMar>
              <w:bottom w:w="0" w:type="dxa"/>
            </w:tcMar>
            <w:vAlign w:val="center"/>
          </w:tcPr>
          <w:p>
            <w:pPr>
              <w:pStyle w:val="TableContents"/>
              <w:bidi w:val="0"/>
              <w:spacing w:before="0" w:after="283"/>
              <w:jc w:val="left"/>
              <w:rPr/>
            </w:pPr>
            <w:r>
              <w:rPr/>
              <w:t>​</w:t>
            </w:r>
          </w:p>
        </w:tc>
      </w:tr>
      <w:tr>
        <w:trPr/>
        <w:tc>
          <w:tcPr>
            <w:tcW w:w="2510" w:type="dxa"/>
            <w:tcBorders/>
            <w:tcMar>
              <w:bottom w:w="0" w:type="dxa"/>
            </w:tcMar>
            <w:vAlign w:val="center"/>
          </w:tcPr>
          <w:p>
            <w:pPr>
              <w:pStyle w:val="TableContents"/>
              <w:bidi w:val="0"/>
              <w:spacing w:before="0" w:after="283"/>
              <w:jc w:val="left"/>
              <w:rPr>
                <w:spacing w:val="4"/>
              </w:rPr>
            </w:pPr>
            <w:r>
              <w:rPr>
                <w:spacing w:val="4"/>
              </w:rPr>
              <w:t xml:space="preserve">Martis Merger Sub,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0" w:type="dxa"/>
            <w:tcBorders/>
            <w:tcMar>
              <w:bottom w:w="0" w:type="dxa"/>
            </w:tcMar>
            <w:vAlign w:val="center"/>
          </w:tcPr>
          <w:p>
            <w:pPr>
              <w:pStyle w:val="TableContents"/>
              <w:bidi w:val="0"/>
              <w:spacing w:before="0" w:after="283"/>
              <w:jc w:val="left"/>
              <w:rPr/>
            </w:pPr>
            <w:r>
              <w:rPr>
                <w:spacing w:val="4"/>
              </w:rPr>
              <w:t>Delaware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SECOND:   An Agreement and Plan of Merger, dated as of October 4, 2023, by and among Standard BioTools Inc., Martis Merger Sub, Inc., and SomaLogic, Inc. (as amended, modified, and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has been approved, adopted, executed and acknowledged by each of the Constituent Corporations in accordance with the requirements of Section 251(h) of the DGCL (and with respect to Martis Merger Sub, Inc., by the written consent of its sole stockholder in accordance with Section 228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THIRD:   The name of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shall be SomaLogic,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FOURTH:   The certificate of incorporation of the Surviving Corporation, as in effect immediately prior to the Merger, is hereby amended and restated in its entirety at the effective time of the Merger as set forth in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attached hereto until thereafter amended as provided therein or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FIFTH:   The executed Merger Agreement is on file at a place of business of the Surviving Corporation. The address of such place of business of the Surviving Corporation is: 2945 Wilderness Place, Boulder, Colorado 80301.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SIXTH:   A copy of the Merger Agreement will be furnished by the Surviving Corporation, on request and without cost, to any stockholder of either Constituent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SEVENTH:   The Merger shall become effective upon the filing of this Certificate of Merger with the Secretary of State of the State of Delaware.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Left Blank Intentionally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has caused this Certificate of Merger to be duly executed as of the date first written above.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2"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93370" distB="0" distL="2794000" distR="0" simplePos="0" locked="0" layoutInCell="1" allowOverlap="1" relativeHeight="780">
                <wp:simplePos x="0" y="0"/>
                <wp:positionH relativeFrom="column">
                  <wp:align>left</wp:align>
                </wp:positionH>
                <wp:positionV relativeFrom="line">
                  <wp:align>top</wp:align>
                </wp:positionV>
                <wp:extent cx="254000" cy="525780"/>
                <wp:effectExtent l="0" t="0" r="0" b="0"/>
                <wp:wrapSquare wrapText="right"/>
                <wp:docPr id="777" name="Frame7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1pt;mso-wrap-distance-bottom:0pt;margin-top:23.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2"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93370" distB="0" distL="2794000" distR="0" simplePos="0" locked="0" layoutInCell="1" allowOverlap="1" relativeHeight="781">
                <wp:simplePos x="0" y="0"/>
                <wp:positionH relativeFrom="column">
                  <wp:align>left</wp:align>
                </wp:positionH>
                <wp:positionV relativeFrom="line">
                  <wp:align>top</wp:align>
                </wp:positionV>
                <wp:extent cx="254000" cy="525780"/>
                <wp:effectExtent l="0" t="0" r="0" b="0"/>
                <wp:wrapSquare wrapText="right"/>
                <wp:docPr id="778" name="Frame7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1pt;mso-wrap-distance-bottom:0pt;margin-top:23.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911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Certificate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color w:val="000000"/>
          <w:spacing w:val="4"/>
          <w:sz w:val="20"/>
        </w:rPr>
        <w:t>(</w:t>
      </w:r>
      <w:r>
        <w:rPr>
          <w:rFonts w:ascii="Times New Roman;Times;serif" w:hAnsi="Times New Roman;Times;serif"/>
          <w:b w:val="false"/>
          <w:i/>
          <w:caps/>
          <w:color w:val="000000"/>
          <w:spacing w:val="4"/>
          <w:sz w:val="20"/>
        </w:rPr>
        <w:t>A</w:t>
      </w:r>
      <w:r>
        <w:rPr>
          <w:rFonts w:ascii="Times New Roman;Times;serif" w:hAnsi="Times New Roman;Times;serif"/>
          <w:b w:val="false"/>
          <w:i/>
          <w:caps w:val="false"/>
          <w:smallCaps w:val="false"/>
          <w:color w:val="000000"/>
          <w:spacing w:val="4"/>
          <w:sz w:val="20"/>
        </w:rPr>
        <w:t>ttached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The name of the corporation (hereinafter called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The address, including street, number, city, and county, of the registered office of the Corporation in the State of Delaware is Corporation Trust Center, 1209 Orange Street, Wilmington, County of New Castle, Delaware 19801, and the name of the registered agent of the Corporation in the State of Delaware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The nature of the business to be conducted and the purposes of the Corporation are to engage in any lawful act or activity or carry on any business for which corporations may be organized under the laws of the State of Delaware (particularly Chapter 1, Title 8 of the Delaware Code and the acts amendatory thereof and supplemental thereto, and known, identified and referred to as the “</w:t>
      </w:r>
      <w:r>
        <w:rPr>
          <w:rFonts w:ascii="Times New Roman;Times;serif" w:hAnsi="Times New Roman;Times;serif"/>
          <w:b w:val="false"/>
          <w:i w:val="false"/>
          <w:caps w:val="false"/>
          <w:smallCaps w:val="false"/>
          <w:color w:val="000000"/>
          <w:spacing w:val="4"/>
          <w:sz w:val="20"/>
          <w:u w:val="single"/>
        </w:rPr>
        <w:t>General Corporation Law</w:t>
      </w:r>
      <w:r>
        <w:rPr>
          <w:rFonts w:ascii="Times New Roman;Times;serif" w:hAnsi="Times New Roman;Times;serif"/>
          <w:b w:val="false"/>
          <w:i w:val="false"/>
          <w:caps w:val="false"/>
          <w:smallCaps w:val="false"/>
          <w:color w:val="000000"/>
          <w:spacing w:val="4"/>
          <w:sz w:val="20"/>
        </w:rPr>
        <w:t xml:space="preserve">”) or any successor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w:t>
      </w:r>
      <w:r>
        <w:rPr>
          <w:rFonts w:ascii="Times New Roman;Times;serif" w:hAnsi="Times New Roman;Times;serif"/>
          <w:b w:val="false"/>
          <w:i w:val="false"/>
          <w:caps w:val="false"/>
          <w:smallCaps w:val="false"/>
          <w:color w:val="000000"/>
          <w:spacing w:val="4"/>
          <w:sz w:val="20"/>
        </w:rPr>
        <w:t>   The total number of shares of all classes of stock which the Corporation shall have authority to issue is One Thousand (1,000), consisting of One Thousand (1,000) shares of Common Stock, $0.0001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w:t>
      </w:r>
      <w:r>
        <w:rPr>
          <w:rFonts w:ascii="Times New Roman;Times;serif" w:hAnsi="Times New Roman;Times;serif"/>
          <w:b w:val="false"/>
          <w:i w:val="false"/>
          <w:caps w:val="false"/>
          <w:smallCaps w:val="false"/>
          <w:color w:val="000000"/>
          <w:spacing w:val="4"/>
          <w:sz w:val="20"/>
        </w:rPr>
        <w:t xml:space="preserve">:   The Corporation is to have perpetual 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SIXTH</w:t>
      </w:r>
      <w:r>
        <w:rPr>
          <w:rFonts w:ascii="Times New Roman;Times;serif" w:hAnsi="Times New Roman;Times;serif"/>
          <w:b w:val="false"/>
          <w:i w:val="false"/>
          <w:caps w:val="false"/>
          <w:smallCaps w:val="false"/>
          <w:color w:val="000000"/>
          <w:spacing w:val="4"/>
          <w:sz w:val="20"/>
        </w:rPr>
        <w:t xml:space="preserve">: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books of the Corporation may be kept at such place within or without the State of Delaware as the By-Laws of the Corporation may provide or as may be designated from time to time by the Board of Directors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SEVENTH</w:t>
      </w:r>
      <w:r>
        <w:rPr>
          <w:rFonts w:ascii="Times New Roman;Times;serif" w:hAnsi="Times New Roman;Times;serif"/>
          <w:b w:val="false"/>
          <w:i w:val="false"/>
          <w:caps w:val="false"/>
          <w:smallCaps w:val="false"/>
          <w:color w:val="000000"/>
          <w:spacing w:val="4"/>
          <w:sz w:val="20"/>
        </w:rPr>
        <w:t xml:space="preserve">:   The Corporation shall, to the fullest extent permitted by Section 145 of the General Corporation Law,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EIGHTH</w:t>
      </w:r>
      <w:r>
        <w:rPr>
          <w:rFonts w:ascii="Times New Roman;Times;serif" w:hAnsi="Times New Roman;Times;serif"/>
          <w:b w:val="false"/>
          <w:i w:val="false"/>
          <w:caps w:val="false"/>
          <w:smallCaps w:val="false"/>
          <w:color w:val="000000"/>
          <w:spacing w:val="4"/>
          <w:sz w:val="20"/>
        </w:rPr>
        <w:t xml:space="preserve">:   To the fullest extent permitted by the General Corporation Law, no director or officer of the Corporation shall be personally liable to the Corporation or its stockholders for monetary damages for breach of fiduciary 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NINETH</w:t>
      </w:r>
      <w:r>
        <w:rPr>
          <w:rFonts w:ascii="Times New Roman;Times;serif" w:hAnsi="Times New Roman;Times;serif"/>
          <w:b w:val="false"/>
          <w:i w:val="false"/>
          <w:caps w:val="false"/>
          <w:smallCaps w:val="false"/>
          <w:color w:val="000000"/>
          <w:spacing w:val="4"/>
          <w:sz w:val="20"/>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TENTH</w:t>
      </w:r>
      <w:r>
        <w:rPr>
          <w:rFonts w:ascii="Times New Roman;Times;serif" w:hAnsi="Times New Roman;Times;serif"/>
          <w:b w:val="false"/>
          <w:i w:val="false"/>
          <w:caps w:val="false"/>
          <w:smallCaps w:val="false"/>
          <w:color w:val="000000"/>
          <w:spacing w:val="4"/>
          <w:sz w:val="20"/>
        </w:rPr>
        <w:t xml:space="preserve">:   From time to time any of the provisions of this Third Amended and Restated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day of      ,      .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B</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The name of the corporation (hereinafter called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The address, including street, number, city, and county, of the registered office of the Corporation in the State of Delaware is Corporation Trust Center, 1209 Orange Street, Wilmington, County of New Castle, Delaware 19801, and the name of the registered agent of the Corporation in the State of Delaware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The nature of the business to be conducted and the purposes of the Corporation are to engage in any lawful act or activity or carry on any business for which corporations may be organized under the laws of the State of Delaware (particularly Chapter 1, Title 8 of the Delaware Code and the acts amendatory thereof and supplemental thereto, and known, identified and referred to as the “</w:t>
      </w:r>
      <w:r>
        <w:rPr>
          <w:rFonts w:ascii="Times New Roman;Times;serif" w:hAnsi="Times New Roman;Times;serif"/>
          <w:b w:val="false"/>
          <w:i w:val="false"/>
          <w:caps w:val="false"/>
          <w:smallCaps w:val="false"/>
          <w:color w:val="000000"/>
          <w:spacing w:val="4"/>
          <w:sz w:val="20"/>
          <w:u w:val="single"/>
        </w:rPr>
        <w:t>General Corporation Law</w:t>
      </w:r>
      <w:r>
        <w:rPr>
          <w:rFonts w:ascii="Times New Roman;Times;serif" w:hAnsi="Times New Roman;Times;serif"/>
          <w:b w:val="false"/>
          <w:i w:val="false"/>
          <w:caps w:val="false"/>
          <w:smallCaps w:val="false"/>
          <w:color w:val="000000"/>
          <w:spacing w:val="4"/>
          <w:sz w:val="20"/>
        </w:rPr>
        <w:t xml:space="preserve">”) or any successor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w:t>
      </w:r>
      <w:r>
        <w:rPr>
          <w:rFonts w:ascii="Times New Roman;Times;serif" w:hAnsi="Times New Roman;Times;serif"/>
          <w:b w:val="false"/>
          <w:i w:val="false"/>
          <w:caps w:val="false"/>
          <w:smallCaps w:val="false"/>
          <w:color w:val="000000"/>
          <w:spacing w:val="4"/>
          <w:sz w:val="20"/>
        </w:rPr>
        <w:t>   The total number of shares of all classes of stock which the Corporation shall have authority to issue is One Thousand (1,000), consisting of One Thousand (1,000) shares of Common Stock, $0.0001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w:t>
      </w:r>
      <w:r>
        <w:rPr>
          <w:rFonts w:ascii="Times New Roman;Times;serif" w:hAnsi="Times New Roman;Times;serif"/>
          <w:b w:val="false"/>
          <w:i w:val="false"/>
          <w:caps w:val="false"/>
          <w:smallCaps w:val="false"/>
          <w:color w:val="000000"/>
          <w:spacing w:val="4"/>
          <w:sz w:val="20"/>
        </w:rPr>
        <w:t xml:space="preserve">:   The Corporation is to have perpetual 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SIXTH</w:t>
      </w:r>
      <w:r>
        <w:rPr>
          <w:rFonts w:ascii="Times New Roman;Times;serif" w:hAnsi="Times New Roman;Times;serif"/>
          <w:b w:val="false"/>
          <w:i w:val="false"/>
          <w:caps w:val="false"/>
          <w:smallCaps w:val="false"/>
          <w:color w:val="000000"/>
          <w:spacing w:val="4"/>
          <w:sz w:val="20"/>
        </w:rPr>
        <w:t xml:space="preserve">: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books of the Corporation may be kept at such place within or without the State of Delaware as the By-Laws of the Corporation may provide or as may be designated from time to time by the Board of Directors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SEVENTH</w:t>
      </w:r>
      <w:r>
        <w:rPr>
          <w:rFonts w:ascii="Times New Roman;Times;serif" w:hAnsi="Times New Roman;Times;serif"/>
          <w:b w:val="false"/>
          <w:i w:val="false"/>
          <w:caps w:val="false"/>
          <w:smallCaps w:val="false"/>
          <w:color w:val="000000"/>
          <w:spacing w:val="4"/>
          <w:sz w:val="20"/>
        </w:rPr>
        <w:t xml:space="preserve">:   The Corporation shall, to the fullest extent permitted by Section 145 of the General Corporation Law,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EIGHTH</w:t>
      </w:r>
      <w:r>
        <w:rPr>
          <w:rFonts w:ascii="Times New Roman;Times;serif" w:hAnsi="Times New Roman;Times;serif"/>
          <w:b w:val="false"/>
          <w:i w:val="false"/>
          <w:caps w:val="false"/>
          <w:smallCaps w:val="false"/>
          <w:color w:val="000000"/>
          <w:spacing w:val="4"/>
          <w:sz w:val="20"/>
        </w:rPr>
        <w:t xml:space="preserve">:   To the fullest extent permitted by the General Corporation Law, no director or officer of the Corporation shall be personally liable to the Corporation or its stockholders for monetary damages for breach of fiduciary 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NINETH</w:t>
      </w:r>
      <w:r>
        <w:rPr>
          <w:rFonts w:ascii="Times New Roman;Times;serif" w:hAnsi="Times New Roman;Times;serif"/>
          <w:b w:val="false"/>
          <w:i w:val="false"/>
          <w:caps w:val="false"/>
          <w:smallCaps w:val="false"/>
          <w:color w:val="000000"/>
          <w:spacing w:val="4"/>
          <w:sz w:val="20"/>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TENTH</w:t>
      </w:r>
      <w:r>
        <w:rPr>
          <w:rFonts w:ascii="Times New Roman;Times;serif" w:hAnsi="Times New Roman;Times;serif"/>
          <w:b w:val="false"/>
          <w:i w:val="false"/>
          <w:caps w:val="false"/>
          <w:smallCaps w:val="false"/>
          <w:color w:val="000000"/>
          <w:spacing w:val="4"/>
          <w:sz w:val="20"/>
        </w:rPr>
        <w:t xml:space="preserve">:   From time to time any of the provisions of this Third Amended and Restated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day of      ,      .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C</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 RESTATED AND AMENDED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 —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Annual Meeting</w:t>
      </w:r>
      <w:r>
        <w:rPr>
          <w:rFonts w:ascii="Times New Roman;Times;serif" w:hAnsi="Times New Roman;Times;serif"/>
          <w:b w:val="false"/>
          <w:i w:val="false"/>
          <w:caps w:val="false"/>
          <w:smallCaps w:val="false"/>
          <w:color w:val="000000"/>
          <w:spacing w:val="4"/>
          <w:sz w:val="20"/>
        </w:rPr>
        <w:t xml:space="preserve">.   An annual meeting of the stockholders, for the election of directors to succeed those whose terms expire and for the transaction of such other business as may properly come before the meeting, shall be held at 10:00 a.m. Eastern Time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 If no date for the annual meeting is fixed or said meeting is not held on the date determined as provided above, there may be action by written consent of the stockholders on matters to be voted on at the annual meeting, and such written consent shall have for the purposes of these By-Laws or otherwise all the force and effect of an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Special Meetings</w:t>
      </w:r>
      <w:r>
        <w:rPr>
          <w:rFonts w:ascii="Times New Roman;Times;serif" w:hAnsi="Times New Roman;Times;serif"/>
          <w:b w:val="false"/>
          <w:i w:val="false"/>
          <w:caps w:val="false"/>
          <w:smallCaps w:val="false"/>
          <w:color w:val="000000"/>
          <w:spacing w:val="4"/>
          <w:sz w:val="20"/>
        </w:rPr>
        <w:t xml:space="preserve">.   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Notice of Meetings</w:t>
      </w:r>
      <w:r>
        <w:rPr>
          <w:rFonts w:ascii="Times New Roman;Times;serif" w:hAnsi="Times New Roman;Times;serif"/>
          <w:b w:val="false"/>
          <w:i w:val="false"/>
          <w:caps w:val="false"/>
          <w:smallCaps w:val="false"/>
          <w:color w:val="000000"/>
          <w:spacing w:val="4"/>
          <w:sz w:val="20"/>
        </w:rPr>
        <w:t xml:space="preserve">.   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When a meeting is adjourned to another place, date or time, written notice need not be given of the adjourned meeting if the place, date and time thereof are announced at the meeting at which the adjournment is taken;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Quorum</w:t>
      </w:r>
      <w:r>
        <w:rPr>
          <w:rFonts w:ascii="Times New Roman;Times;serif" w:hAnsi="Times New Roman;Times;serif"/>
          <w:b w:val="false"/>
          <w:i w:val="false"/>
          <w:caps w:val="false"/>
          <w:smallCaps w:val="false"/>
          <w:color w:val="000000"/>
          <w:spacing w:val="4"/>
          <w:sz w:val="20"/>
        </w:rPr>
        <w:t xml:space="preserve">.   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shall fail to attend any meeting, the chairman of the meeting or the holders of a majority of the shares of stock entitled to vote who are present, in person or by proxy, may adjourn the meeting to another place, date, or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Organization</w:t>
      </w:r>
      <w:r>
        <w:rPr>
          <w:rFonts w:ascii="Times New Roman;Times;serif" w:hAnsi="Times New Roman;Times;serif"/>
          <w:b w:val="false"/>
          <w:i w:val="false"/>
          <w:caps w:val="false"/>
          <w:smallCaps w:val="false"/>
          <w:color w:val="000000"/>
          <w:spacing w:val="4"/>
          <w:sz w:val="20"/>
        </w:rPr>
        <w:t xml:space="preserve">.   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Conduct of Business</w:t>
      </w:r>
      <w:r>
        <w:rPr>
          <w:rFonts w:ascii="Times New Roman;Times;serif" w:hAnsi="Times New Roman;Times;serif"/>
          <w:b w:val="false"/>
          <w:i w:val="false"/>
          <w:caps w:val="false"/>
          <w:smallCaps w:val="false"/>
          <w:color w:val="000000"/>
          <w:spacing w:val="4"/>
          <w:sz w:val="20"/>
        </w:rPr>
        <w:t xml:space="preserve">.   The Chairman of the Board of Directors or his or her designee or, if neither the Chairman of the Board of Directors nor his or her designee is present at the meeting, then a person appointed by a majority of the Board of Directors, shall preside at, and act as chairman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of the stockholders. The chairman of any meeting of stockholders shall determine the order of business and the procedures at the meeting, including such regulation of the manner of voting and the conduct of discussion as he or she deems to be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Proxies and Voting</w:t>
      </w:r>
      <w:r>
        <w:rPr>
          <w:rFonts w:ascii="Times New Roman;Times;serif" w:hAnsi="Times New Roman;Times;serif"/>
          <w:b w:val="false"/>
          <w:i w:val="false"/>
          <w:caps w:val="false"/>
          <w:smallCaps w:val="false"/>
          <w:color w:val="000000"/>
          <w:spacing w:val="4"/>
          <w:sz w:val="20"/>
        </w:rPr>
        <w:t xml:space="preserve">.   At any meeting of the stockholders, every stockholder entitled to vote may vote in person or by proxy authorized by an instrument in writing filed in accordance with the procedure established for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stockholder shall have one (1) vote for every share of stock entitled to vote which is registered in such stockholder’s on the record date for the meeting, except as otherwise provided herein or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voting, including on the election of directors but excepting where otherwise required by law, may be by a voice vote; provided, however, that upon demand therefor by a stockholder entitled to vote or his or her proxy, a vote by ballot shall be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terms of any class or series of preferred stock of the Corporation, all elections shall be determined by a plurality of the votes cast, and except as otherwise required by law, all other matters shall be determined by a majority of the votes 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Action Without Meeting</w:t>
      </w:r>
      <w:r>
        <w:rPr>
          <w:rFonts w:ascii="Times New Roman;Times;serif" w:hAnsi="Times New Roman;Times;serif"/>
          <w:b w:val="false"/>
          <w:i w:val="false"/>
          <w:caps w:val="false"/>
          <w:smallCaps w:val="false"/>
          <w:color w:val="000000"/>
          <w:spacing w:val="4"/>
          <w:sz w:val="20"/>
        </w:rPr>
        <w:t xml:space="preserve">.   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(including by electronic or facsimile signature)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(including by electronic transmission), or an officer or agent of the Corporation having custody of the book in which proceedings of meetings of stockholders are recorded (including by electronic transmission). Prompt notice of the taking of the corporate action without a meeting by less than unanimous written consent shall be given to those stockholders who have not consented in writing.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Stock List</w:t>
      </w:r>
      <w:r>
        <w:rPr>
          <w:rFonts w:ascii="Times New Roman;Times;serif" w:hAnsi="Times New Roman;Times;serif"/>
          <w:b w:val="false"/>
          <w:i w:val="false"/>
          <w:caps w:val="false"/>
          <w:smallCaps w:val="false"/>
          <w:color w:val="000000"/>
          <w:spacing w:val="4"/>
          <w:sz w:val="20"/>
        </w:rPr>
        <w:t xml:space="preserve">.   A complete list of stockholders entitled to vote at any meeting of stockholders, arranged in alphabetical order for each class of stock and showing the address of each such stockholder and the number of shares registered in such stockholder’s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 —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Number, Election, Tenure and Qualification</w:t>
      </w:r>
      <w:r>
        <w:rPr>
          <w:rFonts w:ascii="Times New Roman;Times;serif" w:hAnsi="Times New Roman;Times;serif"/>
          <w:b w:val="false"/>
          <w:i w:val="false"/>
          <w:caps w:val="false"/>
          <w:smallCaps w:val="false"/>
          <w:color w:val="000000"/>
          <w:spacing w:val="4"/>
          <w:sz w:val="20"/>
        </w:rPr>
        <w:t xml:space="preserve">.   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Vacancies and Newly Created Directorships</w:t>
      </w:r>
      <w:r>
        <w:rPr>
          <w:rFonts w:ascii="Times New Roman;Times;serif" w:hAnsi="Times New Roman;Times;serif"/>
          <w:b w:val="false"/>
          <w:i w:val="false"/>
          <w:caps w:val="false"/>
          <w:smallCaps w:val="false"/>
          <w:color w:val="000000"/>
          <w:spacing w:val="4"/>
          <w:sz w:val="20"/>
        </w:rPr>
        <w:t xml:space="preserve">.   Subject to the rights of the holders of any class or series of preferred stock of the Corporation to elect directors, newly created directorships resulting from any increase in the authorized number of directors or any vacancies in the Board of Directors resulting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Resignation and Removal</w:t>
      </w:r>
      <w:r>
        <w:rPr>
          <w:rFonts w:ascii="Times New Roman;Times;serif" w:hAnsi="Times New Roman;Times;serif"/>
          <w:b w:val="false"/>
          <w:i w:val="false"/>
          <w:caps w:val="false"/>
          <w:smallCaps w:val="false"/>
          <w:color w:val="000000"/>
          <w:spacing w:val="4"/>
          <w:sz w:val="20"/>
        </w:rPr>
        <w:t xml:space="preserve">.   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Regular Meetings</w:t>
      </w:r>
      <w:r>
        <w:rPr>
          <w:rFonts w:ascii="Times New Roman;Times;serif" w:hAnsi="Times New Roman;Times;serif"/>
          <w:b w:val="false"/>
          <w:i w:val="false"/>
          <w:caps w:val="false"/>
          <w:smallCaps w:val="false"/>
          <w:color w:val="000000"/>
          <w:spacing w:val="4"/>
          <w:sz w:val="20"/>
        </w:rPr>
        <w:t xml:space="preserve">.   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Special Meetings</w:t>
      </w:r>
      <w:r>
        <w:rPr>
          <w:rFonts w:ascii="Times New Roman;Times;serif" w:hAnsi="Times New Roman;Times;serif"/>
          <w:b w:val="false"/>
          <w:i w:val="false"/>
          <w:caps w:val="false"/>
          <w:smallCaps w:val="false"/>
          <w:color w:val="000000"/>
          <w:spacing w:val="4"/>
          <w:sz w:val="20"/>
        </w:rPr>
        <w:t xml:space="preserve">.   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to each director by whom it is not waived by mailing written notice not less than three (3) days before the meeting or orally, by facsimile, electronic mail or such other form of electronic transmission permitted by law given not less than twenty-four (24) hours before the meeting. Unless otherwise indicated in the notice thereof, any and all business may be transacted at a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Quorum.</w:t>
      </w:r>
      <w:r>
        <w:rPr>
          <w:rFonts w:ascii="Times New Roman;Times;serif" w:hAnsi="Times New Roman;Times;serif"/>
          <w:b w:val="false"/>
          <w:i w:val="false"/>
          <w:caps w:val="false"/>
          <w:smallCaps w:val="false"/>
          <w:color w:val="000000"/>
          <w:spacing w:val="4"/>
          <w:sz w:val="20"/>
        </w:rPr>
        <w:t xml:space="preserve">   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Action by Consent.</w:t>
      </w:r>
      <w:r>
        <w:rPr>
          <w:rFonts w:ascii="Times New Roman;Times;serif" w:hAnsi="Times New Roman;Times;serif"/>
          <w:b w:val="false"/>
          <w:i w:val="false"/>
          <w:caps w:val="false"/>
          <w:smallCaps w:val="false"/>
          <w:color w:val="000000"/>
          <w:spacing w:val="4"/>
          <w:sz w:val="20"/>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Participation in Meetings By Conference Telephone</w:t>
      </w:r>
      <w:r>
        <w:rPr>
          <w:rFonts w:ascii="Times New Roman;Times;serif" w:hAnsi="Times New Roman;Times;serif"/>
          <w:b w:val="false"/>
          <w:i w:val="false"/>
          <w:caps w:val="false"/>
          <w:smallCaps w:val="false"/>
          <w:color w:val="000000"/>
          <w:spacing w:val="4"/>
          <w:sz w:val="20"/>
        </w:rPr>
        <w:t xml:space="preserve">.   Members of the Board of Directors, or of any committee thereof, may participate in a meeting of such Board of Directors or committee by means of conference telephone or similar communications equipment by means of which all persons participating in the meeting can hear each other and such participation shall constitute presence in person at such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Conduct of Business</w:t>
      </w:r>
      <w:r>
        <w:rPr>
          <w:rFonts w:ascii="Times New Roman;Times;serif" w:hAnsi="Times New Roman;Times;serif"/>
          <w:b w:val="false"/>
          <w:i w:val="false"/>
          <w:caps w:val="false"/>
          <w:smallCaps w:val="false"/>
          <w:color w:val="000000"/>
          <w:spacing w:val="4"/>
          <w:sz w:val="20"/>
        </w:rPr>
        <w:t xml:space="preserve">.   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Powers.</w:t>
      </w:r>
      <w:r>
        <w:rPr>
          <w:rFonts w:ascii="Times New Roman;Times;serif" w:hAnsi="Times New Roman;Times;serif"/>
          <w:b w:val="false"/>
          <w:i w:val="false"/>
          <w:caps w:val="false"/>
          <w:smallCaps w:val="false"/>
          <w:color w:val="000000"/>
          <w:spacing w:val="4"/>
          <w:sz w:val="20"/>
        </w:rPr>
        <w:t xml:space="preserve">   The Board of Directors may, except as otherwise required by law, exercise all such powers and do all such acts and things as may be exercised or done by the Corporation, including, without limiting the generality of the foregoing, the unqualified power: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declare dividends from time to time in accordance with law; </w:t>
      </w:r>
      <w:r>
        <mc:AlternateContent>
          <mc:Choice Requires="wps">
            <w:drawing>
              <wp:anchor behindDoc="0" distT="99060" distB="0" distL="254000" distR="0" simplePos="0" locked="0" layoutInCell="1" allowOverlap="1" relativeHeight="782">
                <wp:simplePos x="0" y="0"/>
                <wp:positionH relativeFrom="column">
                  <wp:align>left</wp:align>
                </wp:positionH>
                <wp:positionV relativeFrom="line">
                  <wp:align>top</wp:align>
                </wp:positionV>
                <wp:extent cx="254000" cy="350520"/>
                <wp:effectExtent l="0" t="0" r="0" b="0"/>
                <wp:wrapSquare wrapText="right"/>
                <wp:docPr id="779" name="Frame7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or otherwise acquire any property, rights or privileges on such terms as it shall determine; </w:t>
      </w:r>
      <w:r>
        <mc:AlternateContent>
          <mc:Choice Requires="wps">
            <w:drawing>
              <wp:anchor behindDoc="0" distT="99060" distB="0" distL="254000" distR="0" simplePos="0" locked="0" layoutInCell="1" allowOverlap="1" relativeHeight="783">
                <wp:simplePos x="0" y="0"/>
                <wp:positionH relativeFrom="column">
                  <wp:align>left</wp:align>
                </wp:positionH>
                <wp:positionV relativeFrom="line">
                  <wp:align>top</wp:align>
                </wp:positionV>
                <wp:extent cx="254000" cy="350520"/>
                <wp:effectExtent l="0" t="0" r="0" b="0"/>
                <wp:wrapSquare wrapText="right"/>
                <wp:docPr id="780" name="Frame7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the creation, making and issuance, in such form as it may determine, of written obligations of every kind, negotiable or non-negotiable, secured or unsecured, to borrow funds and guarantee obligations, and to do all things necessary in connection therewith; </w:t>
      </w:r>
      <w:r>
        <mc:AlternateContent>
          <mc:Choice Requires="wps">
            <w:drawing>
              <wp:anchor behindDoc="0" distT="99060" distB="0" distL="254000" distR="0" simplePos="0" locked="0" layoutInCell="1" allowOverlap="1" relativeHeight="784">
                <wp:simplePos x="0" y="0"/>
                <wp:positionH relativeFrom="column">
                  <wp:align>left</wp:align>
                </wp:positionH>
                <wp:positionV relativeFrom="line">
                  <wp:align>top</wp:align>
                </wp:positionV>
                <wp:extent cx="254000" cy="350520"/>
                <wp:effectExtent l="0" t="0" r="0" b="0"/>
                <wp:wrapSquare wrapText="right"/>
                <wp:docPr id="781" name="Frame7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any officer of the Corporation with or without cause, and from time to time to devolve the powers and duties of any officer upon any other person for the time being; </w:t>
      </w:r>
      <w:r>
        <mc:AlternateContent>
          <mc:Choice Requires="wps">
            <w:drawing>
              <wp:anchor behindDoc="0" distT="0" distB="0" distL="254000" distR="0" simplePos="0" locked="0" layoutInCell="1" allowOverlap="1" relativeHeight="785">
                <wp:simplePos x="0" y="0"/>
                <wp:positionH relativeFrom="column">
                  <wp:align>left</wp:align>
                </wp:positionH>
                <wp:positionV relativeFrom="line">
                  <wp:posOffset>635</wp:posOffset>
                </wp:positionV>
                <wp:extent cx="254000" cy="350520"/>
                <wp:effectExtent l="0" t="0" r="0" b="0"/>
                <wp:wrapSquare wrapText="right"/>
                <wp:docPr id="782" name="Frame7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confer upon any officer of the Corporation the power to appoint, remove and suspend subordinate officers, employees and agents; </w:t>
      </w:r>
      <w:r>
        <mc:AlternateContent>
          <mc:Choice Requires="wps">
            <w:drawing>
              <wp:anchor behindDoc="0" distT="102870" distB="0" distL="254000" distR="0" simplePos="0" locked="0" layoutInCell="1" allowOverlap="1" relativeHeight="786">
                <wp:simplePos x="0" y="0"/>
                <wp:positionH relativeFrom="column">
                  <wp:align>left</wp:align>
                </wp:positionH>
                <wp:positionV relativeFrom="line">
                  <wp:align>top</wp:align>
                </wp:positionV>
                <wp:extent cx="254000" cy="350520"/>
                <wp:effectExtent l="0" t="0" r="0" b="0"/>
                <wp:wrapSquare wrapText="right"/>
                <wp:docPr id="783" name="Frame7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such stock, option, stock purchase, bonus or other compensation plans for directors, officers, employees and agents of the Corporation and its subsidiaries as it may determine; </w:t>
      </w:r>
      <w:r>
        <mc:AlternateContent>
          <mc:Choice Requires="wps">
            <w:drawing>
              <wp:anchor behindDoc="0" distT="102870" distB="0" distL="254000" distR="0" simplePos="0" locked="0" layoutInCell="1" allowOverlap="1" relativeHeight="787">
                <wp:simplePos x="0" y="0"/>
                <wp:positionH relativeFrom="column">
                  <wp:align>left</wp:align>
                </wp:positionH>
                <wp:positionV relativeFrom="line">
                  <wp:align>top</wp:align>
                </wp:positionV>
                <wp:extent cx="254000" cy="350520"/>
                <wp:effectExtent l="0" t="0" r="0" b="0"/>
                <wp:wrapSquare wrapText="right"/>
                <wp:docPr id="784" name="Frame7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such insurance, retirement, and other benefit plans for directors, officers, employees and agents of the Corporation and its subsidiaries as it may determine; and, </w:t>
      </w:r>
      <w:r>
        <mc:AlternateContent>
          <mc:Choice Requires="wps">
            <w:drawing>
              <wp:anchor behindDoc="0" distT="102870" distB="0" distL="254000" distR="0" simplePos="0" locked="0" layoutInCell="1" allowOverlap="1" relativeHeight="788">
                <wp:simplePos x="0" y="0"/>
                <wp:positionH relativeFrom="column">
                  <wp:align>left</wp:align>
                </wp:positionH>
                <wp:positionV relativeFrom="line">
                  <wp:align>top</wp:align>
                </wp:positionV>
                <wp:extent cx="254000" cy="350520"/>
                <wp:effectExtent l="0" t="0" r="0" b="0"/>
                <wp:wrapSquare wrapText="right"/>
                <wp:docPr id="785" name="Frame7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regulations, not inconsistent with these By-Laws, for the management of the Corporation’s business and affairs. </w:t>
      </w:r>
      <w:r>
        <mc:AlternateContent>
          <mc:Choice Requires="wps">
            <w:drawing>
              <wp:anchor behindDoc="0" distT="102870" distB="0" distL="254000" distR="0" simplePos="0" locked="0" layoutInCell="1" allowOverlap="1" relativeHeight="789">
                <wp:simplePos x="0" y="0"/>
                <wp:positionH relativeFrom="column">
                  <wp:align>left</wp:align>
                </wp:positionH>
                <wp:positionV relativeFrom="line">
                  <wp:align>top</wp:align>
                </wp:positionV>
                <wp:extent cx="254000" cy="350520"/>
                <wp:effectExtent l="0" t="0" r="0" b="0"/>
                <wp:wrapSquare wrapText="right"/>
                <wp:docPr id="786" name="Frame7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Compensation of Directors</w:t>
      </w:r>
      <w:r>
        <w:rPr>
          <w:rFonts w:ascii="Times New Roman;Times;serif" w:hAnsi="Times New Roman;Times;serif"/>
          <w:b w:val="false"/>
          <w:i w:val="false"/>
          <w:caps w:val="false"/>
          <w:smallCaps w:val="false"/>
          <w:color w:val="000000"/>
          <w:spacing w:val="4"/>
          <w:sz w:val="20"/>
        </w:rPr>
        <w:t xml:space="preserve">.   Directors, as such, may receive, pursuant to a resolution of the Board of Directors, fixed fees and other compensation for their services as directors, including, without limitation, their services as members of committees of the Board of Directors.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 —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Committees of the Board of Directors</w:t>
      </w:r>
      <w:r>
        <w:rPr>
          <w:rFonts w:ascii="Times New Roman;Times;serif" w:hAnsi="Times New Roman;Times;serif"/>
          <w:b w:val="false"/>
          <w:i w:val="false"/>
          <w:caps w:val="false"/>
          <w:smallCaps w:val="false"/>
          <w:color w:val="000000"/>
          <w:spacing w:val="4"/>
          <w:sz w:val="20"/>
        </w:rPr>
        <w:t xml:space="preserve">.   The Board of Directors, by a vote of a majority of 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Conduct of Business</w:t>
      </w:r>
      <w:r>
        <w:rPr>
          <w:rFonts w:ascii="Times New Roman;Times;serif" w:hAnsi="Times New Roman;Times;serif"/>
          <w:b w:val="false"/>
          <w:i w:val="false"/>
          <w:caps w:val="false"/>
          <w:smallCaps w:val="false"/>
          <w:color w:val="000000"/>
          <w:spacing w:val="4"/>
          <w:sz w:val="20"/>
        </w:rPr>
        <w:t xml:space="preserve">.   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proceedings of the committee.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 —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Enumeration</w:t>
      </w:r>
      <w:r>
        <w:rPr>
          <w:rFonts w:ascii="Times New Roman;Times;serif" w:hAnsi="Times New Roman;Times;serif"/>
          <w:b w:val="false"/>
          <w:i w:val="false"/>
          <w:caps w:val="false"/>
          <w:smallCaps w:val="false"/>
          <w:color w:val="000000"/>
          <w:spacing w:val="4"/>
          <w:sz w:val="20"/>
        </w:rPr>
        <w:t xml:space="preserve">.   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Election</w:t>
      </w:r>
      <w:r>
        <w:rPr>
          <w:rFonts w:ascii="Times New Roman;Times;serif" w:hAnsi="Times New Roman;Times;serif"/>
          <w:b w:val="false"/>
          <w:i w:val="false"/>
          <w:caps w:val="false"/>
          <w:smallCaps w:val="false"/>
          <w:color w:val="000000"/>
          <w:spacing w:val="4"/>
          <w:sz w:val="20"/>
        </w:rPr>
        <w:t xml:space="preserve">.   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Qualification</w:t>
      </w:r>
      <w:r>
        <w:rPr>
          <w:rFonts w:ascii="Times New Roman;Times;serif" w:hAnsi="Times New Roman;Times;serif"/>
          <w:b w:val="false"/>
          <w:i w:val="false"/>
          <w:caps w:val="false"/>
          <w:smallCaps w:val="false"/>
          <w:color w:val="000000"/>
          <w:spacing w:val="4"/>
          <w:sz w:val="20"/>
        </w:rPr>
        <w:t xml:space="preserve">.   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Tenure and Removal</w:t>
      </w:r>
      <w:r>
        <w:rPr>
          <w:rFonts w:ascii="Times New Roman;Times;serif" w:hAnsi="Times New Roman;Times;serif"/>
          <w:b w:val="false"/>
          <w:i w:val="false"/>
          <w:caps w:val="false"/>
          <w:smallCaps w:val="false"/>
          <w:color w:val="000000"/>
          <w:spacing w:val="4"/>
          <w:sz w:val="20"/>
        </w:rPr>
        <w:t xml:space="preserve">.   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Chairman of the Board of Directors</w:t>
      </w:r>
      <w:r>
        <w:rPr>
          <w:rFonts w:ascii="Times New Roman;Times;serif" w:hAnsi="Times New Roman;Times;serif"/>
          <w:b w:val="false"/>
          <w:i w:val="false"/>
          <w:caps w:val="false"/>
          <w:smallCaps w:val="false"/>
          <w:color w:val="000000"/>
          <w:spacing w:val="4"/>
          <w:sz w:val="20"/>
        </w:rPr>
        <w:t xml:space="preserve">.   The Chairman of the Board of Directors, if any, shall preside at all meetings of the Board of Directors and stockholders at which he or she is present and shall have such authority and perform such duties as may be prescribed by these By-Laws or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President</w:t>
      </w:r>
      <w:r>
        <w:rPr>
          <w:rFonts w:ascii="Times New Roman;Times;serif" w:hAnsi="Times New Roman;Times;serif"/>
          <w:b w:val="false"/>
          <w:i w:val="false"/>
          <w:caps w:val="false"/>
          <w:smallCaps w:val="false"/>
          <w:color w:val="000000"/>
          <w:spacing w:val="4"/>
          <w:sz w:val="20"/>
        </w:rPr>
        <w:t xml:space="preserve">.   The President shall, subject to the control and direction of the Board of Directors, have and perform such powers and duties as may be prescribed by these By-Laws or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Vice Presidents</w:t>
      </w:r>
      <w:r>
        <w:rPr>
          <w:rFonts w:ascii="Times New Roman;Times;serif" w:hAnsi="Times New Roman;Times;serif"/>
          <w:b w:val="false"/>
          <w:i w:val="false"/>
          <w:caps w:val="false"/>
          <w:smallCaps w:val="false"/>
          <w:color w:val="000000"/>
          <w:spacing w:val="4"/>
          <w:sz w:val="20"/>
        </w:rPr>
        <w:t xml:space="preserve">.   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Treasurer and Assistant Treasurers</w:t>
      </w:r>
      <w:r>
        <w:rPr>
          <w:rFonts w:ascii="Times New Roman;Times;serif" w:hAnsi="Times New Roman;Times;serif"/>
          <w:b w:val="false"/>
          <w:i w:val="false"/>
          <w:caps w:val="false"/>
          <w:smallCaps w:val="false"/>
          <w:color w:val="000000"/>
          <w:spacing w:val="4"/>
          <w:sz w:val="20"/>
        </w:rPr>
        <w:t xml:space="preserve">.   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Secretary and Assistant Secretaries</w:t>
      </w:r>
      <w:r>
        <w:rPr>
          <w:rFonts w:ascii="Times New Roman;Times;serif" w:hAnsi="Times New Roman;Times;serif"/>
          <w:b w:val="false"/>
          <w:i w:val="false"/>
          <w:caps w:val="false"/>
          <w:smallCaps w:val="false"/>
          <w:color w:val="000000"/>
          <w:spacing w:val="4"/>
          <w:sz w:val="20"/>
        </w:rPr>
        <w:t xml:space="preserve">.   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Bond</w:t>
      </w:r>
      <w:r>
        <w:rPr>
          <w:rFonts w:ascii="Times New Roman;Times;serif" w:hAnsi="Times New Roman;Times;serif"/>
          <w:b w:val="false"/>
          <w:i w:val="false"/>
          <w:caps w:val="false"/>
          <w:smallCaps w:val="false"/>
          <w:color w:val="000000"/>
          <w:spacing w:val="4"/>
          <w:sz w:val="20"/>
        </w:rPr>
        <w:t xml:space="preserve">.   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Action with Respect to Securities of Other Corporations</w:t>
      </w:r>
      <w:r>
        <w:rPr>
          <w:rFonts w:ascii="Times New Roman;Times;serif" w:hAnsi="Times New Roman;Times;serif"/>
          <w:b w:val="false"/>
          <w:i w:val="false"/>
          <w:caps w:val="false"/>
          <w:smallCaps w:val="false"/>
          <w:color w:val="000000"/>
          <w:spacing w:val="4"/>
          <w:sz w:val="20"/>
        </w:rPr>
        <w:t xml:space="preserve">.   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 —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Certificates of Stock</w:t>
      </w:r>
      <w:r>
        <w:rPr>
          <w:rFonts w:ascii="Times New Roman;Times;serif" w:hAnsi="Times New Roman;Times;serif"/>
          <w:b w:val="false"/>
          <w:i w:val="false"/>
          <w:caps w:val="false"/>
          <w:smallCaps w:val="false"/>
          <w:color w:val="000000"/>
          <w:spacing w:val="4"/>
          <w:sz w:val="20"/>
        </w:rPr>
        <w:t xml:space="preserve">.   Each stockholder shall be entitled to a certificate of the capital stock of the Corporation in such form as may from time to time be prescribed by resolution of the Board of Directors. Each holder of stock represented by certificates shall be entitled to have such certificate signed by, or in the name of the Corporation by any two authorized officers of the Corporation. Such signatures may be by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Transfers of Stock</w:t>
      </w:r>
      <w:r>
        <w:rPr>
          <w:rFonts w:ascii="Times New Roman;Times;serif" w:hAnsi="Times New Roman;Times;serif"/>
          <w:b w:val="false"/>
          <w:i w:val="false"/>
          <w:caps w:val="false"/>
          <w:smallCaps w:val="false"/>
          <w:color w:val="000000"/>
          <w:spacing w:val="4"/>
          <w:sz w:val="20"/>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Record Date</w:t>
      </w:r>
      <w:r>
        <w:rPr>
          <w:rFonts w:ascii="Times New Roman;Times;serif" w:hAnsi="Times New Roman;Times;serif"/>
          <w:b w:val="false"/>
          <w:i w:val="false"/>
          <w:caps w:val="false"/>
          <w:smallCaps w:val="false"/>
          <w:color w:val="000000"/>
          <w:spacing w:val="4"/>
          <w:sz w:val="20"/>
        </w:rPr>
        <w:t xml:space="preserve">.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Lost, Stolen or Destroyed Certificates</w:t>
      </w:r>
      <w:r>
        <w:rPr>
          <w:rFonts w:ascii="Times New Roman;Times;serif" w:hAnsi="Times New Roman;Times;serif"/>
          <w:b w:val="false"/>
          <w:i w:val="false"/>
          <w:caps w:val="false"/>
          <w:smallCaps w:val="false"/>
          <w:color w:val="000000"/>
          <w:spacing w:val="4"/>
          <w:sz w:val="20"/>
        </w:rPr>
        <w:t xml:space="preserve">.   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Regulations</w:t>
      </w:r>
      <w:r>
        <w:rPr>
          <w:rFonts w:ascii="Times New Roman;Times;serif" w:hAnsi="Times New Roman;Times;serif"/>
          <w:b w:val="false"/>
          <w:i w:val="false"/>
          <w:caps w:val="false"/>
          <w:smallCaps w:val="false"/>
          <w:color w:val="000000"/>
          <w:spacing w:val="4"/>
          <w:sz w:val="20"/>
        </w:rPr>
        <w:t xml:space="preserve">.   The issue, transfer, conversion and registration of certificates of stock shall be governed by such other regulations as the Board of Directors may establish.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Interpretation</w:t>
      </w:r>
      <w:r>
        <w:rPr>
          <w:rFonts w:ascii="Times New Roman;Times;serif" w:hAnsi="Times New Roman;Times;serif"/>
          <w:b w:val="false"/>
          <w:i w:val="false"/>
          <w:caps w:val="false"/>
          <w:smallCaps w:val="false"/>
          <w:color w:val="000000"/>
          <w:spacing w:val="4"/>
          <w:sz w:val="20"/>
        </w:rPr>
        <w:t xml:space="preserve">.   The Board of Directors shall have the power to interpret all of the terms and provisions of these By-Laws, which interpretation shall be conclusive.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 — 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Notices</w:t>
      </w:r>
      <w:r>
        <w:rPr>
          <w:rFonts w:ascii="Times New Roman;Times;serif" w:hAnsi="Times New Roman;Times;serif"/>
          <w:b w:val="false"/>
          <w:i w:val="false"/>
          <w:caps w:val="false"/>
          <w:smallCaps w:val="false"/>
          <w:color w:val="000000"/>
          <w:spacing w:val="4"/>
          <w:sz w:val="20"/>
        </w:rPr>
        <w:t xml:space="preserve">.   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by sending such notice by courier service, by facsimile, by electronic mail or by such other form of electronic transmission permitted by law.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facsimile or electronic transmission shall be the time of the giving of the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Waiver of Notice</w:t>
      </w:r>
      <w:r>
        <w:rPr>
          <w:rFonts w:ascii="Times New Roman;Times;serif" w:hAnsi="Times New Roman;Times;serif"/>
          <w:b w:val="false"/>
          <w:i w:val="false"/>
          <w:caps w:val="false"/>
          <w:smallCaps w:val="false"/>
          <w:color w:val="000000"/>
          <w:spacing w:val="4"/>
          <w:sz w:val="20"/>
        </w:rPr>
        <w:t xml:space="preserve">.   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 —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Actions other than by or in the Right of the Corporation</w:t>
      </w:r>
      <w:r>
        <w:rPr>
          <w:rFonts w:ascii="Times New Roman;Times;serif" w:hAnsi="Times New Roman;Times;serif"/>
          <w:b w:val="false"/>
          <w:i w:val="false"/>
          <w:caps w:val="false"/>
          <w:smallCaps w:val="false"/>
          <w:color w:val="000000"/>
          <w:spacing w:val="4"/>
          <w:sz w:val="20"/>
        </w:rPr>
        <w:t xml:space="preserve">.   The Corporation (i)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an employee or agent of the Corporation, in either case,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Times New Roman;Times;serif" w:hAnsi="Times New Roman;Times;serif"/>
          <w:b w:val="false"/>
          <w:i/>
          <w:caps w:val="false"/>
          <w:smallCaps w:val="false"/>
          <w:color w:val="000000"/>
          <w:spacing w:val="4"/>
          <w:sz w:val="20"/>
        </w:rPr>
        <w:t>nolo contendere</w:t>
      </w:r>
      <w:r>
        <w:rPr>
          <w:rFonts w:ascii="Times New Roman;Times;serif" w:hAnsi="Times New Roman;Times;serif"/>
          <w:b w:val="false"/>
          <w:i w:val="false"/>
          <w:caps w:val="false"/>
          <w:smallCaps w:val="false"/>
          <w:color w:val="000000"/>
          <w:spacing w:val="4"/>
          <w:sz w:val="20"/>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Actions by or in the Right of the Corporation</w:t>
      </w:r>
      <w:r>
        <w:rPr>
          <w:rFonts w:ascii="Times New Roman;Times;serif" w:hAnsi="Times New Roman;Times;serif"/>
          <w:b w:val="false"/>
          <w:i w:val="false"/>
          <w:caps w:val="false"/>
          <w:smallCaps w:val="false"/>
          <w:color w:val="000000"/>
          <w:spacing w:val="4"/>
          <w:sz w:val="20"/>
        </w:rPr>
        <w:t xml:space="preserve">.   The Corporation (i) shall indemnify any person who was or is a party or is threatened to be made a party to any threatened, pending or completed action or suit by or in the right of the Corporation to procure a judgment in its favor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or suit by or in the right of the Corporation to procure a judgment in its favor by reason of the fact that he or she is or was an employee or agent of the Corporation, in either case,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Success on the Merits</w:t>
      </w:r>
      <w:r>
        <w:rPr>
          <w:rFonts w:ascii="Times New Roman;Times;serif" w:hAnsi="Times New Roman;Times;serif"/>
          <w:b w:val="false"/>
          <w:i w:val="false"/>
          <w:caps w:val="false"/>
          <w:smallCaps w:val="false"/>
          <w:color w:val="000000"/>
          <w:spacing w:val="4"/>
          <w:sz w:val="20"/>
        </w:rPr>
        <w:t xml:space="preserve">.   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Specific Authorization</w:t>
      </w:r>
      <w:r>
        <w:rPr>
          <w:rFonts w:ascii="Times New Roman;Times;serif" w:hAnsi="Times New Roman;Times;serif"/>
          <w:b w:val="false"/>
          <w:i w:val="false"/>
          <w:caps w:val="false"/>
          <w:smallCaps w:val="false"/>
          <w:color w:val="000000"/>
          <w:spacing w:val="4"/>
          <w:sz w:val="20"/>
        </w:rPr>
        <w:t xml:space="preserve">.   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Advance Payment</w:t>
      </w:r>
      <w:r>
        <w:rPr>
          <w:rFonts w:ascii="Times New Roman;Times;serif" w:hAnsi="Times New Roman;Times;serif"/>
          <w:b w:val="false"/>
          <w:i w:val="false"/>
          <w:caps w:val="false"/>
          <w:smallCaps w:val="false"/>
          <w:color w:val="000000"/>
          <w:spacing w:val="4"/>
          <w:sz w:val="20"/>
        </w:rPr>
        <w:t xml:space="preserve">.   Expenses incurred in defending any civil, criminal, administrative, or investigative action, suit or proceeding may be paid by the Corporation in advance of the final disposition of such action, suit or proceeding upon receipt of an undertaking by or on behalf of any person to repay such amount if it shall ultimately be determined that he or she is not entitled to indemnification by the Corporation as authorized in this Article.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Non-Exclusivity</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Insurance</w:t>
      </w:r>
      <w:r>
        <w:rPr>
          <w:rFonts w:ascii="Times New Roman;Times;serif" w:hAnsi="Times New Roman;Times;serif"/>
          <w:b w:val="false"/>
          <w:i w:val="false"/>
          <w:caps w:val="false"/>
          <w:smallCaps w:val="false"/>
          <w:color w:val="000000"/>
          <w:spacing w:val="4"/>
          <w:sz w:val="20"/>
        </w:rPr>
        <w:t xml:space="preserve">.   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Continuation of Indemnification and Advancement of Expenses</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this Article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Severability</w:t>
      </w:r>
      <w:r>
        <w:rPr>
          <w:rFonts w:ascii="Times New Roman;Times;serif" w:hAnsi="Times New Roman;Times;serif"/>
          <w:b w:val="false"/>
          <w:i w:val="false"/>
          <w:caps w:val="false"/>
          <w:smallCaps w:val="false"/>
          <w:color w:val="000000"/>
          <w:spacing w:val="4"/>
          <w:sz w:val="20"/>
        </w:rPr>
        <w:t xml:space="preserve">.   If any word, clause or provision of this Article or any award made hereunder shall for any reason be determined to be invalid, the provisions hereof shall not otherwise be affected thereby but shall remain in full force and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Intent of Article</w:t>
      </w:r>
      <w:r>
        <w:rPr>
          <w:rFonts w:ascii="Times New Roman;Times;serif" w:hAnsi="Times New Roman;Times;serif"/>
          <w:b w:val="false"/>
          <w:i w:val="false"/>
          <w:caps w:val="false"/>
          <w:smallCaps w:val="false"/>
          <w:color w:val="000000"/>
          <w:spacing w:val="4"/>
          <w:sz w:val="20"/>
        </w:rPr>
        <w:t xml:space="preserve">.   The intent of this Article is to provide for indemnification of and advancement of expenses to officers and directors of the Corporation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 — CERTAIN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Transactions with Interested Parties</w:t>
      </w:r>
      <w:r>
        <w:rPr>
          <w:rFonts w:ascii="Times New Roman;Times;serif" w:hAnsi="Times New Roman;Times;serif"/>
          <w:b w:val="false"/>
          <w:i w:val="false"/>
          <w:caps w:val="false"/>
          <w:smallCaps w:val="false"/>
          <w:color w:val="000000"/>
          <w:spacing w:val="4"/>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or officer is present at or participates in the meeting of the Board of Directors or committee thereof which authorizes the contract or transaction or solely because the votes of such director or officer are counted for such purpose, if: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w:t>
      </w:r>
      <w:r>
        <mc:AlternateContent>
          <mc:Choice Requires="wps">
            <w:drawing>
              <wp:anchor behindDoc="0" distT="101600" distB="0" distL="254000" distR="0" simplePos="0" locked="0" layoutInCell="1" allowOverlap="1" relativeHeight="790">
                <wp:simplePos x="0" y="0"/>
                <wp:positionH relativeFrom="column">
                  <wp:align>left</wp:align>
                </wp:positionH>
                <wp:positionV relativeFrom="line">
                  <wp:align>top</wp:align>
                </wp:positionV>
                <wp:extent cx="254000" cy="350520"/>
                <wp:effectExtent l="0" t="0" r="0" b="0"/>
                <wp:wrapSquare wrapText="right"/>
                <wp:docPr id="787" name="Frame7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facts as to his or her relationship or interest and as to the contract or transaction are disclosed or are known to the stockholders entitled to vote thereon, and the contract or transaction is specifically approved in good faith by vote of the stockholders; or </w:t>
      </w:r>
      <w:r>
        <mc:AlternateContent>
          <mc:Choice Requires="wps">
            <w:drawing>
              <wp:anchor behindDoc="0" distT="101600" distB="0" distL="254000" distR="0" simplePos="0" locked="0" layoutInCell="1" allowOverlap="1" relativeHeight="791">
                <wp:simplePos x="0" y="0"/>
                <wp:positionH relativeFrom="column">
                  <wp:align>left</wp:align>
                </wp:positionH>
                <wp:positionV relativeFrom="line">
                  <wp:align>top</wp:align>
                </wp:positionV>
                <wp:extent cx="254000" cy="350520"/>
                <wp:effectExtent l="0" t="0" r="0" b="0"/>
                <wp:wrapSquare wrapText="right"/>
                <wp:docPr id="788" name="Frame7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 or transaction is fair as to the Corporation as of the time it is authorized, approved or ratified, by the Board of Directors, a committee thereof, or the stockholders. </w:t>
      </w:r>
      <w:r>
        <mc:AlternateContent>
          <mc:Choice Requires="wps">
            <w:drawing>
              <wp:anchor behindDoc="0" distT="101600" distB="0" distL="254000" distR="0" simplePos="0" locked="0" layoutInCell="1" allowOverlap="1" relativeHeight="792">
                <wp:simplePos x="0" y="0"/>
                <wp:positionH relativeFrom="column">
                  <wp:align>left</wp:align>
                </wp:positionH>
                <wp:positionV relativeFrom="line">
                  <wp:align>top</wp:align>
                </wp:positionV>
                <wp:extent cx="254000" cy="350520"/>
                <wp:effectExtent l="0" t="0" r="0" b="0"/>
                <wp:wrapSquare wrapText="right"/>
                <wp:docPr id="789" name="Frame7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Quorum</w:t>
      </w:r>
      <w:r>
        <w:rPr>
          <w:rFonts w:ascii="Times New Roman;Times;serif" w:hAnsi="Times New Roman;Times;serif"/>
          <w:b w:val="false"/>
          <w:i w:val="false"/>
          <w:caps w:val="false"/>
          <w:smallCaps w:val="false"/>
          <w:color w:val="000000"/>
          <w:spacing w:val="4"/>
          <w:sz w:val="20"/>
        </w:rPr>
        <w:t xml:space="preserve">.   Common or interested directors may be counted in determining the presence of a quorum at a meeting of the Board of Directors or of a committee which authorizes the contract or transaction.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 — 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Facsimile Signatures</w:t>
      </w:r>
      <w:r>
        <w:rPr>
          <w:rFonts w:ascii="Times New Roman;Times;serif" w:hAnsi="Times New Roman;Times;serif"/>
          <w:b w:val="false"/>
          <w:i w:val="false"/>
          <w:caps w:val="false"/>
          <w:smallCaps w:val="false"/>
          <w:color w:val="000000"/>
          <w:spacing w:val="4"/>
          <w:sz w:val="20"/>
        </w:rPr>
        <w:t xml:space="preserve">.   In addition to the provisions for use of facsimile signatures elsewhere specifically authorized in these By-Laws, facsimile signatures or such other form of electronic signatures permitted by law may be used whenever and as authorized by the Board of Directors or a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Corporate Seal</w:t>
      </w:r>
      <w:r>
        <w:rPr>
          <w:rFonts w:ascii="Times New Roman;Times;serif" w:hAnsi="Times New Roman;Times;serif"/>
          <w:b w:val="false"/>
          <w:i w:val="false"/>
          <w:caps w:val="false"/>
          <w:smallCaps w:val="false"/>
          <w:color w:val="000000"/>
          <w:spacing w:val="4"/>
          <w:sz w:val="20"/>
        </w:rPr>
        <w:t xml:space="preserve">.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Reliance upon Books, Reports and Records</w:t>
      </w:r>
      <w:r>
        <w:rPr>
          <w:rFonts w:ascii="Times New Roman;Times;serif" w:hAnsi="Times New Roman;Times;serif"/>
          <w:b w:val="false"/>
          <w:i w:val="false"/>
          <w:caps w:val="false"/>
          <w:smallCaps w:val="false"/>
          <w:color w:val="000000"/>
          <w:spacing w:val="4"/>
          <w:sz w:val="20"/>
        </w:rPr>
        <w:t xml:space="preserve">.   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Fiscal Year</w:t>
      </w:r>
      <w:r>
        <w:rPr>
          <w:rFonts w:ascii="Times New Roman;Times;serif" w:hAnsi="Times New Roman;Times;serif"/>
          <w:b w:val="false"/>
          <w:i w:val="false"/>
          <w:caps w:val="false"/>
          <w:smallCaps w:val="false"/>
          <w:color w:val="000000"/>
          <w:spacing w:val="4"/>
          <w:sz w:val="20"/>
        </w:rPr>
        <w:t xml:space="preserve">.   Except as otherwise determined by the Board of Directors from time to time, the fiscal year of the Corporation shall end on the last day of December of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Time Periods</w:t>
      </w:r>
      <w:r>
        <w:rPr>
          <w:rFonts w:ascii="Times New Roman;Times;serif" w:hAnsi="Times New Roman;Times;serif"/>
          <w:b w:val="false"/>
          <w:i w:val="false"/>
          <w:caps w:val="false"/>
          <w:smallCaps w:val="false"/>
          <w:color w:val="000000"/>
          <w:spacing w:val="4"/>
          <w:sz w:val="20"/>
        </w:rPr>
        <w:t xml:space="preserve">.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X — 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of 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Michael Egholm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Fenel Eloi (the Parent Series B-2 Preferred Stockholder Board Designee)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Frank Whitney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Tom Carey (Chairman)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Troy Cox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Kathy Hibbs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Parent Series B-1 Preferred Stockholder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Eli Casdin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14(d) of the Series B-1 Preferred Stock Certificate of Designations, the member of the Parent Board designated by the Parent Series B-1 Stockholder shall be offered the opportunity, with respect to each standing committee of the Parent Board, at such member’s option, to sit on such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14(d) of the Series B-2 Preferred Stock Certificate of Designations, the member of the Parent Board designated by the Parent Series B-2 Stockholder shall be offered the opportunity, with respect to each standing committee of the Parent Board, at such member’s option, to sit on such committee.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Michael Egholm — Chief Executive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Jeffrey Black — Chief Financial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Adam Taich — Chief Strategy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Shane Bowen — Chief Technology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0" w:name="tABOO"/>
      <w:bookmarkEnd w:id="2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 — Opinion of Centerview Partners LLC</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Centerview Partners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31 West 52nd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NY 10019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4,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Standard BioTools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Standard BioTools Inc., a Delaware corporation (“Parent”), of the Exchange Ratio (as defined below) provided for pursuant to the Agreement and Plan of Merger proposed to be entered into (the “Agreement”) by and among Parent, SomaLogic, Inc., a Delaware corporation (the “Company”), and Martis Merger Sub, Inc., a Delaware corporation and wholly owned subsidiary of Parent (“Merger Sub”).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of common stock, par value $0.0001 per share, and preferred stock, par value $0.0001 per share, of the Company (collectively, the “Company Shares”) immediately prior to the effective time of the Merger (other than (i) Shares held in treasury and (ii) Earn-Out Shares (as defined in the Agreement) (the shares referred to in clauses (i) and (ii), “Excluded Shares”)) will be converted into the right to receive 1.11 (the “Exchange Ratio”) shares of common stock, par value $0.001 per share, of Parent (the “Parent Shares”). The terms and conditions of the Transaction are more fully set forth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Board of Directors of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Parent, and we have not received any compensation from Parent during such period. In the past two years, we have been engaged to provide financial advisory services to Casdin Capital, LLC (a significant stockholder of Parent) and Viking Global Investors LP (a significant stockholder of Parent), including in connection with their strategic investment in Fluidigm Corporation in 2022, and we have received compensation from Casdin Capital, LLC and Viking Global Investors LP for such services. In the past two years, we have not been engaged to provide financial advisory or other services to the Company, and we have not received any compensation from the Company during such period. We may provide investment banking and other services to or with respect to Parent, the Company, Casdin Capital, LLC and Viking Global Investors LP or their respective affiliates, including portfolio companies of Casdin Capital, LLC and Viking Global Investors LP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Parent, the Company, Casdin Capital, LLC and Viking Global Investors LP or any of their respective affiliates, including portfolio companies of Casdin Capital, LLC and Viking Global Investors LP, or any other party that may be involved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reviewed, among other things: (i) a draft of the Agreement dated October 1, 2023 (the “Draft Agreement”); (ii) Annual Reports on Form 10-K of the Company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years ended December 31, 2022 and December 31, 2021 and Annual Reports on Form 10-K of Parent for the years ended December 31, 2022, December 31, 2021 and December 31, 2020; (iii) certain interim reports to stockholders and Quarterly Reports on Form 10-Q of the Company and Parent; (iv) certain publicly available research analyst reports for the Company and Parent; (v) certain other communications from the Company and Parent to their respective stockholders; (vi) certain internal information relating to the business, operations, earnings, cash flow, assets, liabilities and prospects of the Company (the “Company Internal Data”); (vii) certain financial forecasts, analyses and projections relating to the Company prepared by management of the Company with adjustments made by management of Parent and furnished to us by Parent for purposes of our analysis (the “Company Forecasts”); (vii) certain internal information relating to the business, operations, earnings, cash flow, assets, liabilities and prospects of Parent, including certain financial forecasts, analyses and projections relating to Parent prepared by management of Parent and furnished to us by Parent for purposes of our analysis (the “Parent Forecasts”) (collectively, the “Parent Internal Data”); and (viii) certain cost savings and operating synergies projected by the management of Parent to result from the Transaction furnished to us by Parent for purposes of our analysis (the “Synergies”). We have participated in discussions with members of the senior management and representatives of Parent and the Company regarding their assessment of the Company Internal Data, the Company Forecasts, the Parent Internal Data (including the Parent Forecasts) and the Synergies, as appropriate, and the strategic rationale for the Transaction.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and conducted such other financial studies and analyses and took into account such other information as we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has been reasonably prepared on bases reflecting the best currently available estimates and judgments of the management of the Company as to the matters covered thereby, and that the Company Forecasts, the Parent Internal Data (including, without limitation, the Parent Forecasts) and the Synergies have been reasonably prepared on bases reflecting the best currently available estimates and judgments of the management of Parent as to the matters covered thereby, and we have relied, at your direction, on the Company Internal Data, the Company Forecasts, the Parent Internal Data (including, without limitation, the Parent Forecasts) and the Synergies for purposes of our analysis and this opinion. We express no view or opinion as to the Company Internal Data, the Company Forecasts, the Parent Internal Data (including, without limitation, the Parent Forecasts) or the Synergies or the assumptions on which any of them are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or any other party. In addition, we express no view or opinion as to the fairness (financial or otherwise) of the amount, nature or any other aspect of any compensation to be paid or payable to any of the officers, directors or employees of Parent or any party, or class of such persons in connection with the Transaction, whether relative to the Exchange Ratio provided for pursuant to the Agreement or otherwise. Our opinion, as expressed herein, relates to the relative values of the Company and Parent.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and following the consummation of, the Transaction, or what the value of the Company Shares will be immediately prior to the Effective Time, or the prices at which the Company Shares or Parent Shares will trade or otherwise be transferable at any time, including following the announcement or consummation of the Transaction. Our opinion does not constitute a recommendation to any stockholder of Parent or the Company or any other person as to how such stockholder or other person should vote with respect to the Merger or otherwise act with respect to the Transaction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Parent.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Centerview Partners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PARTNERS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1" w:name="tACOO"/>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 — Opinion of Perella Weinberg Partners L.P.</w:t>
      </w:r>
      <w:r>
        <w:rPr>
          <w:rFonts w:ascii="Times New Roman;Times;serif" w:hAnsi="Times New Roman;Times;serif"/>
          <w:b/>
          <w:i w:val="false"/>
          <w:caps w:val="false"/>
          <w:smallCaps w:val="false"/>
          <w:color w:val="000000"/>
          <w:sz w:val="20"/>
        </w:rPr>
        <w:t>​</w:t>
      </w:r>
    </w:p>
    <w:p>
      <w:pPr>
        <w:pStyle w:val="TextBody"/>
        <w:bidi w:val="0"/>
        <w:spacing w:before="198" w:after="283"/>
        <w:jc w:val="left"/>
        <w:rPr>
          <w:caps w:val="false"/>
          <w:smallCaps w:val="false"/>
          <w:color w:val="000000"/>
        </w:rPr>
      </w:pPr>
      <w:r>
        <w:rPr>
          <w:caps w:val="false"/>
          <w:smallCaps w:val="false"/>
          <w:color w:val="000000"/>
        </w:rPr>
        <w:drawing>
          <wp:inline distT="0" distB="0" distL="0" distR="0">
            <wp:extent cx="5705475" cy="657225"/>
            <wp:effectExtent l="0" t="0" r="0" b="0"/>
            <wp:docPr id="79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11" descr=""/>
                    <pic:cNvPicPr>
                      <a:picLocks noChangeAspect="1" noChangeArrowheads="1"/>
                    </pic:cNvPicPr>
                  </pic:nvPicPr>
                  <pic:blipFill>
                    <a:blip r:embed="rId42"/>
                    <a:stretch>
                      <a:fillRect/>
                    </a:stretch>
                  </pic:blipFill>
                  <pic:spPr bwMode="auto">
                    <a:xfrm>
                      <a:off x="0" y="0"/>
                      <a:ext cx="57054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4,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Colorado 80301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SomaLogic, Inc.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Standard BioTools Inc.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Martis Merger Sub, Inc., a wholly-owned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propose to enter into an Agreement and Plan of Merger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and into the Company, as a result of which the Company will become a wholly-owned subsidiary of Parent, and each share of common stock, par value $0.0001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the Company outstanding immediately prior to the effective time of the Merger, other than Excluded Shares (as defined in Merger Agreement), will be converted into the right to receive 1.1100 shares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of common stock, par value $0.001 per share (the “</w:t>
      </w:r>
      <w:r>
        <w:rPr>
          <w:rFonts w:ascii="Times New Roman;Times;serif" w:hAnsi="Times New Roman;Times;serif"/>
          <w:b w:val="false"/>
          <w:i w:val="false"/>
          <w:caps w:val="false"/>
          <w:smallCaps w:val="false"/>
          <w:color w:val="000000"/>
          <w:spacing w:val="4"/>
          <w:sz w:val="20"/>
          <w:u w:val="single"/>
        </w:rPr>
        <w:t>Parent Common Stock</w:t>
      </w:r>
      <w:r>
        <w:rPr>
          <w:rFonts w:ascii="Times New Roman;Times;serif" w:hAnsi="Times New Roman;Times;serif"/>
          <w:b w:val="false"/>
          <w:i w:val="false"/>
          <w:caps w:val="false"/>
          <w:smallCaps w:val="false"/>
          <w:color w:val="000000"/>
          <w:spacing w:val="4"/>
          <w:sz w:val="20"/>
        </w:rPr>
        <w:t xml:space="preserve">”), of Parent. The terms and conditions of the Merger are more fully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have requested our opinion as to the fairness from a financial point of view to the Unaffiliated Stockholders of the Merger Consideration to be received by the Unaffiliated Stockholders in the proposed Merger pursuant to the Merger Agreement. As used herein, “</w:t>
      </w:r>
      <w:r>
        <w:rPr>
          <w:rFonts w:ascii="Times New Roman;Times;serif" w:hAnsi="Times New Roman;Times;serif"/>
          <w:b w:val="false"/>
          <w:i w:val="false"/>
          <w:caps w:val="false"/>
          <w:smallCaps w:val="false"/>
          <w:color w:val="000000"/>
          <w:spacing w:val="4"/>
          <w:sz w:val="20"/>
          <w:u w:val="single"/>
        </w:rPr>
        <w:t>Unaffiliated Stockholders</w:t>
      </w:r>
      <w:r>
        <w:rPr>
          <w:rFonts w:ascii="Times New Roman;Times;serif" w:hAnsi="Times New Roman;Times;serif"/>
          <w:b w:val="false"/>
          <w:i w:val="false"/>
          <w:caps w:val="false"/>
          <w:smallCaps w:val="false"/>
          <w:color w:val="000000"/>
          <w:spacing w:val="4"/>
          <w:sz w:val="20"/>
        </w:rPr>
        <w:t>” shall mean all holders of outstanding shares of Company Common Stock other than Parent, Casdin Capital, LLC (“</w:t>
      </w:r>
      <w:r>
        <w:rPr>
          <w:rFonts w:ascii="Times New Roman;Times;serif" w:hAnsi="Times New Roman;Times;serif"/>
          <w:b w:val="false"/>
          <w:i w:val="false"/>
          <w:caps w:val="false"/>
          <w:smallCaps w:val="false"/>
          <w:color w:val="000000"/>
          <w:spacing w:val="4"/>
          <w:sz w:val="20"/>
          <w:u w:val="single"/>
        </w:rPr>
        <w:t>Casdin</w:t>
      </w:r>
      <w:r>
        <w:rPr>
          <w:rFonts w:ascii="Times New Roman;Times;serif" w:hAnsi="Times New Roman;Times;serif"/>
          <w:b w:val="false"/>
          <w:i w:val="false"/>
          <w:caps w:val="false"/>
          <w:smallCaps w:val="false"/>
          <w:color w:val="000000"/>
          <w:spacing w:val="4"/>
          <w:sz w:val="20"/>
        </w:rPr>
        <w:t xml:space="preserve">”) and each of their respective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opinion set forth herein, we have, among other things: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statements and other publicly available business and financial information with respect to the Company and Parent, including equity research analyst reports; </w:t>
      </w:r>
      <w:r>
        <mc:AlternateContent>
          <mc:Choice Requires="wps">
            <w:drawing>
              <wp:anchor behindDoc="0" distT="100330" distB="0" distL="254000" distR="0" simplePos="0" locked="0" layoutInCell="1" allowOverlap="1" relativeHeight="793">
                <wp:simplePos x="0" y="0"/>
                <wp:positionH relativeFrom="column">
                  <wp:align>left</wp:align>
                </wp:positionH>
                <wp:positionV relativeFrom="line">
                  <wp:align>top</wp:align>
                </wp:positionV>
                <wp:extent cx="254000" cy="350520"/>
                <wp:effectExtent l="0" t="0" r="0" b="0"/>
                <wp:wrapSquare wrapText="right"/>
                <wp:docPr id="791" name="Frame7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financial statements, analyses and forecasts (the “</w:t>
      </w:r>
      <w:r>
        <w:rPr>
          <w:rFonts w:ascii="Times New Roman;Times;serif" w:hAnsi="Times New Roman;Times;serif"/>
          <w:b w:val="false"/>
          <w:i w:val="false"/>
          <w:caps w:val="false"/>
          <w:smallCaps w:val="false"/>
          <w:color w:val="000000"/>
          <w:spacing w:val="4"/>
          <w:sz w:val="20"/>
          <w:u w:val="single"/>
        </w:rPr>
        <w:t>Company Forecasts</w:t>
      </w:r>
      <w:r>
        <w:rPr>
          <w:rFonts w:ascii="Times New Roman;Times;serif" w:hAnsi="Times New Roman;Times;serif"/>
          <w:b w:val="false"/>
          <w:i w:val="false"/>
          <w:caps w:val="false"/>
          <w:smallCaps w:val="false"/>
          <w:color w:val="000000"/>
          <w:spacing w:val="4"/>
          <w:sz w:val="20"/>
        </w:rPr>
        <w:t xml:space="preserve">”) and other internal financial information and operating data relating to the business of the Company, in each case, prepared by management of the Company and approved for our use by management of the Company; </w:t>
      </w:r>
      <w:r>
        <mc:AlternateContent>
          <mc:Choice Requires="wps">
            <w:drawing>
              <wp:anchor behindDoc="0" distT="100330" distB="0" distL="254000" distR="0" simplePos="0" locked="0" layoutInCell="1" allowOverlap="1" relativeHeight="794">
                <wp:simplePos x="0" y="0"/>
                <wp:positionH relativeFrom="column">
                  <wp:align>left</wp:align>
                </wp:positionH>
                <wp:positionV relativeFrom="line">
                  <wp:align>top</wp:align>
                </wp:positionV>
                <wp:extent cx="254000" cy="350520"/>
                <wp:effectExtent l="0" t="0" r="0" b="0"/>
                <wp:wrapSquare wrapText="right"/>
                <wp:docPr id="792" name="Frame7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financial statements, analyses and forecasts (the “</w:t>
      </w:r>
      <w:r>
        <w:rPr>
          <w:rFonts w:ascii="Times New Roman;Times;serif" w:hAnsi="Times New Roman;Times;serif"/>
          <w:b w:val="false"/>
          <w:i w:val="false"/>
          <w:caps w:val="false"/>
          <w:smallCaps w:val="false"/>
          <w:color w:val="000000"/>
          <w:spacing w:val="4"/>
          <w:sz w:val="20"/>
          <w:u w:val="single"/>
        </w:rPr>
        <w:t>Parent Forecasts</w:t>
      </w:r>
      <w:r>
        <w:rPr>
          <w:rFonts w:ascii="Times New Roman;Times;serif" w:hAnsi="Times New Roman;Times;serif"/>
          <w:b w:val="false"/>
          <w:i w:val="false"/>
          <w:caps w:val="false"/>
          <w:smallCaps w:val="false"/>
          <w:color w:val="000000"/>
          <w:spacing w:val="4"/>
          <w:sz w:val="20"/>
        </w:rPr>
        <w:t xml:space="preserve">”) and other internal financial information and operating data relating to the business of Parent, in each case, prepared by management of Parent and approved for our use by management of the Company; </w:t>
      </w:r>
      <w:r>
        <mc:AlternateContent>
          <mc:Choice Requires="wps">
            <w:drawing>
              <wp:anchor behindDoc="0" distT="100330" distB="0" distL="254000" distR="0" simplePos="0" locked="0" layoutInCell="1" allowOverlap="1" relativeHeight="795">
                <wp:simplePos x="0" y="0"/>
                <wp:positionH relativeFrom="column">
                  <wp:align>left</wp:align>
                </wp:positionH>
                <wp:positionV relativeFrom="line">
                  <wp:align>top</wp:align>
                </wp:positionV>
                <wp:extent cx="254000" cy="350520"/>
                <wp:effectExtent l="0" t="0" r="0" b="0"/>
                <wp:wrapSquare wrapText="right"/>
                <wp:docPr id="793" name="Frame7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the Company and the combined company with senior management of the Company, the Board of Directors of the Company, and other representatives and advisors of the Company; </w:t>
      </w:r>
      <w:r>
        <mc:AlternateContent>
          <mc:Choice Requires="wps">
            <w:drawing>
              <wp:anchor behindDoc="0" distT="100330" distB="0" distL="254000" distR="0" simplePos="0" locked="0" layoutInCell="1" allowOverlap="1" relativeHeight="796">
                <wp:simplePos x="0" y="0"/>
                <wp:positionH relativeFrom="column">
                  <wp:align>left</wp:align>
                </wp:positionH>
                <wp:positionV relativeFrom="line">
                  <wp:align>top</wp:align>
                </wp:positionV>
                <wp:extent cx="254000" cy="350520"/>
                <wp:effectExtent l="0" t="0" r="0" b="0"/>
                <wp:wrapSquare wrapText="right"/>
                <wp:docPr id="794" name="Frame7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Parent and the combined company with senior management of the Company and Parent, the Board of Directors of the Company, and other representatives and advisors of the Company and Parent; </w:t>
      </w:r>
      <w:r>
        <mc:AlternateContent>
          <mc:Choice Requires="wps">
            <w:drawing>
              <wp:anchor behindDoc="0" distT="100330" distB="0" distL="254000" distR="0" simplePos="0" locked="0" layoutInCell="1" allowOverlap="1" relativeHeight="797">
                <wp:simplePos x="0" y="0"/>
                <wp:positionH relativeFrom="column">
                  <wp:align>left</wp:align>
                </wp:positionH>
                <wp:positionV relativeFrom="line">
                  <wp:align>top</wp:align>
                </wp:positionV>
                <wp:extent cx="254000" cy="350520"/>
                <wp:effectExtent l="0" t="0" r="0" b="0"/>
                <wp:wrapSquare wrapText="right"/>
                <wp:docPr id="795" name="Frame7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members of the senior management of the Company and the Board of Directors of the Company their assessment of the strategic rationale for, and the potential benefits of, the Merger; </w:t>
      </w:r>
      <w:r>
        <mc:AlternateContent>
          <mc:Choice Requires="wps">
            <w:drawing>
              <wp:anchor behindDoc="0" distT="101600" distB="0" distL="254000" distR="0" simplePos="0" locked="0" layoutInCell="1" allowOverlap="1" relativeHeight="798">
                <wp:simplePos x="0" y="0"/>
                <wp:positionH relativeFrom="column">
                  <wp:align>left</wp:align>
                </wp:positionH>
                <wp:positionV relativeFrom="line">
                  <wp:align>top</wp:align>
                </wp:positionV>
                <wp:extent cx="254000" cy="350520"/>
                <wp:effectExtent l="0" t="0" r="0" b="0"/>
                <wp:wrapSquare wrapText="right"/>
                <wp:docPr id="796" name="Frame7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the Company with that of certain publicly-traded companies which we believe to be generally relevant; </w:t>
      </w:r>
      <w:r>
        <mc:AlternateContent>
          <mc:Choice Requires="wps">
            <w:drawing>
              <wp:anchor behindDoc="0" distT="0" distB="0" distL="254000" distR="0" simplePos="0" locked="0" layoutInCell="1" allowOverlap="1" relativeHeight="799">
                <wp:simplePos x="0" y="0"/>
                <wp:positionH relativeFrom="column">
                  <wp:align>left</wp:align>
                </wp:positionH>
                <wp:positionV relativeFrom="line">
                  <wp:posOffset>635</wp:posOffset>
                </wp:positionV>
                <wp:extent cx="254000" cy="350520"/>
                <wp:effectExtent l="0" t="0" r="0" b="0"/>
                <wp:wrapSquare wrapText="right"/>
                <wp:docPr id="797" name="Frame7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trading prices and trading activity for the Company Common Stock and compared such price and trading activity with that of securities of certain publicly- traded companies which we believe to be generally relevant; </w:t>
      </w:r>
      <w:r>
        <mc:AlternateContent>
          <mc:Choice Requires="wps">
            <w:drawing>
              <wp:anchor behindDoc="0" distT="100330" distB="0" distL="254000" distR="0" simplePos="0" locked="0" layoutInCell="1" allowOverlap="1" relativeHeight="800">
                <wp:simplePos x="0" y="0"/>
                <wp:positionH relativeFrom="column">
                  <wp:align>left</wp:align>
                </wp:positionH>
                <wp:positionV relativeFrom="line">
                  <wp:align>top</wp:align>
                </wp:positionV>
                <wp:extent cx="254000" cy="350520"/>
                <wp:effectExtent l="0" t="0" r="0" b="0"/>
                <wp:wrapSquare wrapText="right"/>
                <wp:docPr id="798" name="Frame7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discussions among representatives of the Company and Parent and their respective advisors; </w:t>
      </w:r>
      <w:r>
        <mc:AlternateContent>
          <mc:Choice Requires="wps">
            <w:drawing>
              <wp:anchor behindDoc="0" distT="100330" distB="0" distL="254000" distR="0" simplePos="0" locked="0" layoutInCell="1" allowOverlap="1" relativeHeight="801">
                <wp:simplePos x="0" y="0"/>
                <wp:positionH relativeFrom="column">
                  <wp:align>left</wp:align>
                </wp:positionH>
                <wp:positionV relativeFrom="line">
                  <wp:align>top</wp:align>
                </wp:positionV>
                <wp:extent cx="254000" cy="350520"/>
                <wp:effectExtent l="0" t="0" r="0" b="0"/>
                <wp:wrapSquare wrapText="right"/>
                <wp:docPr id="799" name="Frame7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October 1, 2023; and </w:t>
      </w:r>
      <w:r>
        <mc:AlternateContent>
          <mc:Choice Requires="wps">
            <w:drawing>
              <wp:anchor behindDoc="0" distT="100330" distB="0" distL="254000" distR="0" simplePos="0" locked="0" layoutInCell="1" allowOverlap="1" relativeHeight="802">
                <wp:simplePos x="0" y="0"/>
                <wp:positionH relativeFrom="column">
                  <wp:align>left</wp:align>
                </wp:positionH>
                <wp:positionV relativeFrom="line">
                  <wp:align>top</wp:align>
                </wp:positionV>
                <wp:extent cx="254000" cy="350520"/>
                <wp:effectExtent l="0" t="0" r="0" b="0"/>
                <wp:wrapSquare wrapText="right"/>
                <wp:docPr id="800" name="Frame7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and considered such other factors, as we have deemed appropriate. </w:t>
      </w:r>
      <w:r>
        <mc:AlternateContent>
          <mc:Choice Requires="wps">
            <w:drawing>
              <wp:anchor behindDoc="0" distT="100330" distB="0" distL="25400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801" name="Frame7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opinion, we have assumed and relied upon, without assuming any responsibility for independent verification, the accuracy and completeness of all of the financial, accounting, legal, tax, regulatory and other information provided to, discussed with or reviewed by us (including information that was available from public sources) and have further relied upon the assurances of management of the Company that they are not aware of any facts or circumstances that would make such information inaccurate or misleading in any material respect. With respect to the Company Forecasts, we have been advised by management of the Company and have assumed, with your consent, that they have been reasonably prepared on bases reflecting the best currently available estimates and good faith judgments of management of the Company as to the future financial performance of the Company and the other matters covered thereby and we express no view as to the reasonableness of the Company Forecasts or the assumptions on which they are based. In particular, the Company Forecasts reflect certain assumptions regarding the industries or areas in which the Company operates that are subject to significant uncertainty and that, if different than assumed, could have a material impact on our analysis and this opinion. With respect to the Parent Forecasts, we have been advised by management of Parent and have assumed, with your consent, that they have been reasonably prepared on bases reflecting the best currently available estimates and good faith judgments of management of Parent as to the future financial performance of Parent and the other matters covered thereby and we express no view as to the reasonableness of the assumptions on which they are based. In arriving at our opinion, we have not made or been provided with any independent valuation or appraisal of the assets or liabilities (including any tax, contingent, derivative or off-balance-sheet assets or liabilities) of the Company, Parent or any of their respective subsidiaries. We have not assumed any obligation to conduct, nor have we conducted, any physical inspection of the properties or facilities of the Company, Parent or any other party. In addition, we have not evaluated the solvency of any party to the Merger Agreement, or the impact of the Merger thereon, including under any applicable laws relating to bankruptcy, insolvency or similar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that the final Merger Agreement will not differ from the draft of the Merger Agreement reviewed by us in any respect material to our analysis or this opinion. We have also assumed that (i) the representations and warranties of all parties to the Merger Agreement and all other related documents and instruments that are referred to therein are true and correct in all respects material to our analysis and this opinion, (ii) each party to the Merger Agreement and such other related documents and instruments will fully and timely perform all of the covenants and agreements required to be performed by such party in all respects material to our analysis and this opinion, and (iii) the Merger will be consummated in a timely manner in accordance with the terms set forth in the Merger Agreement, without any modification, amendment, waiver or delay that would be material to our analysis or this opinion. In addition, we have assumed that in connection with the receipt of all approvals and consents required in connection with the proposed Merger, no delays, limitations, conditions or restrictions will be imposed that would be material to our analysis or this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only the fairness from a financial point of view, as of the date hereof, to the Unaffiliated Stockholders of the Merger Consideration to be received by the Unaffiliated Stockholders in the proposed Merger pursuant to the Merger Agreement. We have not been asked to, nor do we, offer any opinion as to any other term of the Merger Agreement or any other document contemplated by or entered into in connection with the Merger Agreement, the form or structure of the Merger or the likely timeframe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the Merger will be consummated. In addition, we express no opinion as to the fairness of the amount or nature of any compensation to be received by any officers, directors or employees of any party to the Merger Agreement, or any class of such persons, whether relative to the Merger Consideration or otherwise. We express no opinion as to the fairness of the Merger to the holders of any other class of securities, creditors or other constituencies of the Company, as to the underlying decision by the Company to engage in the Merger or as to the relative merits of the Merger compared with any alternative transactions or business strategies. Nor do we express any opinion as to any tax or other consequences that may result from the transactions contemplated by the Merger Agreement or any other related document. This opinion does not address any legal, tax, regulatory or accounting matters, as to which we understand the Company has received such advice as it deems necessary from qualified professionals.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Company with respect to the Merger and this opinion and will receive a fee for our services, a portion of which becomes payable upon delivery of this opinion (or would have become payable if we had advised the Company that we were unable to render this opinion) and a substantial portion of which is contingent upon consummation of the Merger. We will also be entitled to receive a termination fee equal to a portion of any break up fee that the Company may receive as a result of the termination of the Merger Agreement. In addition, the Company has agreed to reimburse us for certain expenses and indemnify us for certain liabilities that may arise out of our engagement.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Perella Weinberg Partners LP and its affiliates,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and our affiliates also engage in securities trading and brokerage, asset management activities, equity research and other financial services. Except in connection with our engagement as financial advisor to the Company in connection with the Merger, during the two-year period prior to the date hereof, no material relationship existed between Perella Weinberg Partners LP or its affiliates, on the one hand, and Parent, the Company or any of their respective affiliates pursuant to which we or our affiliates has received or anticipates receiving compensation. Notwithstanding the foregoing, it is currently expected that we may become engaged to provide financial advisory services to a company that is controlled by Casdin for which we may receive compensation. In addition, we and our affiliates in the future may provide investment banking and other financial services to Parent, the Company and/or Casdin and their respective affiliates and in the future may receive compensation for the rendering of these services. In the ordinary course of our business activities, we and our affiliates may at any time hold long or short positions, and may trade or otherwise effect transactions, for our own account or the accounts of customers or clients, in (i) debt, equity or other securities (or related derivative securities) or financial instruments (including bank loans or other obligations) of the Company, Parent or any of their respective affiliates and (ii) any currency or commodity that may be material to the parties or otherwise involved in the Merger. This issuance of this opinion was approved by a fairness opinion committee of Perella Weinberg Partners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and our advisory services are for the information and assistance of the Board of Directors of the Company in connection with, and for the purpose of its evaluation of, the Merger. This opinion is not intended to be and does not constitute a recommendation to any holder of Company Common Stock as to how such holder should vote or otherwise act with respect to the proposed Merger or any other matter. We express no opinion as to what the value of the Parent Common Stock actually will be when issued or the prices at which the Company Common Stock or Parent Common Stock will trade at any time, including following announcement or completion of the Merger. In addition, we express no opinion as to the fairness of the Merger to, or any consideration received in connection with the Merger by the holders of any other class of securities, creditors or other constituencies of the Company. Our opinion is necessarily based on financial, economic, market, monetary and other conditions as in effect on, and the information made available to us as of, the date hereof. Subsequent developments may affect this opinion and the assumptions used in preparing it, and we do not have any obligation to update, revise, or reaffirm this opinion.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including the various qualifications, assumptions, limitations and other matters set forth herein, we are of the opinion that, as of the date hereof, the Merger Consideration to be received by the Unaffiliated Stockholders in the proposed Merger pursuant to the Merger Agreement is fair, from a financial point of view, to the Unaffiliated Stockholders.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Perella Weinberg Partners LP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PERELLA WEINBERG PARTNERS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ADAT"/>
      <w:bookmarkEnd w:id="2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00"/>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 — Amendment to the Standard BioTools Amended and Restated Certificate of Incorporation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SECOND CERTIFICATE OF AMENDMENT TO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EIGHTH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hereby certifies that: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Section 1 of Article IV of the Eighth Amended and Restated Certificate of Incorporation of the Corporation, as amended, is hereby amended and restated to read in its entirety as follows: </w:t>
      </w:r>
    </w:p>
    <w:p>
      <w:pPr>
        <w:pStyle w:val="TextBody"/>
        <w:bidi w:val="0"/>
        <w:spacing w:lineRule="atLeast" w:line="240" w:before="160" w:after="283"/>
        <w:ind w:left="21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Section 1. This Corporation is authorized to issue two classes of stock, to be designated, respectively, Common Stock and Preferred Stock. The total number of shares of stock that the Corporation shall have authority to issue six hundred ten million (610,000,000) shares, of which six hundred million (600,000,000) shares are Common Stock, $0.001 par value, and ten million (10,000,000) shares are Preferred Stock, $0.001 par value.”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This Second Certificate of Amendment to the Corporation’s Eighth Amended and Restated Certificate of Incorporation, as amended, has been duly authorized and adopted by the Corporation’s Board of Directors in accordance with the provisions of Section 242 of the Delaware General Corporation Law, and has been duly approved by the stockholders of the Corporation at a meeting of the stockholders on       , in accordance with the provisions of Section 242 of the General Corporation Law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Standard BioTools, Inc. has caused this Second Certificate of Amendment to be signed by its Chief Executive Officer this    day of       .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3" w:name="tAESB"/>
      <w:bookmarkEnd w:id="2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 — Standard BioTools Amended and Restated 2011 Equity Incentive Plan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STANDARD BIOTOOLS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2011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(as amended and restated effective June 3, 2019, </w:t>
      </w:r>
      <w:r>
        <w:rPr>
          <w:rFonts w:ascii="Times New Roman;Times;serif" w:hAnsi="Times New Roman;Times;serif"/>
          <w:b w:val="false"/>
          <w:i/>
          <w:caps w:val="false"/>
          <w:smallCaps w:val="false"/>
          <w:color w:val="000000"/>
          <w:sz w:val="20"/>
        </w:rPr>
        <w:br/>
      </w:r>
      <w:r>
        <w:rPr>
          <w:rFonts w:ascii="Times New Roman;Times;serif" w:hAnsi="Times New Roman;Times;serif"/>
          <w:b w:val="false"/>
          <w:i/>
          <w:caps w:val="false"/>
          <w:smallCaps w:val="false"/>
          <w:color w:val="000000"/>
          <w:spacing w:val="4"/>
          <w:sz w:val="20"/>
        </w:rPr>
        <w:t xml:space="preserve">and as further amended effective June 23, 2020, May 25, 2021, June 14, 2023 and        ) </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Purposes of the Plan</w:t>
      </w:r>
      <w:r>
        <w:rPr>
          <w:rFonts w:ascii="Times New Roman;Times;serif" w:hAnsi="Times New Roman;Times;serif"/>
          <w:b w:val="false"/>
          <w:i w:val="false"/>
          <w:caps w:val="false"/>
          <w:smallCaps w:val="false"/>
          <w:color w:val="000000"/>
          <w:spacing w:val="4"/>
          <w:sz w:val="20"/>
        </w:rPr>
        <w:t xml:space="preserve">.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 </w:t>
      </w:r>
      <w:r>
        <mc:AlternateContent>
          <mc:Choice Requires="wps">
            <w:drawing>
              <wp:anchor behindDoc="0" distT="99060" distB="0" distL="0" distR="0" simplePos="0" locked="0" layoutInCell="1" allowOverlap="1" relativeHeight="804">
                <wp:simplePos x="0" y="0"/>
                <wp:positionH relativeFrom="column">
                  <wp:align>left</wp:align>
                </wp:positionH>
                <wp:positionV relativeFrom="line">
                  <wp:align>top</wp:align>
                </wp:positionV>
                <wp:extent cx="254000" cy="350520"/>
                <wp:effectExtent l="0" t="0" r="0" b="0"/>
                <wp:wrapSquare wrapText="right"/>
                <wp:docPr id="802" name="Frame7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As used herein, the following definitions will apply: </w:t>
      </w:r>
      <w:r>
        <mc:AlternateContent>
          <mc:Choice Requires="wps">
            <w:drawing>
              <wp:anchor behindDoc="0" distT="99060" distB="0" distL="0" distR="0" simplePos="0" locked="0" layoutInCell="1" allowOverlap="1" relativeHeight="805">
                <wp:simplePos x="0" y="0"/>
                <wp:positionH relativeFrom="column">
                  <wp:align>left</wp:align>
                </wp:positionH>
                <wp:positionV relativeFrom="line">
                  <wp:align>top</wp:align>
                </wp:positionV>
                <wp:extent cx="254000" cy="350520"/>
                <wp:effectExtent l="0" t="0" r="0" b="0"/>
                <wp:wrapSquare wrapText="right"/>
                <wp:docPr id="803" name="Frame7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Administrator</w:t>
      </w:r>
      <w:r>
        <w:rPr>
          <w:rFonts w:ascii="Times New Roman;Times;serif" w:hAnsi="Times New Roman;Times;serif"/>
          <w:b w:val="false"/>
          <w:i w:val="false"/>
          <w:caps w:val="false"/>
          <w:smallCaps w:val="false"/>
          <w:color w:val="000000"/>
          <w:spacing w:val="4"/>
          <w:sz w:val="20"/>
        </w:rPr>
        <w:t xml:space="preserve">” means the Board or any of its Committees as may administer the Plan in accordance with Section 4 hereof. </w:t>
      </w:r>
      <w:r>
        <mc:AlternateContent>
          <mc:Choice Requires="wps">
            <w:drawing>
              <wp:anchor behindDoc="0" distT="99060" distB="0" distL="254000" distR="0" simplePos="0" locked="0" layoutInCell="1" allowOverlap="1" relativeHeight="806">
                <wp:simplePos x="0" y="0"/>
                <wp:positionH relativeFrom="column">
                  <wp:align>left</wp:align>
                </wp:positionH>
                <wp:positionV relativeFrom="line">
                  <wp:align>top</wp:align>
                </wp:positionV>
                <wp:extent cx="254000" cy="350520"/>
                <wp:effectExtent l="0" t="0" r="0" b="0"/>
                <wp:wrapSquare wrapText="right"/>
                <wp:docPr id="804" name="Frame7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Amendment Effective Date</w:t>
      </w:r>
      <w:r>
        <w:rPr>
          <w:rFonts w:ascii="Times New Roman;Times;serif" w:hAnsi="Times New Roman;Times;serif"/>
          <w:b w:val="false"/>
          <w:i w:val="false"/>
          <w:caps w:val="false"/>
          <w:smallCaps w:val="false"/>
          <w:color w:val="000000"/>
          <w:spacing w:val="4"/>
          <w:sz w:val="20"/>
        </w:rPr>
        <w:t xml:space="preserve">” means        . </w:t>
      </w:r>
      <w:r>
        <mc:AlternateContent>
          <mc:Choice Requires="wps">
            <w:drawing>
              <wp:anchor behindDoc="0" distT="99060" distB="0" distL="254000" distR="0" simplePos="0" locked="0" layoutInCell="1" allowOverlap="1" relativeHeight="807">
                <wp:simplePos x="0" y="0"/>
                <wp:positionH relativeFrom="column">
                  <wp:align>left</wp:align>
                </wp:positionH>
                <wp:positionV relativeFrom="line">
                  <wp:align>top</wp:align>
                </wp:positionV>
                <wp:extent cx="254000" cy="350520"/>
                <wp:effectExtent l="0" t="0" r="0" b="0"/>
                <wp:wrapSquare wrapText="right"/>
                <wp:docPr id="805" name="Frame7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Applicable Laws</w:t>
      </w:r>
      <w:r>
        <w:rPr>
          <w:rFonts w:ascii="Times New Roman;Times;serif" w:hAnsi="Times New Roman;Times;serif"/>
          <w:b w:val="false"/>
          <w:i w:val="false"/>
          <w:caps w:val="false"/>
          <w:smallCaps w:val="false"/>
          <w:color w:val="000000"/>
          <w:spacing w:val="4"/>
          <w:sz w:val="20"/>
        </w:rPr>
        <w:t xml:space="preserve">” means the requirements </w:t>
      </w:r>
      <w:r>
        <w:rPr>
          <w:rFonts w:ascii="Times New Roman;Times;serif" w:hAnsi="Times New Roman;Times;serif"/>
          <w:b w:val="false"/>
          <w:i w:val="false"/>
          <w:caps w:val="false"/>
          <w:smallCaps w:val="false"/>
          <w:color w:val="000000"/>
          <w:spacing w:val="4"/>
          <w:sz w:val="20"/>
          <w:u w:val="single"/>
        </w:rPr>
        <w:t>relating</w:t>
      </w:r>
      <w:r>
        <w:rPr>
          <w:rFonts w:ascii="Times New Roman;Times;serif" w:hAnsi="Times New Roman;Times;serif"/>
          <w:b w:val="false"/>
          <w:i w:val="false"/>
          <w:caps w:val="false"/>
          <w:smallCaps w:val="false"/>
          <w:color w:val="000000"/>
          <w:spacing w:val="4"/>
          <w:sz w:val="20"/>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r>
        <mc:AlternateContent>
          <mc:Choice Requires="wps">
            <w:drawing>
              <wp:anchor behindDoc="0" distT="99060" distB="0" distL="254000" distR="0" simplePos="0" locked="0" layoutInCell="1" allowOverlap="1" relativeHeight="808">
                <wp:simplePos x="0" y="0"/>
                <wp:positionH relativeFrom="column">
                  <wp:align>left</wp:align>
                </wp:positionH>
                <wp:positionV relativeFrom="line">
                  <wp:align>top</wp:align>
                </wp:positionV>
                <wp:extent cx="254000" cy="350520"/>
                <wp:effectExtent l="0" t="0" r="0" b="0"/>
                <wp:wrapSquare wrapText="right"/>
                <wp:docPr id="806" name="Frame7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w:t>
      </w:r>
      <w:r>
        <w:rPr>
          <w:rFonts w:ascii="Times New Roman;Times;serif" w:hAnsi="Times New Roman;Times;serif"/>
          <w:b w:val="false"/>
          <w:i w:val="false"/>
          <w:caps w:val="false"/>
          <w:smallCaps w:val="false"/>
          <w:color w:val="000000"/>
          <w:spacing w:val="4"/>
          <w:sz w:val="20"/>
        </w:rPr>
        <w:t xml:space="preserve">” means, individually or collectively, a grant under the Plan of Options, Stock Appreciation Rights, Restricted Stock, Restricted Stock Units, Performance Units or Performance Shares. </w:t>
      </w:r>
      <w:r>
        <mc:AlternateContent>
          <mc:Choice Requires="wps">
            <w:drawing>
              <wp:anchor behindDoc="0" distT="99060" distB="0" distL="254000" distR="0" simplePos="0" locked="0" layoutInCell="1" allowOverlap="1" relativeHeight="809">
                <wp:simplePos x="0" y="0"/>
                <wp:positionH relativeFrom="column">
                  <wp:align>left</wp:align>
                </wp:positionH>
                <wp:positionV relativeFrom="line">
                  <wp:align>top</wp:align>
                </wp:positionV>
                <wp:extent cx="254000" cy="350520"/>
                <wp:effectExtent l="0" t="0" r="0" b="0"/>
                <wp:wrapSquare wrapText="right"/>
                <wp:docPr id="807" name="Frame7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means the written or electronic agreement setting forth the terms and provisions applicable to each Award granted under the Plan. The Award Agreement is subject to the terms and conditions of the Plan. </w:t>
      </w:r>
      <w:r>
        <mc:AlternateContent>
          <mc:Choice Requires="wps">
            <w:drawing>
              <wp:anchor behindDoc="0" distT="99060" distB="0" distL="254000" distR="0" simplePos="0" locked="0" layoutInCell="1" allowOverlap="1" relativeHeight="810">
                <wp:simplePos x="0" y="0"/>
                <wp:positionH relativeFrom="column">
                  <wp:align>left</wp:align>
                </wp:positionH>
                <wp:positionV relativeFrom="line">
                  <wp:align>top</wp:align>
                </wp:positionV>
                <wp:extent cx="254000" cy="350520"/>
                <wp:effectExtent l="0" t="0" r="0" b="0"/>
                <wp:wrapSquare wrapText="right"/>
                <wp:docPr id="808" name="Frame7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r>
        <mc:AlternateContent>
          <mc:Choice Requires="wps">
            <w:drawing>
              <wp:anchor behindDoc="0" distT="99060" distB="0" distL="254000" distR="0" simplePos="0" locked="0" layoutInCell="1" allowOverlap="1" relativeHeight="811">
                <wp:simplePos x="0" y="0"/>
                <wp:positionH relativeFrom="column">
                  <wp:align>left</wp:align>
                </wp:positionH>
                <wp:positionV relativeFrom="line">
                  <wp:align>top</wp:align>
                </wp:positionV>
                <wp:extent cx="254000" cy="350520"/>
                <wp:effectExtent l="0" t="0" r="0" b="0"/>
                <wp:wrapSquare wrapText="right"/>
                <wp:docPr id="809" name="Frame7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means the occurrence of any of the following events: </w:t>
      </w:r>
      <w:r>
        <mc:AlternateContent>
          <mc:Choice Requires="wps">
            <w:drawing>
              <wp:anchor behindDoc="0" distT="99060" distB="0" distL="254000" distR="0" simplePos="0" locked="0" layoutInCell="1" allowOverlap="1" relativeHeight="812">
                <wp:simplePos x="0" y="0"/>
                <wp:positionH relativeFrom="column">
                  <wp:align>left</wp:align>
                </wp:positionH>
                <wp:positionV relativeFrom="line">
                  <wp:align>top</wp:align>
                </wp:positionV>
                <wp:extent cx="254000" cy="350520"/>
                <wp:effectExtent l="0" t="0" r="0" b="0"/>
                <wp:wrapSquare wrapText="right"/>
                <wp:docPr id="810" name="Frame7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change in the ownership of the Company which occurs on the date that any one person, or more than one person acting as a group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 </w:t>
      </w:r>
      <w:r>
        <mc:AlternateContent>
          <mc:Choice Requires="wps">
            <w:drawing>
              <wp:anchor behindDoc="0" distT="99060" distB="0" distL="508000" distR="0" simplePos="0" locked="0" layoutInCell="1" allowOverlap="1" relativeHeight="813">
                <wp:simplePos x="0" y="0"/>
                <wp:positionH relativeFrom="column">
                  <wp:align>left</wp:align>
                </wp:positionH>
                <wp:positionV relativeFrom="line">
                  <wp:align>top</wp:align>
                </wp:positionV>
                <wp:extent cx="254000" cy="350520"/>
                <wp:effectExtent l="0" t="0" r="0" b="0"/>
                <wp:wrapSquare wrapText="right"/>
                <wp:docPr id="811" name="Frame8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r>
        <mc:AlternateContent>
          <mc:Choice Requires="wps">
            <w:drawing>
              <wp:anchor behindDoc="0" distT="99060" distB="0" distL="50800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812" name="Frame8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w:t>
      </w:r>
      <w:r>
        <mc:AlternateContent>
          <mc:Choice Requires="wps">
            <w:drawing>
              <wp:anchor behindDoc="0" distT="99060" distB="0" distL="508000" distR="0" simplePos="0" locked="0" layoutInCell="1" allowOverlap="1" relativeHeight="815">
                <wp:simplePos x="0" y="0"/>
                <wp:positionH relativeFrom="column">
                  <wp:align>left</wp:align>
                </wp:positionH>
                <wp:positionV relativeFrom="line">
                  <wp:align>top</wp:align>
                </wp:positionV>
                <wp:extent cx="254000" cy="525780"/>
                <wp:effectExtent l="0" t="0" r="0" b="0"/>
                <wp:wrapSquare wrapText="right"/>
                <wp:docPr id="813" name="Frame8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r>
        <mc:AlternateContent>
          <mc:Choice Requires="wps">
            <w:drawing>
              <wp:anchor behindDoc="0" distT="100330" distB="0" distL="25400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814" name="Frame8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means a committee of Directors or of other individuals satisfying Applicable Laws appointed by the Board in accordance with Section 4 hereof. </w:t>
      </w:r>
      <w:r>
        <mc:AlternateContent>
          <mc:Choice Requires="wps">
            <w:drawing>
              <wp:anchor behindDoc="0" distT="100330" distB="0" distL="25400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815" name="Frame8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means the common stock of the Company. </w:t>
      </w:r>
      <w:r>
        <mc:AlternateContent>
          <mc:Choice Requires="wps">
            <w:drawing>
              <wp:anchor behindDoc="0" distT="100330" distB="0" distL="254000" distR="0" simplePos="0" locked="0" layoutInCell="1" allowOverlap="1" relativeHeight="818">
                <wp:simplePos x="0" y="0"/>
                <wp:positionH relativeFrom="column">
                  <wp:align>left</wp:align>
                </wp:positionH>
                <wp:positionV relativeFrom="line">
                  <wp:align>top</wp:align>
                </wp:positionV>
                <wp:extent cx="254000" cy="350520"/>
                <wp:effectExtent l="0" t="0" r="0" b="0"/>
                <wp:wrapSquare wrapText="right"/>
                <wp:docPr id="816" name="Frame8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means Standard BioTools Inc. (fka Fluidigm Corporation), a Delaware corporation, or any successor thereto. </w:t>
      </w:r>
      <w:r>
        <mc:AlternateContent>
          <mc:Choice Requires="wps">
            <w:drawing>
              <wp:anchor behindDoc="0" distT="100330" distB="0" distL="25400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817" name="Frame8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Consultant</w:t>
      </w:r>
      <w:r>
        <w:rPr>
          <w:rFonts w:ascii="Times New Roman;Times;serif" w:hAnsi="Times New Roman;Times;serif"/>
          <w:b w:val="false"/>
          <w:i w:val="false"/>
          <w:caps w:val="false"/>
          <w:smallCaps w:val="false"/>
          <w:color w:val="000000"/>
          <w:spacing w:val="4"/>
          <w:sz w:val="20"/>
        </w:rPr>
        <w:t xml:space="preserve">” means any person, including an advisor, engaged by the Company or a Parent or Subsidiary to render services to such entity. </w:t>
      </w:r>
      <w:r>
        <mc:AlternateContent>
          <mc:Choice Requires="wps">
            <w:drawing>
              <wp:anchor behindDoc="0" distT="100330" distB="0" distL="25400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818" name="Frame8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Director</w:t>
      </w:r>
      <w:r>
        <w:rPr>
          <w:rFonts w:ascii="Times New Roman;Times;serif" w:hAnsi="Times New Roman;Times;serif"/>
          <w:b w:val="false"/>
          <w:i w:val="false"/>
          <w:caps w:val="false"/>
          <w:smallCaps w:val="false"/>
          <w:color w:val="000000"/>
          <w:spacing w:val="4"/>
          <w:sz w:val="20"/>
        </w:rPr>
        <w:t xml:space="preserve">” means a member of the Board. </w:t>
      </w:r>
      <w:r>
        <mc:AlternateContent>
          <mc:Choice Requires="wps">
            <w:drawing>
              <wp:anchor behindDoc="0" distT="101600" distB="0" distL="25400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19" name="Frame8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Disability</w:t>
      </w:r>
      <w:r>
        <w:rPr>
          <w:rFonts w:ascii="Times New Roman;Times;serif" w:hAnsi="Times New Roman;Times;serif"/>
          <w:b w:val="false"/>
          <w:i w:val="false"/>
          <w:caps w:val="false"/>
          <w:smallCaps w:val="false"/>
          <w:color w:val="000000"/>
          <w:spacing w:val="4"/>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r>
        <mc:AlternateContent>
          <mc:Choice Requires="wps">
            <w:drawing>
              <wp:anchor behindDoc="0" distT="101600" distB="0" distL="25400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820" name="Frame8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Employee</w:t>
      </w:r>
      <w:r>
        <w:rPr>
          <w:rFonts w:ascii="Times New Roman;Times;serif" w:hAnsi="Times New Roman;Times;serif"/>
          <w:b w:val="false"/>
          <w:i w:val="false"/>
          <w:caps w:val="false"/>
          <w:smallCaps w:val="false"/>
          <w:color w:val="000000"/>
          <w:spacing w:val="4"/>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r>
        <mc:AlternateContent>
          <mc:Choice Requires="wps">
            <w:drawing>
              <wp:anchor behindDoc="0" distT="101600" distB="0" distL="254000" distR="0" simplePos="0" locked="0" layoutInCell="1" allowOverlap="1" relativeHeight="823">
                <wp:simplePos x="0" y="0"/>
                <wp:positionH relativeFrom="column">
                  <wp:align>left</wp:align>
                </wp:positionH>
                <wp:positionV relativeFrom="line">
                  <wp:align>top</wp:align>
                </wp:positionV>
                <wp:extent cx="254000" cy="350520"/>
                <wp:effectExtent l="0" t="0" r="0" b="0"/>
                <wp:wrapSquare wrapText="right"/>
                <wp:docPr id="821" name="Frame8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r>
        <mc:AlternateContent>
          <mc:Choice Requires="wps">
            <w:drawing>
              <wp:anchor behindDoc="0" distT="101600" distB="0" distL="25400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822" name="Frame8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Program</w:t>
      </w:r>
      <w:r>
        <w:rPr>
          <w:rFonts w:ascii="Times New Roman;Times;serif" w:hAnsi="Times New Roman;Times;serif"/>
          <w:b w:val="false"/>
          <w:i w:val="false"/>
          <w:caps w:val="false"/>
          <w:smallCaps w:val="false"/>
          <w:color w:val="000000"/>
          <w:spacing w:val="4"/>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 </w:t>
      </w:r>
      <w:r>
        <mc:AlternateContent>
          <mc:Choice Requires="wps">
            <w:drawing>
              <wp:anchor behindDoc="0" distT="101600" distB="0" distL="254000" distR="0" simplePos="0" locked="0" layoutInCell="1" allowOverlap="1" relativeHeight="825">
                <wp:simplePos x="0" y="0"/>
                <wp:positionH relativeFrom="column">
                  <wp:align>left</wp:align>
                </wp:positionH>
                <wp:positionV relativeFrom="line">
                  <wp:align>top</wp:align>
                </wp:positionV>
                <wp:extent cx="254000" cy="350520"/>
                <wp:effectExtent l="0" t="0" r="0" b="0"/>
                <wp:wrapSquare wrapText="right"/>
                <wp:docPr id="823" name="Frame8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means, as of any date, the value of Common Stock determined as follows: </w:t>
      </w:r>
      <w:r>
        <mc:AlternateContent>
          <mc:Choice Requires="wps">
            <w:drawing>
              <wp:anchor behindDoc="0" distT="0" distB="0" distL="254000" distR="0" simplePos="0" locked="0" layoutInCell="1" allowOverlap="1" relativeHeight="826">
                <wp:simplePos x="0" y="0"/>
                <wp:positionH relativeFrom="column">
                  <wp:align>left</wp:align>
                </wp:positionH>
                <wp:positionV relativeFrom="line">
                  <wp:posOffset>635</wp:posOffset>
                </wp:positionV>
                <wp:extent cx="254000" cy="350520"/>
                <wp:effectExtent l="0" t="0" r="0" b="0"/>
                <wp:wrapSquare wrapText="right"/>
                <wp:docPr id="824" name="Frame8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If there are no trades on such date, the closing price on the latest preceding business day upon which trades occurred shall be the Fair Market Value. </w:t>
      </w:r>
      <w:r>
        <mc:AlternateContent>
          <mc:Choice Requires="wps">
            <w:drawing>
              <wp:anchor behindDoc="0" distT="102870" distB="0" distL="508000" distR="0" simplePos="0" locked="0" layoutInCell="1" allowOverlap="1" relativeHeight="827">
                <wp:simplePos x="0" y="0"/>
                <wp:positionH relativeFrom="column">
                  <wp:align>left</wp:align>
                </wp:positionH>
                <wp:positionV relativeFrom="line">
                  <wp:align>top</wp:align>
                </wp:positionV>
                <wp:extent cx="254000" cy="350520"/>
                <wp:effectExtent l="0" t="0" r="0" b="0"/>
                <wp:wrapSquare wrapText="right"/>
                <wp:docPr id="825" name="Frame8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w:t>
      </w:r>
      <w:r>
        <mc:AlternateContent>
          <mc:Choice Requires="wps">
            <w:drawing>
              <wp:anchor behindDoc="0" distT="102870" distB="0" distL="508000" distR="0" simplePos="0" locked="0" layoutInCell="1" allowOverlap="1" relativeHeight="828">
                <wp:simplePos x="0" y="0"/>
                <wp:positionH relativeFrom="column">
                  <wp:align>left</wp:align>
                </wp:positionH>
                <wp:positionV relativeFrom="line">
                  <wp:align>top</wp:align>
                </wp:positionV>
                <wp:extent cx="254000" cy="350520"/>
                <wp:effectExtent l="0" t="0" r="0" b="0"/>
                <wp:wrapSquare wrapText="right"/>
                <wp:docPr id="826" name="Frame8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an established market for the Common Stock, the Fair Market Value will be determined in good faith by the Administrator. </w:t>
      </w:r>
      <w:r>
        <mc:AlternateContent>
          <mc:Choice Requires="wps">
            <w:drawing>
              <wp:anchor behindDoc="0" distT="101600" distB="0" distL="508000" distR="0" simplePos="0" locked="0" layoutInCell="1" allowOverlap="1" relativeHeight="829">
                <wp:simplePos x="0" y="0"/>
                <wp:positionH relativeFrom="column">
                  <wp:align>left</wp:align>
                </wp:positionH>
                <wp:positionV relativeFrom="line">
                  <wp:align>top</wp:align>
                </wp:positionV>
                <wp:extent cx="254000" cy="525780"/>
                <wp:effectExtent l="0" t="0" r="0" b="0"/>
                <wp:wrapSquare wrapText="right"/>
                <wp:docPr id="827" name="Frame8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Fiscal Year</w:t>
      </w:r>
      <w:r>
        <w:rPr>
          <w:rFonts w:ascii="Times New Roman;Times;serif" w:hAnsi="Times New Roman;Times;serif"/>
          <w:b w:val="false"/>
          <w:i w:val="false"/>
          <w:caps w:val="false"/>
          <w:smallCaps w:val="false"/>
          <w:color w:val="000000"/>
          <w:spacing w:val="4"/>
          <w:sz w:val="20"/>
        </w:rPr>
        <w:t xml:space="preserve">” means the fiscal year of the Company. </w:t>
      </w:r>
      <w:r>
        <mc:AlternateContent>
          <mc:Choice Requires="wps">
            <w:drawing>
              <wp:anchor behindDoc="0" distT="101600" distB="0" distL="254000" distR="0" simplePos="0" locked="0" layoutInCell="1" allowOverlap="1" relativeHeight="830">
                <wp:simplePos x="0" y="0"/>
                <wp:positionH relativeFrom="column">
                  <wp:align>left</wp:align>
                </wp:positionH>
                <wp:positionV relativeFrom="line">
                  <wp:align>top</wp:align>
                </wp:positionV>
                <wp:extent cx="254000" cy="350520"/>
                <wp:effectExtent l="0" t="0" r="0" b="0"/>
                <wp:wrapSquare wrapText="right"/>
                <wp:docPr id="828" name="Frame8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Incentive Stock Option</w:t>
      </w:r>
      <w:r>
        <w:rPr>
          <w:rFonts w:ascii="Times New Roman;Times;serif" w:hAnsi="Times New Roman;Times;serif"/>
          <w:b w:val="false"/>
          <w:i w:val="false"/>
          <w:caps w:val="false"/>
          <w:smallCaps w:val="false"/>
          <w:color w:val="000000"/>
          <w:spacing w:val="4"/>
          <w:sz w:val="20"/>
        </w:rPr>
        <w:t xml:space="preserve">” means an Option intended to qualify as an incentive stock option within the meaning of Section 422 of the Code and the regulations promulgated thereunder. </w:t>
      </w:r>
      <w:r>
        <mc:AlternateContent>
          <mc:Choice Requires="wps">
            <w:drawing>
              <wp:anchor behindDoc="0" distT="101600" distB="0" distL="254000" distR="0" simplePos="0" locked="0" layoutInCell="1" allowOverlap="1" relativeHeight="831">
                <wp:simplePos x="0" y="0"/>
                <wp:positionH relativeFrom="column">
                  <wp:align>left</wp:align>
                </wp:positionH>
                <wp:positionV relativeFrom="line">
                  <wp:align>top</wp:align>
                </wp:positionV>
                <wp:extent cx="254000" cy="525780"/>
                <wp:effectExtent l="0" t="0" r="0" b="0"/>
                <wp:wrapSquare wrapText="right"/>
                <wp:docPr id="829" name="Frame8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Inside Director</w:t>
      </w:r>
      <w:r>
        <w:rPr>
          <w:rFonts w:ascii="Times New Roman;Times;serif" w:hAnsi="Times New Roman;Times;serif"/>
          <w:b w:val="false"/>
          <w:i w:val="false"/>
          <w:caps w:val="false"/>
          <w:smallCaps w:val="false"/>
          <w:color w:val="000000"/>
          <w:spacing w:val="4"/>
          <w:sz w:val="20"/>
        </w:rPr>
        <w:t xml:space="preserve">” means a Director who is an Employee. </w:t>
      </w:r>
      <w:r>
        <mc:AlternateContent>
          <mc:Choice Requires="wps">
            <w:drawing>
              <wp:anchor behindDoc="0" distT="101600" distB="0" distL="2540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30" name="Frame8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Nonstatutory Stock Option</w:t>
      </w:r>
      <w:r>
        <w:rPr>
          <w:rFonts w:ascii="Times New Roman;Times;serif" w:hAnsi="Times New Roman;Times;serif"/>
          <w:b w:val="false"/>
          <w:i w:val="false"/>
          <w:caps w:val="false"/>
          <w:smallCaps w:val="false"/>
          <w:color w:val="000000"/>
          <w:spacing w:val="4"/>
          <w:sz w:val="20"/>
        </w:rPr>
        <w:t xml:space="preserve">” means an Option that by its terms does not qualify or is not intended to qualify as an Incentive Stock Option. </w:t>
      </w:r>
      <w:r>
        <mc:AlternateContent>
          <mc:Choice Requires="wps">
            <w:drawing>
              <wp:anchor behindDoc="0" distT="101600" distB="0" distL="254000" distR="0" simplePos="0" locked="0" layoutInCell="1" allowOverlap="1" relativeHeight="833">
                <wp:simplePos x="0" y="0"/>
                <wp:positionH relativeFrom="column">
                  <wp:align>left</wp:align>
                </wp:positionH>
                <wp:positionV relativeFrom="line">
                  <wp:align>top</wp:align>
                </wp:positionV>
                <wp:extent cx="254000" cy="350520"/>
                <wp:effectExtent l="0" t="0" r="0" b="0"/>
                <wp:wrapSquare wrapText="right"/>
                <wp:docPr id="831" name="Frame8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(o)</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(o)</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Officer</w:t>
      </w:r>
      <w:r>
        <w:rPr>
          <w:rFonts w:ascii="Times New Roman;Times;serif" w:hAnsi="Times New Roman;Times;serif"/>
          <w:b w:val="false"/>
          <w:i w:val="false"/>
          <w:caps w:val="false"/>
          <w:smallCaps w:val="false"/>
          <w:color w:val="000000"/>
          <w:spacing w:val="4"/>
          <w:sz w:val="20"/>
        </w:rPr>
        <w:t xml:space="preserve">” means a person who is an officer of the Company within the meaning of Section 16 of the Exchange Act and the rules and regulations promulgated thereunder. </w:t>
      </w:r>
      <w:r>
        <mc:AlternateContent>
          <mc:Choice Requires="wps">
            <w:drawing>
              <wp:anchor behindDoc="0" distT="101600" distB="0" distL="254000" distR="0" simplePos="0" locked="0" layoutInCell="1" allowOverlap="1" relativeHeight="834">
                <wp:simplePos x="0" y="0"/>
                <wp:positionH relativeFrom="column">
                  <wp:align>left</wp:align>
                </wp:positionH>
                <wp:positionV relativeFrom="line">
                  <wp:align>top</wp:align>
                </wp:positionV>
                <wp:extent cx="254000" cy="350520"/>
                <wp:effectExtent l="0" t="0" r="0" b="0"/>
                <wp:wrapSquare wrapText="right"/>
                <wp:docPr id="832" name="Frame8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(p)</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(p)</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Option</w:t>
      </w:r>
      <w:r>
        <w:rPr>
          <w:rFonts w:ascii="Times New Roman;Times;serif" w:hAnsi="Times New Roman;Times;serif"/>
          <w:b w:val="false"/>
          <w:i w:val="false"/>
          <w:caps w:val="false"/>
          <w:smallCaps w:val="false"/>
          <w:color w:val="000000"/>
          <w:spacing w:val="4"/>
          <w:sz w:val="20"/>
        </w:rPr>
        <w:t xml:space="preserve">” means a stock option granted pursuant to the Plan. </w:t>
      </w:r>
      <w:r>
        <mc:AlternateContent>
          <mc:Choice Requires="wps">
            <w:drawing>
              <wp:anchor behindDoc="0" distT="101600" distB="0" distL="254000" distR="0" simplePos="0" locked="0" layoutInCell="1" allowOverlap="1" relativeHeight="835">
                <wp:simplePos x="0" y="0"/>
                <wp:positionH relativeFrom="column">
                  <wp:align>left</wp:align>
                </wp:positionH>
                <wp:positionV relativeFrom="line">
                  <wp:align>top</wp:align>
                </wp:positionV>
                <wp:extent cx="254000" cy="350520"/>
                <wp:effectExtent l="0" t="0" r="0" b="0"/>
                <wp:wrapSquare wrapText="right"/>
                <wp:docPr id="833" name="Frame8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(q)</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(q)</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Outside Director</w:t>
      </w:r>
      <w:r>
        <w:rPr>
          <w:rFonts w:ascii="Times New Roman;Times;serif" w:hAnsi="Times New Roman;Times;serif"/>
          <w:b w:val="false"/>
          <w:i w:val="false"/>
          <w:caps w:val="false"/>
          <w:smallCaps w:val="false"/>
          <w:color w:val="000000"/>
          <w:spacing w:val="4"/>
          <w:sz w:val="20"/>
        </w:rPr>
        <w:t xml:space="preserve">” means a Director who is not an Employee. </w:t>
      </w:r>
      <w:r>
        <mc:AlternateContent>
          <mc:Choice Requires="wps">
            <w:drawing>
              <wp:anchor behindDoc="0" distT="101600" distB="0" distL="254000" distR="0" simplePos="0" locked="0" layoutInCell="1" allowOverlap="1" relativeHeight="836">
                <wp:simplePos x="0" y="0"/>
                <wp:positionH relativeFrom="column">
                  <wp:align>left</wp:align>
                </wp:positionH>
                <wp:positionV relativeFrom="line">
                  <wp:align>top</wp:align>
                </wp:positionV>
                <wp:extent cx="254000" cy="350520"/>
                <wp:effectExtent l="0" t="0" r="0" b="0"/>
                <wp:wrapSquare wrapText="right"/>
                <wp:docPr id="834" name="Frame8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(r)</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(r)</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means a “parent corporation,” whether now or hereafter existing, as defined in Section 424(e) of the Code. </w:t>
      </w:r>
      <w:r>
        <mc:AlternateContent>
          <mc:Choice Requires="wps">
            <w:drawing>
              <wp:anchor behindDoc="0" distT="101600" distB="0" distL="254000" distR="0" simplePos="0" locked="0" layoutInCell="1" allowOverlap="1" relativeHeight="837">
                <wp:simplePos x="0" y="0"/>
                <wp:positionH relativeFrom="column">
                  <wp:align>left</wp:align>
                </wp:positionH>
                <wp:positionV relativeFrom="line">
                  <wp:align>top</wp:align>
                </wp:positionV>
                <wp:extent cx="254000" cy="350520"/>
                <wp:effectExtent l="0" t="0" r="0" b="0"/>
                <wp:wrapSquare wrapText="right"/>
                <wp:docPr id="835" name="Frame8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(s)</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(s)</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Participant</w:t>
      </w:r>
      <w:r>
        <w:rPr>
          <w:rFonts w:ascii="Times New Roman;Times;serif" w:hAnsi="Times New Roman;Times;serif"/>
          <w:b w:val="false"/>
          <w:i w:val="false"/>
          <w:caps w:val="false"/>
          <w:smallCaps w:val="false"/>
          <w:color w:val="000000"/>
          <w:spacing w:val="4"/>
          <w:sz w:val="20"/>
        </w:rPr>
        <w:t xml:space="preserve">” means the holder of an outstanding Award. </w:t>
      </w:r>
      <w:r>
        <mc:AlternateContent>
          <mc:Choice Requires="wps">
            <w:drawing>
              <wp:anchor behindDoc="0" distT="101600" distB="0" distL="254000" distR="0" simplePos="0" locked="0" layoutInCell="1" allowOverlap="1" relativeHeight="838">
                <wp:simplePos x="0" y="0"/>
                <wp:positionH relativeFrom="column">
                  <wp:align>left</wp:align>
                </wp:positionH>
                <wp:positionV relativeFrom="line">
                  <wp:align>top</wp:align>
                </wp:positionV>
                <wp:extent cx="254000" cy="350520"/>
                <wp:effectExtent l="0" t="0" r="0" b="0"/>
                <wp:wrapSquare wrapText="right"/>
                <wp:docPr id="836" name="Frame8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Share</w:t>
      </w:r>
      <w:r>
        <w:rPr>
          <w:rFonts w:ascii="Times New Roman;Times;serif" w:hAnsi="Times New Roman;Times;serif"/>
          <w:b w:val="false"/>
          <w:i w:val="false"/>
          <w:caps w:val="false"/>
          <w:smallCaps w:val="false"/>
          <w:color w:val="000000"/>
          <w:spacing w:val="4"/>
          <w:sz w:val="20"/>
        </w:rPr>
        <w:t xml:space="preserve">” means an Award denominated in Shares which may be earned in whole or in part upon attainment of performance goals or other vesting criteria as the Administrator may determine pursuant to Section 10. </w:t>
      </w:r>
      <w:r>
        <mc:AlternateContent>
          <mc:Choice Requires="wps">
            <w:drawing>
              <wp:anchor behindDoc="0" distT="101600" distB="0" distL="25400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7"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(u)</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(u)</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Unit</w:t>
      </w:r>
      <w:r>
        <w:rPr>
          <w:rFonts w:ascii="Times New Roman;Times;serif" w:hAnsi="Times New Roman;Times;serif"/>
          <w:b w:val="false"/>
          <w:i w:val="false"/>
          <w:caps w:val="false"/>
          <w:smallCaps w:val="false"/>
          <w:color w:val="000000"/>
          <w:spacing w:val="4"/>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r>
        <mc:AlternateContent>
          <mc:Choice Requires="wps">
            <w:drawing>
              <wp:anchor behindDoc="0" distT="101600" distB="0" distL="254000" distR="0" simplePos="0" locked="0" layoutInCell="1" allowOverlap="1" relativeHeight="840">
                <wp:simplePos x="0" y="0"/>
                <wp:positionH relativeFrom="column">
                  <wp:align>left</wp:align>
                </wp:positionH>
                <wp:positionV relativeFrom="line">
                  <wp:align>top</wp:align>
                </wp:positionV>
                <wp:extent cx="254000" cy="350520"/>
                <wp:effectExtent l="0" t="0" r="0" b="0"/>
                <wp:wrapSquare wrapText="right"/>
                <wp:docPr id="838" name="Frame8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Period of Restriction</w:t>
      </w:r>
      <w:r>
        <w:rPr>
          <w:rFonts w:ascii="Times New Roman;Times;serif" w:hAnsi="Times New Roman;Times;serif"/>
          <w:b w:val="false"/>
          <w:i w:val="false"/>
          <w:caps w:val="false"/>
          <w:smallCaps w:val="false"/>
          <w:color w:val="000000"/>
          <w:spacing w:val="4"/>
          <w:sz w:val="20"/>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r>
        <mc:AlternateContent>
          <mc:Choice Requires="wps">
            <w:drawing>
              <wp:anchor behindDoc="0" distT="101600" distB="0" distL="254000" distR="0" simplePos="0" locked="0" layoutInCell="1" allowOverlap="1" relativeHeight="841">
                <wp:simplePos x="0" y="0"/>
                <wp:positionH relativeFrom="column">
                  <wp:align>left</wp:align>
                </wp:positionH>
                <wp:positionV relativeFrom="line">
                  <wp:align>top</wp:align>
                </wp:positionV>
                <wp:extent cx="254000" cy="525780"/>
                <wp:effectExtent l="0" t="0" r="0" b="0"/>
                <wp:wrapSquare wrapText="right"/>
                <wp:docPr id="839" name="Frame8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means this 2011 Equity Incentive Plan, as amended and restated effective June 3, 2019, and as further amended at the 2020 Annual Meeting of Stockholders, the 2021 Annual Meeting of Stockholders, the 2023 Annual Meeting of Stockholders and the Special Meeting of Stockholders. </w:t>
      </w:r>
      <w:r>
        <mc:AlternateContent>
          <mc:Choice Requires="wps">
            <w:drawing>
              <wp:anchor behindDoc="0" distT="101600" distB="0" distL="254000" distR="0" simplePos="0" locked="0" layoutInCell="1" allowOverlap="1" relativeHeight="842">
                <wp:simplePos x="0" y="0"/>
                <wp:positionH relativeFrom="column">
                  <wp:align>left</wp:align>
                </wp:positionH>
                <wp:positionV relativeFrom="line">
                  <wp:align>top</wp:align>
                </wp:positionV>
                <wp:extent cx="254000" cy="350520"/>
                <wp:effectExtent l="0" t="0" r="0" b="0"/>
                <wp:wrapSquare wrapText="right"/>
                <wp:docPr id="840" name="Frame8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means Shares issued pursuant to a Restricted Stock award under Section 7 of the Plan, or issued pursuant to the early exercise of an Option. </w:t>
      </w:r>
      <w:r>
        <mc:AlternateContent>
          <mc:Choice Requires="wps">
            <w:drawing>
              <wp:anchor behindDoc="0" distT="101600" distB="0" distL="254000" distR="0" simplePos="0" locked="0" layoutInCell="1" allowOverlap="1" relativeHeight="843">
                <wp:simplePos x="0" y="0"/>
                <wp:positionH relativeFrom="column">
                  <wp:align>left</wp:align>
                </wp:positionH>
                <wp:positionV relativeFrom="line">
                  <wp:align>top</wp:align>
                </wp:positionV>
                <wp:extent cx="254000" cy="350520"/>
                <wp:effectExtent l="0" t="0" r="0" b="0"/>
                <wp:wrapSquare wrapText="right"/>
                <wp:docPr id="841" name="Frame8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 Unit</w:t>
      </w:r>
      <w:r>
        <w:rPr>
          <w:rFonts w:ascii="Times New Roman;Times;serif" w:hAnsi="Times New Roman;Times;serif"/>
          <w:b w:val="false"/>
          <w:i w:val="false"/>
          <w:caps w:val="false"/>
          <w:smallCaps w:val="false"/>
          <w:color w:val="000000"/>
          <w:spacing w:val="4"/>
          <w:sz w:val="20"/>
        </w:rPr>
        <w:t xml:space="preserve">” means a bookkeeping entry representing an amount equal to the Fair Market Value of one Share, granted pursuant to Section 8. Each Restricted Stock Unit represents an unfunded and unsecured obligation of the Company. </w:t>
      </w:r>
      <w:r>
        <mc:AlternateContent>
          <mc:Choice Requires="wps">
            <w:drawing>
              <wp:anchor behindDoc="0" distT="0" distB="0" distL="254000" distR="0" simplePos="0" locked="0" layoutInCell="1" allowOverlap="1" relativeHeight="844">
                <wp:simplePos x="0" y="0"/>
                <wp:positionH relativeFrom="column">
                  <wp:align>left</wp:align>
                </wp:positionH>
                <wp:positionV relativeFrom="line">
                  <wp:posOffset>635</wp:posOffset>
                </wp:positionV>
                <wp:extent cx="254000" cy="350520"/>
                <wp:effectExtent l="0" t="0" r="0" b="0"/>
                <wp:wrapSquare wrapText="right"/>
                <wp:docPr id="842" name="Frame8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(z)</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(z)</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means Rule 16b-3 of the Exchange Act or any successor to Rule 16b-3, as in effect when discretion is being exercised with respect to the Plan. </w:t>
      </w:r>
      <w:r>
        <mc:AlternateContent>
          <mc:Choice Requires="wps">
            <w:drawing>
              <wp:anchor behindDoc="0" distT="101600" distB="0" distL="254000" distR="0" simplePos="0" locked="0" layoutInCell="1" allowOverlap="1" relativeHeight="845">
                <wp:simplePos x="0" y="0"/>
                <wp:positionH relativeFrom="column">
                  <wp:align>left</wp:align>
                </wp:positionH>
                <wp:positionV relativeFrom="line">
                  <wp:align>top</wp:align>
                </wp:positionV>
                <wp:extent cx="254000" cy="525780"/>
                <wp:effectExtent l="0" t="0" r="0" b="0"/>
                <wp:wrapSquare wrapText="right"/>
                <wp:docPr id="843" name="Frame8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Section 16(12)</w:t>
      </w:r>
      <w:r>
        <w:rPr>
          <w:rFonts w:ascii="Times New Roman;Times;serif" w:hAnsi="Times New Roman;Times;serif"/>
          <w:b w:val="false"/>
          <w:i w:val="false"/>
          <w:caps w:val="false"/>
          <w:smallCaps w:val="false"/>
          <w:color w:val="000000"/>
          <w:spacing w:val="4"/>
          <w:sz w:val="20"/>
        </w:rPr>
        <w:t xml:space="preserve">” means Section 16(b) of the Exchange Act. </w:t>
      </w:r>
      <w:r>
        <mc:AlternateContent>
          <mc:Choice Requires="wps">
            <w:drawing>
              <wp:anchor behindDoc="0" distT="101600" distB="0" distL="254000" distR="0" simplePos="0" locked="0" layoutInCell="1" allowOverlap="1" relativeHeight="846">
                <wp:simplePos x="0" y="0"/>
                <wp:positionH relativeFrom="column">
                  <wp:align>left</wp:align>
                </wp:positionH>
                <wp:positionV relativeFrom="line">
                  <wp:align>top</wp:align>
                </wp:positionV>
                <wp:extent cx="254000" cy="525780"/>
                <wp:effectExtent l="0" t="0" r="0" b="0"/>
                <wp:wrapSquare wrapText="right"/>
                <wp:docPr id="844" name="Frame8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(bb)</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Service Provider</w:t>
      </w:r>
      <w:r>
        <w:rPr>
          <w:rFonts w:ascii="Times New Roman;Times;serif" w:hAnsi="Times New Roman;Times;serif"/>
          <w:b w:val="false"/>
          <w:i w:val="false"/>
          <w:caps w:val="false"/>
          <w:smallCaps w:val="false"/>
          <w:color w:val="000000"/>
          <w:spacing w:val="4"/>
          <w:sz w:val="20"/>
        </w:rPr>
        <w:t xml:space="preserve">” means an Employee, Director or Consultant. </w:t>
      </w:r>
      <w:r>
        <mc:AlternateContent>
          <mc:Choice Requires="wps">
            <w:drawing>
              <wp:anchor behindDoc="0" distT="101600" distB="0" distL="254000" distR="0" simplePos="0" locked="0" layoutInCell="1" allowOverlap="1" relativeHeight="847">
                <wp:simplePos x="0" y="0"/>
                <wp:positionH relativeFrom="column">
                  <wp:align>left</wp:align>
                </wp:positionH>
                <wp:positionV relativeFrom="line">
                  <wp:align>top</wp:align>
                </wp:positionV>
                <wp:extent cx="254000" cy="525780"/>
                <wp:effectExtent l="0" t="0" r="0" b="0"/>
                <wp:wrapSquare wrapText="right"/>
                <wp:docPr id="845" name="Frame8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(cc)</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Share</w:t>
      </w:r>
      <w:r>
        <w:rPr>
          <w:rFonts w:ascii="Times New Roman;Times;serif" w:hAnsi="Times New Roman;Times;serif"/>
          <w:b w:val="false"/>
          <w:i w:val="false"/>
          <w:caps w:val="false"/>
          <w:smallCaps w:val="false"/>
          <w:color w:val="000000"/>
          <w:spacing w:val="4"/>
          <w:sz w:val="20"/>
        </w:rPr>
        <w:t xml:space="preserve">” means a share of the Common Stock, as adjusted in accordance with Section 13 of the Plan. </w:t>
      </w:r>
      <w:r>
        <mc:AlternateContent>
          <mc:Choice Requires="wps">
            <w:drawing>
              <wp:anchor behindDoc="0" distT="101600" distB="0" distL="254000" distR="0" simplePos="0" locked="0" layoutInCell="1" allowOverlap="1" relativeHeight="848">
                <wp:simplePos x="0" y="0"/>
                <wp:positionH relativeFrom="column">
                  <wp:align>left</wp:align>
                </wp:positionH>
                <wp:positionV relativeFrom="line">
                  <wp:align>top</wp:align>
                </wp:positionV>
                <wp:extent cx="254000" cy="525780"/>
                <wp:effectExtent l="0" t="0" r="0" b="0"/>
                <wp:wrapSquare wrapText="right"/>
                <wp:docPr id="846" name="Frame8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(dd)</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Stock Appreciation Right</w:t>
      </w:r>
      <w:r>
        <w:rPr>
          <w:rFonts w:ascii="Times New Roman;Times;serif" w:hAnsi="Times New Roman;Times;serif"/>
          <w:b w:val="false"/>
          <w:i w:val="false"/>
          <w:caps w:val="false"/>
          <w:smallCaps w:val="false"/>
          <w:color w:val="000000"/>
          <w:spacing w:val="4"/>
          <w:sz w:val="20"/>
        </w:rPr>
        <w:t xml:space="preserve">” means an Award, granted alone or in connection with an Option, that pursuant to Section 9 is designated as a Stock Appreciation Right. </w:t>
      </w:r>
      <w:r>
        <mc:AlternateContent>
          <mc:Choice Requires="wps">
            <w:drawing>
              <wp:anchor behindDoc="0" distT="101600" distB="0" distL="254000" distR="0" simplePos="0" locked="0" layoutInCell="1" allowOverlap="1" relativeHeight="849">
                <wp:simplePos x="0" y="0"/>
                <wp:positionH relativeFrom="column">
                  <wp:align>left</wp:align>
                </wp:positionH>
                <wp:positionV relativeFrom="line">
                  <wp:align>top</wp:align>
                </wp:positionV>
                <wp:extent cx="254000" cy="525780"/>
                <wp:effectExtent l="0" t="0" r="0" b="0"/>
                <wp:wrapSquare wrapText="right"/>
                <wp:docPr id="847" name="Frame8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(ee)</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a “subsidiary corporation,” whether now or hereafter existing, as defined in Section 424(f) of the Code. </w:t>
      </w:r>
      <w:r>
        <mc:AlternateContent>
          <mc:Choice Requires="wps">
            <w:drawing>
              <wp:anchor behindDoc="0" distT="101600" distB="0" distL="254000" distR="0" simplePos="0" locked="0" layoutInCell="1" allowOverlap="1" relativeHeight="850">
                <wp:simplePos x="0" y="0"/>
                <wp:positionH relativeFrom="column">
                  <wp:align>left</wp:align>
                </wp:positionH>
                <wp:positionV relativeFrom="line">
                  <wp:align>top</wp:align>
                </wp:positionV>
                <wp:extent cx="254000" cy="350520"/>
                <wp:effectExtent l="0" t="0" r="0" b="0"/>
                <wp:wrapSquare wrapText="right"/>
                <wp:docPr id="848" name="Frame8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51">
                <wp:simplePos x="0" y="0"/>
                <wp:positionH relativeFrom="column">
                  <wp:align>left</wp:align>
                </wp:positionH>
                <wp:positionV relativeFrom="line">
                  <wp:align>top</wp:align>
                </wp:positionV>
                <wp:extent cx="254000" cy="350520"/>
                <wp:effectExtent l="0" t="0" r="0" b="0"/>
                <wp:wrapSquare wrapText="right"/>
                <wp:docPr id="849" name="Frame8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Subject to the provisions of Section 13 of the Plan, the maximum aggregate number of Shares that may be issued under the Plan as of the Amendment Effective Date is (i) 15,000,000 Shares, plus (ii) any Shares that, as of immediately prior to the Amendment Effective Date, were available for grant under the pre-existing version of the 2011 Equity Incentive Plan prior to this amendment (the “</w:t>
      </w:r>
      <w:r>
        <w:rPr>
          <w:rFonts w:ascii="Times New Roman;Times;serif" w:hAnsi="Times New Roman;Times;serif"/>
          <w:b w:val="false"/>
          <w:i w:val="false"/>
          <w:caps w:val="false"/>
          <w:smallCaps w:val="false"/>
          <w:color w:val="000000"/>
          <w:spacing w:val="4"/>
          <w:sz w:val="20"/>
          <w:u w:val="single"/>
        </w:rPr>
        <w:t>Existing Plan</w:t>
      </w:r>
      <w:r>
        <w:rPr>
          <w:rFonts w:ascii="Times New Roman;Times;serif" w:hAnsi="Times New Roman;Times;serif"/>
          <w:b w:val="false"/>
          <w:i w:val="false"/>
          <w:caps w:val="false"/>
          <w:smallCaps w:val="false"/>
          <w:color w:val="000000"/>
          <w:spacing w:val="4"/>
          <w:sz w:val="20"/>
        </w:rPr>
        <w:t xml:space="preserve">”). The Shares may be authorized, but unissued, or reacquired Common Stock. </w:t>
      </w:r>
      <w:r>
        <mc:AlternateContent>
          <mc:Choice Requires="wps">
            <w:drawing>
              <wp:anchor behindDoc="0" distT="101600" distB="0" distL="254000" distR="0" simplePos="0" locked="0" layoutInCell="1" allowOverlap="1" relativeHeight="852">
                <wp:simplePos x="0" y="0"/>
                <wp:positionH relativeFrom="column">
                  <wp:align>left</wp:align>
                </wp:positionH>
                <wp:positionV relativeFrom="line">
                  <wp:align>top</wp:align>
                </wp:positionV>
                <wp:extent cx="254000" cy="350520"/>
                <wp:effectExtent l="0" t="0" r="0" b="0"/>
                <wp:wrapSquare wrapText="right"/>
                <wp:docPr id="850" name="Frame8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Lapsed Awards</w:t>
      </w:r>
      <w:r>
        <w:rPr>
          <w:rFonts w:ascii="Times New Roman;Times;serif" w:hAnsi="Times New Roman;Times;serif"/>
          <w:b w:val="false"/>
          <w:i w:val="false"/>
          <w:caps w:val="false"/>
          <w:smallCaps w:val="false"/>
          <w:color w:val="000000"/>
          <w:spacing w:val="4"/>
          <w:sz w:val="20"/>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 </w:t>
      </w:r>
      <w:r>
        <mc:AlternateContent>
          <mc:Choice Requires="wps">
            <w:drawing>
              <wp:anchor behindDoc="0" distT="101600" distB="0" distL="254000" distR="0" simplePos="0" locked="0" layoutInCell="1" allowOverlap="1" relativeHeight="853">
                <wp:simplePos x="0" y="0"/>
                <wp:positionH relativeFrom="column">
                  <wp:align>left</wp:align>
                </wp:positionH>
                <wp:positionV relativeFrom="line">
                  <wp:align>top</wp:align>
                </wp:positionV>
                <wp:extent cx="254000" cy="350520"/>
                <wp:effectExtent l="0" t="0" r="0" b="0"/>
                <wp:wrapSquare wrapText="right"/>
                <wp:docPr id="851" name="Frame8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Share Reserve</w:t>
      </w:r>
      <w:r>
        <w:rPr>
          <w:rFonts w:ascii="Times New Roman;Times;serif" w:hAnsi="Times New Roman;Times;serif"/>
          <w:b w:val="false"/>
          <w:i w:val="false"/>
          <w:caps w:val="false"/>
          <w:smallCaps w:val="false"/>
          <w:color w:val="000000"/>
          <w:spacing w:val="4"/>
          <w:sz w:val="20"/>
        </w:rPr>
        <w:t xml:space="preserve">.   The Company, during the term of this Plan, will at all times reserve and keep available such number of Shares as will be sufficient to satisfy the requirements of the Plan. </w:t>
      </w:r>
      <w:r>
        <mc:AlternateContent>
          <mc:Choice Requires="wps">
            <w:drawing>
              <wp:anchor behindDoc="0" distT="101600" distB="0" distL="254000" distR="0" simplePos="0" locked="0" layoutInCell="1" allowOverlap="1" relativeHeight="854">
                <wp:simplePos x="0" y="0"/>
                <wp:positionH relativeFrom="column">
                  <wp:align>left</wp:align>
                </wp:positionH>
                <wp:positionV relativeFrom="line">
                  <wp:align>top</wp:align>
                </wp:positionV>
                <wp:extent cx="254000" cy="350520"/>
                <wp:effectExtent l="0" t="0" r="0" b="0"/>
                <wp:wrapSquare wrapText="right"/>
                <wp:docPr id="852" name="Frame8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Administration of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55">
                <wp:simplePos x="0" y="0"/>
                <wp:positionH relativeFrom="column">
                  <wp:align>left</wp:align>
                </wp:positionH>
                <wp:positionV relativeFrom="line">
                  <wp:posOffset>635</wp:posOffset>
                </wp:positionV>
                <wp:extent cx="254000" cy="350520"/>
                <wp:effectExtent l="0" t="0" r="0" b="0"/>
                <wp:wrapSquare wrapText="right"/>
                <wp:docPr id="853" name="Frame8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Procedure. </w:t>
      </w:r>
      <w:r>
        <mc:AlternateContent>
          <mc:Choice Requires="wps">
            <w:drawing>
              <wp:anchor behindDoc="0" distT="102870" distB="0" distL="254000" distR="0" simplePos="0" locked="0" layoutInCell="1" allowOverlap="1" relativeHeight="856">
                <wp:simplePos x="0" y="0"/>
                <wp:positionH relativeFrom="column">
                  <wp:align>left</wp:align>
                </wp:positionH>
                <wp:positionV relativeFrom="line">
                  <wp:align>top</wp:align>
                </wp:positionV>
                <wp:extent cx="254000" cy="350520"/>
                <wp:effectExtent l="0" t="0" r="0" b="0"/>
                <wp:wrapSquare wrapText="right"/>
                <wp:docPr id="854" name="Frame8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Multiple Administrative Bodies</w:t>
      </w:r>
      <w:r>
        <w:rPr>
          <w:rFonts w:ascii="Times New Roman;Times;serif" w:hAnsi="Times New Roman;Times;serif"/>
          <w:b w:val="false"/>
          <w:i w:val="false"/>
          <w:caps w:val="false"/>
          <w:smallCaps w:val="false"/>
          <w:color w:val="000000"/>
          <w:spacing w:val="4"/>
          <w:sz w:val="20"/>
        </w:rPr>
        <w:t xml:space="preserve">.   Different Committees may administer the Plan with respect to different groups of Service Providers. </w:t>
      </w:r>
      <w:r>
        <mc:AlternateContent>
          <mc:Choice Requires="wps">
            <w:drawing>
              <wp:anchor behindDoc="0" distT="102870" distB="0" distL="508000" distR="0" simplePos="0" locked="0" layoutInCell="1" allowOverlap="1" relativeHeight="857">
                <wp:simplePos x="0" y="0"/>
                <wp:positionH relativeFrom="column">
                  <wp:align>left</wp:align>
                </wp:positionH>
                <wp:positionV relativeFrom="line">
                  <wp:align>top</wp:align>
                </wp:positionV>
                <wp:extent cx="254000" cy="350520"/>
                <wp:effectExtent l="0" t="0" r="0" b="0"/>
                <wp:wrapSquare wrapText="right"/>
                <wp:docPr id="855" name="Frame8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To the extent desirable to qualify transactions hereunder as exempt under Rule 16b-3, such transactions will be structured to satisfy the requirements for exemption under Rule 16b-3. </w:t>
      </w:r>
      <w:r>
        <mc:AlternateContent>
          <mc:Choice Requires="wps">
            <w:drawing>
              <wp:anchor behindDoc="0" distT="102870" distB="0" distL="508000" distR="0" simplePos="0" locked="0" layoutInCell="1" allowOverlap="1" relativeHeight="858">
                <wp:simplePos x="0" y="0"/>
                <wp:positionH relativeFrom="column">
                  <wp:align>left</wp:align>
                </wp:positionH>
                <wp:positionV relativeFrom="line">
                  <wp:align>top</wp:align>
                </wp:positionV>
                <wp:extent cx="254000" cy="350520"/>
                <wp:effectExtent l="0" t="0" r="0" b="0"/>
                <wp:wrapSquare wrapText="right"/>
                <wp:docPr id="856" name="Frame8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Administration</w:t>
      </w:r>
      <w:r>
        <w:rPr>
          <w:rFonts w:ascii="Times New Roman;Times;serif" w:hAnsi="Times New Roman;Times;serif"/>
          <w:b w:val="false"/>
          <w:i w:val="false"/>
          <w:caps w:val="false"/>
          <w:smallCaps w:val="false"/>
          <w:color w:val="000000"/>
          <w:spacing w:val="4"/>
          <w:sz w:val="20"/>
        </w:rPr>
        <w:t xml:space="preserve">.   Other than as provided above, the Plan will be administered by (A) the Board or (B) a Committee constituted to satisfy Applicable Laws. </w:t>
      </w:r>
      <w:r>
        <mc:AlternateContent>
          <mc:Choice Requires="wps">
            <w:drawing>
              <wp:anchor behindDoc="0" distT="102870" distB="0" distL="508000" distR="0" simplePos="0" locked="0" layoutInCell="1" allowOverlap="1" relativeHeight="859">
                <wp:simplePos x="0" y="0"/>
                <wp:positionH relativeFrom="column">
                  <wp:align>left</wp:align>
                </wp:positionH>
                <wp:positionV relativeFrom="line">
                  <wp:align>top</wp:align>
                </wp:positionV>
                <wp:extent cx="254000" cy="525780"/>
                <wp:effectExtent l="0" t="0" r="0" b="0"/>
                <wp:wrapSquare wrapText="right"/>
                <wp:docPr id="857" name="Frame8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Powers of the Administrator</w:t>
      </w:r>
      <w:r>
        <w:rPr>
          <w:rFonts w:ascii="Times New Roman;Times;serif" w:hAnsi="Times New Roman;Times;serif"/>
          <w:b w:val="false"/>
          <w:i w:val="false"/>
          <w:caps w:val="false"/>
          <w:smallCaps w:val="false"/>
          <w:color w:val="000000"/>
          <w:spacing w:val="4"/>
          <w:sz w:val="20"/>
        </w:rPr>
        <w:t xml:space="preserve">.   Subject to the provisions of the Plan, and in the case of a Committee, subject to the specific duties delegated by the Board to such Committee, the Administrator will have the authority, in its discretion: </w:t>
      </w:r>
      <w:r>
        <mc:AlternateContent>
          <mc:Choice Requires="wps">
            <w:drawing>
              <wp:anchor behindDoc="0" distT="102870" distB="0" distL="254000" distR="0" simplePos="0" locked="0" layoutInCell="1" allowOverlap="1" relativeHeight="860">
                <wp:simplePos x="0" y="0"/>
                <wp:positionH relativeFrom="column">
                  <wp:align>left</wp:align>
                </wp:positionH>
                <wp:positionV relativeFrom="line">
                  <wp:align>top</wp:align>
                </wp:positionV>
                <wp:extent cx="254000" cy="350520"/>
                <wp:effectExtent l="0" t="0" r="0" b="0"/>
                <wp:wrapSquare wrapText="right"/>
                <wp:docPr id="858" name="Frame8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Fair Market Value; </w:t>
      </w:r>
      <w:r>
        <mc:AlternateContent>
          <mc:Choice Requires="wps">
            <w:drawing>
              <wp:anchor behindDoc="0" distT="101600" distB="0" distL="508000" distR="0" simplePos="0" locked="0" layoutInCell="1" allowOverlap="1" relativeHeight="861">
                <wp:simplePos x="0" y="0"/>
                <wp:positionH relativeFrom="column">
                  <wp:align>left</wp:align>
                </wp:positionH>
                <wp:positionV relativeFrom="line">
                  <wp:align>top</wp:align>
                </wp:positionV>
                <wp:extent cx="304800" cy="350520"/>
                <wp:effectExtent l="0" t="0" r="0" b="0"/>
                <wp:wrapSquare wrapText="right"/>
                <wp:docPr id="859" name="Frame84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select the Service Providers to whom Awards may be granted hereunder; </w:t>
      </w:r>
      <w:r>
        <mc:AlternateContent>
          <mc:Choice Requires="wps">
            <w:drawing>
              <wp:anchor behindDoc="0" distT="101600" distB="0" distL="508000" distR="0" simplePos="0" locked="0" layoutInCell="1" allowOverlap="1" relativeHeight="862">
                <wp:simplePos x="0" y="0"/>
                <wp:positionH relativeFrom="column">
                  <wp:align>left</wp:align>
                </wp:positionH>
                <wp:positionV relativeFrom="line">
                  <wp:align>top</wp:align>
                </wp:positionV>
                <wp:extent cx="304800" cy="350520"/>
                <wp:effectExtent l="0" t="0" r="0" b="0"/>
                <wp:wrapSquare wrapText="right"/>
                <wp:docPr id="860" name="Frame84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number of Shares to be covered by each Award granted hereunder; </w:t>
      </w:r>
      <w:r>
        <mc:AlternateContent>
          <mc:Choice Requires="wps">
            <w:drawing>
              <wp:anchor behindDoc="0" distT="101600" distB="0" distL="508000" distR="0" simplePos="0" locked="0" layoutInCell="1" allowOverlap="1" relativeHeight="863">
                <wp:simplePos x="0" y="0"/>
                <wp:positionH relativeFrom="column">
                  <wp:align>left</wp:align>
                </wp:positionH>
                <wp:positionV relativeFrom="line">
                  <wp:align>top</wp:align>
                </wp:positionV>
                <wp:extent cx="304800" cy="350520"/>
                <wp:effectExtent l="0" t="0" r="0" b="0"/>
                <wp:wrapSquare wrapText="right"/>
                <wp:docPr id="861" name="Frame85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forms of Award Agreements for use under the Plan; </w:t>
      </w:r>
      <w:r>
        <mc:AlternateContent>
          <mc:Choice Requires="wps">
            <w:drawing>
              <wp:anchor behindDoc="0" distT="101600" distB="0" distL="508000" distR="0" simplePos="0" locked="0" layoutInCell="1" allowOverlap="1" relativeHeight="864">
                <wp:simplePos x="0" y="0"/>
                <wp:positionH relativeFrom="column">
                  <wp:align>left</wp:align>
                </wp:positionH>
                <wp:positionV relativeFrom="line">
                  <wp:align>top</wp:align>
                </wp:positionV>
                <wp:extent cx="304800" cy="350520"/>
                <wp:effectExtent l="0" t="0" r="0" b="0"/>
                <wp:wrapSquare wrapText="right"/>
                <wp:docPr id="862" name="Frame85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r>
        <mc:AlternateContent>
          <mc:Choice Requires="wps">
            <w:drawing>
              <wp:anchor behindDoc="0" distT="101600" distB="0" distL="508000" distR="0" simplePos="0" locked="0" layoutInCell="1" allowOverlap="1" relativeHeight="865">
                <wp:simplePos x="0" y="0"/>
                <wp:positionH relativeFrom="column">
                  <wp:align>left</wp:align>
                </wp:positionH>
                <wp:positionV relativeFrom="line">
                  <wp:align>top</wp:align>
                </wp:positionV>
                <wp:extent cx="304800" cy="350520"/>
                <wp:effectExtent l="0" t="0" r="0" b="0"/>
                <wp:wrapSquare wrapText="right"/>
                <wp:docPr id="863" name="Frame85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construe and interpret the terms of the Plan and Awards granted pursuant to the Plan; </w:t>
      </w:r>
      <w:r>
        <mc:AlternateContent>
          <mc:Choice Requires="wps">
            <w:drawing>
              <wp:anchor behindDoc="0" distT="101600" distB="0" distL="508000" distR="0" simplePos="0" locked="0" layoutInCell="1" allowOverlap="1" relativeHeight="866">
                <wp:simplePos x="0" y="0"/>
                <wp:positionH relativeFrom="column">
                  <wp:align>left</wp:align>
                </wp:positionH>
                <wp:positionV relativeFrom="line">
                  <wp:align>top</wp:align>
                </wp:positionV>
                <wp:extent cx="304800" cy="350520"/>
                <wp:effectExtent l="0" t="0" r="0" b="0"/>
                <wp:wrapSquare wrapText="right"/>
                <wp:docPr id="864" name="Frame85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prescribe, amend and rescind rules and regulations relating to the Plan, including rules and regulations relating to sub-plans established for the purpose of satisfying applicable foreign laws or for qualifying for favorable tax treatment under applicable foreign laws; </w:t>
      </w:r>
      <w:r>
        <mc:AlternateContent>
          <mc:Choice Requires="wps">
            <w:drawing>
              <wp:anchor behindDoc="0" distT="101600" distB="0" distL="508000" distR="0" simplePos="0" locked="0" layoutInCell="1" allowOverlap="1" relativeHeight="867">
                <wp:simplePos x="0" y="0"/>
                <wp:positionH relativeFrom="column">
                  <wp:align>left</wp:align>
                </wp:positionH>
                <wp:positionV relativeFrom="line">
                  <wp:align>top</wp:align>
                </wp:positionV>
                <wp:extent cx="304800" cy="525780"/>
                <wp:effectExtent l="0" t="0" r="0" b="0"/>
                <wp:wrapSquare wrapText="right"/>
                <wp:docPr id="865" name="Frame85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each Award (subject to Section 18 of the Plan), including but not limited to the discretionary authority to extend the post-termination exercisability period of Awards and to extend the maximum term of an Option (subject to Section 6(b) of the Plan); </w:t>
      </w:r>
      <w:r>
        <mc:AlternateContent>
          <mc:Choice Requires="wps">
            <w:drawing>
              <wp:anchor behindDoc="0" distT="101600" distB="0" distL="508000" distR="0" simplePos="0" locked="0" layoutInCell="1" allowOverlap="1" relativeHeight="868">
                <wp:simplePos x="0" y="0"/>
                <wp:positionH relativeFrom="column">
                  <wp:align>left</wp:align>
                </wp:positionH>
                <wp:positionV relativeFrom="line">
                  <wp:align>top</wp:align>
                </wp:positionV>
                <wp:extent cx="304800" cy="525780"/>
                <wp:effectExtent l="0" t="0" r="0" b="0"/>
                <wp:wrapSquare wrapText="right"/>
                <wp:docPr id="866" name="Frame85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Participants to satisfy tax withholding obligations in such manner as prescribed in Section 14 of the Plan; </w:t>
      </w:r>
      <w:r>
        <mc:AlternateContent>
          <mc:Choice Requires="wps">
            <w:drawing>
              <wp:anchor behindDoc="0" distT="101600" distB="0" distL="508000" distR="0" simplePos="0" locked="0" layoutInCell="1" allowOverlap="1" relativeHeight="869">
                <wp:simplePos x="0" y="0"/>
                <wp:positionH relativeFrom="column">
                  <wp:align>left</wp:align>
                </wp:positionH>
                <wp:positionV relativeFrom="line">
                  <wp:align>top</wp:align>
                </wp:positionV>
                <wp:extent cx="304800" cy="350520"/>
                <wp:effectExtent l="0" t="0" r="0" b="0"/>
                <wp:wrapSquare wrapText="right"/>
                <wp:docPr id="867" name="Frame85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any person to execute on behalf of the Company any instrument required to effect the grant of an Award previously granted by the Administrator; </w:t>
      </w:r>
      <w:r>
        <mc:AlternateContent>
          <mc:Choice Requires="wps">
            <w:drawing>
              <wp:anchor behindDoc="0" distT="101600" distB="0" distL="508000" distR="0" simplePos="0" locked="0" layoutInCell="1" allowOverlap="1" relativeHeight="870">
                <wp:simplePos x="0" y="0"/>
                <wp:positionH relativeFrom="column">
                  <wp:align>left</wp:align>
                </wp:positionH>
                <wp:positionV relativeFrom="line">
                  <wp:align>top</wp:align>
                </wp:positionV>
                <wp:extent cx="304800" cy="350520"/>
                <wp:effectExtent l="0" t="0" r="0" b="0"/>
                <wp:wrapSquare wrapText="right"/>
                <wp:docPr id="868" name="Frame85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a Participant to defer the receipt of the payment of cash or the delivery of Shares that would otherwise be due to such Participant under an Award; and </w:t>
      </w:r>
      <w:r>
        <mc:AlternateContent>
          <mc:Choice Requires="wps">
            <w:drawing>
              <wp:anchor behindDoc="0" distT="101600" distB="0" distL="508000" distR="0" simplePos="0" locked="0" layoutInCell="1" allowOverlap="1" relativeHeight="871">
                <wp:simplePos x="0" y="0"/>
                <wp:positionH relativeFrom="column">
                  <wp:align>left</wp:align>
                </wp:positionH>
                <wp:positionV relativeFrom="line">
                  <wp:align>top</wp:align>
                </wp:positionV>
                <wp:extent cx="304800" cy="350520"/>
                <wp:effectExtent l="0" t="0" r="0" b="0"/>
                <wp:wrapSquare wrapText="right"/>
                <wp:docPr id="869" name="Frame85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all other determinations deemed necessary or advisable for administering the Plan. </w:t>
      </w:r>
      <w:r>
        <mc:AlternateContent>
          <mc:Choice Requires="wps">
            <w:drawing>
              <wp:anchor behindDoc="0" distT="101600" distB="0" distL="508000" distR="0" simplePos="0" locked="0" layoutInCell="1" allowOverlap="1" relativeHeight="872">
                <wp:simplePos x="0" y="0"/>
                <wp:positionH relativeFrom="column">
                  <wp:align>left</wp:align>
                </wp:positionH>
                <wp:positionV relativeFrom="line">
                  <wp:align>top</wp:align>
                </wp:positionV>
                <wp:extent cx="304800" cy="525780"/>
                <wp:effectExtent l="0" t="0" r="0" b="0"/>
                <wp:wrapSquare wrapText="right"/>
                <wp:docPr id="870" name="Frame85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Administrator’s Decision.</w:t>
      </w:r>
      <w:r>
        <w:rPr>
          <w:rFonts w:ascii="Times New Roman;Times;serif" w:hAnsi="Times New Roman;Times;serif"/>
          <w:b w:val="false"/>
          <w:i w:val="false"/>
          <w:caps w:val="false"/>
          <w:smallCaps w:val="false"/>
          <w:color w:val="000000"/>
          <w:spacing w:val="4"/>
          <w:sz w:val="20"/>
        </w:rPr>
        <w:t xml:space="preserve">   The decisions, determinations, and interpretations of the Administrator will be final and binding on all Participants and any other holders of Awards. </w:t>
      </w:r>
      <w:r>
        <mc:AlternateContent>
          <mc:Choice Requires="wps">
            <w:drawing>
              <wp:anchor behindDoc="0" distT="101600" distB="0" distL="254000" distR="0" simplePos="0" locked="0" layoutInCell="1" allowOverlap="1" relativeHeight="873">
                <wp:simplePos x="0" y="0"/>
                <wp:positionH relativeFrom="column">
                  <wp:align>left</wp:align>
                </wp:positionH>
                <wp:positionV relativeFrom="line">
                  <wp:align>top</wp:align>
                </wp:positionV>
                <wp:extent cx="254000" cy="350520"/>
                <wp:effectExtent l="0" t="0" r="0" b="0"/>
                <wp:wrapSquare wrapText="right"/>
                <wp:docPr id="871" name="Frame8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Limitations on Administrative Authority</w:t>
      </w:r>
      <w:r>
        <w:rPr>
          <w:rFonts w:ascii="Times New Roman;Times;serif" w:hAnsi="Times New Roman;Times;serif"/>
          <w:b w:val="false"/>
          <w:i w:val="false"/>
          <w:caps w:val="false"/>
          <w:smallCaps w:val="false"/>
          <w:color w:val="000000"/>
          <w:spacing w:val="4"/>
          <w:sz w:val="20"/>
        </w:rPr>
        <w:t xml:space="preserve">.   Notwithstanding anything herein to the contrary, the Administrator shall be limited as follows: </w:t>
      </w:r>
      <w:r>
        <mc:AlternateContent>
          <mc:Choice Requires="wps">
            <w:drawing>
              <wp:anchor behindDoc="0" distT="101600" distB="0" distL="254000" distR="0" simplePos="0" locked="0" layoutInCell="1" allowOverlap="1" relativeHeight="874">
                <wp:simplePos x="0" y="0"/>
                <wp:positionH relativeFrom="column">
                  <wp:align>left</wp:align>
                </wp:positionH>
                <wp:positionV relativeFrom="line">
                  <wp:align>top</wp:align>
                </wp:positionV>
                <wp:extent cx="254000" cy="350520"/>
                <wp:effectExtent l="0" t="0" r="0" b="0"/>
                <wp:wrapSquare wrapText="right"/>
                <wp:docPr id="872" name="Frame8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Exchange Program</w:t>
      </w:r>
      <w:r>
        <w:rPr>
          <w:rFonts w:ascii="Times New Roman;Times;serif" w:hAnsi="Times New Roman;Times;serif"/>
          <w:b w:val="false"/>
          <w:i w:val="false"/>
          <w:caps w:val="false"/>
          <w:smallCaps w:val="false"/>
          <w:color w:val="000000"/>
          <w:spacing w:val="4"/>
          <w:sz w:val="20"/>
        </w:rPr>
        <w:t xml:space="preserve">.   The Administrator may not implement an Exchange Program. </w:t>
      </w:r>
      <w:r>
        <mc:AlternateContent>
          <mc:Choice Requires="wps">
            <w:drawing>
              <wp:anchor behindDoc="0" distT="101600" distB="0" distL="508000" distR="0" simplePos="0" locked="0" layoutInCell="1" allowOverlap="1" relativeHeight="875">
                <wp:simplePos x="0" y="0"/>
                <wp:positionH relativeFrom="column">
                  <wp:align>left</wp:align>
                </wp:positionH>
                <wp:positionV relativeFrom="line">
                  <wp:align>top</wp:align>
                </wp:positionV>
                <wp:extent cx="254000" cy="350520"/>
                <wp:effectExtent l="0" t="0" r="0" b="0"/>
                <wp:wrapSquare wrapText="right"/>
                <wp:docPr id="873" name="Frame8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 Dividends or Dividend Equivalents Paid on Unvested Awards</w:t>
      </w:r>
      <w:r>
        <w:rPr>
          <w:rFonts w:ascii="Times New Roman;Times;serif" w:hAnsi="Times New Roman;Times;serif"/>
          <w:b w:val="false"/>
          <w:i w:val="false"/>
          <w:caps w:val="false"/>
          <w:smallCaps w:val="false"/>
          <w:color w:val="000000"/>
          <w:spacing w:val="4"/>
          <w:sz w:val="20"/>
        </w:rPr>
        <w:t xml:space="preserve">.   No dividends or dividend equivalents shall be paid on any unvested Awards. Any dividends or dividend equivalents may be declared or accrue on unvested Awards, but shall not be paid until the vesting of such Awards. </w:t>
      </w:r>
      <w:r>
        <mc:AlternateContent>
          <mc:Choice Requires="wps">
            <w:drawing>
              <wp:anchor behindDoc="0" distT="0" distB="0" distL="508000" distR="0" simplePos="0" locked="0" layoutInCell="1" allowOverlap="1" relativeHeight="876">
                <wp:simplePos x="0" y="0"/>
                <wp:positionH relativeFrom="column">
                  <wp:align>left</wp:align>
                </wp:positionH>
                <wp:positionV relativeFrom="line">
                  <wp:posOffset>635</wp:posOffset>
                </wp:positionV>
                <wp:extent cx="254000" cy="350520"/>
                <wp:effectExtent l="0" t="0" r="0" b="0"/>
                <wp:wrapSquare wrapText="right"/>
                <wp:docPr id="874" name="Frame8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Outside Director Limitations</w:t>
      </w:r>
      <w:r>
        <w:rPr>
          <w:rFonts w:ascii="Times New Roman;Times;serif" w:hAnsi="Times New Roman;Times;serif"/>
          <w:b w:val="false"/>
          <w:i w:val="false"/>
          <w:caps w:val="false"/>
          <w:smallCaps w:val="false"/>
          <w:color w:val="000000"/>
          <w:spacing w:val="4"/>
          <w:sz w:val="20"/>
        </w:rPr>
        <w:t xml:space="preserve">.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 </w:t>
      </w:r>
      <w:r>
        <mc:AlternateContent>
          <mc:Choice Requires="wps">
            <w:drawing>
              <wp:anchor behindDoc="0" distT="99060" distB="0" distL="508000" distR="0" simplePos="0" locked="0" layoutInCell="1" allowOverlap="1" relativeHeight="877">
                <wp:simplePos x="0" y="0"/>
                <wp:positionH relativeFrom="column">
                  <wp:align>left</wp:align>
                </wp:positionH>
                <wp:positionV relativeFrom="line">
                  <wp:align>top</wp:align>
                </wp:positionV>
                <wp:extent cx="254000" cy="525780"/>
                <wp:effectExtent l="0" t="0" r="0" b="0"/>
                <wp:wrapSquare wrapText="right"/>
                <wp:docPr id="875" name="Frame8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Eligibility</w:t>
      </w:r>
      <w:r>
        <w:rPr>
          <w:rFonts w:ascii="Times New Roman;Times;serif" w:hAnsi="Times New Roman;Times;serif"/>
          <w:b w:val="false"/>
          <w:i w:val="false"/>
          <w:caps w:val="false"/>
          <w:smallCaps w:val="false"/>
          <w:color w:val="000000"/>
          <w:spacing w:val="4"/>
          <w:sz w:val="20"/>
        </w:rPr>
        <w:t xml:space="preserve">.   Nonstatutory Stock Options, Stock Appreciation Rights, Restricted Stock, Restricted Stock Units, Performance Shares and Performance Units may be granted to Service Providers. Incentive Stock Options may be granted only to Employees. </w:t>
      </w:r>
      <w:r>
        <mc:AlternateContent>
          <mc:Choice Requires="wps">
            <w:drawing>
              <wp:anchor behindDoc="0" distT="99060" distB="0" distL="0" distR="0" simplePos="0" locked="0" layoutInCell="1" allowOverlap="1" relativeHeight="878">
                <wp:simplePos x="0" y="0"/>
                <wp:positionH relativeFrom="column">
                  <wp:align>left</wp:align>
                </wp:positionH>
                <wp:positionV relativeFrom="line">
                  <wp:align>top</wp:align>
                </wp:positionV>
                <wp:extent cx="254000" cy="350520"/>
                <wp:effectExtent l="0" t="0" r="0" b="0"/>
                <wp:wrapSquare wrapText="right"/>
                <wp:docPr id="876" name="Frame8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Options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879">
                <wp:simplePos x="0" y="0"/>
                <wp:positionH relativeFrom="column">
                  <wp:align>left</wp:align>
                </wp:positionH>
                <wp:positionV relativeFrom="line">
                  <wp:align>top</wp:align>
                </wp:positionV>
                <wp:extent cx="254000" cy="350520"/>
                <wp:effectExtent l="0" t="0" r="0" b="0"/>
                <wp:wrapSquare wrapText="right"/>
                <wp:docPr id="877" name="Frame8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Limitations</w:t>
      </w:r>
      <w:r>
        <w:rPr>
          <w:rFonts w:ascii="Times New Roman;Times;serif" w:hAnsi="Times New Roman;Times;serif"/>
          <w:b w:val="false"/>
          <w:i w:val="false"/>
          <w:caps w:val="false"/>
          <w:smallCaps w:val="false"/>
          <w:color w:val="000000"/>
          <w:spacing w:val="4"/>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r>
        <mc:AlternateContent>
          <mc:Choice Requires="wps">
            <w:drawing>
              <wp:anchor behindDoc="0" distT="99060" distB="0" distL="254000" distR="0" simplePos="0" locked="0" layoutInCell="1" allowOverlap="1" relativeHeight="880">
                <wp:simplePos x="0" y="0"/>
                <wp:positionH relativeFrom="column">
                  <wp:align>left</wp:align>
                </wp:positionH>
                <wp:positionV relativeFrom="line">
                  <wp:align>top</wp:align>
                </wp:positionV>
                <wp:extent cx="254000" cy="350520"/>
                <wp:effectExtent l="0" t="0" r="0" b="0"/>
                <wp:wrapSquare wrapText="right"/>
                <wp:docPr id="878" name="Frame8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 of Option</w:t>
      </w:r>
      <w:r>
        <w:rPr>
          <w:rFonts w:ascii="Times New Roman;Times;serif" w:hAnsi="Times New Roman;Times;serif"/>
          <w:b w:val="false"/>
          <w:i w:val="false"/>
          <w:caps w:val="false"/>
          <w:smallCaps w:val="false"/>
          <w:color w:val="000000"/>
          <w:spacing w:val="4"/>
          <w:sz w:val="20"/>
        </w:rPr>
        <w:t xml:space="preserve">.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r>
        <mc:AlternateContent>
          <mc:Choice Requires="wps">
            <w:drawing>
              <wp:anchor behindDoc="0" distT="100330" distB="0" distL="254000" distR="0" simplePos="0" locked="0" layoutInCell="1" allowOverlap="1" relativeHeight="881">
                <wp:simplePos x="0" y="0"/>
                <wp:positionH relativeFrom="column">
                  <wp:align>left</wp:align>
                </wp:positionH>
                <wp:positionV relativeFrom="line">
                  <wp:align>top</wp:align>
                </wp:positionV>
                <wp:extent cx="254000" cy="350520"/>
                <wp:effectExtent l="0" t="0" r="0" b="0"/>
                <wp:wrapSquare wrapText="right"/>
                <wp:docPr id="879" name="Frame8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Option Exercise Price and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882">
                <wp:simplePos x="0" y="0"/>
                <wp:positionH relativeFrom="column">
                  <wp:align>left</wp:align>
                </wp:positionH>
                <wp:positionV relativeFrom="line">
                  <wp:align>top</wp:align>
                </wp:positionV>
                <wp:extent cx="254000" cy="350520"/>
                <wp:effectExtent l="0" t="0" r="0" b="0"/>
                <wp:wrapSquare wrapText="right"/>
                <wp:docPr id="880" name="Frame8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an Option will be determined by the Administrator, subject to the following: </w:t>
      </w:r>
      <w:r>
        <mc:AlternateContent>
          <mc:Choice Requires="wps">
            <w:drawing>
              <wp:anchor behindDoc="0" distT="100330" distB="0" distL="508000" distR="0" simplePos="0" locked="0" layoutInCell="1" allowOverlap="1" relativeHeight="883">
                <wp:simplePos x="0" y="0"/>
                <wp:positionH relativeFrom="column">
                  <wp:align>left</wp:align>
                </wp:positionH>
                <wp:positionV relativeFrom="line">
                  <wp:align>top</wp:align>
                </wp:positionV>
                <wp:extent cx="254000" cy="350520"/>
                <wp:effectExtent l="0" t="0" r="0" b="0"/>
                <wp:wrapSquare wrapText="right"/>
                <wp:docPr id="881" name="Frame8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Incentive Stock Option </w:t>
      </w:r>
      <w:r>
        <mc:AlternateContent>
          <mc:Choice Requires="wps">
            <w:drawing>
              <wp:anchor behindDoc="0" distT="100330" distB="0" distL="762000" distR="0" simplePos="0" locked="0" layoutInCell="1" allowOverlap="1" relativeHeight="884">
                <wp:simplePos x="0" y="0"/>
                <wp:positionH relativeFrom="column">
                  <wp:align>left</wp:align>
                </wp:positionH>
                <wp:positionV relativeFrom="line">
                  <wp:align>top</wp:align>
                </wp:positionV>
                <wp:extent cx="254000" cy="350520"/>
                <wp:effectExtent l="0" t="0" r="0" b="0"/>
                <wp:wrapSquare wrapText="right"/>
                <wp:docPr id="882" name="Frame8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r>
        <mc:AlternateContent>
          <mc:Choice Requires="wps">
            <w:drawing>
              <wp:anchor behindDoc="0" distT="100330" distB="0" distL="1016000" distR="0" simplePos="0" locked="0" layoutInCell="1" allowOverlap="1" relativeHeight="885">
                <wp:simplePos x="0" y="0"/>
                <wp:positionH relativeFrom="column">
                  <wp:align>left</wp:align>
                </wp:positionH>
                <wp:positionV relativeFrom="line">
                  <wp:align>top</wp:align>
                </wp:positionV>
                <wp:extent cx="254000" cy="350520"/>
                <wp:effectExtent l="0" t="0" r="0" b="0"/>
                <wp:wrapSquare wrapText="right"/>
                <wp:docPr id="883" name="Frame8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9pt;mso-wrap-distance-bottom:0pt;margin-top:7.9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any Employee other than an Employee described in paragraph (A) immediately above, the per Share exercise price will be no less than one hundred percent (100%) of the Fair Market Value per Share on the date of grant. </w:t>
      </w:r>
      <w:r>
        <mc:AlternateContent>
          <mc:Choice Requires="wps">
            <w:drawing>
              <wp:anchor behindDoc="0" distT="100330" distB="0" distL="1016000" distR="0" simplePos="0" locked="0" layoutInCell="1" allowOverlap="1" relativeHeight="886">
                <wp:simplePos x="0" y="0"/>
                <wp:positionH relativeFrom="column">
                  <wp:align>left</wp:align>
                </wp:positionH>
                <wp:positionV relativeFrom="line">
                  <wp:align>top</wp:align>
                </wp:positionV>
                <wp:extent cx="254000" cy="350520"/>
                <wp:effectExtent l="0" t="0" r="0" b="0"/>
                <wp:wrapSquare wrapText="right"/>
                <wp:docPr id="884" name="Frame8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9pt;mso-wrap-distance-bottom:0pt;margin-top:7.9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Nonstatutory Stock Option, the per Share exercise price will be no less than one hundred percent (100%) of the Fair Market Value per Share on the date of grant. </w:t>
      </w:r>
      <w:r>
        <mc:AlternateContent>
          <mc:Choice Requires="wps">
            <w:drawing>
              <wp:anchor behindDoc="0" distT="100330" distB="0" distL="762000" distR="0" simplePos="0" locked="0" layoutInCell="1" allowOverlap="1" relativeHeight="887">
                <wp:simplePos x="0" y="0"/>
                <wp:positionH relativeFrom="column">
                  <wp:align>left</wp:align>
                </wp:positionH>
                <wp:positionV relativeFrom="line">
                  <wp:align>top</wp:align>
                </wp:positionV>
                <wp:extent cx="254000" cy="350520"/>
                <wp:effectExtent l="0" t="0" r="0" b="0"/>
                <wp:wrapSquare wrapText="right"/>
                <wp:docPr id="885" name="Frame8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Options may be granted with a per Share exercise price </w:t>
      </w:r>
      <w:r>
        <mc:AlternateContent>
          <mc:Choice Requires="wps">
            <w:drawing>
              <wp:anchor behindDoc="0" distT="99060" distB="0" distL="762000" distR="0" simplePos="0" locked="0" layoutInCell="1" allowOverlap="1" relativeHeight="888">
                <wp:simplePos x="0" y="0"/>
                <wp:positionH relativeFrom="column">
                  <wp:align>left</wp:align>
                </wp:positionH>
                <wp:positionV relativeFrom="line">
                  <wp:align>top</wp:align>
                </wp:positionV>
                <wp:extent cx="254000" cy="350520"/>
                <wp:effectExtent l="0" t="0" r="0" b="0"/>
                <wp:wrapSquare wrapText="right"/>
                <wp:docPr id="886" name="Frame8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less than one hundred percent (100%) of the Fair Market Value per Share on the date of grant pursuant to a transaction described in, and in a manner consistent with, Section 424(a) of the Code. </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Waiting Period and Exercise Dates</w:t>
      </w:r>
      <w:r>
        <w:rPr>
          <w:rFonts w:ascii="Times New Roman;Times;serif" w:hAnsi="Times New Roman;Times;serif"/>
          <w:b w:val="false"/>
          <w:i w:val="false"/>
          <w:caps w:val="false"/>
          <w:smallCaps w:val="false"/>
          <w:color w:val="000000"/>
          <w:spacing w:val="4"/>
          <w:sz w:val="20"/>
        </w:rPr>
        <w:t xml:space="preserve">.   At the time an Option is granted, the Administrator will fix the period within which the Option may be exercised and will determine any conditions that must be satisfied before the Option may be exercised. </w:t>
      </w:r>
      <w:r>
        <mc:AlternateContent>
          <mc:Choice Requires="wps">
            <w:drawing>
              <wp:anchor behindDoc="0" distT="100330" distB="0" distL="508000" distR="0" simplePos="0" locked="0" layoutInCell="1" allowOverlap="1" relativeHeight="889">
                <wp:simplePos x="0" y="0"/>
                <wp:positionH relativeFrom="column">
                  <wp:align>left</wp:align>
                </wp:positionH>
                <wp:positionV relativeFrom="line">
                  <wp:align>top</wp:align>
                </wp:positionV>
                <wp:extent cx="254000" cy="350520"/>
                <wp:effectExtent l="0" t="0" r="0" b="0"/>
                <wp:wrapSquare wrapText="right"/>
                <wp:docPr id="887" name="Frame8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of Consideration</w:t>
      </w:r>
      <w:r>
        <w:rPr>
          <w:rFonts w:ascii="Times New Roman;Times;serif" w:hAnsi="Times New Roman;Times;serif"/>
          <w:b w:val="false"/>
          <w:i w:val="false"/>
          <w:caps w:val="false"/>
          <w:smallCaps w:val="false"/>
          <w:color w:val="000000"/>
          <w:spacing w:val="4"/>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 </w:t>
      </w:r>
      <w:r>
        <mc:AlternateContent>
          <mc:Choice Requires="wps">
            <w:drawing>
              <wp:anchor behindDoc="0" distT="100330" distB="0" distL="508000" distR="0" simplePos="0" locked="0" layoutInCell="1" allowOverlap="1" relativeHeight="890">
                <wp:simplePos x="0" y="0"/>
                <wp:positionH relativeFrom="column">
                  <wp:align>left</wp:align>
                </wp:positionH>
                <wp:positionV relativeFrom="line">
                  <wp:align>top</wp:align>
                </wp:positionV>
                <wp:extent cx="254000" cy="525780"/>
                <wp:effectExtent l="0" t="0" r="0" b="0"/>
                <wp:wrapSquare wrapText="right"/>
                <wp:docPr id="888" name="Frame8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of Option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891">
                <wp:simplePos x="0" y="0"/>
                <wp:positionH relativeFrom="column">
                  <wp:align>left</wp:align>
                </wp:positionH>
                <wp:positionV relativeFrom="line">
                  <wp:align>top</wp:align>
                </wp:positionV>
                <wp:extent cx="254000" cy="350520"/>
                <wp:effectExtent l="0" t="0" r="0" b="0"/>
                <wp:wrapSquare wrapText="right"/>
                <wp:docPr id="889" name="Frame8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Procedure for Exercise; Rights as a Stockholder</w:t>
      </w:r>
      <w:r>
        <w:rPr>
          <w:rFonts w:ascii="Times New Roman;Times;serif" w:hAnsi="Times New Roman;Times;serif"/>
          <w:b w:val="false"/>
          <w:i w:val="false"/>
          <w:caps w:val="false"/>
          <w:smallCaps w:val="false"/>
          <w:color w:val="000000"/>
          <w:spacing w:val="4"/>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r>
        <mc:AlternateContent>
          <mc:Choice Requires="wps">
            <w:drawing>
              <wp:anchor behindDoc="0" distT="100330" distB="0" distL="508000" distR="0" simplePos="0" locked="0" layoutInCell="1" allowOverlap="1" relativeHeight="892">
                <wp:simplePos x="0" y="0"/>
                <wp:positionH relativeFrom="column">
                  <wp:align>left</wp:align>
                </wp:positionH>
                <wp:positionV relativeFrom="line">
                  <wp:align>top</wp:align>
                </wp:positionV>
                <wp:extent cx="254000" cy="350520"/>
                <wp:effectExtent l="0" t="0" r="0" b="0"/>
                <wp:wrapSquare wrapText="right"/>
                <wp:docPr id="890" name="Frame8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of Relationship as a Service Provider</w:t>
      </w:r>
      <w:r>
        <w:rPr>
          <w:rFonts w:ascii="Times New Roman;Times;serif" w:hAnsi="Times New Roman;Times;serif"/>
          <w:b w:val="false"/>
          <w:i w:val="false"/>
          <w:caps w:val="false"/>
          <w:smallCaps w:val="false"/>
          <w:color w:val="000000"/>
          <w:spacing w:val="4"/>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r>
        <mc:AlternateContent>
          <mc:Choice Requires="wps">
            <w:drawing>
              <wp:anchor behindDoc="0" distT="101600" distB="0" distL="254000" distR="0" simplePos="0" locked="0" layoutInCell="1" allowOverlap="1" relativeHeight="893">
                <wp:simplePos x="0" y="0"/>
                <wp:positionH relativeFrom="column">
                  <wp:align>left</wp:align>
                </wp:positionH>
                <wp:positionV relativeFrom="line">
                  <wp:align>top</wp:align>
                </wp:positionV>
                <wp:extent cx="254000" cy="350520"/>
                <wp:effectExtent l="0" t="0" r="0" b="0"/>
                <wp:wrapSquare wrapText="right"/>
                <wp:docPr id="891" name="Frame8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Disability of Participant</w:t>
      </w:r>
      <w:r>
        <w:rPr>
          <w:rFonts w:ascii="Times New Roman;Times;serif" w:hAnsi="Times New Roman;Times;serif"/>
          <w:b w:val="false"/>
          <w:i w:val="false"/>
          <w:caps w:val="false"/>
          <w:smallCaps w:val="false"/>
          <w:color w:val="000000"/>
          <w:spacing w:val="4"/>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r>
        <mc:AlternateContent>
          <mc:Choice Requires="wps">
            <w:drawing>
              <wp:anchor behindDoc="0" distT="0" distB="0" distL="254000" distR="0" simplePos="0" locked="0" layoutInCell="1" allowOverlap="1" relativeHeight="894">
                <wp:simplePos x="0" y="0"/>
                <wp:positionH relativeFrom="column">
                  <wp:align>left</wp:align>
                </wp:positionH>
                <wp:positionV relativeFrom="line">
                  <wp:posOffset>635</wp:posOffset>
                </wp:positionV>
                <wp:extent cx="254000" cy="350520"/>
                <wp:effectExtent l="0" t="0" r="0" b="0"/>
                <wp:wrapSquare wrapText="right"/>
                <wp:docPr id="892" name="Frame8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Death of Participant</w:t>
      </w:r>
      <w:r>
        <w:rPr>
          <w:rFonts w:ascii="Times New Roman;Times;serif" w:hAnsi="Times New Roman;Times;serif"/>
          <w:b w:val="false"/>
          <w:i w:val="false"/>
          <w:caps w:val="false"/>
          <w:smallCaps w:val="false"/>
          <w:color w:val="000000"/>
          <w:spacing w:val="4"/>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r>
        <mc:AlternateContent>
          <mc:Choice Requires="wps">
            <w:drawing>
              <wp:anchor behindDoc="0" distT="99060" distB="0" distL="254000" distR="0" simplePos="0" locked="0" layoutInCell="1" allowOverlap="1" relativeHeight="895">
                <wp:simplePos x="0" y="0"/>
                <wp:positionH relativeFrom="column">
                  <wp:align>left</wp:align>
                </wp:positionH>
                <wp:positionV relativeFrom="line">
                  <wp:align>top</wp:align>
                </wp:positionV>
                <wp:extent cx="254000" cy="525780"/>
                <wp:effectExtent l="0" t="0" r="0" b="0"/>
                <wp:wrapSquare wrapText="right"/>
                <wp:docPr id="893" name="Frame8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w:t>
      </w:r>
      <w:r>
        <mc:AlternateContent>
          <mc:Choice Requires="wps">
            <w:drawing>
              <wp:anchor behindDoc="0" distT="100330" distB="0" distL="0" distR="0" simplePos="0" locked="0" layoutInCell="1" allowOverlap="1" relativeHeight="896">
                <wp:simplePos x="0" y="0"/>
                <wp:positionH relativeFrom="column">
                  <wp:align>left</wp:align>
                </wp:positionH>
                <wp:positionV relativeFrom="line">
                  <wp:align>top</wp:align>
                </wp:positionV>
                <wp:extent cx="254000" cy="350520"/>
                <wp:effectExtent l="0" t="0" r="0" b="0"/>
                <wp:wrapSquare wrapText="right"/>
                <wp:docPr id="894" name="Frame8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Restricted Stock</w:t>
      </w:r>
      <w:r>
        <w:rPr>
          <w:rFonts w:ascii="Times New Roman;Times;serif" w:hAnsi="Times New Roman;Times;serif"/>
          <w:b w:val="false"/>
          <w:i w:val="false"/>
          <w:caps w:val="false"/>
          <w:smallCaps w:val="false"/>
          <w:color w:val="000000"/>
          <w:spacing w:val="4"/>
          <w:sz w:val="20"/>
        </w:rPr>
        <w:t xml:space="preserve">.   Subject to the terms and provisions of the Plan, the Administrator, at any time and from time to time, may grant Shares of Restricted Stock to Service Providers in such amounts as the Administrator, in its sole discretion, will determine. </w:t>
      </w:r>
      <w:r>
        <mc:AlternateContent>
          <mc:Choice Requires="wps">
            <w:drawing>
              <wp:anchor behindDoc="0" distT="100330" distB="0" distL="254000" distR="0" simplePos="0" locked="0" layoutInCell="1" allowOverlap="1" relativeHeight="897">
                <wp:simplePos x="0" y="0"/>
                <wp:positionH relativeFrom="column">
                  <wp:align>left</wp:align>
                </wp:positionH>
                <wp:positionV relativeFrom="line">
                  <wp:align>top</wp:align>
                </wp:positionV>
                <wp:extent cx="254000" cy="350520"/>
                <wp:effectExtent l="0" t="0" r="0" b="0"/>
                <wp:wrapSquare wrapText="right"/>
                <wp:docPr id="895" name="Frame8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Agreement</w:t>
      </w:r>
      <w:r>
        <w:rPr>
          <w:rFonts w:ascii="Times New Roman;Times;serif" w:hAnsi="Times New Roman;Times;serif"/>
          <w:b w:val="false"/>
          <w:i w:val="false"/>
          <w:caps w:val="false"/>
          <w:smallCaps w:val="false"/>
          <w:color w:val="000000"/>
          <w:spacing w:val="4"/>
          <w:sz w:val="20"/>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r>
        <mc:AlternateContent>
          <mc:Choice Requires="wps">
            <w:drawing>
              <wp:anchor behindDoc="0" distT="100330" distB="0" distL="254000" distR="0" simplePos="0" locked="0" layoutInCell="1" allowOverlap="1" relativeHeight="898">
                <wp:simplePos x="0" y="0"/>
                <wp:positionH relativeFrom="column">
                  <wp:align>left</wp:align>
                </wp:positionH>
                <wp:positionV relativeFrom="line">
                  <wp:align>top</wp:align>
                </wp:positionV>
                <wp:extent cx="254000" cy="350520"/>
                <wp:effectExtent l="0" t="0" r="0" b="0"/>
                <wp:wrapSquare wrapText="right"/>
                <wp:docPr id="896" name="Frame8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Except as provided in this Section 7 or in the Award Agreement, Shares of Restricted Stock may not be sold, transferred, pledged, assigned, or otherwise alienated or hypothecated until the end of the applicable Period of Restriction. </w:t>
      </w:r>
      <w:r>
        <mc:AlternateContent>
          <mc:Choice Requires="wps">
            <w:drawing>
              <wp:anchor behindDoc="0" distT="100330" distB="0" distL="254000" distR="0" simplePos="0" locked="0" layoutInCell="1" allowOverlap="1" relativeHeight="899">
                <wp:simplePos x="0" y="0"/>
                <wp:positionH relativeFrom="column">
                  <wp:align>left</wp:align>
                </wp:positionH>
                <wp:positionV relativeFrom="line">
                  <wp:align>top</wp:align>
                </wp:positionV>
                <wp:extent cx="254000" cy="350520"/>
                <wp:effectExtent l="0" t="0" r="0" b="0"/>
                <wp:wrapSquare wrapText="right"/>
                <wp:docPr id="897" name="Frame8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Restrictions</w:t>
      </w:r>
      <w:r>
        <w:rPr>
          <w:rFonts w:ascii="Times New Roman;Times;serif" w:hAnsi="Times New Roman;Times;serif"/>
          <w:b w:val="false"/>
          <w:i w:val="false"/>
          <w:caps w:val="false"/>
          <w:smallCaps w:val="false"/>
          <w:color w:val="000000"/>
          <w:spacing w:val="4"/>
          <w:sz w:val="20"/>
        </w:rPr>
        <w:t xml:space="preserve">.   The Administrator, in its sole discretion, may impose such other restrictions on Shares of Restricted Stock as it may deem advisable or appropriate. </w:t>
      </w:r>
      <w:r>
        <mc:AlternateContent>
          <mc:Choice Requires="wps">
            <w:drawing>
              <wp:anchor behindDoc="0" distT="100330" distB="0" distL="254000" distR="0" simplePos="0" locked="0" layoutInCell="1" allowOverlap="1" relativeHeight="900">
                <wp:simplePos x="0" y="0"/>
                <wp:positionH relativeFrom="column">
                  <wp:align>left</wp:align>
                </wp:positionH>
                <wp:positionV relativeFrom="line">
                  <wp:align>top</wp:align>
                </wp:positionV>
                <wp:extent cx="254000" cy="350520"/>
                <wp:effectExtent l="0" t="0" r="0" b="0"/>
                <wp:wrapSquare wrapText="right"/>
                <wp:docPr id="898" name="Frame8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Removal of Restrictions</w:t>
      </w:r>
      <w:r>
        <w:rPr>
          <w:rFonts w:ascii="Times New Roman;Times;serif" w:hAnsi="Times New Roman;Times;serif"/>
          <w:b w:val="false"/>
          <w:i w:val="false"/>
          <w:caps w:val="false"/>
          <w:smallCaps w:val="false"/>
          <w:color w:val="000000"/>
          <w:spacing w:val="4"/>
          <w:sz w:val="20"/>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r>
        <mc:AlternateContent>
          <mc:Choice Requires="wps">
            <w:drawing>
              <wp:anchor behindDoc="0" distT="100330" distB="0" distL="254000" distR="0" simplePos="0" locked="0" layoutInCell="1" allowOverlap="1" relativeHeight="901">
                <wp:simplePos x="0" y="0"/>
                <wp:positionH relativeFrom="column">
                  <wp:align>left</wp:align>
                </wp:positionH>
                <wp:positionV relativeFrom="line">
                  <wp:align>top</wp:align>
                </wp:positionV>
                <wp:extent cx="254000" cy="350520"/>
                <wp:effectExtent l="0" t="0" r="0" b="0"/>
                <wp:wrapSquare wrapText="right"/>
                <wp:docPr id="899" name="Frame8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During the Period of Restriction, Service Providers holding Shares of Restricted Stock granted hereunder may exercise full voting rights with respect to those Shares, unless the Administrator determines otherwise. </w:t>
      </w:r>
      <w:r>
        <mc:AlternateContent>
          <mc:Choice Requires="wps">
            <w:drawing>
              <wp:anchor behindDoc="0" distT="100330" distB="0" distL="254000" distR="0" simplePos="0" locked="0" layoutInCell="1" allowOverlap="1" relativeHeight="902">
                <wp:simplePos x="0" y="0"/>
                <wp:positionH relativeFrom="column">
                  <wp:align>left</wp:align>
                </wp:positionH>
                <wp:positionV relativeFrom="line">
                  <wp:align>top</wp:align>
                </wp:positionV>
                <wp:extent cx="254000" cy="350520"/>
                <wp:effectExtent l="0" t="0" r="0" b="0"/>
                <wp:wrapSquare wrapText="right"/>
                <wp:docPr id="900" name="Frame8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Dividends and Other Distributions</w:t>
      </w:r>
      <w:r>
        <w:rPr>
          <w:rFonts w:ascii="Times New Roman;Times;serif" w:hAnsi="Times New Roman;Times;serif"/>
          <w:b w:val="false"/>
          <w:i w:val="false"/>
          <w:caps w:val="false"/>
          <w:smallCaps w:val="false"/>
          <w:color w:val="000000"/>
          <w:spacing w:val="4"/>
          <w:sz w:val="20"/>
        </w:rPr>
        <w:t xml:space="preserve">.   During the Period of Restriction, Service Providers holding Shares of Restricted Stock will be entitled to receive all dividends and other distributions paid with respect to such Shares, unless the Administrator provides otherwise, subject to Section 4(d) </w:t>
      </w:r>
      <w:r>
        <mc:AlternateContent>
          <mc:Choice Requires="wps">
            <w:drawing>
              <wp:anchor behindDoc="0" distT="99060" distB="0" distL="254000" distR="0" simplePos="0" locked="0" layoutInCell="1" allowOverlap="1" relativeHeight="903">
                <wp:simplePos x="0" y="0"/>
                <wp:positionH relativeFrom="column">
                  <wp:align>left</wp:align>
                </wp:positionH>
                <wp:positionV relativeFrom="line">
                  <wp:align>top</wp:align>
                </wp:positionV>
                <wp:extent cx="254000" cy="350520"/>
                <wp:effectExtent l="0" t="0" r="0" b="0"/>
                <wp:wrapSquare wrapText="right"/>
                <wp:docPr id="901" name="Frame8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any such dividends or distributions are paid in Shares, the Shares will be subject to the same restrictions on transferability and forfeitability as the Shares of Restricted Stock with respect to which they were paid.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Return of Restricted Stock to Company</w:t>
      </w:r>
      <w:r>
        <w:rPr>
          <w:rFonts w:ascii="Times New Roman;Times;serif" w:hAnsi="Times New Roman;Times;serif"/>
          <w:b w:val="false"/>
          <w:i w:val="false"/>
          <w:caps w:val="false"/>
          <w:smallCaps w:val="false"/>
          <w:color w:val="000000"/>
          <w:spacing w:val="4"/>
          <w:sz w:val="20"/>
        </w:rPr>
        <w:t xml:space="preserve">.   On the date set forth in the Award Agreement, the Restricted Stock for which restrictions have not lapsed will revert to the Company and again will become available for grant under the Plan. </w:t>
      </w:r>
      <w:r>
        <mc:AlternateContent>
          <mc:Choice Requires="wps">
            <w:drawing>
              <wp:anchor behindDoc="0" distT="104140" distB="0" distL="254000" distR="0" simplePos="0" locked="0" layoutInCell="1" allowOverlap="1" relativeHeight="904">
                <wp:simplePos x="0" y="0"/>
                <wp:positionH relativeFrom="column">
                  <wp:align>left</wp:align>
                </wp:positionH>
                <wp:positionV relativeFrom="line">
                  <wp:align>top</wp:align>
                </wp:positionV>
                <wp:extent cx="254000" cy="350520"/>
                <wp:effectExtent l="0" t="0" r="0" b="0"/>
                <wp:wrapSquare wrapText="right"/>
                <wp:docPr id="902" name="Frame8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Units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05">
                <wp:simplePos x="0" y="0"/>
                <wp:positionH relativeFrom="column">
                  <wp:align>left</wp:align>
                </wp:positionH>
                <wp:positionV relativeFrom="line">
                  <wp:align>top</wp:align>
                </wp:positionV>
                <wp:extent cx="254000" cy="350520"/>
                <wp:effectExtent l="0" t="0" r="0" b="0"/>
                <wp:wrapSquare wrapText="right"/>
                <wp:docPr id="903" name="Frame8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w:t>
      </w:r>
      <w:r>
        <w:rPr>
          <w:rFonts w:ascii="Times New Roman;Times;serif" w:hAnsi="Times New Roman;Times;serif"/>
          <w:b w:val="false"/>
          <w:i w:val="false"/>
          <w:caps w:val="false"/>
          <w:smallCaps w:val="false"/>
          <w:color w:val="000000"/>
          <w:spacing w:val="4"/>
          <w:sz w:val="20"/>
        </w:rPr>
        <w:t xml:space="preserve">.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r>
        <mc:AlternateContent>
          <mc:Choice Requires="wps">
            <w:drawing>
              <wp:anchor behindDoc="0" distT="104140" distB="0" distL="254000" distR="0" simplePos="0" locked="0" layoutInCell="1" allowOverlap="1" relativeHeight="906">
                <wp:simplePos x="0" y="0"/>
                <wp:positionH relativeFrom="column">
                  <wp:align>left</wp:align>
                </wp:positionH>
                <wp:positionV relativeFrom="line">
                  <wp:align>top</wp:align>
                </wp:positionV>
                <wp:extent cx="254000" cy="350520"/>
                <wp:effectExtent l="0" t="0" r="0" b="0"/>
                <wp:wrapSquare wrapText="right"/>
                <wp:docPr id="904" name="Frame8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Vesting Criteria and Other Terms.</w:t>
      </w:r>
      <w:r>
        <w:rPr>
          <w:rFonts w:ascii="Times New Roman;Times;serif" w:hAnsi="Times New Roman;Times;serif"/>
          <w:b w:val="false"/>
          <w:i w:val="false"/>
          <w:caps w:val="false"/>
          <w:smallCaps w:val="false"/>
          <w:color w:val="000000"/>
          <w:spacing w:val="4"/>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 </w:t>
      </w:r>
      <w:r>
        <mc:AlternateContent>
          <mc:Choice Requires="wps">
            <w:drawing>
              <wp:anchor behindDoc="0" distT="104140" distB="0" distL="254000" distR="0" simplePos="0" locked="0" layoutInCell="1" allowOverlap="1" relativeHeight="907">
                <wp:simplePos x="0" y="0"/>
                <wp:positionH relativeFrom="column">
                  <wp:align>left</wp:align>
                </wp:positionH>
                <wp:positionV relativeFrom="line">
                  <wp:align>top</wp:align>
                </wp:positionV>
                <wp:extent cx="254000" cy="350520"/>
                <wp:effectExtent l="0" t="0" r="0" b="0"/>
                <wp:wrapSquare wrapText="right"/>
                <wp:docPr id="905" name="Frame8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Earning Restricted Stock Units</w:t>
      </w:r>
      <w:r>
        <w:rPr>
          <w:rFonts w:ascii="Times New Roman;Times;serif" w:hAnsi="Times New Roman;Times;serif"/>
          <w:b w:val="false"/>
          <w:i w:val="false"/>
          <w:caps w:val="false"/>
          <w:smallCaps w:val="false"/>
          <w:color w:val="000000"/>
          <w:spacing w:val="4"/>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r>
        <mc:AlternateContent>
          <mc:Choice Requires="wps">
            <w:drawing>
              <wp:anchor behindDoc="0" distT="104140" distB="0" distL="254000" distR="0" simplePos="0" locked="0" layoutInCell="1" allowOverlap="1" relativeHeight="908">
                <wp:simplePos x="0" y="0"/>
                <wp:positionH relativeFrom="column">
                  <wp:align>left</wp:align>
                </wp:positionH>
                <wp:positionV relativeFrom="line">
                  <wp:align>top</wp:align>
                </wp:positionV>
                <wp:extent cx="254000" cy="350520"/>
                <wp:effectExtent l="0" t="0" r="0" b="0"/>
                <wp:wrapSquare wrapText="right"/>
                <wp:docPr id="906" name="Frame8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and Timing of Payment</w:t>
      </w:r>
      <w:r>
        <w:rPr>
          <w:rFonts w:ascii="Times New Roman;Times;serif" w:hAnsi="Times New Roman;Times;serif"/>
          <w:b w:val="false"/>
          <w:i w:val="false"/>
          <w:caps w:val="false"/>
          <w:smallCaps w:val="false"/>
          <w:color w:val="000000"/>
          <w:spacing w:val="4"/>
          <w:sz w:val="20"/>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w:t>
      </w:r>
      <w:r>
        <mc:AlternateContent>
          <mc:Choice Requires="wps">
            <w:drawing>
              <wp:anchor behindDoc="0" distT="104140" distB="0" distL="254000" distR="0" simplePos="0" locked="0" layoutInCell="1" allowOverlap="1" relativeHeight="909">
                <wp:simplePos x="0" y="0"/>
                <wp:positionH relativeFrom="column">
                  <wp:align>left</wp:align>
                </wp:positionH>
                <wp:positionV relativeFrom="line">
                  <wp:align>top</wp:align>
                </wp:positionV>
                <wp:extent cx="254000" cy="350520"/>
                <wp:effectExtent l="0" t="0" r="0" b="0"/>
                <wp:wrapSquare wrapText="right"/>
                <wp:docPr id="907" name="Frame8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Cancellation</w:t>
      </w:r>
      <w:r>
        <w:rPr>
          <w:rFonts w:ascii="Times New Roman;Times;serif" w:hAnsi="Times New Roman;Times;serif"/>
          <w:b w:val="false"/>
          <w:i w:val="false"/>
          <w:caps w:val="false"/>
          <w:smallCaps w:val="false"/>
          <w:color w:val="000000"/>
          <w:spacing w:val="4"/>
          <w:sz w:val="20"/>
        </w:rPr>
        <w:t xml:space="preserve">.   On the date set forth in the Award Agreement, all unearned Restricted Stock Units will be forfeited to the Company. </w:t>
      </w:r>
      <w:r>
        <mc:AlternateContent>
          <mc:Choice Requires="wps">
            <w:drawing>
              <wp:anchor behindDoc="0" distT="104140" distB="0" distL="254000" distR="0" simplePos="0" locked="0" layoutInCell="1" allowOverlap="1" relativeHeight="910">
                <wp:simplePos x="0" y="0"/>
                <wp:positionH relativeFrom="column">
                  <wp:align>left</wp:align>
                </wp:positionH>
                <wp:positionV relativeFrom="line">
                  <wp:align>top</wp:align>
                </wp:positionV>
                <wp:extent cx="254000" cy="350520"/>
                <wp:effectExtent l="0" t="0" r="0" b="0"/>
                <wp:wrapSquare wrapText="right"/>
                <wp:docPr id="908" name="Frame8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Appreciation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11">
                <wp:simplePos x="0" y="0"/>
                <wp:positionH relativeFrom="column">
                  <wp:align>left</wp:align>
                </wp:positionH>
                <wp:positionV relativeFrom="line">
                  <wp:align>top</wp:align>
                </wp:positionV>
                <wp:extent cx="254000" cy="350520"/>
                <wp:effectExtent l="0" t="0" r="0" b="0"/>
                <wp:wrapSquare wrapText="right"/>
                <wp:docPr id="909" name="Frame8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Stock Appreciation Rights</w:t>
      </w:r>
      <w:r>
        <w:rPr>
          <w:rFonts w:ascii="Times New Roman;Times;serif" w:hAnsi="Times New Roman;Times;serif"/>
          <w:b w:val="false"/>
          <w:i w:val="false"/>
          <w:caps w:val="false"/>
          <w:smallCaps w:val="false"/>
          <w:color w:val="000000"/>
          <w:spacing w:val="4"/>
          <w:sz w:val="20"/>
        </w:rPr>
        <w:t xml:space="preserve">.   Subject to the terms and conditions of the Plan, a Stock Appreciation Right may be granted to Service Providers at any time and from time to time as will be determined by the Administrator, in its sole discretion. </w:t>
      </w:r>
      <w:r>
        <mc:AlternateContent>
          <mc:Choice Requires="wps">
            <w:drawing>
              <wp:anchor behindDoc="0" distT="104140" distB="0" distL="254000" distR="0" simplePos="0" locked="0" layoutInCell="1" allowOverlap="1" relativeHeight="912">
                <wp:simplePos x="0" y="0"/>
                <wp:positionH relativeFrom="column">
                  <wp:align>left</wp:align>
                </wp:positionH>
                <wp:positionV relativeFrom="line">
                  <wp:align>top</wp:align>
                </wp:positionV>
                <wp:extent cx="254000" cy="350520"/>
                <wp:effectExtent l="0" t="0" r="0" b="0"/>
                <wp:wrapSquare wrapText="right"/>
                <wp:docPr id="910" name="Frame8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The Administrator will have complete discretion to determine the number of Stock Appreciation Rights granted to any Service Provider. </w:t>
      </w:r>
      <w:r>
        <mc:AlternateContent>
          <mc:Choice Requires="wps">
            <w:drawing>
              <wp:anchor behindDoc="0" distT="104140" distB="0" distL="254000" distR="0" simplePos="0" locked="0" layoutInCell="1" allowOverlap="1" relativeHeight="913">
                <wp:simplePos x="0" y="0"/>
                <wp:positionH relativeFrom="column">
                  <wp:align>left</wp:align>
                </wp:positionH>
                <wp:positionV relativeFrom="line">
                  <wp:align>top</wp:align>
                </wp:positionV>
                <wp:extent cx="254000" cy="350520"/>
                <wp:effectExtent l="0" t="0" r="0" b="0"/>
                <wp:wrapSquare wrapText="right"/>
                <wp:docPr id="911" name="Frame9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 and Other Terms</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 </w:t>
      </w:r>
      <w:r>
        <mc:AlternateContent>
          <mc:Choice Requires="wps">
            <w:drawing>
              <wp:anchor behindDoc="0" distT="104140" distB="0" distL="254000" distR="0" simplePos="0" locked="0" layoutInCell="1" allowOverlap="1" relativeHeight="914">
                <wp:simplePos x="0" y="0"/>
                <wp:positionH relativeFrom="column">
                  <wp:align>left</wp:align>
                </wp:positionH>
                <wp:positionV relativeFrom="line">
                  <wp:align>top</wp:align>
                </wp:positionV>
                <wp:extent cx="254000" cy="350520"/>
                <wp:effectExtent l="0" t="0" r="0" b="0"/>
                <wp:wrapSquare wrapText="right"/>
                <wp:docPr id="912" name="Frame9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Appreciation Right Agreement.</w:t>
      </w:r>
      <w:r>
        <w:rPr>
          <w:rFonts w:ascii="Times New Roman;Times;serif" w:hAnsi="Times New Roman;Times;serif"/>
          <w:b w:val="false"/>
          <w:i w:val="false"/>
          <w:caps w:val="false"/>
          <w:smallCaps w:val="false"/>
          <w:color w:val="000000"/>
          <w:spacing w:val="4"/>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r>
        <mc:AlternateContent>
          <mc:Choice Requires="wps">
            <w:drawing>
              <wp:anchor behindDoc="0" distT="104140" distB="0" distL="254000" distR="0" simplePos="0" locked="0" layoutInCell="1" allowOverlap="1" relativeHeight="915">
                <wp:simplePos x="0" y="0"/>
                <wp:positionH relativeFrom="column">
                  <wp:align>left</wp:align>
                </wp:positionH>
                <wp:positionV relativeFrom="line">
                  <wp:align>top</wp:align>
                </wp:positionV>
                <wp:extent cx="254000" cy="350520"/>
                <wp:effectExtent l="0" t="0" r="0" b="0"/>
                <wp:wrapSquare wrapText="right"/>
                <wp:docPr id="913" name="Frame9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Expiration of Stock Appreciation Rights</w:t>
      </w:r>
      <w:r>
        <w:rPr>
          <w:rFonts w:ascii="Times New Roman;Times;serif" w:hAnsi="Times New Roman;Times;serif"/>
          <w:b w:val="false"/>
          <w:i w:val="false"/>
          <w:caps w:val="false"/>
          <w:smallCaps w:val="false"/>
          <w:color w:val="000000"/>
          <w:spacing w:val="4"/>
          <w:sz w:val="20"/>
        </w:rPr>
        <w:t xml:space="preserve">.   A Stock Appreciation Right granted under the Plan will expire upon the date determined by the Administrator, in its sole discretion, and set forth in the </w:t>
      </w:r>
      <w:r>
        <mc:AlternateContent>
          <mc:Choice Requires="wps">
            <w:drawing>
              <wp:anchor behindDoc="0" distT="104140" distB="0" distL="254000" distR="0" simplePos="0" locked="0" layoutInCell="1" allowOverlap="1" relativeHeight="916">
                <wp:simplePos x="0" y="0"/>
                <wp:positionH relativeFrom="column">
                  <wp:align>left</wp:align>
                </wp:positionH>
                <wp:positionV relativeFrom="line">
                  <wp:align>top</wp:align>
                </wp:positionV>
                <wp:extent cx="254000" cy="350520"/>
                <wp:effectExtent l="0" t="0" r="0" b="0"/>
                <wp:wrapSquare wrapText="right"/>
                <wp:docPr id="914" name="Frame9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Agreement. Notwithstanding the foregoing, the rules of Section 6(b) relating to the maximum term and Section 6(d) relating to exercise also will apply to Stock Appreciation Rights.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Payment of Stock Appreciation Right Amount</w:t>
      </w:r>
      <w:r>
        <w:rPr>
          <w:rFonts w:ascii="Times New Roman;Times;serif" w:hAnsi="Times New Roman;Times;serif"/>
          <w:b w:val="false"/>
          <w:i w:val="false"/>
          <w:caps w:val="false"/>
          <w:smallCaps w:val="false"/>
          <w:color w:val="000000"/>
          <w:spacing w:val="4"/>
          <w:sz w:val="20"/>
        </w:rPr>
        <w:t xml:space="preserve">.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 </w:t>
      </w:r>
      <w:r>
        <mc:AlternateContent>
          <mc:Choice Requires="wps">
            <w:drawing>
              <wp:anchor behindDoc="0" distT="99060" distB="0" distL="254000" distR="0" simplePos="0" locked="0" layoutInCell="1" allowOverlap="1" relativeHeight="917">
                <wp:simplePos x="0" y="0"/>
                <wp:positionH relativeFrom="column">
                  <wp:align>left</wp:align>
                </wp:positionH>
                <wp:positionV relativeFrom="line">
                  <wp:align>top</wp:align>
                </wp:positionV>
                <wp:extent cx="254000" cy="350520"/>
                <wp:effectExtent l="0" t="0" r="0" b="0"/>
                <wp:wrapSquare wrapText="right"/>
                <wp:docPr id="915" name="Frame9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Units and Performance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918">
                <wp:simplePos x="0" y="0"/>
                <wp:positionH relativeFrom="column">
                  <wp:align>left</wp:align>
                </wp:positionH>
                <wp:positionV relativeFrom="line">
                  <wp:align>top</wp:align>
                </wp:positionV>
                <wp:extent cx="254000" cy="350520"/>
                <wp:effectExtent l="0" t="0" r="0" b="0"/>
                <wp:wrapSquare wrapText="right"/>
                <wp:docPr id="916" name="Frame9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Performance Units/Shares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r>
        <mc:AlternateContent>
          <mc:Choice Requires="wps">
            <w:drawing>
              <wp:anchor behindDoc="0" distT="99060" distB="0" distL="254000" distR="0" simplePos="0" locked="0" layoutInCell="1" allowOverlap="1" relativeHeight="919">
                <wp:simplePos x="0" y="0"/>
                <wp:positionH relativeFrom="column">
                  <wp:align>left</wp:align>
                </wp:positionH>
                <wp:positionV relativeFrom="line">
                  <wp:align>top</wp:align>
                </wp:positionV>
                <wp:extent cx="254000" cy="350520"/>
                <wp:effectExtent l="0" t="0" r="0" b="0"/>
                <wp:wrapSquare wrapText="right"/>
                <wp:docPr id="917" name="Frame9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Value of Performance Units/Shares.</w:t>
      </w:r>
      <w:r>
        <w:rPr>
          <w:rFonts w:ascii="Times New Roman;Times;serif" w:hAnsi="Times New Roman;Times;serif"/>
          <w:b w:val="false"/>
          <w:i w:val="false"/>
          <w:caps w:val="false"/>
          <w:smallCaps w:val="false"/>
          <w:color w:val="000000"/>
          <w:spacing w:val="4"/>
          <w:sz w:val="20"/>
        </w:rPr>
        <w:t xml:space="preserve">   Each Performance Unit will have an initial value that is established by the Administrator on or before the date of grant. Each Performance Share will have an initial value equal to the Fair Market Value of a Share on the date of grant. </w:t>
      </w:r>
      <w:r>
        <mc:AlternateContent>
          <mc:Choice Requires="wps">
            <w:drawing>
              <wp:anchor behindDoc="0" distT="99060" distB="0" distL="254000" distR="0" simplePos="0" locked="0" layoutInCell="1" allowOverlap="1" relativeHeight="920">
                <wp:simplePos x="0" y="0"/>
                <wp:positionH relativeFrom="column">
                  <wp:align>left</wp:align>
                </wp:positionH>
                <wp:positionV relativeFrom="line">
                  <wp:align>top</wp:align>
                </wp:positionV>
                <wp:extent cx="254000" cy="350520"/>
                <wp:effectExtent l="0" t="0" r="0" b="0"/>
                <wp:wrapSquare wrapText="right"/>
                <wp:docPr id="918" name="Frame9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Objectives and Other Terms</w:t>
      </w:r>
      <w:r>
        <w:rPr>
          <w:rFonts w:ascii="Times New Roman;Times;serif" w:hAnsi="Times New Roman;Times;serif"/>
          <w:b w:val="false"/>
          <w:i w:val="false"/>
          <w:caps w:val="false"/>
          <w:smallCaps w:val="false"/>
          <w:color w:val="000000"/>
          <w:spacing w:val="4"/>
          <w:sz w:val="20"/>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 </w:t>
      </w:r>
      <w:r>
        <mc:AlternateContent>
          <mc:Choice Requires="wps">
            <w:drawing>
              <wp:anchor behindDoc="0" distT="99060" distB="0" distL="254000" distR="0" simplePos="0" locked="0" layoutInCell="1" allowOverlap="1" relativeHeight="921">
                <wp:simplePos x="0" y="0"/>
                <wp:positionH relativeFrom="column">
                  <wp:align>left</wp:align>
                </wp:positionH>
                <wp:positionV relativeFrom="line">
                  <wp:align>top</wp:align>
                </wp:positionV>
                <wp:extent cx="254000" cy="350520"/>
                <wp:effectExtent l="0" t="0" r="0" b="0"/>
                <wp:wrapSquare wrapText="right"/>
                <wp:docPr id="919" name="Frame9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Earning of Performance Units/Shares</w:t>
      </w:r>
      <w:r>
        <w:rPr>
          <w:rFonts w:ascii="Times New Roman;Times;serif" w:hAnsi="Times New Roman;Times;serif"/>
          <w:b w:val="false"/>
          <w:i w:val="false"/>
          <w:caps w:val="false"/>
          <w:smallCaps w:val="false"/>
          <w:color w:val="000000"/>
          <w:spacing w:val="4"/>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r>
        <mc:AlternateContent>
          <mc:Choice Requires="wps">
            <w:drawing>
              <wp:anchor behindDoc="0" distT="100330" distB="0" distL="254000" distR="0" simplePos="0" locked="0" layoutInCell="1" allowOverlap="1" relativeHeight="922">
                <wp:simplePos x="0" y="0"/>
                <wp:positionH relativeFrom="column">
                  <wp:align>left</wp:align>
                </wp:positionH>
                <wp:positionV relativeFrom="line">
                  <wp:align>top</wp:align>
                </wp:positionV>
                <wp:extent cx="254000" cy="350520"/>
                <wp:effectExtent l="0" t="0" r="0" b="0"/>
                <wp:wrapSquare wrapText="right"/>
                <wp:docPr id="920" name="Frame9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and Timing of Payment of Performance Units/Shares</w:t>
      </w:r>
      <w:r>
        <w:rPr>
          <w:rFonts w:ascii="Times New Roman;Times;serif" w:hAnsi="Times New Roman;Times;serif"/>
          <w:b w:val="false"/>
          <w:i w:val="false"/>
          <w:caps w:val="false"/>
          <w:smallCaps w:val="false"/>
          <w:color w:val="000000"/>
          <w:spacing w:val="4"/>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r>
        <mc:AlternateContent>
          <mc:Choice Requires="wps">
            <w:drawing>
              <wp:anchor behindDoc="0" distT="100330" distB="0" distL="254000" distR="0" simplePos="0" locked="0" layoutInCell="1" allowOverlap="1" relativeHeight="923">
                <wp:simplePos x="0" y="0"/>
                <wp:positionH relativeFrom="column">
                  <wp:align>left</wp:align>
                </wp:positionH>
                <wp:positionV relativeFrom="line">
                  <wp:align>top</wp:align>
                </wp:positionV>
                <wp:extent cx="254000" cy="350520"/>
                <wp:effectExtent l="0" t="0" r="0" b="0"/>
                <wp:wrapSquare wrapText="right"/>
                <wp:docPr id="921" name="Frame9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Cancellation of Performance Units/Shares</w:t>
      </w:r>
      <w:r>
        <w:rPr>
          <w:rFonts w:ascii="Times New Roman;Times;serif" w:hAnsi="Times New Roman;Times;serif"/>
          <w:b w:val="false"/>
          <w:i w:val="false"/>
          <w:caps w:val="false"/>
          <w:smallCaps w:val="false"/>
          <w:color w:val="000000"/>
          <w:spacing w:val="4"/>
          <w:sz w:val="20"/>
        </w:rPr>
        <w:t xml:space="preserve">.   On the date set forth in the Award Agreement, all unearned or unvested Performance Units/Shares will be forfeited to the Company, and again will be available for grant under the Plan. </w:t>
      </w:r>
      <w:r>
        <mc:AlternateContent>
          <mc:Choice Requires="wps">
            <w:drawing>
              <wp:anchor behindDoc="0" distT="100330" distB="0" distL="254000" distR="0" simplePos="0" locked="0" layoutInCell="1" allowOverlap="1" relativeHeight="924">
                <wp:simplePos x="0" y="0"/>
                <wp:positionH relativeFrom="column">
                  <wp:align>left</wp:align>
                </wp:positionH>
                <wp:positionV relativeFrom="line">
                  <wp:align>top</wp:align>
                </wp:positionV>
                <wp:extent cx="254000" cy="350520"/>
                <wp:effectExtent l="0" t="0" r="0" b="0"/>
                <wp:wrapSquare wrapText="right"/>
                <wp:docPr id="922" name="Frame9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Leaves of Absence/Transfers Between Locations</w:t>
      </w:r>
      <w:r>
        <w:rPr>
          <w:rFonts w:ascii="Times New Roman;Times;serif" w:hAnsi="Times New Roman;Times;serif"/>
          <w:b w:val="false"/>
          <w:i w:val="false"/>
          <w:caps w:val="false"/>
          <w:smallCaps w:val="false"/>
          <w:color w:val="000000"/>
          <w:spacing w:val="4"/>
          <w:sz w:val="20"/>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w:t>
      </w:r>
      <w:r>
        <mc:AlternateContent>
          <mc:Choice Requires="wps">
            <w:drawing>
              <wp:anchor behindDoc="0" distT="100330" distB="0" distL="0" distR="0" simplePos="0" locked="0" layoutInCell="1" allowOverlap="1" relativeHeight="925">
                <wp:simplePos x="0" y="0"/>
                <wp:positionH relativeFrom="column">
                  <wp:align>left</wp:align>
                </wp:positionH>
                <wp:positionV relativeFrom="line">
                  <wp:align>top</wp:align>
                </wp:positionV>
                <wp:extent cx="254000" cy="350520"/>
                <wp:effectExtent l="0" t="0" r="0" b="0"/>
                <wp:wrapSquare wrapText="right"/>
                <wp:docPr id="923" name="Frame9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months following the first day of such leave any Incentive Stock Option held by the Participant will cease to be treated as an Incentive Stock Option and will be treated for tax purposes as a Nonstatutory Stock Option. </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 </w:t>
      </w:r>
      <w:r>
        <mc:AlternateContent>
          <mc:Choice Requires="wps">
            <w:drawing>
              <wp:anchor behindDoc="0" distT="104140" distB="0" distL="0" distR="0" simplePos="0" locked="0" layoutInCell="1" allowOverlap="1" relativeHeight="926">
                <wp:simplePos x="0" y="0"/>
                <wp:positionH relativeFrom="column">
                  <wp:align>left</wp:align>
                </wp:positionH>
                <wp:positionV relativeFrom="line">
                  <wp:align>top</wp:align>
                </wp:positionV>
                <wp:extent cx="254000" cy="350520"/>
                <wp:effectExtent l="0" t="0" r="0" b="0"/>
                <wp:wrapSquare wrapText="right"/>
                <wp:docPr id="924" name="Frame9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 Dissolution or Liquidation; Merger or Change in Control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27">
                <wp:simplePos x="0" y="0"/>
                <wp:positionH relativeFrom="column">
                  <wp:align>left</wp:align>
                </wp:positionH>
                <wp:positionV relativeFrom="line">
                  <wp:align>top</wp:align>
                </wp:positionV>
                <wp:extent cx="254000" cy="350520"/>
                <wp:effectExtent l="0" t="0" r="0" b="0"/>
                <wp:wrapSquare wrapText="right"/>
                <wp:docPr id="925" name="Frame9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 </w:t>
      </w:r>
      <w:r>
        <mc:AlternateContent>
          <mc:Choice Requires="wps">
            <w:drawing>
              <wp:anchor behindDoc="0" distT="104140" distB="0" distL="254000" distR="0" simplePos="0" locked="0" layoutInCell="1" allowOverlap="1" relativeHeight="928">
                <wp:simplePos x="0" y="0"/>
                <wp:positionH relativeFrom="column">
                  <wp:align>left</wp:align>
                </wp:positionH>
                <wp:positionV relativeFrom="line">
                  <wp:align>top</wp:align>
                </wp:positionV>
                <wp:extent cx="254000" cy="350520"/>
                <wp:effectExtent l="0" t="0" r="0" b="0"/>
                <wp:wrapSquare wrapText="right"/>
                <wp:docPr id="926" name="Frame9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Dissolution or Liquidation</w:t>
      </w:r>
      <w:r>
        <w:rPr>
          <w:rFonts w:ascii="Times New Roman;Times;serif" w:hAnsi="Times New Roman;Times;serif"/>
          <w:b w:val="false"/>
          <w:i w:val="false"/>
          <w:caps w:val="false"/>
          <w:smallCaps w:val="false"/>
          <w:color w:val="000000"/>
          <w:spacing w:val="4"/>
          <w:sz w:val="20"/>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r>
        <mc:AlternateContent>
          <mc:Choice Requires="wps">
            <w:drawing>
              <wp:anchor behindDoc="0" distT="104140" distB="0" distL="254000" distR="0" simplePos="0" locked="0" layoutInCell="1" allowOverlap="1" relativeHeight="929">
                <wp:simplePos x="0" y="0"/>
                <wp:positionH relativeFrom="column">
                  <wp:align>left</wp:align>
                </wp:positionH>
                <wp:positionV relativeFrom="line">
                  <wp:align>top</wp:align>
                </wp:positionV>
                <wp:extent cx="254000" cy="350520"/>
                <wp:effectExtent l="0" t="0" r="0" b="0"/>
                <wp:wrapSquare wrapText="right"/>
                <wp:docPr id="927" name="Frame9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 </w:t>
      </w:r>
      <w:r>
        <mc:AlternateContent>
          <mc:Choice Requires="wps">
            <w:drawing>
              <wp:anchor behindDoc="0" distT="104140" distB="0" distL="254000" distR="0" simplePos="0" locked="0" layoutInCell="1" allowOverlap="1" relativeHeight="930">
                <wp:simplePos x="0" y="0"/>
                <wp:positionH relativeFrom="column">
                  <wp:align>left</wp:align>
                </wp:positionH>
                <wp:positionV relativeFrom="line">
                  <wp:align>top</wp:align>
                </wp:positionV>
                <wp:extent cx="254000" cy="350520"/>
                <wp:effectExtent l="0" t="0" r="0" b="0"/>
                <wp:wrapSquare wrapText="right"/>
                <wp:docPr id="928" name="Frame9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Outside Director Awards</w:t>
      </w:r>
      <w:r>
        <w:rPr>
          <w:rFonts w:ascii="Times New Roman;Times;serif" w:hAnsi="Times New Roman;Times;serif"/>
          <w:b w:val="false"/>
          <w:i w:val="false"/>
          <w:caps w:val="false"/>
          <w:smallCaps w:val="false"/>
          <w:color w:val="000000"/>
          <w:spacing w:val="4"/>
          <w:sz w:val="20"/>
        </w:rPr>
        <w:t xml:space="preserve">.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 </w:t>
      </w:r>
      <w:r>
        <mc:AlternateContent>
          <mc:Choice Requires="wps">
            <w:drawing>
              <wp:anchor behindDoc="0" distT="101600" distB="0" distL="254000" distR="0" simplePos="0" locked="0" layoutInCell="1" allowOverlap="1" relativeHeight="931">
                <wp:simplePos x="0" y="0"/>
                <wp:positionH relativeFrom="column">
                  <wp:align>left</wp:align>
                </wp:positionH>
                <wp:positionV relativeFrom="line">
                  <wp:align>top</wp:align>
                </wp:positionV>
                <wp:extent cx="254000" cy="350520"/>
                <wp:effectExtent l="0" t="0" r="0" b="0"/>
                <wp:wrapSquare wrapText="right"/>
                <wp:docPr id="929" name="Frame9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32">
                <wp:simplePos x="0" y="0"/>
                <wp:positionH relativeFrom="column">
                  <wp:align>left</wp:align>
                </wp:positionH>
                <wp:positionV relativeFrom="line">
                  <wp:align>top</wp:align>
                </wp:positionV>
                <wp:extent cx="254000" cy="350520"/>
                <wp:effectExtent l="0" t="0" r="0" b="0"/>
                <wp:wrapSquare wrapText="right"/>
                <wp:docPr id="930" name="Frame9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Requirements</w:t>
      </w:r>
      <w:r>
        <w:rPr>
          <w:rFonts w:ascii="Times New Roman;Times;serif" w:hAnsi="Times New Roman;Times;serif"/>
          <w:b w:val="false"/>
          <w:i w:val="false"/>
          <w:caps w:val="false"/>
          <w:smallCaps w:val="false"/>
          <w:color w:val="000000"/>
          <w:spacing w:val="4"/>
          <w:sz w:val="20"/>
        </w:rPr>
        <w:t xml:space="preserve">.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r>
        <mc:AlternateContent>
          <mc:Choice Requires="wps">
            <w:drawing>
              <wp:anchor behindDoc="0" distT="101600" distB="0" distL="254000" distR="0" simplePos="0" locked="0" layoutInCell="1" allowOverlap="1" relativeHeight="933">
                <wp:simplePos x="0" y="0"/>
                <wp:positionH relativeFrom="column">
                  <wp:align>left</wp:align>
                </wp:positionH>
                <wp:positionV relativeFrom="line">
                  <wp:align>top</wp:align>
                </wp:positionV>
                <wp:extent cx="254000" cy="350520"/>
                <wp:effectExtent l="0" t="0" r="0" b="0"/>
                <wp:wrapSquare wrapText="right"/>
                <wp:docPr id="931" name="Frame9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Arrangements</w:t>
      </w:r>
      <w:r>
        <w:rPr>
          <w:rFonts w:ascii="Times New Roman;Times;serif" w:hAnsi="Times New Roman;Times;serif"/>
          <w:b w:val="false"/>
          <w:i w:val="false"/>
          <w:caps w:val="false"/>
          <w:smallCaps w:val="false"/>
          <w:color w:val="000000"/>
          <w:spacing w:val="4"/>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 </w:t>
      </w:r>
      <w:r>
        <mc:AlternateContent>
          <mc:Choice Requires="wps">
            <w:drawing>
              <wp:anchor behindDoc="0" distT="101600" distB="0" distL="254000" distR="0" simplePos="0" locked="0" layoutInCell="1" allowOverlap="1" relativeHeight="934">
                <wp:simplePos x="0" y="0"/>
                <wp:positionH relativeFrom="column">
                  <wp:align>left</wp:align>
                </wp:positionH>
                <wp:positionV relativeFrom="line">
                  <wp:align>top</wp:align>
                </wp:positionV>
                <wp:extent cx="254000" cy="350520"/>
                <wp:effectExtent l="0" t="0" r="0" b="0"/>
                <wp:wrapSquare wrapText="right"/>
                <wp:docPr id="932" name="Frame9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Compliance With Code Section 409A</w:t>
      </w:r>
      <w:r>
        <w:rPr>
          <w:rFonts w:ascii="Times New Roman;Times;serif" w:hAnsi="Times New Roman;Times;serif"/>
          <w:b w:val="false"/>
          <w:i w:val="false"/>
          <w:caps w:val="false"/>
          <w:smallCaps w:val="false"/>
          <w:color w:val="000000"/>
          <w:spacing w:val="4"/>
          <w:sz w:val="20"/>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w:t>
      </w:r>
      <w:r>
        <mc:AlternateContent>
          <mc:Choice Requires="wps">
            <w:drawing>
              <wp:anchor behindDoc="0" distT="101600" distB="0" distL="254000" distR="0" simplePos="0" locked="0" layoutInCell="1" allowOverlap="1" relativeHeight="935">
                <wp:simplePos x="0" y="0"/>
                <wp:positionH relativeFrom="column">
                  <wp:align>left</wp:align>
                </wp:positionH>
                <wp:positionV relativeFrom="line">
                  <wp:align>top</wp:align>
                </wp:positionV>
                <wp:extent cx="254000" cy="350520"/>
                <wp:effectExtent l="0" t="0" r="0" b="0"/>
                <wp:wrapSquare wrapText="right"/>
                <wp:docPr id="933" name="Frame9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 Effect on Employment or Service</w:t>
      </w:r>
      <w:r>
        <w:rPr>
          <w:rFonts w:ascii="Times New Roman;Times;serif" w:hAnsi="Times New Roman;Times;serif"/>
          <w:b w:val="false"/>
          <w:i w:val="false"/>
          <w:caps w:val="false"/>
          <w:smallCaps w:val="false"/>
          <w:color w:val="000000"/>
          <w:spacing w:val="4"/>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r>
        <mc:AlternateContent>
          <mc:Choice Requires="wps">
            <w:drawing>
              <wp:anchor behindDoc="0" distT="101600" distB="0" distL="0" distR="0" simplePos="0" locked="0" layoutInCell="1" allowOverlap="1" relativeHeight="936">
                <wp:simplePos x="0" y="0"/>
                <wp:positionH relativeFrom="column">
                  <wp:align>left</wp:align>
                </wp:positionH>
                <wp:positionV relativeFrom="line">
                  <wp:align>top</wp:align>
                </wp:positionV>
                <wp:extent cx="254000" cy="350520"/>
                <wp:effectExtent l="0" t="0" r="0" b="0"/>
                <wp:wrapSquare wrapText="right"/>
                <wp:docPr id="934" name="Frame9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Date of Grant</w:t>
      </w:r>
      <w:r>
        <w:rPr>
          <w:rFonts w:ascii="Times New Roman;Times;serif" w:hAnsi="Times New Roman;Times;serif"/>
          <w:b w:val="false"/>
          <w:i w:val="false"/>
          <w:caps w:val="false"/>
          <w:smallCaps w:val="false"/>
          <w:color w:val="000000"/>
          <w:spacing w:val="4"/>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r>
        <mc:AlternateContent>
          <mc:Choice Requires="wps">
            <w:drawing>
              <wp:anchor behindDoc="0" distT="101600" distB="0" distL="0" distR="0" simplePos="0" locked="0" layoutInCell="1" allowOverlap="1" relativeHeight="937">
                <wp:simplePos x="0" y="0"/>
                <wp:positionH relativeFrom="column">
                  <wp:align>left</wp:align>
                </wp:positionH>
                <wp:positionV relativeFrom="line">
                  <wp:align>top</wp:align>
                </wp:positionV>
                <wp:extent cx="254000" cy="350520"/>
                <wp:effectExtent l="0" t="0" r="0" b="0"/>
                <wp:wrapSquare wrapText="right"/>
                <wp:docPr id="935" name="Frame9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 of Plan</w:t>
      </w:r>
      <w:r>
        <w:rPr>
          <w:rFonts w:ascii="Times New Roman;Times;serif" w:hAnsi="Times New Roman;Times;serif"/>
          <w:b w:val="false"/>
          <w:i w:val="false"/>
          <w:caps w:val="false"/>
          <w:smallCaps w:val="false"/>
          <w:color w:val="000000"/>
          <w:spacing w:val="4"/>
          <w:sz w:val="20"/>
        </w:rPr>
        <w:t xml:space="preserve">.   Subject to Section 22 of the Plan, this amendment of the Plan will become effective upon the Amendment Effective Date. It will continue in effect for a term of ten (10) years from the date of the Amendment Effective Date, unless terminated earlier under Section 18 of the Plan. </w:t>
      </w:r>
      <w:r>
        <mc:AlternateContent>
          <mc:Choice Requires="wps">
            <w:drawing>
              <wp:anchor behindDoc="0" distT="0" distB="0" distL="0" distR="0" simplePos="0" locked="0" layoutInCell="1" allowOverlap="1" relativeHeight="938">
                <wp:simplePos x="0" y="0"/>
                <wp:positionH relativeFrom="column">
                  <wp:align>left</wp:align>
                </wp:positionH>
                <wp:positionV relativeFrom="line">
                  <wp:posOffset>635</wp:posOffset>
                </wp:positionV>
                <wp:extent cx="254000" cy="350520"/>
                <wp:effectExtent l="0" t="0" r="0" b="0"/>
                <wp:wrapSquare wrapText="right"/>
                <wp:docPr id="936" name="Frame9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 and Termination of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39">
                <wp:simplePos x="0" y="0"/>
                <wp:positionH relativeFrom="column">
                  <wp:align>left</wp:align>
                </wp:positionH>
                <wp:positionV relativeFrom="line">
                  <wp:align>top</wp:align>
                </wp:positionV>
                <wp:extent cx="254000" cy="350520"/>
                <wp:effectExtent l="0" t="0" r="0" b="0"/>
                <wp:wrapSquare wrapText="right"/>
                <wp:docPr id="937" name="Frame9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 and Termination</w:t>
      </w:r>
      <w:r>
        <w:rPr>
          <w:rFonts w:ascii="Times New Roman;Times;serif" w:hAnsi="Times New Roman;Times;serif"/>
          <w:b w:val="false"/>
          <w:i w:val="false"/>
          <w:caps w:val="false"/>
          <w:smallCaps w:val="false"/>
          <w:color w:val="000000"/>
          <w:spacing w:val="4"/>
          <w:sz w:val="20"/>
        </w:rPr>
        <w:t xml:space="preserve">.   The Board may at any time amend, alter, suspend or terminate the Plan. </w:t>
      </w:r>
      <w:r>
        <mc:AlternateContent>
          <mc:Choice Requires="wps">
            <w:drawing>
              <wp:anchor behindDoc="0" distT="101600" distB="0" distL="254000" distR="0" simplePos="0" locked="0" layoutInCell="1" allowOverlap="1" relativeHeight="940">
                <wp:simplePos x="0" y="0"/>
                <wp:positionH relativeFrom="column">
                  <wp:align>left</wp:align>
                </wp:positionH>
                <wp:positionV relativeFrom="line">
                  <wp:align>top</wp:align>
                </wp:positionV>
                <wp:extent cx="254000" cy="350520"/>
                <wp:effectExtent l="0" t="0" r="0" b="0"/>
                <wp:wrapSquare wrapText="right"/>
                <wp:docPr id="938" name="Frame9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xml:space="preserve">.   The Company will obtain stockholder approval of any Plan amendment to the extent necessary and desirable to comply with Applicable Laws. </w:t>
      </w:r>
      <w:r>
        <mc:AlternateContent>
          <mc:Choice Requires="wps">
            <w:drawing>
              <wp:anchor behindDoc="0" distT="101600" distB="0" distL="254000" distR="0" simplePos="0" locked="0" layoutInCell="1" allowOverlap="1" relativeHeight="941">
                <wp:simplePos x="0" y="0"/>
                <wp:positionH relativeFrom="column">
                  <wp:align>left</wp:align>
                </wp:positionH>
                <wp:positionV relativeFrom="line">
                  <wp:align>top</wp:align>
                </wp:positionV>
                <wp:extent cx="254000" cy="350520"/>
                <wp:effectExtent l="0" t="0" r="0" b="0"/>
                <wp:wrapSquare wrapText="right"/>
                <wp:docPr id="939" name="Frame9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Amendment or Termination</w:t>
      </w:r>
      <w:r>
        <w:rPr>
          <w:rFonts w:ascii="Times New Roman;Times;serif" w:hAnsi="Times New Roman;Times;serif"/>
          <w:b w:val="false"/>
          <w:i w:val="false"/>
          <w:caps w:val="false"/>
          <w:smallCaps w:val="false"/>
          <w:color w:val="000000"/>
          <w:spacing w:val="4"/>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r>
        <mc:AlternateContent>
          <mc:Choice Requires="wps">
            <w:drawing>
              <wp:anchor behindDoc="0" distT="101600" distB="0" distL="254000" distR="0" simplePos="0" locked="0" layoutInCell="1" allowOverlap="1" relativeHeight="942">
                <wp:simplePos x="0" y="0"/>
                <wp:positionH relativeFrom="column">
                  <wp:align>left</wp:align>
                </wp:positionH>
                <wp:positionV relativeFrom="line">
                  <wp:align>top</wp:align>
                </wp:positionV>
                <wp:extent cx="254000" cy="350520"/>
                <wp:effectExtent l="0" t="0" r="0" b="0"/>
                <wp:wrapSquare wrapText="right"/>
                <wp:docPr id="940" name="Frame9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Conditions Upon Issuance of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3">
                <wp:simplePos x="0" y="0"/>
                <wp:positionH relativeFrom="column">
                  <wp:align>left</wp:align>
                </wp:positionH>
                <wp:positionV relativeFrom="line">
                  <wp:align>top</wp:align>
                </wp:positionV>
                <wp:extent cx="254000" cy="350520"/>
                <wp:effectExtent l="0" t="0" r="0" b="0"/>
                <wp:wrapSquare wrapText="right"/>
                <wp:docPr id="941" name="Frame9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Legal Compliance</w:t>
      </w:r>
      <w:r>
        <w:rPr>
          <w:rFonts w:ascii="Times New Roman;Times;serif" w:hAnsi="Times New Roman;Times;serif"/>
          <w:b w:val="false"/>
          <w:i w:val="false"/>
          <w:caps w:val="false"/>
          <w:smallCaps w:val="false"/>
          <w:color w:val="000000"/>
          <w:spacing w:val="4"/>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r>
        <mc:AlternateContent>
          <mc:Choice Requires="wps">
            <w:drawing>
              <wp:anchor behindDoc="0" distT="101600" distB="0" distL="254000" distR="0" simplePos="0" locked="0" layoutInCell="1" allowOverlap="1" relativeHeight="944">
                <wp:simplePos x="0" y="0"/>
                <wp:positionH relativeFrom="column">
                  <wp:align>left</wp:align>
                </wp:positionH>
                <wp:positionV relativeFrom="line">
                  <wp:align>top</wp:align>
                </wp:positionV>
                <wp:extent cx="254000" cy="350520"/>
                <wp:effectExtent l="0" t="0" r="0" b="0"/>
                <wp:wrapSquare wrapText="right"/>
                <wp:docPr id="942" name="Frame9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Investment Representations</w:t>
      </w:r>
      <w:r>
        <w:rPr>
          <w:rFonts w:ascii="Times New Roman;Times;serif" w:hAnsi="Times New Roman;Times;serif"/>
          <w:b w:val="false"/>
          <w:i w:val="false"/>
          <w:caps w:val="false"/>
          <w:smallCaps w:val="false"/>
          <w:color w:val="000000"/>
          <w:spacing w:val="4"/>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r>
        <mc:AlternateContent>
          <mc:Choice Requires="wps">
            <w:drawing>
              <wp:anchor behindDoc="0" distT="101600" distB="0" distL="254000" distR="0" simplePos="0" locked="0" layoutInCell="1" allowOverlap="1" relativeHeight="945">
                <wp:simplePos x="0" y="0"/>
                <wp:positionH relativeFrom="column">
                  <wp:align>left</wp:align>
                </wp:positionH>
                <wp:positionV relativeFrom="line">
                  <wp:align>top</wp:align>
                </wp:positionV>
                <wp:extent cx="254000" cy="350520"/>
                <wp:effectExtent l="0" t="0" r="0" b="0"/>
                <wp:wrapSquare wrapText="right"/>
                <wp:docPr id="943" name="Frame9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Inability to Obtain Authority</w:t>
      </w:r>
      <w:r>
        <w:rPr>
          <w:rFonts w:ascii="Times New Roman;Times;serif" w:hAnsi="Times New Roman;Times;serif"/>
          <w:b w:val="false"/>
          <w:i w:val="false"/>
          <w:caps w:val="false"/>
          <w:smallCaps w:val="false"/>
          <w:color w:val="000000"/>
          <w:spacing w:val="4"/>
          <w:sz w:val="20"/>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r>
        <mc:AlternateContent>
          <mc:Choice Requires="wps">
            <w:drawing>
              <wp:anchor behindDoc="0" distT="101600" distB="0" distL="0" distR="0" simplePos="0" locked="0" layoutInCell="1" allowOverlap="1" relativeHeight="946">
                <wp:simplePos x="0" y="0"/>
                <wp:positionH relativeFrom="column">
                  <wp:align>left</wp:align>
                </wp:positionH>
                <wp:positionV relativeFrom="line">
                  <wp:align>top</wp:align>
                </wp:positionV>
                <wp:extent cx="254000" cy="350520"/>
                <wp:effectExtent l="0" t="0" r="0" b="0"/>
                <wp:wrapSquare wrapText="right"/>
                <wp:docPr id="944" name="Frame9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Forfeiture Events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7">
                <wp:simplePos x="0" y="0"/>
                <wp:positionH relativeFrom="column">
                  <wp:align>left</wp:align>
                </wp:positionH>
                <wp:positionV relativeFrom="line">
                  <wp:align>top</wp:align>
                </wp:positionV>
                <wp:extent cx="254000" cy="350520"/>
                <wp:effectExtent l="0" t="0" r="0" b="0"/>
                <wp:wrapSquare wrapText="right"/>
                <wp:docPr id="945" name="Frame9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 </w:t>
      </w:r>
      <w:r>
        <mc:AlternateContent>
          <mc:Choice Requires="wps">
            <w:drawing>
              <wp:anchor behindDoc="0" distT="101600" distB="0" distL="254000" distR="0" simplePos="0" locked="0" layoutInCell="1" allowOverlap="1" relativeHeight="948">
                <wp:simplePos x="0" y="0"/>
                <wp:positionH relativeFrom="column">
                  <wp:align>left</wp:align>
                </wp:positionH>
                <wp:positionV relativeFrom="line">
                  <wp:align>top</wp:align>
                </wp:positionV>
                <wp:extent cx="254000" cy="350520"/>
                <wp:effectExtent l="0" t="0" r="0" b="0"/>
                <wp:wrapSquare wrapText="right"/>
                <wp:docPr id="946" name="Frame9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 </w:t>
      </w:r>
      <w:r>
        <mc:AlternateContent>
          <mc:Choice Requires="wps">
            <w:drawing>
              <wp:anchor behindDoc="0" distT="101600" distB="0" distL="254000" distR="0" simplePos="0" locked="0" layoutInCell="1" allowOverlap="1" relativeHeight="949">
                <wp:simplePos x="0" y="0"/>
                <wp:positionH relativeFrom="column">
                  <wp:align>left</wp:align>
                </wp:positionH>
                <wp:positionV relativeFrom="line">
                  <wp:align>top</wp:align>
                </wp:positionV>
                <wp:extent cx="254000" cy="350520"/>
                <wp:effectExtent l="0" t="0" r="0" b="0"/>
                <wp:wrapSquare wrapText="right"/>
                <wp:docPr id="947" name="Frame9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This amendment of the Plan is subject to, and contingent upon, stockholder approval at the Special Meeting of Stockholders. Such stockholder approval will be obtained in the manner and to the degree required under Applicable Laws.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0" distR="0" simplePos="0" locked="0" layoutInCell="1" allowOverlap="1" relativeHeight="950">
                <wp:simplePos x="0" y="0"/>
                <wp:positionH relativeFrom="column">
                  <wp:align>left</wp:align>
                </wp:positionH>
                <wp:positionV relativeFrom="line">
                  <wp:posOffset>635</wp:posOffset>
                </wp:positionV>
                <wp:extent cx="254000" cy="304800"/>
                <wp:effectExtent l="0" t="0" r="0" b="0"/>
                <wp:wrapSquare wrapText="right"/>
                <wp:docPr id="948" name="Frame93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Officers and Directors of Standard BioTools.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is a Delaware corporation. Section 102(b)(7) of the DGCL (“Section 102(b)(7)”)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breached the duty of loyalty, failed to act in good faith, engaged in intentional misconduct or knowingly violated a law, authorized the payment of a dividend or approved a stock repurchase in violation of the DGCL, or obtained an improper personal benefit.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which such officer or director has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102(b)(7), the Standard BioTools Charter contains a provision eliminating the personal liability of a director to Standard BioTools or its stockholders for monetary damages for breach of fiduciary duty as a director, subject to certain exceptions.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Bylaws provide that Standard BioTools shall indemnify, to the fullest extent permitted by the DGCL (as currently in effect or as it may in the future be amended), any person (each, an “Indemnified Person”) who was or is a party or is threatened to be made a party to any threatened, pending or completed action, suit or proceeding, whether civil, criminal, administrative or investigative (a “Proceeding”) (other than an action by or in the right of Standard BioTools) by reason of the fact that the Indemnified Person is or was a director of Standard BioTools or an officer of Standard BioTools, or while a director of Standard BioTools or officer of Standard BioTools is or was serving at the request of Standard BioTools as a director, officer, employee or agent of another corporation, partnership, joint venture, trust or other enterprise, against expenses (including attorneys’ fees), judgments, fines and amounts paid in settlement actually and reasonably incurred by the Indemnified Person in connection with such Proceeding if the Indemnified Person acted in good faith and in a manner the Indemnified Person reasonably believed to be in or not opposed to the best interests of Standard BioTools, and, with respect to any criminal action or proceeding, had no reasonable cause to believe the Indemnified Person’s conduct was unlawful.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attorneys’ fees) incurred by an Indemnified Person in defending any Proceeding shall be paid by Standard BioTools in advance of the final disposition of such Proceeding upon receipt of a written request therefor (together with documentation reasonably evidencing such expenses) and an undertaking by or on behalf of the Indemnified Person to repay such amounts if it shall ultimately be determined that the person is not entitled to be indemnified under the Standard BioTools Bylaws or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from the Effective Time of the Merger, Standard BioTools shall maintain in effect the exculpation, indemnification and advancement of expenses provisions as provided in the organizational documents of SomaLogic, and shall not amend, repeal, abrogate or otherwise modify in any manner that would adversely affect any Indemnified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indemnify and hold harmless each present (as of the Effective Time of the Merger) or former director or officer of SomaLogic, against all obligations to pay a judgment, damages, settlement, or fine or penalty, and reasonable expenses (including legal expenses) incurred in connection with any action or claim, whether civil, criminal, administrative, arbitrative or investigative, and whether formal or informal, by reason of the fact that such person is or was an officer, director, employee, fiduciary or agent of SomaLogic or its subsidiaries, or of another entity if such service was at the request of SomaLogic, whether asserted or claimed prior to, at, or after the Effective Time of the Merger, to the fullest extent provided for under existing arrangements disclosed to Standard BioTools prior to the date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 and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the exhibits included as part of this registration statement is set forth on the index of exhibits immediately preceding such exhibits and is incorporated herein by reference. </w:t>
      </w:r>
      <w:r>
        <mc:AlternateContent>
          <mc:Choice Requires="wps">
            <w:drawing>
              <wp:anchor behindDoc="0" distT="101600" distB="0" distL="0" distR="0" simplePos="0" locked="0" layoutInCell="1" allowOverlap="1" relativeHeight="951">
                <wp:simplePos x="0" y="0"/>
                <wp:positionH relativeFrom="column">
                  <wp:align>left</wp:align>
                </wp:positionH>
                <wp:positionV relativeFrom="line">
                  <wp:align>top</wp:align>
                </wp:positionV>
                <wp:extent cx="254000" cy="350520"/>
                <wp:effectExtent l="0" t="0" r="0" b="0"/>
                <wp:wrapSquare wrapText="right"/>
                <wp:docPr id="949" name="Frame9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schedules for which provision is made in the applicable accounting regulations of the SEC have been omitted because they are not required, amounts which would otherwise be required to be shown with respect to any item are not material, are inapplicable or the required information has already been provided elsewhere in the registration statement. </w:t>
      </w:r>
      <w:r>
        <mc:AlternateContent>
          <mc:Choice Requires="wps">
            <w:drawing>
              <wp:anchor behindDoc="0" distT="100330" distB="0" distL="0" distR="0" simplePos="0" locked="0" layoutInCell="1" allowOverlap="1" relativeHeight="952">
                <wp:simplePos x="0" y="0"/>
                <wp:positionH relativeFrom="column">
                  <wp:align>left</wp:align>
                </wp:positionH>
                <wp:positionV relativeFrom="line">
                  <wp:align>top</wp:align>
                </wp:positionV>
                <wp:extent cx="254000" cy="350520"/>
                <wp:effectExtent l="0" t="0" r="0" b="0"/>
                <wp:wrapSquare wrapText="right"/>
                <wp:docPr id="950" name="Frame9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953">
                <wp:simplePos x="0" y="0"/>
                <wp:positionH relativeFrom="column">
                  <wp:align>left</wp:align>
                </wp:positionH>
                <wp:positionV relativeFrom="line">
                  <wp:align>top</wp:align>
                </wp:positionV>
                <wp:extent cx="254000" cy="350520"/>
                <wp:effectExtent l="0" t="0" r="0" b="0"/>
                <wp:wrapSquare wrapText="right"/>
                <wp:docPr id="951" name="Frame9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0330" distB="0" distL="254000" distR="0" simplePos="0" locked="0" layoutInCell="1" allowOverlap="1" relativeHeight="954">
                <wp:simplePos x="0" y="0"/>
                <wp:positionH relativeFrom="column">
                  <wp:align>left</wp:align>
                </wp:positionH>
                <wp:positionV relativeFrom="line">
                  <wp:align>top</wp:align>
                </wp:positionV>
                <wp:extent cx="254000" cy="350520"/>
                <wp:effectExtent l="0" t="0" r="0" b="0"/>
                <wp:wrapSquare wrapText="right"/>
                <wp:docPr id="952" name="Frame9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1600" distB="0" distL="508000" distR="0" simplePos="0" locked="0" layoutInCell="1" allowOverlap="1" relativeHeight="955">
                <wp:simplePos x="0" y="0"/>
                <wp:positionH relativeFrom="column">
                  <wp:align>left</wp:align>
                </wp:positionH>
                <wp:positionV relativeFrom="line">
                  <wp:align>top</wp:align>
                </wp:positionV>
                <wp:extent cx="254000" cy="350520"/>
                <wp:effectExtent l="0" t="0" r="0" b="0"/>
                <wp:wrapSquare wrapText="right"/>
                <wp:docPr id="953" name="Frame9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101600" distB="0" distL="508000" distR="0" simplePos="0" locked="0" layoutInCell="1" allowOverlap="1" relativeHeight="956">
                <wp:simplePos x="0" y="0"/>
                <wp:positionH relativeFrom="column">
                  <wp:align>left</wp:align>
                </wp:positionH>
                <wp:positionV relativeFrom="line">
                  <wp:align>top</wp:align>
                </wp:positionV>
                <wp:extent cx="254000" cy="350520"/>
                <wp:effectExtent l="0" t="0" r="0" b="0"/>
                <wp:wrapSquare wrapText="right"/>
                <wp:docPr id="954" name="Frame9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508000" distR="0" simplePos="0" locked="0" layoutInCell="1" allowOverlap="1" relativeHeight="957">
                <wp:simplePos x="0" y="0"/>
                <wp:positionH relativeFrom="column">
                  <wp:align>left</wp:align>
                </wp:positionH>
                <wp:positionV relativeFrom="line">
                  <wp:align>top</wp:align>
                </wp:positionV>
                <wp:extent cx="254000" cy="350520"/>
                <wp:effectExtent l="0" t="0" r="0" b="0"/>
                <wp:wrapSquare wrapText="right"/>
                <wp:docPr id="955" name="Frame9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0" distB="0" distL="254000" distR="0" simplePos="0" locked="0" layoutInCell="1" allowOverlap="1" relativeHeight="958">
                <wp:simplePos x="0" y="0"/>
                <wp:positionH relativeFrom="column">
                  <wp:align>left</wp:align>
                </wp:positionH>
                <wp:positionV relativeFrom="line">
                  <wp:posOffset>635</wp:posOffset>
                </wp:positionV>
                <wp:extent cx="254000" cy="350520"/>
                <wp:effectExtent l="0" t="0" r="0" b="0"/>
                <wp:wrapSquare wrapText="right"/>
                <wp:docPr id="956" name="Frame9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254000" distR="0" simplePos="0" locked="0" layoutInCell="1" allowOverlap="1" relativeHeight="959">
                <wp:simplePos x="0" y="0"/>
                <wp:positionH relativeFrom="column">
                  <wp:align>left</wp:align>
                </wp:positionH>
                <wp:positionV relativeFrom="line">
                  <wp:align>top</wp:align>
                </wp:positionV>
                <wp:extent cx="254000" cy="350520"/>
                <wp:effectExtent l="0" t="0" r="0" b="0"/>
                <wp:wrapSquare wrapText="right"/>
                <wp:docPr id="957" name="Frame9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r>
        <mc:AlternateContent>
          <mc:Choice Requires="wps">
            <w:drawing>
              <wp:anchor behindDoc="0" distT="100330" distB="0" distL="254000" distR="0" simplePos="0" locked="0" layoutInCell="1" allowOverlap="1" relativeHeight="960">
                <wp:simplePos x="0" y="0"/>
                <wp:positionH relativeFrom="column">
                  <wp:align>left</wp:align>
                </wp:positionH>
                <wp:positionV relativeFrom="line">
                  <wp:align>top</wp:align>
                </wp:positionV>
                <wp:extent cx="254000" cy="350520"/>
                <wp:effectExtent l="0" t="0" r="0" b="0"/>
                <wp:wrapSquare wrapText="right"/>
                <wp:docPr id="958" name="Frame9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for the purpose of determining liability of the registrant under the Securities Act of 1933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254000" distR="0" simplePos="0" locked="0" layoutInCell="1" allowOverlap="1" relativeHeight="961">
                <wp:simplePos x="0" y="0"/>
                <wp:positionH relativeFrom="column">
                  <wp:align>left</wp:align>
                </wp:positionH>
                <wp:positionV relativeFrom="line">
                  <wp:align>top</wp:align>
                </wp:positionV>
                <wp:extent cx="254000" cy="350520"/>
                <wp:effectExtent l="0" t="0" r="0" b="0"/>
                <wp:wrapSquare wrapText="right"/>
                <wp:docPr id="959" name="Frame9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preliminary prospectus or prospectus of the undersigned registrant relating to the offering required to be filed pursuant to Rule 424;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508000" distR="0" simplePos="0" locked="0" layoutInCell="1" allowOverlap="1" relativeHeight="962">
                <wp:simplePos x="0" y="0"/>
                <wp:positionH relativeFrom="column">
                  <wp:align>left</wp:align>
                </wp:positionH>
                <wp:positionV relativeFrom="line">
                  <wp:align>top</wp:align>
                </wp:positionV>
                <wp:extent cx="254000" cy="350520"/>
                <wp:effectExtent l="0" t="0" r="0" b="0"/>
                <wp:wrapSquare wrapText="right"/>
                <wp:docPr id="960" name="Frame9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0330" distB="0" distL="508000" distR="0" simplePos="0" locked="0" layoutInCell="1" allowOverlap="1" relativeHeight="963">
                <wp:simplePos x="0" y="0"/>
                <wp:positionH relativeFrom="column">
                  <wp:align>left</wp:align>
                </wp:positionH>
                <wp:positionV relativeFrom="line">
                  <wp:align>top</wp:align>
                </wp:positionV>
                <wp:extent cx="254000" cy="350520"/>
                <wp:effectExtent l="0" t="0" r="0" b="0"/>
                <wp:wrapSquare wrapText="right"/>
                <wp:docPr id="961" name="Frame9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portion of any other free writing prospectus relating to the offering containing material information about the undersigned registrant or its securities provided by or on behalf of the undersigned registrant;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508000" distR="0" simplePos="0" locked="0" layoutInCell="1" allowOverlap="1" relativeHeight="964">
                <wp:simplePos x="0" y="0"/>
                <wp:positionH relativeFrom="column">
                  <wp:align>left</wp:align>
                </wp:positionH>
                <wp:positionV relativeFrom="line">
                  <wp:align>top</wp:align>
                </wp:positionV>
                <wp:extent cx="254000" cy="350520"/>
                <wp:effectExtent l="0" t="0" r="0" b="0"/>
                <wp:wrapSquare wrapText="right"/>
                <wp:docPr id="962" name="Frame9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0330" distB="0" distL="508000" distR="0" simplePos="0" locked="0" layoutInCell="1" allowOverlap="1" relativeHeight="965">
                <wp:simplePos x="0" y="0"/>
                <wp:positionH relativeFrom="column">
                  <wp:align>left</wp:align>
                </wp:positionH>
                <wp:positionV relativeFrom="line">
                  <wp:align>top</wp:align>
                </wp:positionV>
                <wp:extent cx="254000" cy="350520"/>
                <wp:effectExtent l="0" t="0" r="0" b="0"/>
                <wp:wrapSquare wrapText="right"/>
                <wp:docPr id="963" name="Frame9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0" distR="0" simplePos="0" locked="0" layoutInCell="1" allowOverlap="1" relativeHeight="966">
                <wp:simplePos x="0" y="0"/>
                <wp:positionH relativeFrom="column">
                  <wp:align>left</wp:align>
                </wp:positionH>
                <wp:positionV relativeFrom="line">
                  <wp:align>top</wp:align>
                </wp:positionV>
                <wp:extent cx="254000" cy="350520"/>
                <wp:effectExtent l="0" t="0" r="0" b="0"/>
                <wp:wrapSquare wrapText="right"/>
                <wp:docPr id="964" name="Frame9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r>
        <mc:AlternateContent>
          <mc:Choice Requires="wps">
            <w:drawing>
              <wp:anchor behindDoc="0" distT="101600" distB="0" distL="0" distR="0" simplePos="0" locked="0" layoutInCell="1" allowOverlap="1" relativeHeight="967">
                <wp:simplePos x="0" y="0"/>
                <wp:positionH relativeFrom="column">
                  <wp:align>left</wp:align>
                </wp:positionH>
                <wp:positionV relativeFrom="line">
                  <wp:align>top</wp:align>
                </wp:positionV>
                <wp:extent cx="520700" cy="525780"/>
                <wp:effectExtent l="0" t="0" r="0" b="0"/>
                <wp:wrapSquare wrapText="right"/>
                <wp:docPr id="965" name="Frame954"/>
                <a:graphic xmlns:a="http://schemas.openxmlformats.org/drawingml/2006/main">
                  <a:graphicData uri="http://schemas.microsoft.com/office/word/2010/wordprocessingShape">
                    <wps:wsp>
                      <wps:cNvSpPr txBox="1"/>
                      <wps:spPr>
                        <a:xfrm>
                          <a:off x="0" y="0"/>
                          <a:ext cx="520700" cy="525780"/>
                        </a:xfrm>
                        <a:prstGeom prst="rect"/>
                        <a:solidFill>
                          <a:srgbClr val="FFFFFF"/>
                        </a:solidFill>
                      </wps:spPr>
                      <wps:txbx>
                        <w:txbxContent>
                          <w:p>
                            <w:pPr>
                              <w:pStyle w:val="TextBody"/>
                              <w:bidi w:val="0"/>
                              <w:spacing w:lineRule="atLeast" w:line="240" w:before="0" w:after="283"/>
                              <w:jc w:val="left"/>
                              <w:rPr/>
                            </w:pPr>
                            <w:r>
                              <w:rPr>
                                <w:spacing w:val="4"/>
                              </w:rPr>
                              <w:t>(c)   (1)</w:t>
                            </w:r>
                            <w:r>
                              <w:rPr/>
                              <w:t xml:space="preserve"> </w:t>
                              <w:br/>
                            </w:r>
                          </w:p>
                        </w:txbxContent>
                      </wps:txbx>
                      <wps:bodyPr anchor="t" lIns="0" tIns="0" rIns="0" bIns="0">
                        <a:noAutofit/>
                      </wps:bodyPr>
                    </wps:wsp>
                  </a:graphicData>
                </a:graphic>
              </wp:anchor>
            </w:drawing>
          </mc:Choice>
          <mc:Fallback>
            <w:pict>
              <v:rect style="position:absolute;rotation:-0;width:41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   (1)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w:t>
      </w:r>
      <w:r>
        <mc:AlternateContent>
          <mc:Choice Requires="wps">
            <w:drawing>
              <wp:anchor behindDoc="0" distT="101600" distB="0" distL="254000" distR="0" simplePos="0" locked="0" layoutInCell="1" allowOverlap="1" relativeHeight="968">
                <wp:simplePos x="0" y="0"/>
                <wp:positionH relativeFrom="column">
                  <wp:align>left</wp:align>
                </wp:positionH>
                <wp:positionV relativeFrom="line">
                  <wp:align>top</wp:align>
                </wp:positionV>
                <wp:extent cx="254000" cy="350520"/>
                <wp:effectExtent l="0" t="0" r="0" b="0"/>
                <wp:wrapSquare wrapText="right"/>
                <wp:docPr id="966" name="Frame9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r>
        <mc:AlternateContent>
          <mc:Choice Requires="wps">
            <w:drawing>
              <wp:anchor behindDoc="0" distT="107950" distB="0" distL="0" distR="0" simplePos="0" locked="0" layoutInCell="1" allowOverlap="1" relativeHeight="969">
                <wp:simplePos x="0" y="0"/>
                <wp:positionH relativeFrom="column">
                  <wp:align>left</wp:align>
                </wp:positionH>
                <wp:positionV relativeFrom="line">
                  <wp:align>top</wp:align>
                </wp:positionV>
                <wp:extent cx="254000" cy="350520"/>
                <wp:effectExtent l="0" t="0" r="0" b="0"/>
                <wp:wrapSquare wrapText="right"/>
                <wp:docPr id="967" name="Frame9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r>
        <mc:AlternateContent>
          <mc:Choice Requires="wps">
            <w:drawing>
              <wp:anchor behindDoc="0" distT="107950" distB="0" distL="0" distR="0" simplePos="0" locked="0" layoutInCell="1" allowOverlap="1" relativeHeight="970">
                <wp:simplePos x="0" y="0"/>
                <wp:positionH relativeFrom="column">
                  <wp:align>left</wp:align>
                </wp:positionH>
                <wp:positionV relativeFrom="line">
                  <wp:align>top</wp:align>
                </wp:positionV>
                <wp:extent cx="254000" cy="350520"/>
                <wp:effectExtent l="0" t="0" r="0" b="0"/>
                <wp:wrapSquare wrapText="right"/>
                <wp:docPr id="968" name="Frame9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r>
        <mc:AlternateContent>
          <mc:Choice Requires="wps">
            <w:drawing>
              <wp:anchor behindDoc="0" distT="107950" distB="0" distL="0" distR="0" simplePos="0" locked="0" layoutInCell="1" allowOverlap="1" relativeHeight="971">
                <wp:simplePos x="0" y="0"/>
                <wp:positionH relativeFrom="column">
                  <wp:align>left</wp:align>
                </wp:positionH>
                <wp:positionV relativeFrom="line">
                  <wp:align>top</wp:align>
                </wp:positionV>
                <wp:extent cx="254000" cy="350520"/>
                <wp:effectExtent l="0" t="0" r="0" b="0"/>
                <wp:wrapSquare wrapText="right"/>
                <wp:docPr id="969" name="Frame9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94"/>
        <w:gridCol w:w="109"/>
        <w:gridCol w:w="109"/>
        <w:gridCol w:w="752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283"/>
              <w:jc w:val="left"/>
              <w:rPr/>
            </w:pPr>
            <w:hyperlink w:anchor="tAAAA">
              <w:r>
                <w:rPr>
                  <w:rStyle w:val="InternetLink"/>
                </w:rPr>
                <w:t>Agreement and Plan of Merger, dated as of October 4, 2023, by and among Standard BioTools Inc., SomaLogic, Inc. and Martis Merger Sub Inc. (included as Annex A to the joint proxy statement/prospectus included in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3">
              <w:r>
                <w:rPr>
                  <w:rStyle w:val="InternetLink"/>
                  <w:spacing w:val="4"/>
                </w:rPr>
                <w:t>Eighth Amended and Restated Certificate of Incorporation (incorporated by reference to Exhibit 3.1 to the Standard BioTools’ Annual Report on Form 10-K, filed on March 28, 2011).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4">
              <w:r>
                <w:rPr>
                  <w:rStyle w:val="InternetLink"/>
                  <w:spacing w:val="4"/>
                </w:rPr>
                <w:t>Amended and Restated Bylaws (incorporated by reference to Exhibit 4.8 to Standard BioTools’ Registration Statement on Form S-8, filed on April 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5">
              <w:r>
                <w:rPr>
                  <w:rStyle w:val="InternetLink"/>
                  <w:spacing w:val="4"/>
                </w:rPr>
                <w:t>Certificate of Amendment to Eighth Amended and Restated Certificate of Incorporation (incorporated by reference to Exhibit 4.3 to Standard BioTools’ Registration Statement on Form S-8, filed on April 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6">
              <w:r>
                <w:rPr>
                  <w:rStyle w:val="InternetLink"/>
                  <w:spacing w:val="4"/>
                </w:rPr>
                <w:t>Certificate of Designation of Rights, Preferences and Privileges of Series A Participating Preferred Stock (incorporated by reference to Exhibit 3.1 to Standard BioTools’ Current Report on Form 8-K, filed on November 22,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7">
              <w:r>
                <w:rPr>
                  <w:rStyle w:val="InternetLink"/>
                  <w:spacing w:val="4"/>
                </w:rPr>
                <w:t>Certificate of Elimination of Series A Participating Preferred Stock (incorporated by reference to Exhibit 3.1 to Standard BioTools’ Current Report on Form 8-K, filed on August 2, 2017).</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8">
              <w:r>
                <w:rPr>
                  <w:rStyle w:val="InternetLink"/>
                  <w:spacing w:val="4"/>
                </w:rPr>
                <w:t>Certificate of Designations of Rights, Preferences and Privileges of Series B-1 Convertible Preferred Stock (incorporated by reference to Exhibit 3.6 to Standard BioTools’ Current Report on Form 8-K, filed on April 5,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49">
              <w:r>
                <w:rPr>
                  <w:rStyle w:val="InternetLink"/>
                  <w:spacing w:val="4"/>
                </w:rPr>
                <w:t>Certificate of Designations of Rights, Preferences and Privileges of Series B-2 Convertible Preferred Stock (incorporated by reference to Exhibit 3.7 to Standard BioTools’ Current Report on Form 8-K, filed on April 5,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4"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1" w:type="dxa"/>
            <w:tcBorders/>
            <w:tcMar>
              <w:bottom w:w="0" w:type="dxa"/>
            </w:tcMar>
            <w:vAlign w:val="center"/>
          </w:tcPr>
          <w:p>
            <w:pPr>
              <w:pStyle w:val="TableContents"/>
              <w:bidi w:val="0"/>
              <w:spacing w:before="0" w:after="0"/>
              <w:jc w:val="left"/>
              <w:rPr/>
            </w:pPr>
            <w:hyperlink r:id="rId50">
              <w:r>
                <w:rPr>
                  <w:rStyle w:val="InternetLink"/>
                  <w:spacing w:val="4"/>
                </w:rPr>
                <w:t>Specimen Common Stock Certificate (incorporated by reference to Exhibit 4.1 to Standard BioTools’ Registration Statement on Form S-8, filed on April 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786"/>
        <w:gridCol w:w="109"/>
        <w:gridCol w:w="109"/>
        <w:gridCol w:w="752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r:id="rId51">
              <w:r>
                <w:rPr>
                  <w:rStyle w:val="InternetLink"/>
                  <w:spacing w:val="4"/>
                </w:rPr>
                <w:t>Indenture, dated November 22, 2019, by and between Fluidigm Corporation and U.S. Bank National Association (incorporated by reference to Exhibit 4.1 to Standard BioTools’ Current Report on Form 8-K, filed on November 22,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r:id="rId52">
              <w:r>
                <w:rPr>
                  <w:rStyle w:val="InternetLink"/>
                  <w:spacing w:val="4"/>
                </w:rPr>
                <w:t>Form of 5.25% Convertible Senior Note due 2024 (included in Exhibit 4.6) (incorporated by reference to Exhibit 4.2 to Standard BioTools’ Current Report on Form 8-K, filed on November 22,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r:id="rId53">
              <w:r>
                <w:rPr>
                  <w:rStyle w:val="InternetLink"/>
                  <w:spacing w:val="4"/>
                </w:rPr>
                <w:t>Series B-1 Loan Agreement, dated as of January 23, 2022, by and among Fluidigm Corporation, Casdin Partners Master Fund, L.P., and Casdin Private Growth Equity Fund II, L.P. (incorporated by reference to Exhibit 10.1 to Standard BioTools’ Current Report on Form 8-K/A, filed on February 11,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r:id="rId54">
              <w:r>
                <w:rPr>
                  <w:rStyle w:val="InternetLink"/>
                  <w:spacing w:val="4"/>
                </w:rPr>
                <w:t>Series B-2 Loan Agreement, dated as of January 23, 2022, by and among Fluidigm Corporation, Viking Global Opportunities Illiquid Investments Sub-Master LP, and Viking Global Opportunities Drawdown (Aggregator) LP. (incorporated by reference to Exhibit 10.2 to Standard BioTools’ Current Report on Form 8-K, filed on January 24,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"https://www.sec.gov/Archives/edgar/data/1162194/000119312522052230/d263023ddef14a.htm" \l "toc263023_41"</w:instrText>
            </w:r>
            <w:r>
              <w:rPr>
                <w:rStyle w:val="InternetLink"/>
                <w:spacing w:val="4"/>
              </w:rPr>
              <w:fldChar w:fldCharType="separate"/>
            </w:r>
            <w:r>
              <w:rPr>
                <w:rStyle w:val="InternetLink"/>
                <w:spacing w:val="4"/>
              </w:rPr>
              <w:t>Series B-1 Convertible Preferred Stock Purchase Agreement, dated as of January 23, 2022, by and among Fluidigm Corporation, Casdin Private Growth Equity Fund II, L.P., and Casdin Partners Master Fund, L.P. (incorporated by reference to Annex B to Standard BioTools’ Definitive Proxy Statement on Schedule 14A, filed on February 24, 2022).</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"https://www.sec.gov/Archives/edgar/data/1162194/000119312522052230/d263023ddef14a.htm" \l "toc263023_42"</w:instrText>
            </w:r>
            <w:r>
              <w:rPr>
                <w:rStyle w:val="InternetLink"/>
              </w:rPr>
              <w:fldChar w:fldCharType="separate"/>
            </w:r>
            <w:r>
              <w:rPr>
                <w:rStyle w:val="InternetLink"/>
              </w:rPr>
              <w:t>Series B-2 Convertible Preferred Stock Purchase Agreement, dated as of January 23, 2022, by and among Fluidigm Corporation, Viking Global Opportunities Illiquid Investments Sub-Master LP, and Viking Global Opportunities Drawdown (Aggregator) LP. (incorporated by reference to Annex C to Standard BioTools’ Definitive Proxy Statement on Schedule 14A 8-K, filed on February 24, 2022).</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283"/>
              <w:jc w:val="left"/>
              <w:rPr/>
            </w:pPr>
            <w:hyperlink r:id="rId55">
              <w:r>
                <w:rPr>
                  <w:rStyle w:val="InternetLink"/>
                </w:rPr>
                <w:t>Registration Rights Agreement, dated as of January 23, 2022, by and between Fluidigm Corporation, Casdin Private Growth Equity Fund II, L.P., Casdin Partners Master Fund, L.P., Viking Global Opportunities Illiquid Investments Sub-Master LP, and Viking Global Opportunities Drawdown (Aggregator) LP. (incorporated by reference to Exhibit 10.5 to Standard BioTools’ Current Report on Form 8-K, filed on January 24,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283"/>
              <w:jc w:val="left"/>
              <w:rPr>
                <w:spacing w:val="4"/>
              </w:rPr>
            </w:pPr>
            <w:r>
              <w:rPr>
                <w:spacing w:val="4"/>
              </w:rPr>
              <w:t xml:space="preserve">Opinion of Mintz, Levin, Cohn, Ferris, Glovsky and Popeo, P.C. as to the validity of the securities being registered.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w:anchor="tm2327944d3_ex10-1.htm">
              <w:r>
                <w:rPr>
                  <w:rStyle w:val="InternetLink"/>
                  <w:spacing w:val="4"/>
                </w:rPr>
                <w:t>Offer letter, by and between Standard BioTools Inc. and Adam Taich, dated as of October 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283"/>
              <w:jc w:val="left"/>
              <w:rPr>
                <w:spacing w:val="4"/>
              </w:rPr>
            </w:pPr>
            <w:r>
              <w:rPr>
                <w:spacing w:val="4"/>
              </w:rPr>
              <w:t xml:space="preserve">Consent of Mintz, Levin, Cohn, Ferris, Glovsky and Popeo, P.C. (included in Exhibit 5.1 hereto).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w:anchor="tm2327944d3_ex23-2.htm">
              <w:r>
                <w:rPr>
                  <w:rStyle w:val="InternetLink"/>
                  <w:spacing w:val="4"/>
                </w:rPr>
                <w:t>Consent of PricewaterhouseCoopers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w:anchor="tm2327944d3_ex23-3.htm">
              <w:r>
                <w:rPr>
                  <w:rStyle w:val="InternetLink"/>
                  <w:spacing w:val="4"/>
                </w:rPr>
                <w:t>Consent of Ernst &amp; Young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w:anchor="tSIG">
              <w:r>
                <w:rPr>
                  <w:rStyle w:val="InternetLink"/>
                  <w:spacing w:val="4"/>
                </w:rPr>
                <w:t>Power of Attorney (included on the signature page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283"/>
              <w:jc w:val="left"/>
              <w:rPr>
                <w:spacing w:val="4"/>
              </w:rPr>
            </w:pPr>
            <w:r>
              <w:rPr>
                <w:spacing w:val="4"/>
              </w:rPr>
              <w:t xml:space="preserve">Form of Proxy Card to be used by holders of capital stock of Standard BioTools Inc.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283"/>
              <w:jc w:val="left"/>
              <w:rPr>
                <w:spacing w:val="4"/>
              </w:rPr>
            </w:pPr>
            <w:r>
              <w:rPr>
                <w:spacing w:val="4"/>
              </w:rPr>
              <w:t xml:space="preserve">Form of Proxy Card to be used by holders of common stock of SomaLogic, Inc.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99.3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w:anchor="tm2327944d3_ex99-3.htm">
              <w:r>
                <w:rPr>
                  <w:rStyle w:val="InternetLink"/>
                  <w:spacing w:val="4"/>
                </w:rPr>
                <w:t>Consent of Centerview Partners LLC.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99.4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w:anchor="tm2327944d3_ex99-4.htm">
              <w:r>
                <w:rPr>
                  <w:rStyle w:val="InternetLink"/>
                  <w:spacing w:val="4"/>
                </w:rPr>
                <w:t>Consent of Perella Weinberg Partners 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99.6†*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r:id="rId56">
              <w:r>
                <w:rPr>
                  <w:rStyle w:val="InternetLink"/>
                  <w:spacing w:val="4"/>
                </w:rPr>
                <w:t>Form of Standard BioTools Inc. Voting Agreement for Series B-2 Preferred Stockholders (incorporated by reference to Exhibit 99.3 to Standard BioTools’ Current Report on Form 8-K, filed on 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ind w:left="100" w:right="0" w:hanging="0"/>
              <w:jc w:val="left"/>
              <w:rPr>
                <w:spacing w:val="4"/>
              </w:rPr>
            </w:pPr>
            <w:r>
              <w:rPr>
                <w:spacing w:val="4"/>
              </w:rPr>
              <w:t xml:space="preserve">99.7†*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9" w:type="dxa"/>
            <w:tcBorders/>
            <w:tcMar>
              <w:bottom w:w="0" w:type="dxa"/>
            </w:tcMar>
            <w:vAlign w:val="center"/>
          </w:tcPr>
          <w:p>
            <w:pPr>
              <w:pStyle w:val="TableContents"/>
              <w:bidi w:val="0"/>
              <w:spacing w:before="0" w:after="0"/>
              <w:jc w:val="left"/>
              <w:rPr/>
            </w:pPr>
            <w:hyperlink r:id="rId57">
              <w:r>
                <w:rPr>
                  <w:rStyle w:val="InternetLink"/>
                  <w:spacing w:val="4"/>
                </w:rPr>
                <w:t>Form of Standard BioTools Inc. Voting Agreement for Directors and Officers (incorporated by reference to Exhibit 99.4 to Standard BioTools’ Current Report on Form 8-K, filed on 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05"/>
        <w:gridCol w:w="109"/>
        <w:gridCol w:w="109"/>
        <w:gridCol w:w="751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05"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10"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ind w:left="100" w:right="0" w:hanging="0"/>
              <w:jc w:val="left"/>
              <w:rPr>
                <w:spacing w:val="4"/>
              </w:rPr>
            </w:pPr>
            <w:r>
              <w:rPr>
                <w:spacing w:val="4"/>
              </w:rPr>
              <w:t xml:space="preserve">99.8†*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0" w:type="dxa"/>
            <w:tcBorders/>
            <w:tcMar>
              <w:bottom w:w="0" w:type="dxa"/>
            </w:tcMar>
            <w:vAlign w:val="center"/>
          </w:tcPr>
          <w:p>
            <w:pPr>
              <w:pStyle w:val="TableContents"/>
              <w:bidi w:val="0"/>
              <w:spacing w:before="0" w:after="0"/>
              <w:jc w:val="left"/>
              <w:rPr/>
            </w:pPr>
            <w:hyperlink r:id="rId58">
              <w:r>
                <w:rPr>
                  <w:rStyle w:val="InternetLink"/>
                  <w:spacing w:val="4"/>
                </w:rPr>
                <w:t>Form of SomaLogic, Inc. Voting Agreement (incorporated by reference to Exhibit 99.5 to Standard BioTools’ Current Report on Form 8-K, filed on 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ind w:left="100" w:right="0" w:hanging="0"/>
              <w:jc w:val="left"/>
              <w:rPr>
                <w:spacing w:val="4"/>
              </w:rPr>
            </w:pPr>
            <w:r>
              <w:rPr>
                <w:spacing w:val="4"/>
              </w:rPr>
              <w:t xml:space="preserve">99.9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0" w:type="dxa"/>
            <w:tcBorders/>
            <w:tcMar>
              <w:bottom w:w="0" w:type="dxa"/>
            </w:tcMar>
            <w:vAlign w:val="center"/>
          </w:tcPr>
          <w:p>
            <w:pPr>
              <w:pStyle w:val="TableContents"/>
              <w:bidi w:val="0"/>
              <w:spacing w:before="0" w:after="0"/>
              <w:jc w:val="left"/>
              <w:rPr/>
            </w:pPr>
            <w:hyperlink w:anchor="tm2327944d3_ex99-9.htm">
              <w:r>
                <w:rPr>
                  <w:rStyle w:val="InternetLink"/>
                  <w:spacing w:val="4"/>
                </w:rPr>
                <w:t>Consent of Tom Carey.</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ind w:left="100" w:right="0" w:hanging="0"/>
              <w:jc w:val="left"/>
              <w:rPr>
                <w:spacing w:val="4"/>
              </w:rPr>
            </w:pPr>
            <w:r>
              <w:rPr>
                <w:spacing w:val="4"/>
              </w:rPr>
              <w:t xml:space="preserve">99.10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0" w:type="dxa"/>
            <w:tcBorders/>
            <w:tcMar>
              <w:bottom w:w="0" w:type="dxa"/>
            </w:tcMar>
            <w:vAlign w:val="center"/>
          </w:tcPr>
          <w:p>
            <w:pPr>
              <w:pStyle w:val="TableContents"/>
              <w:bidi w:val="0"/>
              <w:spacing w:before="0" w:after="0"/>
              <w:jc w:val="left"/>
              <w:rPr/>
            </w:pPr>
            <w:hyperlink w:anchor="tm2327944d3_ex99-10.htm">
              <w:r>
                <w:rPr>
                  <w:rStyle w:val="InternetLink"/>
                  <w:spacing w:val="4"/>
                </w:rPr>
                <w:t>Consent of Troy Cox.</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ind w:left="100" w:right="0" w:hanging="0"/>
              <w:jc w:val="left"/>
              <w:rPr>
                <w:spacing w:val="4"/>
              </w:rPr>
            </w:pPr>
            <w:r>
              <w:rPr>
                <w:spacing w:val="4"/>
              </w:rPr>
              <w:t xml:space="preserve">99.11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0" w:type="dxa"/>
            <w:tcBorders/>
            <w:tcMar>
              <w:bottom w:w="0" w:type="dxa"/>
            </w:tcMar>
            <w:vAlign w:val="center"/>
          </w:tcPr>
          <w:p>
            <w:pPr>
              <w:pStyle w:val="TableContents"/>
              <w:bidi w:val="0"/>
              <w:spacing w:before="0" w:after="0"/>
              <w:jc w:val="left"/>
              <w:rPr/>
            </w:pPr>
            <w:hyperlink w:anchor="tm2327944d3_ex99-11.htm">
              <w:r>
                <w:rPr>
                  <w:rStyle w:val="InternetLink"/>
                  <w:spacing w:val="4"/>
                </w:rPr>
                <w:t>Consent of Kathy Hibbs.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0" w:type="dxa"/>
            <w:tcBorders/>
            <w:tcMar>
              <w:bottom w:w="0" w:type="dxa"/>
            </w:tcMar>
            <w:vAlign w:val="center"/>
          </w:tcPr>
          <w:p>
            <w:pPr>
              <w:pStyle w:val="TableContents"/>
              <w:bidi w:val="0"/>
              <w:spacing w:before="0" w:after="0"/>
              <w:jc w:val="left"/>
              <w:rPr/>
            </w:pPr>
            <w:hyperlink w:anchor="tm2327944d3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contracts or compensation plans or arrangements in which directors or executive officers are eligible to participate. </w:t>
      </w:r>
      <w:r>
        <mc:AlternateContent>
          <mc:Choice Requires="wps">
            <w:drawing>
              <wp:anchor behindDoc="0" distT="101600" distB="0" distL="0" distR="0" simplePos="0" locked="0" layoutInCell="1" allowOverlap="1" relativeHeight="972">
                <wp:simplePos x="0" y="0"/>
                <wp:positionH relativeFrom="column">
                  <wp:align>left</wp:align>
                </wp:positionH>
                <wp:positionV relativeFrom="line">
                  <wp:align>top</wp:align>
                </wp:positionV>
                <wp:extent cx="254000" cy="350520"/>
                <wp:effectExtent l="0" t="0" r="0" b="0"/>
                <wp:wrapSquare wrapText="right"/>
                <wp:docPr id="970" name="Frame9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schedules and exhibits to this exhibit have been omitted pursuant to Item 601(b)(2) of Regulation S-K. </w:t>
      </w:r>
      <w:r>
        <mc:AlternateContent>
          <mc:Choice Requires="wps">
            <w:drawing>
              <wp:anchor behindDoc="0" distT="50800" distB="0" distL="0" distR="0" simplePos="0" locked="0" layoutInCell="1" allowOverlap="1" relativeHeight="973">
                <wp:simplePos x="0" y="0"/>
                <wp:positionH relativeFrom="column">
                  <wp:align>left</wp:align>
                </wp:positionH>
                <wp:positionV relativeFrom="line">
                  <wp:align>top</wp:align>
                </wp:positionV>
                <wp:extent cx="254000" cy="350520"/>
                <wp:effectExtent l="0" t="0" r="0" b="0"/>
                <wp:wrapSquare wrapText="right"/>
                <wp:docPr id="971" name="Frame9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by reference and not filed herewith. </w:t>
      </w:r>
      <w:r>
        <mc:AlternateContent>
          <mc:Choice Requires="wps">
            <w:drawing>
              <wp:anchor behindDoc="0" distT="50800" distB="0" distL="0" distR="0" simplePos="0" locked="0" layoutInCell="1" allowOverlap="1" relativeHeight="974">
                <wp:simplePos x="0" y="0"/>
                <wp:positionH relativeFrom="column">
                  <wp:align>left</wp:align>
                </wp:positionH>
                <wp:positionV relativeFrom="line">
                  <wp:align>top</wp:align>
                </wp:positionV>
                <wp:extent cx="254000" cy="350520"/>
                <wp:effectExtent l="0" t="0" r="0" b="0"/>
                <wp:wrapSquare wrapText="right"/>
                <wp:docPr id="972" name="Frame9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filed by amendment.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975">
                <wp:simplePos x="0" y="0"/>
                <wp:positionH relativeFrom="column">
                  <wp:align>left</wp:align>
                </wp:positionH>
                <wp:positionV relativeFrom="line">
                  <wp:align>top</wp:align>
                </wp:positionV>
                <wp:extent cx="254000" cy="350520"/>
                <wp:effectExtent l="0" t="0" r="0" b="0"/>
                <wp:wrapSquare wrapText="right"/>
                <wp:docPr id="973" name="Frame9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4" w:name="tSIG"/>
      <w:bookmarkEnd w:id="2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has duly caused this registration statement to be signed on its behalf by the undersigned, thereunto duly authorized, in the City of South San Francisco, State of California, on November 13, 2023. </w:t>
      </w:r>
    </w:p>
    <w:p>
      <w:pPr>
        <w:pStyle w:val="TextBody"/>
        <w:bidi w:val="0"/>
        <w:spacing w:lineRule="atLeast" w:line="240" w:before="21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976">
                <wp:simplePos x="0" y="0"/>
                <wp:positionH relativeFrom="column">
                  <wp:align>left</wp:align>
                </wp:positionH>
                <wp:positionV relativeFrom="line">
                  <wp:align>top</wp:align>
                </wp:positionV>
                <wp:extent cx="254000" cy="525780"/>
                <wp:effectExtent l="0" t="0" r="0" b="0"/>
                <wp:wrapSquare wrapText="right"/>
                <wp:docPr id="974" name="Frame9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undersigned officers and directors of Standard BioTools Inc., hereby severally constitute and appoint Michael Egholm, Ph.D. and Jeffrey Black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322"/>
        <w:gridCol w:w="109"/>
        <w:gridCol w:w="109"/>
        <w:gridCol w:w="3863"/>
        <w:gridCol w:w="109"/>
        <w:gridCol w:w="109"/>
        <w:gridCol w:w="191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Capacity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1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2" w:type="dxa"/>
            <w:tcBorders/>
            <w:tcMar>
              <w:bottom w:w="0" w:type="dxa"/>
            </w:tcMar>
            <w:vAlign w:val="center"/>
          </w:tcPr>
          <w:p>
            <w:pPr>
              <w:pStyle w:val="TableContents"/>
              <w:bidi w:val="0"/>
              <w:spacing w:before="0" w:after="0"/>
              <w:jc w:val="center"/>
              <w:rPr/>
            </w:pPr>
            <w:r>
              <w:rPr>
                <w:spacing w:val="4"/>
              </w:rPr>
              <w:t>/s/ Michael Egholm,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Egholm,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63" w:type="dxa"/>
            <w:tcBorders/>
            <w:tcMar>
              <w:bottom w:w="0" w:type="dxa"/>
            </w:tcMar>
            <w:vAlign w:val="center"/>
          </w:tcPr>
          <w:p>
            <w:pPr>
              <w:pStyle w:val="TableContents"/>
              <w:bidi w:val="0"/>
              <w:spacing w:before="0" w:after="0"/>
              <w:jc w:val="center"/>
              <w:rPr/>
            </w:pPr>
            <w:r>
              <w:rPr>
                <w:spacing w:val="4"/>
              </w:rPr>
              <w:t>President and 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2" w:type="dxa"/>
            <w:tcBorders/>
            <w:tcMar>
              <w:bottom w:w="0" w:type="dxa"/>
            </w:tcMar>
            <w:vAlign w:val="center"/>
          </w:tcPr>
          <w:p>
            <w:pPr>
              <w:pStyle w:val="TableContents"/>
              <w:bidi w:val="0"/>
              <w:spacing w:before="0" w:after="0"/>
              <w:jc w:val="center"/>
              <w:rPr/>
            </w:pPr>
            <w:r>
              <w:rPr>
                <w:spacing w:val="4"/>
              </w:rPr>
              <w:t>/s/ Jeffrey Black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6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2" w:type="dxa"/>
            <w:tcBorders/>
            <w:tcMar>
              <w:bottom w:w="0" w:type="dxa"/>
            </w:tcMar>
            <w:vAlign w:val="center"/>
          </w:tcPr>
          <w:p>
            <w:pPr>
              <w:pStyle w:val="TableContents"/>
              <w:bidi w:val="0"/>
              <w:spacing w:before="0" w:after="0"/>
              <w:jc w:val="center"/>
              <w:rPr/>
            </w:pPr>
            <w:r>
              <w:rPr>
                <w:spacing w:val="4"/>
              </w:rPr>
              <w:t>/s/ Carlos Paya, M.D.,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Carlos Paya , M.D., Ph.D.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63" w:type="dxa"/>
            <w:tcBorders/>
            <w:tcMar>
              <w:bottom w:w="0" w:type="dxa"/>
            </w:tcMar>
            <w:vAlign w:val="center"/>
          </w:tcPr>
          <w:p>
            <w:pPr>
              <w:pStyle w:val="TableContents"/>
              <w:bidi w:val="0"/>
              <w:spacing w:before="0" w:after="0"/>
              <w:jc w:val="center"/>
              <w:rPr>
                <w:spacing w:val="4"/>
              </w:rPr>
            </w:pPr>
            <w:r>
              <w:rPr>
                <w:spacing w:val="4"/>
              </w:rPr>
              <w:t xml:space="preserve">Chairperson of the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2" w:type="dxa"/>
            <w:tcBorders/>
            <w:tcMar>
              <w:bottom w:w="0" w:type="dxa"/>
            </w:tcMar>
            <w:vAlign w:val="center"/>
          </w:tcPr>
          <w:p>
            <w:pPr>
              <w:pStyle w:val="TableContents"/>
              <w:bidi w:val="0"/>
              <w:spacing w:before="0" w:after="0"/>
              <w:jc w:val="center"/>
              <w:rPr/>
            </w:pPr>
            <w:r>
              <w:rPr>
                <w:spacing w:val="4"/>
              </w:rPr>
              <w:t>/s/ Eli Casdin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Eli Casdin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2" w:type="dxa"/>
            <w:tcBorders/>
            <w:tcMar>
              <w:bottom w:w="0" w:type="dxa"/>
            </w:tcMar>
            <w:vAlign w:val="center"/>
          </w:tcPr>
          <w:p>
            <w:pPr>
              <w:pStyle w:val="TableContents"/>
              <w:bidi w:val="0"/>
              <w:spacing w:before="0" w:after="0"/>
              <w:jc w:val="center"/>
              <w:rPr/>
            </w:pPr>
            <w:r>
              <w:rPr>
                <w:spacing w:val="4"/>
              </w:rPr>
              <w:t>/s/ Laura M. Clague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Laura M. Clague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22" w:type="dxa"/>
            <w:tcBorders/>
            <w:tcMar>
              <w:bottom w:w="0" w:type="dxa"/>
            </w:tcMar>
            <w:vAlign w:val="center"/>
          </w:tcPr>
          <w:p>
            <w:pPr>
              <w:pStyle w:val="TableContents"/>
              <w:bidi w:val="0"/>
              <w:spacing w:before="0" w:after="0"/>
              <w:jc w:val="center"/>
              <w:rPr/>
            </w:pPr>
            <w:r>
              <w:rPr>
                <w:spacing w:val="4"/>
              </w:rPr>
              <w:t>/s/ Fenel M. Eloi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Fenel M. Eloi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6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12"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741" w:type="dxa"/>
        <w:jc w:val="left"/>
        <w:tblInd w:w="1393" w:type="dxa"/>
        <w:tblLayout w:type="fixed"/>
        <w:tblCellMar>
          <w:top w:w="0" w:type="dxa"/>
          <w:left w:w="0" w:type="dxa"/>
          <w:bottom w:w="28" w:type="dxa"/>
          <w:right w:w="0" w:type="dxa"/>
        </w:tblCellMar>
      </w:tblPr>
      <w:tblGrid>
        <w:gridCol w:w="124"/>
        <w:gridCol w:w="2923"/>
        <w:gridCol w:w="109"/>
        <w:gridCol w:w="109"/>
        <w:gridCol w:w="985"/>
        <w:gridCol w:w="109"/>
        <w:gridCol w:w="109"/>
        <w:gridCol w:w="211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92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Capacity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23" w:type="dxa"/>
            <w:tcBorders/>
            <w:tcMar>
              <w:bottom w:w="0" w:type="dxa"/>
            </w:tcMar>
            <w:vAlign w:val="center"/>
          </w:tcPr>
          <w:p>
            <w:pPr>
              <w:pStyle w:val="TableContents"/>
              <w:bidi w:val="0"/>
              <w:spacing w:before="0" w:after="0"/>
              <w:jc w:val="center"/>
              <w:rPr/>
            </w:pPr>
            <w:r>
              <w:rPr>
                <w:spacing w:val="4"/>
              </w:rPr>
              <w:t>/s/ Martin D. Madaus,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Martin D. Madaus, Ph.D.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center"/>
              <w:rPr>
                <w:spacing w:val="4"/>
              </w:rPr>
            </w:pPr>
            <w:r>
              <w:rPr>
                <w:spacing w:val="4"/>
              </w:rPr>
              <w:t xml:space="preserve">November 13, 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23" w:type="dxa"/>
            <w:tcBorders/>
            <w:tcMar>
              <w:bottom w:w="0" w:type="dxa"/>
            </w:tcMar>
            <w:vAlign w:val="center"/>
          </w:tcPr>
          <w:p>
            <w:pPr>
              <w:pStyle w:val="TableContents"/>
              <w:bidi w:val="0"/>
              <w:spacing w:before="0" w:after="0"/>
              <w:jc w:val="center"/>
              <w:rPr/>
            </w:pPr>
            <w:r>
              <w:rPr>
                <w:spacing w:val="4"/>
              </w:rPr>
              <w:t>/s/ Frank Witney,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Frank Witney,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9" w:type="dxa"/>
            <w:tcBorders/>
            <w:tcMar>
              <w:bottom w:w="0" w:type="dxa"/>
            </w:tcMar>
            <w:vAlign w:val="center"/>
          </w:tcPr>
          <w:p>
            <w:pPr>
              <w:pStyle w:val="TableContents"/>
              <w:bidi w:val="0"/>
              <w:spacing w:before="0" w:after="0"/>
              <w:jc w:val="center"/>
              <w:rPr/>
            </w:pPr>
            <w:r>
              <w:rPr>
                <w:spacing w:val="4"/>
              </w:rPr>
              <w:t>November 13, 2023</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b/>
        </w:rPr>
      </w:pPr>
      <w:bookmarkStart w:id="295" w:name="tm2327944d3_ex10-1.htm"/>
      <w:bookmarkStart w:id="296" w:name="kstm2327944d3_ex101"/>
      <w:bookmarkEnd w:id="295"/>
      <w:bookmarkEnd w:id="296"/>
      <w:r>
        <w:rPr>
          <w:b/>
        </w:rPr>
        <w:t>Exhibit 10.1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offer you employment with Standard BioTools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contingent upon the closing of the transactions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contemplated by the Agreement and Plan of Merger between SomaLogic, Inc., the Company, and certain other parties (the “</w:t>
      </w:r>
      <w:r>
        <w:rPr>
          <w:rFonts w:ascii="Times New Roman;Times;Serif" w:hAnsi="Times New Roman;Times;Serif"/>
          <w:b w:val="false"/>
          <w:i w:val="false"/>
          <w:caps w:val="false"/>
          <w:smallCaps w:val="false"/>
          <w:sz w:val="20"/>
          <w:u w:val="single"/>
        </w:rPr>
        <w:t>Transaction Agreement</w:t>
      </w:r>
      <w:r>
        <w:rPr>
          <w:rFonts w:ascii="Times New Roman;Times;Serif" w:hAnsi="Times New Roman;Times;Serif"/>
          <w:b w:val="false"/>
          <w:i w:val="false"/>
          <w:caps w:val="false"/>
          <w:smallCaps w:val="false"/>
          <w:sz w:val="20"/>
        </w:rPr>
        <w:t>”). If the Transaction does not occur, this offer is null and void. The following is a summary of the terms and conditions of this offer, which will apply to your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Position: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Chief Strategy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Start Date</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On or about the closing date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Reporting</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You will report directly to the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Term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your employment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shall commence on the Start Date, which is currently contemplated to occur during Q1 2024, and shall terminate automatically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anniversary of the Start Date. Notwithstanding the foregoing, the parties may agree to future service after the Term and shall negotiate and finalize the terms and conditions thereof prior to the expiration of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Severance Plan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acknowledge and agree that you shall no longer be a participant under the SomaLogic, Inc. Key Employee Severance Plan (the “</w:t>
      </w:r>
      <w:r>
        <w:rPr>
          <w:rFonts w:ascii="Times New Roman;Times;Serif" w:hAnsi="Times New Roman;Times;Serif"/>
          <w:b w:val="false"/>
          <w:i w:val="false"/>
          <w:caps w:val="false"/>
          <w:smallCaps w:val="false"/>
          <w:sz w:val="20"/>
          <w:u w:val="single"/>
        </w:rPr>
        <w:t>Swan Plan</w:t>
      </w:r>
      <w:r>
        <w:rPr>
          <w:rFonts w:ascii="Times New Roman;Times;Serif" w:hAnsi="Times New Roman;Times;Serif"/>
          <w:b w:val="false"/>
          <w:i w:val="false"/>
          <w:caps w:val="false"/>
          <w:smallCaps w:val="false"/>
          <w:sz w:val="20"/>
        </w:rPr>
        <w:t>”) and that no amounts are owed or payable to you under the Swan Plan. You further acknowledge that you shall not be eligible to participate in the Standard BioTools Inc. 2023 Change of Control and Severance Plan or any other severance plan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annual base salary shall be $600,000, less deductions and withholdings as required by law, which will be paid in accordance with the Company’s normal payroll procedures. This is an exempt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Bonus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2024 calendar year, you will be eligible to participate in the Company’s bonus program as adopted from time-to-time (the “</w:t>
      </w:r>
      <w:r>
        <w:rPr>
          <w:rFonts w:ascii="Times New Roman;Times;Serif" w:hAnsi="Times New Roman;Times;Serif"/>
          <w:b w:val="false"/>
          <w:i w:val="false"/>
          <w:caps w:val="false"/>
          <w:smallCaps w:val="false"/>
          <w:sz w:val="20"/>
          <w:u w:val="single"/>
        </w:rPr>
        <w:t>2024 Bonus</w:t>
      </w:r>
      <w:r>
        <w:rPr>
          <w:rFonts w:ascii="Times New Roman;Times;Serif" w:hAnsi="Times New Roman;Times;Serif"/>
          <w:b w:val="false"/>
          <w:i w:val="false"/>
          <w:caps w:val="false"/>
          <w:smallCaps w:val="false"/>
          <w:sz w:val="20"/>
        </w:rPr>
        <w:t>”).  The 2024 Bonus will be subject to achievement of performance objectives with the actual 2024 Bonus amount to be determined by the Company in its discretion. To earn the 2024 Bonus, you must remain employed with the Company through December 31, 2024; provided, however, that in the event that you are terminated by the Company without Cause or you voluntarily terminate your employment for any reason, you shall be paid the 2024 Bonus, pro-rated based on the number of days employed in the 2024 calendar year and based on target performance (the “</w:t>
      </w:r>
      <w:r>
        <w:rPr>
          <w:rFonts w:ascii="Times New Roman;Times;Serif" w:hAnsi="Times New Roman;Times;Serif"/>
          <w:b w:val="false"/>
          <w:i w:val="false"/>
          <w:caps w:val="false"/>
          <w:smallCaps w:val="false"/>
          <w:sz w:val="20"/>
          <w:u w:val="single"/>
        </w:rPr>
        <w:t>Pro-Rated Bonus</w:t>
      </w:r>
      <w:r>
        <w:rPr>
          <w:rFonts w:ascii="Times New Roman;Times;Serif" w:hAnsi="Times New Roman;Times;Serif"/>
          <w:b w:val="false"/>
          <w:i w:val="false"/>
          <w:caps w:val="false"/>
          <w:smallCaps w:val="false"/>
          <w:sz w:val="20"/>
        </w:rPr>
        <w:t>”). Any 2024 Bonus earned hereunder shall be paid in the first quarter of 2025; provided, however, the Pro-Rated Bonus earned shall be paid in a lump sum payment within 60 days of your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any 2024 Bonus payout you earn, your target bonus amount will be 100% of your annual base salary, less applicable deductions and withholdings. You shall be eligible for an annual bonus relating to the calendar year 2023 in accordance with Section 5.22 of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exists upon (i) your conviction of, or plea of guilty or nolo contendere to, any crime involving dishonesty or moral turpitude or any felony; or (ii) your (a) engagement in material dishonesty, willful misconduct, or gross negligence—in each case in connection with your position at the Company; (b) breach of the Confidentiality Agreement (as defined below) and; (c) your material violation of a written Company policy or procedure that has been provided to you, which violation causes substantial injury to the Company; or (d) willful refusal to perform the your assigned duties to the Company, following written notice of such refusal by the Company and a period of fifteen (15) days to cure the same and your failure to cure during such time period. No act or omission shall be considered “willful” if such act or omission was done, or not done, in the reasonable, good-faith belief that such act or omission was in the best interests of the Company or upon the advice of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you a one-time bonus equal to $1,800,000 (the “</w:t>
      </w:r>
      <w:r>
        <w:rPr>
          <w:rFonts w:ascii="Times New Roman;Times;Serif" w:hAnsi="Times New Roman;Times;Serif"/>
          <w:b w:val="false"/>
          <w:i w:val="false"/>
          <w:caps w:val="false"/>
          <w:smallCaps w:val="false"/>
          <w:sz w:val="20"/>
          <w:u w:val="single"/>
        </w:rPr>
        <w:t>Transaction Bonus</w:t>
      </w:r>
      <w:r>
        <w:rPr>
          <w:rFonts w:ascii="Times New Roman;Times;Serif" w:hAnsi="Times New Roman;Times;Serif"/>
          <w:b w:val="false"/>
          <w:i w:val="false"/>
          <w:caps w:val="false"/>
          <w:smallCaps w:val="false"/>
          <w:sz w:val="20"/>
        </w:rPr>
        <w:t>”), less applicable deductions and withholdings, on the next practicable payroll date following the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Award – Performance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administratively possible following the commencement of your employment with the Company, you will receive an on-hire grant of 100,000 Performance Units (the “</w:t>
      </w:r>
      <w:r>
        <w:rPr>
          <w:rFonts w:ascii="Times New Roman;Times;Serif" w:hAnsi="Times New Roman;Times;Serif"/>
          <w:b w:val="false"/>
          <w:i w:val="false"/>
          <w:caps w:val="false"/>
          <w:smallCaps w:val="false"/>
          <w:sz w:val="20"/>
          <w:u w:val="single"/>
        </w:rPr>
        <w:t>PSUs</w:t>
      </w:r>
      <w:r>
        <w:rPr>
          <w:rFonts w:ascii="Times New Roman;Times;Serif" w:hAnsi="Times New Roman;Times;Serif"/>
          <w:b w:val="false"/>
          <w:i w:val="false"/>
          <w:caps w:val="false"/>
          <w:smallCaps w:val="false"/>
          <w:sz w:val="20"/>
        </w:rPr>
        <w:t>”). The PSUs will be subject to the approval of the Board of Directors or its committee, the terms of our equity incentive plan, and our policies governing grants of equity incentive awards. The PSUs shall vest, subject to your continued employment with the Company as of immediately prior to the one (1) year anniversary of the Start Date and achievement of applicable Company performance goals (to be provided by the Company in Q1 of 2024 – in consultation with you and the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Assumed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administratively possible following the commencement of your employment with the Company, the Company shall provide that each outstanding option or restricted stock unit in SomaLogic, Inc. that was assumed by the Company in connection with the Transaction that is unvested as of the closing of the Transaction (the “</w:t>
      </w:r>
      <w:r>
        <w:rPr>
          <w:rFonts w:ascii="Times New Roman;Times;Serif" w:hAnsi="Times New Roman;Times;Serif"/>
          <w:b w:val="false"/>
          <w:i w:val="false"/>
          <w:caps w:val="false"/>
          <w:smallCaps w:val="false"/>
          <w:sz w:val="20"/>
          <w:u w:val="single"/>
        </w:rPr>
        <w:t>Assumed Equity</w:t>
      </w:r>
      <w:r>
        <w:rPr>
          <w:rFonts w:ascii="Times New Roman;Times;Serif" w:hAnsi="Times New Roman;Times;Serif"/>
          <w:b w:val="false"/>
          <w:i w:val="false"/>
          <w:caps w:val="false"/>
          <w:smallCaps w:val="false"/>
          <w:sz w:val="20"/>
        </w:rPr>
        <w:t xml:space="preserve">”) shall be immediately vested in full, effective on the Start Date. Prior to the Closing, details regarding your Assumed Equity shall be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eligible to receive the Company’s standard benefits package which currently includes medical, dental, vision, life and disability insurance benefits. Benefits will be effective on your date of hire. Additional benefits, as the Company may make generally available to its employees from time to time, will be made available to you. You will be entitled to participate in the Company’s Flexible Vacation Plan and such paid holidays as the Company gives to its employees generally, in accordance with Company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Benefit 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your termination of employment with the Company and subject to you timely electing continued health coverage under the Consolidated Omnibus Budget Reconciliation Act of 1985 (together with any state law of similar effect,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the Company will pay or reimburse the full amount of your COBRA premiums, or will provide coverage under the Company’s broad-based health insurance plans, on behalf of you and your eligible dependents, until the earliest of: (a) 18 months from your date of termination and (b) the date on which you become eligible for substantially equivalent health insurance coverage in connection with new employment or self-employment.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Confidentiality and Company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protect our confidential information and proprietary material. Therefore, as a condition of employment you will be required to sign the Company’s standard At-Will Employment, Confidential Information, Invention Assignment, and Arbitration Agreement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which contains the entire agreement and understanding among the Company, SomaLogic, Inc. and you with respect to the subject matter, obligations, and rights covered therein, and which supersedes all prior or contemporaneous negotiations, commitments, agreements, and writings with respect to the subject matter (other than with respect to confidentiality and ownership and/or assignment of inventions and similar property), obligations, and rights covered therein, including, for the avoidance of doubt, the Confidentiality and Intellectual Property Agreement, by and between SomaLogic, Inc. and you, signed by you on November 8, 2021, and Section 7 of the Employment Agreement, by and between SomaLogic, Inc. and you, effective August 23,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Background and Reference Checks: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This offer is contingent upon successfully passing your background and reference checks.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interpreted under California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Other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along with the Confidentiality Agreement, set forth the terms of your employment with the Company and supersede any prior representations or agreements, whether written or oral. This letter may not be modified or amended except by a written agreement, signed by the Company and by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you joining and being part of the Company!  I am certain we can build a great company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left"/>
              <w:rPr>
                <w:b/>
              </w:rPr>
            </w:pPr>
            <w:r>
              <w:rPr>
                <w:b/>
              </w:rPr>
              <w:t>Standard BioTools Inc.</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/s/ Michael Egholm, Ph.D.</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Michael Egholm, Ph.D.</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b/>
              </w:rPr>
            </w:pPr>
            <w:r>
              <w:rPr>
                <w:b/>
              </w:rPr>
              <w:t>ACCEPTED AND AGREED TO:</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/s/ Adam Taich</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Adam Taich</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October 2, 2023</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left"/>
              <w:rPr/>
            </w:pPr>
            <w:r>
              <w:rPr/>
              <w:t>Date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ASSUMED EQUITY</w:t>
      </w:r>
    </w:p>
    <w:p>
      <w:pPr>
        <w:pStyle w:val="TextBody"/>
        <w:bidi w:val="0"/>
        <w:spacing w:before="0" w:after="0"/>
        <w:ind w:left="0" w:right="0" w:hanging="0"/>
        <w:jc w:val="left"/>
        <w:rPr>
          <w:caps w:val="false"/>
          <w:smallCaps w:val="false"/>
        </w:rPr>
      </w:pPr>
      <w:r>
        <w:rPr>
          <w:caps w:val="false"/>
          <w:smallCaps w:val="false"/>
        </w:rPr>
        <w:t> </w:t>
      </w:r>
    </w:p>
    <w:tbl>
      <w:tblPr>
        <w:tblW w:w="9695" w:type="dxa"/>
        <w:jc w:val="left"/>
        <w:tblInd w:w="-10" w:type="dxa"/>
        <w:tblLayout w:type="fixed"/>
        <w:tblCellMar>
          <w:top w:w="28" w:type="dxa"/>
          <w:left w:w="108" w:type="dxa"/>
          <w:bottom w:w="28" w:type="dxa"/>
          <w:right w:w="108" w:type="dxa"/>
        </w:tblCellMar>
      </w:tblPr>
      <w:tblGrid>
        <w:gridCol w:w="2495"/>
        <w:gridCol w:w="2240"/>
        <w:gridCol w:w="2540"/>
        <w:gridCol w:w="2420"/>
      </w:tblGrid>
      <w:tr>
        <w:trPr/>
        <w:tc>
          <w:tcPr>
            <w:tcW w:w="24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Outstanding SomaLogic</w:t>
              <w:br/>
              <w:t xml:space="preserve">Inc. Options </w:t>
            </w:r>
          </w:p>
        </w:tc>
        <w:tc>
          <w:tcPr>
            <w:tcW w:w="22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 xml:space="preserve">Amount of Company </w:t>
              <w:br/>
              <w:t>Options Post-</w:t>
              <w:br/>
              <w:t>Transaction</w:t>
            </w:r>
          </w:p>
        </w:tc>
        <w:tc>
          <w:tcPr>
            <w:tcW w:w="25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 xml:space="preserve">Outstanding SomaLogic </w:t>
              <w:br/>
              <w:t>Inc. RSUs</w:t>
            </w:r>
          </w:p>
        </w:tc>
        <w:tc>
          <w:tcPr>
            <w:tcW w:w="24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 xml:space="preserve">Amount of Company </w:t>
              <w:br/>
              <w:t>RSUs Post-Transaction</w:t>
            </w:r>
          </w:p>
        </w:tc>
      </w:tr>
      <w:tr>
        <w:trPr/>
        <w:tc>
          <w:tcPr>
            <w:tcW w:w="24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5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4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5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4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5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24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22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5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97" w:name="tm2327944d3_ex23-2.htm"/>
      <w:bookmarkStart w:id="298" w:name="kstm2327944d3_ex232"/>
      <w:bookmarkEnd w:id="297"/>
      <w:bookmarkEnd w:id="29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S-4 of Standard BioTools Inc. of our report dated March 14, 2023 relating to the financial statements and effectiveness of internal control over financial reporting, which appears in Standard BioTools Inc.’s Annual Report on Form 10-K for the year ended December 31, 2022.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9" w:name="tm2327944d3_ex23-3.htm"/>
      <w:bookmarkStart w:id="300" w:name="kstm2327944d3_ex233"/>
      <w:bookmarkEnd w:id="299"/>
      <w:bookmarkEnd w:id="30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use of our report dated March 28, 2023, with respect to the consolidated financial statements of SomaLogic, Inc. incorporated by reference in the Registration Statement (Form S-4) and related Prospectus of Standard BioTools Inc. for the registration of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301" w:name="tm2327944d3_ex99-3.htm"/>
      <w:bookmarkStart w:id="302" w:name="kstm2327944d3_ex993"/>
      <w:bookmarkEnd w:id="301"/>
      <w:bookmarkEnd w:id="302"/>
      <w:r>
        <w:rPr/>
        <w:t> </w:t>
      </w:r>
      <w:r>
        <w:br w:type="page"/>
      </w:r>
    </w:p>
    <w:p>
      <w:pPr>
        <w:pStyle w:val="TextBody"/>
        <w:bidi w:val="0"/>
        <w:jc w:val="right"/>
        <w:rPr>
          <w:b/>
        </w:rPr>
      </w:pPr>
      <w:r>
        <w:rPr>
          <w:b/>
        </w:rPr>
        <w:t>Exhibit 99.3</w:t>
      </w:r>
    </w:p>
    <w:p>
      <w:pPr>
        <w:pStyle w:val="TextBody"/>
        <w:bidi w:val="0"/>
        <w:jc w:val="right"/>
        <w:rPr/>
      </w:pPr>
      <w:r>
        <w:rPr/>
        <w:t> </w:t>
      </w:r>
    </w:p>
    <w:p>
      <w:pPr>
        <w:pStyle w:val="TextBody"/>
        <w:bidi w:val="0"/>
        <w:jc w:val="left"/>
        <w:rPr/>
      </w:pPr>
      <w:r>
        <w:rPr/>
        <w:drawing>
          <wp:inline distT="0" distB="0" distL="0" distR="0">
            <wp:extent cx="2571750" cy="781050"/>
            <wp:effectExtent l="0" t="0" r="0" b="0"/>
            <wp:docPr id="97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Image12" descr=""/>
                    <pic:cNvPicPr>
                      <a:picLocks noChangeAspect="1" noChangeArrowheads="1"/>
                    </pic:cNvPicPr>
                  </pic:nvPicPr>
                  <pic:blipFill>
                    <a:blip r:embed="rId59"/>
                    <a:stretch>
                      <a:fillRect/>
                    </a:stretch>
                  </pic:blipFill>
                  <pic:spPr bwMode="auto">
                    <a:xfrm>
                      <a:off x="0" y="0"/>
                      <a:ext cx="2571750" cy="781050"/>
                    </a:xfrm>
                    <a:prstGeom prst="rect">
                      <a:avLst/>
                    </a:prstGeom>
                  </pic:spPr>
                </pic:pic>
              </a:graphicData>
            </a:graphic>
          </wp:inline>
        </w:drawing>
      </w:r>
      <w:r>
        <w:rPr/>
        <w:t> </w:t>
      </w:r>
    </w:p>
    <w:p>
      <w:pPr>
        <w:pStyle w:val="TextBody"/>
        <w:bidi w:val="0"/>
        <w:spacing w:before="0" w:after="283"/>
        <w:jc w:val="left"/>
        <w:rPr/>
      </w:pPr>
      <w:r>
        <w:rPr/>
        <w:t> </w:t>
      </w:r>
    </w:p>
    <w:tbl>
      <w:tblPr>
        <w:tblW w:w="2150" w:type="dxa"/>
        <w:jc w:val="left"/>
        <w:tblInd w:w="0" w:type="dxa"/>
        <w:tblLayout w:type="fixed"/>
        <w:tblCellMar>
          <w:top w:w="0" w:type="dxa"/>
          <w:left w:w="0" w:type="dxa"/>
          <w:bottom w:w="0" w:type="dxa"/>
          <w:right w:w="0" w:type="dxa"/>
        </w:tblCellMar>
      </w:tblPr>
      <w:tblGrid>
        <w:gridCol w:w="75"/>
        <w:gridCol w:w="2075"/>
      </w:tblGrid>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ableContents"/>
              <w:shd w:fill="FFFFFF" w:val="clear"/>
              <w:bidi w:val="0"/>
              <w:spacing w:before="0" w:after="0"/>
              <w:ind w:left="0" w:right="0" w:hanging="0"/>
              <w:jc w:val="left"/>
              <w:rPr>
                <w:caps w:val="false"/>
                <w:smallCaps w:val="false"/>
              </w:rPr>
            </w:pPr>
            <w:r>
              <w:rPr>
                <w:caps w:val="false"/>
                <w:smallCaps w:val="false"/>
              </w:rPr>
              <w:t> </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Tower Place, Suite 2000</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 94080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October 4, 2023, to the Board of Directors of Standard BioTools Inc. (“</w:t>
      </w:r>
      <w:r>
        <w:rPr>
          <w:rFonts w:ascii="Times New Roman;Times;Serif" w:hAnsi="Times New Roman;Times;Serif"/>
          <w:b w:val="false"/>
          <w:i w:val="false"/>
          <w:caps w:val="false"/>
          <w:smallCaps w:val="false"/>
          <w:sz w:val="20"/>
          <w:u w:val="single"/>
        </w:rPr>
        <w:t>Standard BioTools</w:t>
      </w:r>
      <w:r>
        <w:rPr>
          <w:rFonts w:ascii="Times New Roman;Times;Serif" w:hAnsi="Times New Roman;Times;Serif"/>
          <w:b w:val="false"/>
          <w:i w:val="false"/>
          <w:caps w:val="false"/>
          <w:smallCaps w:val="false"/>
          <w:sz w:val="20"/>
        </w:rPr>
        <w:t>”) as Annex B to, and reference to such opinion letter under the headings “</w:t>
      </w:r>
      <w:r>
        <w:rPr>
          <w:rFonts w:ascii="Times New Roman;Times;Serif" w:hAnsi="Times New Roman;Times;Serif"/>
          <w:b w:val="false"/>
          <w:i/>
          <w:caps w:val="false"/>
          <w:smallCaps w:val="false"/>
          <w:sz w:val="20"/>
        </w:rPr>
        <w:t>Prospectus Summary – Opinion of Standard BioTools’ Financial Advisor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Merger – Background of the Merger</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Merger – Standard BioTools’ Reasons for the Merger; Recommendation of the Standard BioTools Board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Merger – Opinion of Standard BioTools Financial Advisor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Merger – Summary of Centerview Financial Analysis</w:t>
      </w:r>
      <w:r>
        <w:rPr>
          <w:rFonts w:ascii="Times New Roman;Times;Serif" w:hAnsi="Times New Roman;Times;Serif"/>
          <w:b w:val="false"/>
          <w:i w:val="false"/>
          <w:caps w:val="false"/>
          <w:smallCaps w:val="false"/>
          <w:sz w:val="20"/>
        </w:rPr>
        <w:t>” in, the joint proxy statement/prospectus relating to the proposed merger transaction involving Standard BioTools and SomaLogic, Inc., which joint proxy statement/prospectus forms a part of the registration statement on Form S-4 of Standard BioTools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admit that we come within the category of persons whose consent is required under Section 7 of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or the rules and regulations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promulgated thereunder, nor do we hereby admit that we are experts with respect to any part of the Registration Statement within the meaning of the term “experts” as used in the Act or the rules and regulations of the SEC promulgated thereunder.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Very truly yours,  </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Centerview Partners LLC </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20"/>
              </w:rPr>
            </w:pPr>
            <w:r>
              <w:rPr>
                <w:sz w:val="20"/>
              </w:rPr>
              <w:t>CENTERVIEW PARTNERS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center"/>
        <w:rPr/>
      </w:pPr>
      <w:r>
        <w:rPr/>
        <w:t>31 WEST 52ND STREET, 22ND FLOOR, NEW YORK, NY 10019</w:t>
        <w:br/>
        <w:t>PHONE: (212) 380-2650    FAX: (212) 380-2651    WWW.CENTERVIEWPARTNERS.COM</w:t>
      </w:r>
    </w:p>
    <w:p>
      <w:pPr>
        <w:pStyle w:val="TextBody"/>
        <w:bidi w:val="0"/>
        <w:jc w:val="center"/>
        <w:rPr/>
      </w:pPr>
      <w:r>
        <w:rPr/>
        <w:t xml:space="preserve">NEW YORK </w:t>
      </w:r>
      <w:r>
        <w:rPr>
          <w:rFonts w:ascii="Symbol" w:hAnsi="Symbol"/>
        </w:rPr>
        <w:t>·</w:t>
      </w:r>
      <w:r>
        <w:rPr/>
        <w:t xml:space="preserve"> LONDON </w:t>
      </w:r>
      <w:r>
        <w:rPr>
          <w:rFonts w:ascii="Symbol" w:hAnsi="Symbol"/>
        </w:rPr>
        <w:t>·</w:t>
      </w:r>
      <w:r>
        <w:rPr/>
        <w:t xml:space="preserve"> PARIS </w:t>
      </w:r>
      <w:r>
        <w:rPr>
          <w:rFonts w:ascii="Symbol" w:hAnsi="Symbol"/>
        </w:rPr>
        <w:t>·</w:t>
      </w:r>
      <w:r>
        <w:rPr/>
        <w:t xml:space="preserve"> SAN FRNCISCO </w:t>
      </w:r>
      <w:r>
        <w:rPr>
          <w:rFonts w:ascii="Symbol" w:hAnsi="Symbol"/>
        </w:rPr>
        <w:t xml:space="preserve">· </w:t>
      </w:r>
      <w:r>
        <w:rPr/>
        <w:t>MENLO PARK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303" w:name="tm2327944d3_ex99-4.htm"/>
      <w:bookmarkStart w:id="304" w:name="kstm2327944d3_ex994"/>
      <w:bookmarkEnd w:id="303"/>
      <w:bookmarkEnd w:id="304"/>
      <w:r>
        <w:rPr/>
        <w:t> </w:t>
      </w:r>
      <w:r>
        <w:br w:type="page"/>
      </w:r>
    </w:p>
    <w:p>
      <w:pPr>
        <w:pStyle w:val="TextBody"/>
        <w:bidi w:val="0"/>
        <w:jc w:val="right"/>
        <w:rPr>
          <w:b/>
        </w:rPr>
      </w:pPr>
      <w:r>
        <w:rPr>
          <w:b/>
        </w:rPr>
        <w:t>Exhibit 99.4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PERELLA WEINBERG PARTNERS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dated October 4, 2023 appearing as Annex C to, and the reference to such opinion letter under the headings “</w:t>
      </w:r>
      <w:r>
        <w:rPr>
          <w:rFonts w:ascii="Times New Roman;Times;Serif" w:hAnsi="Times New Roman;Times;Serif"/>
          <w:b w:val="false"/>
          <w:i/>
          <w:caps w:val="false"/>
          <w:smallCaps w:val="false"/>
          <w:sz w:val="20"/>
        </w:rPr>
        <w:t>Prospectus Summary—Opinion of SomaLogic’s Financial Advisor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Merger—Opinion of SomaLogic Financial Advisor”</w:t>
      </w:r>
      <w:r>
        <w:rPr>
          <w:rFonts w:ascii="Times New Roman;Times;Serif" w:hAnsi="Times New Roman;Times;Serif"/>
          <w:b w:val="false"/>
          <w:i w:val="false"/>
          <w:caps w:val="false"/>
          <w:smallCaps w:val="false"/>
          <w:sz w:val="20"/>
        </w:rPr>
        <w:t xml:space="preserve"> in, the Registration Statement on Form S-4 of Standard BioTools Inc. and in the Joint Proxy Statement/Prospectus of Standard BioTools Inc. and SomaLogic, Inc., which is part of the Registration Statement, filed on November 13, 2023 (the “Registration Statement”).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 Additionally, such consent does not cover any future amendments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PERELLA WEINBERG PARTNERS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Perella Weinberg Partners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305" w:name="tm2327944d3_ex99-9.htm"/>
      <w:bookmarkStart w:id="306" w:name="kstm2327944d3_ex999"/>
      <w:bookmarkEnd w:id="305"/>
      <w:bookmarkEnd w:id="30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Tower Place, Suite 2000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 94080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Person Named as About to Become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438 promulgated under the Securities Act of 1933, as amended, I hereby consent to my being named in the registration statement on Form S-4 of Standard BioTools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all amendments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any related prospectus filed pursuant to Rule 424 promulgated under the Securities Act of 1933, as amended, or related proxy statement filed pursuant to Section 14(a) of the Securities Exchange Act of 1934, as amended (including any amendments or supplements thereto), as a person anticipated to become a director of the Company upon completion of the merger described therein, and to the filing of this consent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28" w:type="dxa"/>
          <w:right w:w="0" w:type="dxa"/>
        </w:tblCellMar>
      </w:tblPr>
      <w:tblGrid>
        <w:gridCol w:w="1175"/>
        <w:gridCol w:w="75"/>
      </w:tblGrid>
      <w:tr>
        <w:trPr/>
        <w:tc>
          <w:tcPr>
            <w:tcW w:w="11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Tom Carey</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Carey</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left"/>
        <w:rPr/>
      </w:pPr>
      <w:bookmarkStart w:id="307" w:name="tm2327944d3_ex99-10.htm"/>
      <w:bookmarkStart w:id="308" w:name="kstm2327944d3_ex9910"/>
      <w:bookmarkEnd w:id="307"/>
      <w:bookmarkEnd w:id="30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Tower Place, Suite 2000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 94080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Person Named as About to Become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438 promulgated under the Securities Act of 1933, as amended, I hereby consent to my being named in the registration statement on Form S-4 of Standard BioTools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all amendments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any related prospectus filed pursuant to Rule 424 promulgated under the Securities Act of 1933, as amended, or related proxy statement filed pursuant to Section 14(a) of the Securities Exchange Act of 1934, as amended (including any amendments or supplements thereto), as a person anticipated to become a director of the Company upon completion of the merger described therein, and to the filing of this consent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28" w:type="dxa"/>
          <w:right w:w="0" w:type="dxa"/>
        </w:tblCellMar>
      </w:tblPr>
      <w:tblGrid>
        <w:gridCol w:w="1055"/>
        <w:gridCol w:w="7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Troy Cox</w:t>
            </w:r>
          </w:p>
        </w:tc>
        <w:tc>
          <w:tcPr>
            <w:tcW w:w="75"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 Cox</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09" w:name="tm2327944d3_ex99-11.htm"/>
      <w:bookmarkStart w:id="310" w:name="kstm2327944d3_ex9911"/>
      <w:bookmarkEnd w:id="309"/>
      <w:bookmarkEnd w:id="31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Tower Place, Suite 2000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 94080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Person Named as About to Become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438 promulgated under the Securities Act of 1933, as amended, I hereby consent to my being named in the registration statement on Form S-4 of Standard BioTools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all amendments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any related prospectus filed pursuant to Rule 424 promulgated under the Securities Act of 1933, as amended, or related proxy statement filed pursuant to Section 14(a) of the Securities Exchange Act of 1934, as amended (including any amendments or supplements thereto), as a person anticipated to become a director of the Company upon completion of the merger described therein, and to the filing of this consent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28" w:type="dxa"/>
          <w:right w:w="0" w:type="dxa"/>
        </w:tblCellMar>
      </w:tblPr>
      <w:tblGrid>
        <w:gridCol w:w="1295"/>
        <w:gridCol w:w="75"/>
      </w:tblGrid>
      <w:tr>
        <w:trPr/>
        <w:tc>
          <w:tcPr>
            <w:tcW w:w="12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Kathy Hibbs</w:t>
            </w:r>
          </w:p>
        </w:tc>
        <w:tc>
          <w:tcPr>
            <w:tcW w:w="75" w:type="dxa"/>
            <w:tcBorders/>
            <w:tcMar>
              <w:bottom w:w="0" w:type="dxa"/>
            </w:tcMar>
            <w:vAlign w:val="center"/>
          </w:tcPr>
          <w:p>
            <w:pPr>
              <w:pStyle w:val="TableContents"/>
              <w:bidi w:val="0"/>
              <w:spacing w:before="0" w:after="283"/>
              <w:jc w:val="left"/>
              <w:rPr/>
            </w:pPr>
            <w:r>
              <w:rPr/>
              <w:t> </w:t>
            </w:r>
          </w:p>
        </w:tc>
      </w:tr>
      <w:tr>
        <w:trPr/>
        <w:tc>
          <w:tcPr>
            <w:tcW w:w="12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Kathy Hibbs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11" w:name="tm2327944d3_ex-filingfees.htm"/>
      <w:bookmarkStart w:id="312" w:name="kstm2327944d3_exfilingfees"/>
      <w:bookmarkEnd w:id="311"/>
      <w:bookmarkEnd w:id="312"/>
      <w:r>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S-4</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shd w:fill="FFFFFF" w:val="clear"/>
        <w:tblLayout w:type="fixed"/>
        <w:tblCellMar>
          <w:top w:w="28" w:type="dxa"/>
          <w:left w:w="160" w:type="dxa"/>
          <w:bottom w:w="0" w:type="dxa"/>
          <w:right w:w="0" w:type="dxa"/>
        </w:tblCellMar>
      </w:tblPr>
      <w:tblGrid>
        <w:gridCol w:w="1494"/>
        <w:gridCol w:w="60"/>
        <w:gridCol w:w="695"/>
        <w:gridCol w:w="60"/>
        <w:gridCol w:w="890"/>
        <w:gridCol w:w="60"/>
        <w:gridCol w:w="980"/>
        <w:gridCol w:w="60"/>
        <w:gridCol w:w="1235"/>
        <w:gridCol w:w="60"/>
        <w:gridCol w:w="860"/>
        <w:gridCol w:w="60"/>
        <w:gridCol w:w="1415"/>
        <w:gridCol w:w="60"/>
        <w:gridCol w:w="1115"/>
        <w:gridCol w:w="60"/>
        <w:gridCol w:w="1041"/>
      </w:tblGrid>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75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5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4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69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w:t>
              <w:br/>
              <w:t>Type</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9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w:t>
              <w:br/>
              <w:t>Class Title</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98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w:t>
              <w:br/>
              <w:t>Calculation</w:t>
              <w:br/>
              <w:t>or Carry</w:t>
              <w:br/>
              <w:t>Forward</w:t>
              <w:br/>
              <w:t>Rule</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23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w:t>
              <w:br/>
              <w:t>Registered</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6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Proposed</w:t>
              <w:br/>
              <w:t>Maximum</w:t>
              <w:br/>
              <w:t>Offering</w:t>
              <w:br/>
              <w:t>Price</w:t>
              <w:br/>
              <w:t>Per Unit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41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Maximum</w:t>
              <w:br/>
              <w:t>Aggregate</w:t>
              <w:br/>
              <w:t>Offering Price(2)</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11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 Rate</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041" w:type="dxa"/>
            <w:tcBorders>
              <w:right w:val="single" w:sz="8" w:space="0" w:color="000000"/>
            </w:tcBorders>
            <w:shd w:fill="FFFFFF" w:val="clear"/>
            <w:tcMar>
              <w:top w:w="0" w:type="dxa"/>
              <w:left w:w="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 of</w:t>
              <w:br/>
              <w:t>Registration</w:t>
              <w:br/>
              <w:t>Fee</w:t>
            </w:r>
          </w:p>
        </w:tc>
      </w:tr>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75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5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4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69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9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w:t>
              <w:br/>
              <w:t>Stock, par</w:t>
              <w:br/>
              <w:t>value</w:t>
              <w:br/>
              <w:t>$0.001</w:t>
              <w:br/>
              <w:t>per share</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98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23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261,452,515(1)</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6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$2.065</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41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$539,899,443.48</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11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$0.00014760</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041" w:type="dxa"/>
            <w:tcBorders>
              <w:right w:val="single" w:sz="8" w:space="0" w:color="000000"/>
            </w:tcBorders>
            <w:shd w:fill="FFFFFF" w:val="clear"/>
            <w:tcMar>
              <w:top w:w="0" w:type="dxa"/>
              <w:left w:w="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$79,689.16</w:t>
            </w:r>
          </w:p>
        </w:tc>
      </w:tr>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75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5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04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tcBorders>
            <w:shd w:fill="FFFFFF" w:val="clear"/>
            <w:tcMar>
              <w:top w:w="0" w:type="dxa"/>
              <w:lef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Previously Paid</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69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90"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980"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23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60"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41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11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041"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pPr>
            <w:r>
              <w:rPr/>
              <w:t>—</w:t>
            </w:r>
          </w:p>
        </w:tc>
      </w:tr>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4040" w:type="dxa"/>
            <w:gridSpan w:val="8"/>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3980" w:type="dxa"/>
            <w:gridSpan w:val="7"/>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Offering Amounts</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60"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41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$539,899,443.48</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115"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$0.00014760</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041" w:type="dxa"/>
            <w:tcBorders>
              <w:right w:val="single" w:sz="8" w:space="0" w:color="000000"/>
            </w:tcBorders>
            <w:shd w:fill="FFFFFF" w:val="clear"/>
            <w:tcMar>
              <w:top w:w="0" w:type="dxa"/>
              <w:left w:w="0"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$79,689.16</w:t>
            </w:r>
          </w:p>
        </w:tc>
      </w:tr>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4040" w:type="dxa"/>
            <w:gridSpan w:val="8"/>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3980" w:type="dxa"/>
            <w:gridSpan w:val="7"/>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Fees Previously Paid</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60"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41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11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041" w:type="dxa"/>
            <w:tcBorders>
              <w:right w:val="single" w:sz="8" w:space="0" w:color="000000"/>
            </w:tcBorders>
            <w:shd w:fill="FFFFFF" w:val="clear"/>
            <w:tcMar>
              <w:top w:w="0" w:type="dxa"/>
              <w:left w:w="0" w:type="dxa"/>
              <w:right w:w="40" w:type="dxa"/>
            </w:tcMar>
            <w:vAlign w:val="center"/>
          </w:tcPr>
          <w:p>
            <w:pPr>
              <w:pStyle w:val="TableContents"/>
              <w:bidi w:val="0"/>
              <w:spacing w:before="0" w:after="283"/>
              <w:jc w:val="center"/>
              <w:rPr/>
            </w:pPr>
            <w:r>
              <w:rPr/>
              <w:t>—</w:t>
            </w:r>
          </w:p>
        </w:tc>
      </w:tr>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4040" w:type="dxa"/>
            <w:gridSpan w:val="8"/>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3980" w:type="dxa"/>
            <w:gridSpan w:val="7"/>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Fee Offsets</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860"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41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115" w:type="dxa"/>
            <w:tcBorders/>
            <w:shd w:fill="FFFFFF" w:val="clear"/>
            <w:tcMar>
              <w:top w:w="0" w:type="dxa"/>
              <w:left w:w="0" w:type="dxa"/>
            </w:tcMar>
            <w:vAlign w:val="center"/>
          </w:tcPr>
          <w:p>
            <w:pPr>
              <w:pStyle w:val="TableContents"/>
              <w:bidi w:val="0"/>
              <w:spacing w:before="0" w:after="283"/>
              <w:jc w:val="center"/>
              <w:rPr/>
            </w:pPr>
            <w:r>
              <w:rPr/>
              <w:t>—</w:t>
            </w:r>
          </w:p>
        </w:tc>
        <w:tc>
          <w:tcPr>
            <w:tcW w:w="60" w:type="dxa"/>
            <w:tcBorders>
              <w:left w:val="single" w:sz="8" w:space="0" w:color="000000"/>
            </w:tcBorders>
            <w:shd w:fill="FFFFFF" w:val="clear"/>
            <w:tcMar>
              <w:top w:w="0" w:type="dxa"/>
              <w:left w:w="28" w:type="dxa"/>
            </w:tcMar>
            <w:vAlign w:val="center"/>
          </w:tcPr>
          <w:p>
            <w:pPr>
              <w:pStyle w:val="TableContents"/>
              <w:bidi w:val="0"/>
              <w:spacing w:before="0" w:after="283"/>
              <w:jc w:val="left"/>
              <w:rPr/>
            </w:pPr>
            <w:r>
              <w:rPr/>
              <w:t> </w:t>
            </w:r>
          </w:p>
        </w:tc>
        <w:tc>
          <w:tcPr>
            <w:tcW w:w="1041" w:type="dxa"/>
            <w:tcBorders>
              <w:right w:val="single" w:sz="8" w:space="0" w:color="000000"/>
            </w:tcBorders>
            <w:shd w:fill="FFFFFF" w:val="clear"/>
            <w:tcMar>
              <w:top w:w="0" w:type="dxa"/>
              <w:left w:w="0" w:type="dxa"/>
              <w:right w:w="40" w:type="dxa"/>
            </w:tcMar>
            <w:vAlign w:val="center"/>
          </w:tcPr>
          <w:p>
            <w:pPr>
              <w:pStyle w:val="TableContents"/>
              <w:bidi w:val="0"/>
              <w:spacing w:before="0" w:after="283"/>
              <w:jc w:val="center"/>
              <w:rPr/>
            </w:pPr>
            <w:r>
              <w:rPr/>
              <w:t>—</w:t>
            </w:r>
          </w:p>
        </w:tc>
      </w:tr>
      <w:tr>
        <w:trPr/>
        <w:tc>
          <w:tcPr>
            <w:tcW w:w="1494" w:type="dxa"/>
            <w:tcBorders>
              <w:top w:val="single" w:sz="8" w:space="0" w:color="000000"/>
              <w:left w:val="single" w:sz="8" w:space="0" w:color="000000"/>
            </w:tcBorders>
            <w:shd w:fill="FFFFFF" w:val="clear"/>
            <w:vAlign w:val="center"/>
          </w:tcPr>
          <w:p>
            <w:pPr>
              <w:pStyle w:val="TableContents"/>
              <w:bidi w:val="0"/>
              <w:spacing w:before="0" w:after="283"/>
              <w:jc w:val="left"/>
              <w:rPr/>
            </w:pPr>
            <w:r>
              <w:rPr/>
              <w:t> </w:t>
            </w:r>
          </w:p>
        </w:tc>
        <w:tc>
          <w:tcPr>
            <w:tcW w:w="4040" w:type="dxa"/>
            <w:gridSpan w:val="8"/>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20"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5" w:type="dxa"/>
            <w:gridSpan w:val="2"/>
            <w:tcBorders>
              <w:top w:val="single" w:sz="8" w:space="0" w:color="000000"/>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01" w:type="dxa"/>
            <w:gridSpan w:val="2"/>
            <w:tcBorders>
              <w:top w:val="single" w:sz="8" w:space="0" w:color="000000"/>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r>
      <w:tr>
        <w:trPr/>
        <w:tc>
          <w:tcPr>
            <w:tcW w:w="1494"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pPr>
            <w:r>
              <w:rPr/>
              <w:t> </w:t>
            </w:r>
          </w:p>
        </w:tc>
        <w:tc>
          <w:tcPr>
            <w:tcW w:w="3980" w:type="dxa"/>
            <w:gridSpan w:val="7"/>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Net Fee Due</w:t>
            </w:r>
          </w:p>
        </w:tc>
        <w:tc>
          <w:tcPr>
            <w:tcW w:w="60"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pPr>
            <w:r>
              <w:rPr/>
              <w:t>—</w:t>
            </w:r>
          </w:p>
        </w:tc>
        <w:tc>
          <w:tcPr>
            <w:tcW w:w="60"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pPr>
            <w:r>
              <w:rPr/>
              <w:t>—</w:t>
            </w:r>
          </w:p>
        </w:tc>
        <w:tc>
          <w:tcPr>
            <w:tcW w:w="60"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pPr>
            <w:r>
              <w:rPr/>
              <w:t>—</w:t>
            </w:r>
          </w:p>
        </w:tc>
        <w:tc>
          <w:tcPr>
            <w:tcW w:w="60" w:type="dxa"/>
            <w:tcBorders>
              <w:left w:val="single" w:sz="8"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pPr>
            <w:r>
              <w:rPr/>
              <w:t> </w:t>
            </w:r>
          </w:p>
        </w:tc>
        <w:tc>
          <w:tcPr>
            <w:tcW w:w="1041" w:type="dxa"/>
            <w:tcBorders>
              <w:bottom w:val="single" w:sz="8" w:space="0" w:color="000000"/>
              <w:right w:val="single" w:sz="8" w:space="0" w:color="000000"/>
            </w:tcBorders>
            <w:shd w:fill="FFFFFF" w:val="clear"/>
            <w:tcMar>
              <w:top w:w="0" w:type="dxa"/>
              <w:left w:w="0" w:type="dxa"/>
              <w:bottom w:w="28" w:type="dxa"/>
              <w:right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$79,689.16</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pPr>
            <w:r>
              <w:rPr>
                <w:rFonts w:ascii="Times New Roman;Times;Serif" w:hAnsi="Times New Roman;Times;Serif"/>
                <w:sz w:val="20"/>
              </w:rPr>
              <w:t xml:space="preserve">Estimated solely for the purpose of calculating the registration fee. The number of shares of common stock, par value $0.001 per share (“Standard BioTools Common Stock”), of Standard BioTools Inc., a Delaware corporation (“Registrant”), being registered is calculated by multiplying (x) the exchange ratio of 1.11 shares of Standard BioTools Common Stock, as set forth in the Agreement and Plan of Merger, dated as of October 4, 2023 (the “Merger Agreement”), by and among Registrant, SomaLogic, Inc. (“SomaLogic”), a Delaware corporation, and Martis Merger Sub, Inc., a Delaware corporation and a wholly owned subsidiary of the Registrant, by (y) the sum of (i) 188,662,383 shares of common stock, par value $0.0001 per share, of SomaLogic (the “SomaLogic Common Stock”) outstanding as of November 8, 2023, (ii) 200,016 shares of SomaLogic Common Stock underlying restricted stock units as of November 8, 2023 </w:t>
            </w:r>
            <w:r>
              <w:rPr>
                <w:rFonts w:ascii="Times New Roman;Times;Serif" w:hAnsi="Times New Roman;Times;Serif"/>
                <w:sz w:val="20"/>
                <w:shd w:fill="FFFFFF" w:val="clear"/>
              </w:rPr>
              <w:t xml:space="preserve">that may vest prior to the consummation of the </w:t>
            </w:r>
            <w:r>
              <w:rPr/>
              <w:t>Merger (as defined in the Merger Agreement), (iii) 27,672,498 shares of SomaLogic Common Stock issuable upon the exercise of options outstanding as of November 8, 2023 that may be exercised prior to the consummation of the Merger, (iv) 10,533,333 shares of SomaLogic Common Stock issuable upon exercise of public warrants and private placement warrants outstanding as of November 8, 2023, and (v) 8,474,576 shares of SomaLogic Common Stock issuable in satisfaction of milestone consideration payable pursuant to the Palamedrix Merger Agreement (as defined in the Merger Agreement), assuming (a) the achievement of all remaining milestones under the Palamedrix Merger Agreement, (b) the Registrant elects to satisfy all such milestone consideration in shares of Standard BioTools Common Stock (rather than in cash), and (c) the per share price used to calculate the number of shares of SomaLogic Common Stock to be issued is $2.065, which is the average of the high and the low prices per share of SomaLogic Common Stock, as reported on The Nasdaq Capital Market on November 8,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25"/>
        <w:gridCol w:w="9905"/>
      </w:tblGrid>
      <w:tr>
        <w:trPr/>
        <w:tc>
          <w:tcPr>
            <w:tcW w:w="7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(2)</w:t>
            </w:r>
          </w:p>
        </w:tc>
        <w:tc>
          <w:tcPr>
            <w:tcW w:w="9905" w:type="dxa"/>
            <w:tcBorders/>
            <w:shd w:fill="FFFFFF" w:val="clear"/>
            <w:vAlign w:val="center"/>
          </w:tcPr>
          <w:p>
            <w:pPr>
              <w:pStyle w:val="TableContents"/>
              <w:bidi w:val="0"/>
              <w:spacing w:before="0" w:after="283"/>
              <w:jc w:val="both"/>
              <w:rPr/>
            </w:pPr>
            <w:r>
              <w:rPr/>
              <w:t>Estimated solely for purposes of calculating the registration fee required by Section 6(b) of the Securities Act of 1933, as amended (the “Securities Act”), and calculated pursuant to Rules 457(f)(1) and 457(c) under the Securities Act. Such amount equals the product of (i) $2.065, the average of the high and the low prices per share of SomaLogic Common Stock, as reported on The Nasdaq Capital Market on November 8, 2023, which is within five business days prior to the filing of this registration statement, and (ii) the maximum aggregate number of shares of SomaLogic Common Stock expected to be cancelled in exchange for shares of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4.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1.jpeg"/><Relationship Id="rId12" Type="http://schemas.openxmlformats.org/officeDocument/2006/relationships/hyperlink" Target="https://www.sec.gov/ix?doc=/Archives/edgar/data/1837412/000162828023009564/slgc-20221231.htm" TargetMode="External"/><Relationship Id="rId13" Type="http://schemas.openxmlformats.org/officeDocument/2006/relationships/hyperlink" Target="https://www.sec.gov/Archives/edgar/data/1837412/000119312523115486/d446947ddef14a.htm" TargetMode="External"/><Relationship Id="rId14" Type="http://schemas.openxmlformats.org/officeDocument/2006/relationships/hyperlink" Target="https://www.sec.gov/ix?doc=/Archives/edgar/data/1837412/000162828023018204/slgc-20230331.htm" TargetMode="External"/><Relationship Id="rId15" Type="http://schemas.openxmlformats.org/officeDocument/2006/relationships/hyperlink" Target="https://www.sec.gov/ix?doc=/Archives/edgar/data/1837412/000162828023029431/slgc-20230630.htm" TargetMode="External"/><Relationship Id="rId16" Type="http://schemas.openxmlformats.org/officeDocument/2006/relationships/hyperlink" Target="http://www.sec.gov/ix?doc=/Archives/edgar/data/0001837412/000162828023037928/slgc-20230930.htm" TargetMode="External"/><Relationship Id="rId17" Type="http://schemas.openxmlformats.org/officeDocument/2006/relationships/hyperlink" Target="https://www.sec.gov/ix?doc=/Archives/edgar/data/1837412/000121390023002016/ea171397-8k_somalogic.htm" TargetMode="External"/><Relationship Id="rId18" Type="http://schemas.openxmlformats.org/officeDocument/2006/relationships/hyperlink" Target="https://www.sec.gov/ix?doc=/Archives/edgar/data/1837412/000121390023011595/ea173573-8k_somalogic.htm" TargetMode="External"/><Relationship Id="rId19" Type="http://schemas.openxmlformats.org/officeDocument/2006/relationships/hyperlink" Target="https://www.sec.gov/ix?doc=/Archives/edgar/data/1837412/000121390023012908/ea173836-8k_somalogic.htm" TargetMode="External"/><Relationship Id="rId20" Type="http://schemas.openxmlformats.org/officeDocument/2006/relationships/hyperlink" Target="https://www.sec.gov/ix?doc=/Archives/edgar/data/1837412/000121390023018911/ea174915-8k_somalogic.htm" TargetMode="External"/><Relationship Id="rId21" Type="http://schemas.openxmlformats.org/officeDocument/2006/relationships/hyperlink" Target="https://www.sec.gov/ix?doc=/Archives/edgar/data/1837412/000121390023022454/ea175631-8k_somalogic.htm" TargetMode="External"/><Relationship Id="rId22" Type="http://schemas.openxmlformats.org/officeDocument/2006/relationships/hyperlink" Target="https://www.sec.gov/ix?doc=/Archives/edgar/data/1837412/000121390023023701/ea175852-8k_somalogic.htm" TargetMode="External"/><Relationship Id="rId23" Type="http://schemas.openxmlformats.org/officeDocument/2006/relationships/hyperlink" Target="https://www.sec.gov/ix?doc=/Archives/edgar/data/1837412/000121390023026286/ea176361-8k_somalogic.htm" TargetMode="External"/><Relationship Id="rId24" Type="http://schemas.openxmlformats.org/officeDocument/2006/relationships/hyperlink" Target="https://www.sec.gov/ix?doc=/Archives/edgar/data/1837412/000121390023031670/ea177290-8ka1_somalogic.htm" TargetMode="External"/><Relationship Id="rId25" Type="http://schemas.openxmlformats.org/officeDocument/2006/relationships/hyperlink" Target="https://www.sec.gov/ix?doc=/Archives/edgar/data/1837412/000121390023046798/ea179840-8k_somalogic.htm" TargetMode="External"/><Relationship Id="rId26" Type="http://schemas.openxmlformats.org/officeDocument/2006/relationships/hyperlink" Target="https://www.sec.gov/ix?doc=/Archives/edgar/data/1837412/000121390023047832/ea179981-8k_somalogic.htm" TargetMode="External"/><Relationship Id="rId27" Type="http://schemas.openxmlformats.org/officeDocument/2006/relationships/hyperlink" Target="https://www.sec.gov/ix?doc=/Archives/edgar/data/1837412/000121390023048739/ea180238-8ka1_somalogic.htm" TargetMode="External"/><Relationship Id="rId28" Type="http://schemas.openxmlformats.org/officeDocument/2006/relationships/hyperlink" Target="https://www.sec.gov/ix?doc=/Archives/edgar/data/1837412/000121390023050975/ea180749-8k_somalogic.htm" TargetMode="External"/><Relationship Id="rId29" Type="http://schemas.openxmlformats.org/officeDocument/2006/relationships/hyperlink" Target="https://www.sec.gov/ix?doc=/Archives/edgar/data/1837412/000110465923106609/tm2327476d1_8k.htm" TargetMode="External"/><Relationship Id="rId30" Type="http://schemas.openxmlformats.org/officeDocument/2006/relationships/hyperlink" Target="https://www.sec.gov/ix?doc=/Archives/edgar/data/1162194/000116219423000013/fldm-20221231.htm" TargetMode="External"/><Relationship Id="rId31" Type="http://schemas.openxmlformats.org/officeDocument/2006/relationships/hyperlink" Target="https://www.sec.gov/Archives/edgar/data/1162194/000095014223001246/eh230354030_def14a.htm" TargetMode="External"/><Relationship Id="rId32" Type="http://schemas.openxmlformats.org/officeDocument/2006/relationships/hyperlink" Target="https://www.sec.gov/ix?doc=/Archives/edgar/data/1162194/000116219423000024/lab-20230331.htm" TargetMode="External"/><Relationship Id="rId33" Type="http://schemas.openxmlformats.org/officeDocument/2006/relationships/hyperlink" Target="https://www.sec.gov/ix?doc=/Archives/edgar/data/1162194/000162828023028287/lab-20230630.htm" TargetMode="External"/><Relationship Id="rId34" Type="http://schemas.openxmlformats.org/officeDocument/2006/relationships/hyperlink" Target="https://www.sec.gov/ix?doc=/Archives/edgar/data/0001162194/000095017023060385/lab-20230930.htm" TargetMode="External"/><Relationship Id="rId35" Type="http://schemas.openxmlformats.org/officeDocument/2006/relationships/hyperlink" Target="https://www.sec.gov/ix?doc=/Archives/edgar/data/1162194/000095014223000674/eh230338628_8k.htm" TargetMode="External"/><Relationship Id="rId36" Type="http://schemas.openxmlformats.org/officeDocument/2006/relationships/hyperlink" Target="https://www.sec.gov/ix?doc=/Archives/edgar/data/1162194/000095014223000726/eh230339748_8k.htm" TargetMode="External"/><Relationship Id="rId37" Type="http://schemas.openxmlformats.org/officeDocument/2006/relationships/hyperlink" Target="https://www.sec.gov/ix?doc=/Archives/edgar/data/1162194/000095014223001328/eh230355478_8k.htm" TargetMode="External"/><Relationship Id="rId38" Type="http://schemas.openxmlformats.org/officeDocument/2006/relationships/hyperlink" Target="https://www.sec.gov/ix?doc=/Archives/edgar/data/1162194/000095014223001458/eh230358911_8k.htm" TargetMode="External"/><Relationship Id="rId39" Type="http://schemas.openxmlformats.org/officeDocument/2006/relationships/hyperlink" Target="https://www.sec.gov/ix?doc=/Archives/edgar/data/1162194/000116219423000033/lab-20230614.htm" TargetMode="External"/><Relationship Id="rId40" Type="http://schemas.openxmlformats.org/officeDocument/2006/relationships/hyperlink" Target="https://www.sec.gov/ix?doc=/Archives/edgar/data/1162194/000116219423000053/lab-20230724.htm" TargetMode="External"/><Relationship Id="rId41" Type="http://schemas.openxmlformats.org/officeDocument/2006/relationships/hyperlink" Target="https://www.sec.gov/ix?doc=/Archives/edgar/data/1162194/000110465923106606/tm2327474d1_8k.htm" TargetMode="External"/><Relationship Id="rId42" Type="http://schemas.openxmlformats.org/officeDocument/2006/relationships/image" Target="media/image5.jpeg"/><Relationship Id="rId43" Type="http://schemas.openxmlformats.org/officeDocument/2006/relationships/hyperlink" Target="https://www.sec.gov/Archives/edgar/data/1162194/000119312511078412/dex31.htm" TargetMode="External"/><Relationship Id="rId44" Type="http://schemas.openxmlformats.org/officeDocument/2006/relationships/hyperlink" Target="https://www.sec.gov/Archives/edgar/data/1162194/000119312522093794/d300506dex48.htm" TargetMode="External"/><Relationship Id="rId45" Type="http://schemas.openxmlformats.org/officeDocument/2006/relationships/hyperlink" Target="https://www.sec.gov/Archives/edgar/data/1162194/000119312522093794/d300506dex43.htm" TargetMode="External"/><Relationship Id="rId46" Type="http://schemas.openxmlformats.org/officeDocument/2006/relationships/hyperlink" Target="https://www.sec.gov/Archives/edgar/data/1162194/000119312516774501/d294669dex31.htm" TargetMode="External"/><Relationship Id="rId47" Type="http://schemas.openxmlformats.org/officeDocument/2006/relationships/hyperlink" Target="https://www.sec.gov/Archives/edgar/data/1162194/000114420417039703/v471897_ex3-1.htm" TargetMode="External"/><Relationship Id="rId48" Type="http://schemas.openxmlformats.org/officeDocument/2006/relationships/hyperlink" Target="https://www.sec.gov/Archives/edgar/data/1162194/000119312522096290/d314141dex36.htm" TargetMode="External"/><Relationship Id="rId49" Type="http://schemas.openxmlformats.org/officeDocument/2006/relationships/hyperlink" Target="https://www.sec.gov/Archives/edgar/data/1162194/000119312522096290/d314141dex37.htm" TargetMode="External"/><Relationship Id="rId50" Type="http://schemas.openxmlformats.org/officeDocument/2006/relationships/hyperlink" Target="https://www.sec.gov/Archives/edgar/data/1162194/000119312522093794/d300506dex41.htm" TargetMode="External"/><Relationship Id="rId51" Type="http://schemas.openxmlformats.org/officeDocument/2006/relationships/hyperlink" Target="https://www.sec.gov/Archives/edgar/data/1162194/000110465919066659/tm1923592d1_ex4-1.htm" TargetMode="External"/><Relationship Id="rId52" Type="http://schemas.openxmlformats.org/officeDocument/2006/relationships/hyperlink" Target="https://www.sec.gov/Archives/edgar/data/1162194/000110465919066659/tm1923592d1_ex4-1.htm" TargetMode="External"/><Relationship Id="rId53" Type="http://schemas.openxmlformats.org/officeDocument/2006/relationships/hyperlink" Target="https://www.sec.gov/Archives/edgar/data/1162194/000119312522036985/d307863dex101.htm" TargetMode="External"/><Relationship Id="rId54" Type="http://schemas.openxmlformats.org/officeDocument/2006/relationships/hyperlink" Target="https://www.sec.gov/Archives/edgar/data/1162194/000119312522016151/d243622dex102.htm" TargetMode="External"/><Relationship Id="rId55" Type="http://schemas.openxmlformats.org/officeDocument/2006/relationships/hyperlink" Target="https://www.sec.gov/Archives/edgar/data/1162194/000119312522016151/d243622dex105.htm" TargetMode="External"/><Relationship Id="rId56" Type="http://schemas.openxmlformats.org/officeDocument/2006/relationships/hyperlink" Target="https://www.sec.gov/Archives/edgar/data/1162194/000110465923106606/tm2327474d1_ex99-3.htm" TargetMode="External"/><Relationship Id="rId57" Type="http://schemas.openxmlformats.org/officeDocument/2006/relationships/hyperlink" Target="https://www.sec.gov/Archives/edgar/data/1162194/000110465923106606/tm2327474d1_ex99-4.htm" TargetMode="External"/><Relationship Id="rId58" Type="http://schemas.openxmlformats.org/officeDocument/2006/relationships/hyperlink" Target="https://www.sec.gov/Archives/edgar/data/1162194/000110465923106606/tm2327474d1_ex99-5.htm" TargetMode="External"/><Relationship Id="rId59" Type="http://schemas.openxmlformats.org/officeDocument/2006/relationships/image" Target="media/image6.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235794</Words>
  <Characters>1277877</Characters>
  <CharactersWithSpaces>1547370</CharactersWithSpaces>
  <Paragraphs>20283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