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Worthington Gajus Vincent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FLUIDIGM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FLDM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06/15/2012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449"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7"/>
            <w:vMerge w:val="continue"/>
          </w:tcPr>
          <w:p>
            <w:pPr>
              <w:spacing w:after="0"/>
              <w:rPr>
                <w:sz w:val="10"/>
                <w:szCs w:val="10"/>
                <w:color w:val="auto"/>
              </w:rPr>
            </w:pPr>
          </w:p>
        </w:tc>
        <w:tc>
          <w:tcPr>
            <w:tcW w:w="388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FRANCISCO</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Person</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gridSpan w:val="3"/>
            <w:vMerge w:val="restart"/>
          </w:tcPr>
          <w:p>
            <w:pPr>
              <w:jc w:val="right"/>
              <w:ind w:right="152"/>
              <w:spacing w:after="0"/>
              <w:rPr>
                <w:sz w:val="20"/>
                <w:szCs w:val="20"/>
                <w:color w:val="auto"/>
              </w:rPr>
            </w:pPr>
            <w:r>
              <w:rPr>
                <w:rFonts w:ascii="Times New Roman" w:cs="Times New Roman" w:eastAsia="Times New Roman" w:hAnsi="Times New Roman"/>
                <w:sz w:val="18"/>
                <w:szCs w:val="18"/>
                <w:color w:val="0000FF"/>
              </w:rPr>
              <w:t>06/15/2012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8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0000FF"/>
              </w:rPr>
              <w:t>7,500</w:t>
            </w:r>
            <w:r>
              <w:rPr>
                <w:rFonts w:ascii="Times New Roman" w:cs="Times New Roman" w:eastAsia="Times New Roman" w:hAnsi="Times New Roman"/>
                <w:sz w:val="22"/>
                <w:szCs w:val="22"/>
                <w:color w:val="008000"/>
                <w:vertAlign w:val="superscript"/>
              </w:rPr>
              <w:t>(2)</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14.0109</w:t>
            </w:r>
            <w:r>
              <w:rPr>
                <w:rFonts w:ascii="Times New Roman" w:cs="Times New Roman" w:eastAsia="Times New Roman" w:hAnsi="Times New Roman"/>
                <w:sz w:val="22"/>
                <w:szCs w:val="22"/>
                <w:color w:val="008000"/>
                <w:w w:val="98"/>
                <w:vertAlign w:val="superscript"/>
              </w:rPr>
              <w:t>(2)</w:t>
            </w: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0000FF"/>
              </w:rPr>
              <w:t>277,659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Footnote</w:t>
            </w:r>
            <w:r>
              <w:rPr>
                <w:rFonts w:ascii="Times New Roman" w:cs="Times New Roman" w:eastAsia="Times New Roman" w:hAnsi="Times New Roman"/>
                <w:sz w:val="22"/>
                <w:szCs w:val="22"/>
                <w:color w:val="008000"/>
                <w:w w:val="98"/>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gridSpan w:val="3"/>
            <w:vMerge w:val="restart"/>
          </w:tcPr>
          <w:p>
            <w:pPr>
              <w:jc w:val="right"/>
              <w:ind w:right="152"/>
              <w:spacing w:after="0"/>
              <w:rPr>
                <w:sz w:val="20"/>
                <w:szCs w:val="20"/>
                <w:color w:val="auto"/>
              </w:rPr>
            </w:pPr>
            <w:r>
              <w:rPr>
                <w:rFonts w:ascii="Times New Roman" w:cs="Times New Roman" w:eastAsia="Times New Roman" w:hAnsi="Times New Roman"/>
                <w:sz w:val="18"/>
                <w:szCs w:val="18"/>
                <w:color w:val="0000FF"/>
              </w:rPr>
              <w:t>06/18/2012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8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0000FF"/>
              </w:rPr>
              <w:t>2,500</w:t>
            </w:r>
            <w:r>
              <w:rPr>
                <w:rFonts w:ascii="Times New Roman" w:cs="Times New Roman" w:eastAsia="Times New Roman" w:hAnsi="Times New Roman"/>
                <w:sz w:val="22"/>
                <w:szCs w:val="22"/>
                <w:color w:val="008000"/>
                <w:vertAlign w:val="superscript"/>
              </w:rPr>
              <w:t>(4)</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14.0215</w:t>
            </w:r>
            <w:r>
              <w:rPr>
                <w:rFonts w:ascii="Times New Roman" w:cs="Times New Roman" w:eastAsia="Times New Roman" w:hAnsi="Times New Roman"/>
                <w:sz w:val="22"/>
                <w:szCs w:val="22"/>
                <w:color w:val="008000"/>
                <w:w w:val="98"/>
                <w:vertAlign w:val="superscript"/>
              </w:rPr>
              <w:t>(4)</w:t>
            </w: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0000FF"/>
              </w:rPr>
              <w:t>275,159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0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jc w:val="right"/>
              <w:ind w:right="132"/>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were effected pursuant to a Rule 10b5-1 trading plan adopted on August 29, 2011 by the Worthington Family Trust dated March 6, 2007, a trust for the benefit of the Reporting Person and the Reporting Person's spouse, for which the Reporting Person and the Reporting Person's spouse serve as trustees.</w:t>
      </w:r>
    </w:p>
    <w:p>
      <w:pPr>
        <w:spacing w:after="0" w:line="27" w:lineRule="exact"/>
        <w:rPr>
          <w:rFonts w:ascii="Times New Roman" w:cs="Times New Roman" w:eastAsia="Times New Roman" w:hAnsi="Times New Roman"/>
          <w:sz w:val="14"/>
          <w:szCs w:val="14"/>
          <w:color w:val="008000"/>
        </w:rPr>
      </w:pPr>
    </w:p>
    <w:p>
      <w:pPr>
        <w:ind w:left="40" w:right="1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"Amount" and "Price" reported in this Column 4 reflect the aggregate number and weighted-average price, respectively, of shares sold. These shares were sold in multiple transactions at prices ranging from $14.00 to $14.06,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directly by the Worthingon Family Trust dated March 6, 2007.</w:t>
      </w:r>
    </w:p>
    <w:p>
      <w:pPr>
        <w:spacing w:after="0" w:line="41" w:lineRule="exact"/>
        <w:rPr>
          <w:rFonts w:ascii="Times New Roman" w:cs="Times New Roman" w:eastAsia="Times New Roman" w:hAnsi="Times New Roman"/>
          <w:sz w:val="14"/>
          <w:szCs w:val="14"/>
          <w:color w:val="008000"/>
        </w:rPr>
      </w:pPr>
    </w:p>
    <w:p>
      <w:pPr>
        <w:ind w:left="40" w:right="1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"Amount" and "Price" reported in this Column 4 reflect the aggregate number and weighted-average price, respectively, of shares sold. These shares were sold in multiple transactions at prices ranging from $14.00 to $14.13, inclusive. The reporting person undertakes to provide to the issuer, any security holder of the issuer, or the SEC staff, upon request, full information regarding the number of shares sold at each separate price within the range set forth herein.</w:t>
      </w:r>
    </w:p>
    <w:p>
      <w:pPr>
        <w:ind w:left="6860"/>
        <w:spacing w:after="0" w:line="183" w:lineRule="auto"/>
        <w:rPr>
          <w:sz w:val="20"/>
          <w:szCs w:val="20"/>
          <w:color w:val="auto"/>
        </w:rPr>
      </w:pPr>
      <w:r>
        <w:rPr>
          <w:rFonts w:ascii="Times New Roman" w:cs="Times New Roman" w:eastAsia="Times New Roman" w:hAnsi="Times New Roman"/>
          <w:sz w:val="17"/>
          <w:szCs w:val="17"/>
          <w:color w:val="0000FF"/>
        </w:rPr>
        <w:t xml:space="preserve">/s/ Valerie Barnett, attorney-in- </w:t>
      </w:r>
      <w:r>
        <w:rPr>
          <w:rFonts w:ascii="Times New Roman" w:cs="Times New Roman" w:eastAsia="Times New Roman" w:hAnsi="Times New Roman"/>
          <w:sz w:val="33"/>
          <w:szCs w:val="33"/>
          <w:color w:val="0000FF"/>
          <w:vertAlign w:val="subscript"/>
        </w:rPr>
        <w:t>06/19/2012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2019-12-17T15:55:27Z</dcterms:created>
  <dcterms:modified xsi:type="dcterms:W3CDTF">2019-12-17T15:55:27Z</dcterms:modified>
</cp:coreProperties>
</file>