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26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63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Black Jeffrey G.</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140"/>
              <w:spacing w:after="0"/>
              <w:rPr>
                <w:sz w:val="20"/>
                <w:szCs w:val="20"/>
                <w:color w:val="auto"/>
              </w:rPr>
            </w:pPr>
            <w:r>
              <w:rPr>
                <w:rFonts w:ascii="Arial" w:cs="Arial" w:eastAsia="Arial" w:hAnsi="Arial"/>
                <w:sz w:val="13"/>
                <w:szCs w:val="13"/>
                <w:color w:val="auto"/>
              </w:rPr>
              <w:t>(First)</w:t>
            </w:r>
          </w:p>
        </w:tc>
        <w:tc>
          <w:tcPr>
            <w:tcW w:w="1380" w:type="dxa"/>
            <w:vAlign w:val="bottom"/>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 TOWER PLACE, STE 2000</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140"/>
              <w:spacing w:after="0"/>
              <w:rPr>
                <w:sz w:val="20"/>
                <w:szCs w:val="20"/>
                <w:color w:val="auto"/>
              </w:rPr>
            </w:pPr>
            <w:r>
              <w:rPr>
                <w:rFonts w:ascii="Arial" w:cs="Arial" w:eastAsia="Arial" w:hAnsi="Arial"/>
                <w:sz w:val="13"/>
                <w:szCs w:val="13"/>
                <w:color w:val="auto"/>
              </w:rPr>
              <w:t>(State)</w:t>
            </w:r>
          </w:p>
        </w:tc>
        <w:tc>
          <w:tcPr>
            <w:tcW w:w="1380" w:type="dxa"/>
            <w:vAlign w:val="bottom"/>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STANDARD BIOTOOLS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LAB</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05/15/2024</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SVP &amp; Chief Financial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05/15/2024</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0000FF"/>
              </w:rPr>
              <w:t>52,631</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138,615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05/15/2024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18,779</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119,836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05/15/2024</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52,631</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52,631</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157,895</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("RSUs") granted to the reporting person on May 15, 2023, which grant was originally reported on Form 4 filed with the U.S. Securities and Exchange Commission on May 17, 2023.</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15, 2023, the Reporting Person was granted 210,526 RSUs. 1/4th of the RSUs vested on May 15, 2024 and the remaining RSUs will vest in twelve equal quarterly installments thereafter.</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Jeffrey G. Black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60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Agnieszka Gallagher, Attorney- 05/16/2024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49439"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2024-05-16T20:18:58Z</dcterms:created>
  <dcterms:modified xsi:type="dcterms:W3CDTF">2024-05-16T20:18:58Z</dcterms:modified>
</cp:coreProperties>
</file>