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8)*</w:t>
      </w: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7"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2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34385P108</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402,477</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402,477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402,477</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9"/>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34385P108</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3,416,871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3,416,871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3,416,871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9"/>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Fluidigm Corporation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 Tower Place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Suite 2000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$0.001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2449195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1341755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1471930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34385P108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11, 2022 (the “Schedule 13G”), with respect to the Common Stock, par value $0.001 per share, of Fluidigm Corporation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11, 2022.</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1334770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2022-02-12T02:50:44Z</dcterms:created>
  <dcterms:modified xsi:type="dcterms:W3CDTF">2022-02-12T02:50:44Z</dcterms:modified>
</cp:coreProperties>
</file>